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i/>
          <w:i/>
          <w:iCs/>
          <w:lang w:val="en-US"/>
        </w:rPr>
      </w:pPr>
      <w:r>
        <w:rPr>
          <w:b/>
          <w:bCs/>
          <w:i/>
          <w:iCs/>
          <w:lang w:val="en-US"/>
        </w:rPr>
        <w:t>Table A</w:t>
      </w:r>
      <w:r>
        <w:rPr>
          <w:b/>
          <w:bCs/>
          <w:i/>
          <w:iCs/>
          <w:lang w:val="en-US"/>
        </w:rPr>
        <w:t>3</w:t>
      </w:r>
      <w:r>
        <w:rPr>
          <w:b/>
          <w:bCs/>
          <w:i/>
          <w:iCs/>
          <w:lang w:val="en-US"/>
        </w:rPr>
        <w:t xml:space="preserve">: </w:t>
      </w:r>
      <w:r>
        <w:rPr>
          <w:i/>
          <w:iCs/>
          <w:lang w:val="en-US"/>
        </w:rPr>
        <w:t>Questions included in the survey distributed amongst emergency department nurses to assess the implementation research outcomes. Questions consisted of a statement that was to be rated on a 5-point Likert scale, ranging from 1=strongly disagree to 5=strongly agree.</w:t>
      </w:r>
    </w:p>
    <w:tbl>
      <w:tblPr>
        <w:tblStyle w:val="TableGrid"/>
        <w:tblW w:w="902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56"/>
        <w:gridCol w:w="480"/>
        <w:gridCol w:w="7090"/>
      </w:tblGrid>
      <w:tr>
        <w:trPr>
          <w:trHeight w:val="20" w:hRule="atLeast"/>
        </w:trPr>
        <w:tc>
          <w:tcPr>
            <w:tcW w:w="1456" w:type="dxa"/>
            <w:tcBorders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b/>
                <w:bCs/>
                <w:sz w:val="18"/>
                <w:szCs w:val="18"/>
                <w:lang w:val="en-US" w:eastAsia="nl-NL"/>
              </w:rPr>
              <w:t>Outcome</w:t>
            </w:r>
          </w:p>
        </w:tc>
        <w:tc>
          <w:tcPr>
            <w:tcW w:w="480" w:type="dxa"/>
            <w:tcBorders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b/>
                <w:bCs/>
                <w:sz w:val="18"/>
                <w:szCs w:val="18"/>
                <w:lang w:val="en-US" w:eastAsia="nl-NL"/>
              </w:rPr>
              <w:t>No.</w:t>
            </w:r>
          </w:p>
        </w:tc>
        <w:tc>
          <w:tcPr>
            <w:tcW w:w="7090" w:type="dxa"/>
            <w:tcBorders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b/>
                <w:bCs/>
                <w:sz w:val="18"/>
                <w:szCs w:val="18"/>
                <w:lang w:val="en-US" w:eastAsia="nl-NL"/>
              </w:rPr>
              <w:t xml:space="preserve">Question </w:t>
            </w:r>
          </w:p>
        </w:tc>
      </w:tr>
      <w:tr>
        <w:trPr>
          <w:trHeight w:val="20" w:hRule="atLeast"/>
        </w:trPr>
        <w:tc>
          <w:tcPr>
            <w:tcW w:w="1456" w:type="dxa"/>
            <w:tcBorders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b/>
                <w:bCs/>
                <w:color w:val="000000"/>
                <w:sz w:val="18"/>
                <w:szCs w:val="18"/>
                <w:lang w:val="nl-NL" w:eastAsia="nl-NL"/>
              </w:rPr>
              <w:t>Acceptability</w:t>
            </w:r>
          </w:p>
        </w:tc>
        <w:tc>
          <w:tcPr>
            <w:tcW w:w="480" w:type="dxa"/>
            <w:tcBorders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  <w:lang w:val="nl-NL" w:eastAsia="nl-NL"/>
              </w:rPr>
              <w:t>1</w:t>
            </w:r>
          </w:p>
        </w:tc>
        <w:tc>
          <w:tcPr>
            <w:tcW w:w="7090" w:type="dxa"/>
            <w:tcBorders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sz w:val="18"/>
                <w:szCs w:val="18"/>
                <w:lang w:val="en-US" w:eastAsia="nl-NL"/>
              </w:rPr>
              <w:t>Patients did not doubt the effect of IPA prior to IPA administration</w:t>
            </w:r>
          </w:p>
        </w:tc>
      </w:tr>
      <w:tr>
        <w:trPr>
          <w:trHeight w:val="20" w:hRule="atLeast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Calibri"/>
                <w:b/>
                <w:b/>
                <w:bCs/>
                <w:sz w:val="18"/>
                <w:szCs w:val="18"/>
                <w:lang w:val="en-US" w:eastAsia="nl-NL"/>
              </w:rPr>
            </w:pPr>
            <w:r>
              <w:rPr>
                <w:rFonts w:eastAsia="Calibri" w:cs="Calibri"/>
                <w:b/>
                <w:bCs/>
                <w:sz w:val="18"/>
                <w:szCs w:val="18"/>
                <w:lang w:val="en-US" w:eastAsia="nl-NL"/>
              </w:rPr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  <w:lang w:val="nl-NL" w:eastAsia="nl-NL"/>
              </w:rPr>
              <w:t>2</w:t>
            </w:r>
          </w:p>
        </w:tc>
        <w:tc>
          <w:tcPr>
            <w:tcW w:w="709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sz w:val="18"/>
                <w:szCs w:val="18"/>
                <w:lang w:val="en-US" w:eastAsia="nl-NL"/>
              </w:rPr>
              <w:t>Patients regard IPA as an acceptable treatment option</w:t>
            </w:r>
          </w:p>
        </w:tc>
      </w:tr>
      <w:tr>
        <w:trPr>
          <w:trHeight w:val="20" w:hRule="atLeast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Calibri"/>
                <w:b/>
                <w:b/>
                <w:bCs/>
                <w:sz w:val="18"/>
                <w:szCs w:val="18"/>
                <w:lang w:val="en-US" w:eastAsia="nl-NL"/>
              </w:rPr>
            </w:pPr>
            <w:r>
              <w:rPr>
                <w:rFonts w:eastAsia="Calibri" w:cs="Calibri"/>
                <w:b/>
                <w:bCs/>
                <w:sz w:val="18"/>
                <w:szCs w:val="18"/>
                <w:lang w:val="en-US" w:eastAsia="nl-NL"/>
              </w:rPr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  <w:lang w:val="nl-NL" w:eastAsia="nl-NL"/>
              </w:rPr>
              <w:t>3</w:t>
            </w:r>
          </w:p>
        </w:tc>
        <w:tc>
          <w:tcPr>
            <w:tcW w:w="709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sz w:val="18"/>
                <w:szCs w:val="18"/>
                <w:lang w:val="en-US" w:eastAsia="nl-NL"/>
              </w:rPr>
              <w:t>I regard IPA as an acceptable treatment option</w:t>
            </w:r>
          </w:p>
        </w:tc>
      </w:tr>
      <w:tr>
        <w:trPr>
          <w:trHeight w:val="20" w:hRule="atLeast"/>
        </w:trPr>
        <w:tc>
          <w:tcPr>
            <w:tcW w:w="1456" w:type="dxa"/>
            <w:tcBorders>
              <w:top w:val="nil"/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b/>
                <w:bCs/>
                <w:color w:val="000000"/>
                <w:sz w:val="18"/>
                <w:szCs w:val="18"/>
                <w:lang w:val="en-US" w:eastAsia="nl-NL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  <w:lang w:val="nl-NL" w:eastAsia="nl-NL"/>
              </w:rPr>
              <w:t>4</w:t>
            </w:r>
          </w:p>
        </w:tc>
        <w:tc>
          <w:tcPr>
            <w:tcW w:w="7090" w:type="dxa"/>
            <w:tcBorders>
              <w:top w:val="nil"/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sz w:val="18"/>
                <w:szCs w:val="18"/>
                <w:lang w:val="en-US" w:eastAsia="nl-NL"/>
              </w:rPr>
              <w:t>Patients rather take medications than inhale IPA</w:t>
            </w:r>
          </w:p>
        </w:tc>
      </w:tr>
      <w:tr>
        <w:trPr>
          <w:trHeight w:val="20" w:hRule="atLeast"/>
        </w:trPr>
        <w:tc>
          <w:tcPr>
            <w:tcW w:w="1456" w:type="dxa"/>
            <w:tcBorders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b/>
                <w:bCs/>
                <w:color w:val="000000"/>
                <w:sz w:val="18"/>
                <w:szCs w:val="18"/>
                <w:lang w:val="nl-NL" w:eastAsia="nl-NL"/>
              </w:rPr>
              <w:t>Adoption</w:t>
            </w:r>
          </w:p>
        </w:tc>
        <w:tc>
          <w:tcPr>
            <w:tcW w:w="480" w:type="dxa"/>
            <w:tcBorders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  <w:lang w:val="nl-NL" w:eastAsia="nl-NL"/>
              </w:rPr>
              <w:t>5</w:t>
            </w:r>
          </w:p>
        </w:tc>
        <w:tc>
          <w:tcPr>
            <w:tcW w:w="7090" w:type="dxa"/>
            <w:tcBorders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sz w:val="18"/>
                <w:szCs w:val="18"/>
                <w:lang w:val="en-US" w:eastAsia="nl-NL"/>
              </w:rPr>
              <w:t>Prior to the study I had confidence in the effectiveness of IPA</w:t>
            </w:r>
          </w:p>
        </w:tc>
      </w:tr>
      <w:tr>
        <w:trPr>
          <w:trHeight w:val="20" w:hRule="atLeast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Calibri"/>
                <w:b/>
                <w:b/>
                <w:bCs/>
                <w:sz w:val="18"/>
                <w:szCs w:val="18"/>
                <w:lang w:val="en-US" w:eastAsia="nl-NL"/>
              </w:rPr>
            </w:pPr>
            <w:r>
              <w:rPr>
                <w:rFonts w:eastAsia="Calibri" w:cs="Calibri"/>
                <w:b/>
                <w:bCs/>
                <w:sz w:val="18"/>
                <w:szCs w:val="18"/>
                <w:lang w:val="en-US" w:eastAsia="nl-NL"/>
              </w:rPr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  <w:lang w:val="nl-NL" w:eastAsia="nl-NL"/>
              </w:rPr>
              <w:t>6</w:t>
            </w:r>
          </w:p>
        </w:tc>
        <w:tc>
          <w:tcPr>
            <w:tcW w:w="709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sz w:val="18"/>
                <w:szCs w:val="18"/>
                <w:lang w:val="en-US" w:eastAsia="nl-NL"/>
              </w:rPr>
              <w:t>Prior to the study I saw IPA as an added value to our ED</w:t>
            </w:r>
          </w:p>
        </w:tc>
      </w:tr>
      <w:tr>
        <w:trPr>
          <w:trHeight w:val="20" w:hRule="atLeast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Calibri"/>
                <w:b/>
                <w:b/>
                <w:bCs/>
                <w:sz w:val="18"/>
                <w:szCs w:val="18"/>
                <w:lang w:val="en-US" w:eastAsia="nl-NL"/>
              </w:rPr>
            </w:pPr>
            <w:r>
              <w:rPr>
                <w:rFonts w:eastAsia="Calibri" w:cs="Calibri"/>
                <w:b/>
                <w:bCs/>
                <w:sz w:val="18"/>
                <w:szCs w:val="18"/>
                <w:lang w:val="en-US" w:eastAsia="nl-NL"/>
              </w:rPr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  <w:lang w:val="nl-NL" w:eastAsia="nl-NL"/>
              </w:rPr>
              <w:t>7</w:t>
            </w:r>
          </w:p>
        </w:tc>
        <w:tc>
          <w:tcPr>
            <w:tcW w:w="709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sz w:val="18"/>
                <w:szCs w:val="18"/>
                <w:lang w:val="en-US" w:eastAsia="nl-NL"/>
              </w:rPr>
              <w:t>Prior to the study I thought IPA would save me time</w:t>
            </w:r>
          </w:p>
        </w:tc>
      </w:tr>
      <w:tr>
        <w:trPr>
          <w:trHeight w:val="20" w:hRule="atLeast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Calibri"/>
                <w:b/>
                <w:b/>
                <w:bCs/>
                <w:sz w:val="18"/>
                <w:szCs w:val="18"/>
                <w:lang w:val="en-US" w:eastAsia="nl-NL"/>
              </w:rPr>
            </w:pPr>
            <w:r>
              <w:rPr>
                <w:rFonts w:eastAsia="Calibri" w:cs="Calibri"/>
                <w:b/>
                <w:bCs/>
                <w:sz w:val="18"/>
                <w:szCs w:val="18"/>
                <w:lang w:val="en-US" w:eastAsia="nl-NL"/>
              </w:rPr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  <w:lang w:val="nl-NL" w:eastAsia="nl-NL"/>
              </w:rPr>
              <w:t>8</w:t>
            </w:r>
          </w:p>
        </w:tc>
        <w:tc>
          <w:tcPr>
            <w:tcW w:w="709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sz w:val="18"/>
                <w:szCs w:val="18"/>
                <w:lang w:val="en-US" w:eastAsia="nl-NL"/>
              </w:rPr>
              <w:t>Prior to the study I had confidence in a successful implementation of IPA in our ED</w:t>
            </w:r>
          </w:p>
        </w:tc>
      </w:tr>
      <w:tr>
        <w:trPr>
          <w:trHeight w:val="20" w:hRule="atLeast"/>
        </w:trPr>
        <w:tc>
          <w:tcPr>
            <w:tcW w:w="1456" w:type="dxa"/>
            <w:tcBorders>
              <w:top w:val="nil"/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b/>
                <w:bCs/>
                <w:color w:val="000000"/>
                <w:sz w:val="18"/>
                <w:szCs w:val="18"/>
                <w:lang w:val="en-US" w:eastAsia="nl-NL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  <w:lang w:val="nl-NL" w:eastAsia="nl-NL"/>
              </w:rPr>
              <w:t>9</w:t>
            </w:r>
          </w:p>
        </w:tc>
        <w:tc>
          <w:tcPr>
            <w:tcW w:w="7090" w:type="dxa"/>
            <w:tcBorders>
              <w:top w:val="nil"/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sz w:val="18"/>
                <w:szCs w:val="18"/>
                <w:lang w:val="en-US" w:eastAsia="nl-NL"/>
              </w:rPr>
              <w:t>Prior to the study I was enthusiastic about having to work with IPA</w:t>
            </w:r>
          </w:p>
        </w:tc>
      </w:tr>
      <w:tr>
        <w:trPr>
          <w:trHeight w:val="20" w:hRule="atLeast"/>
        </w:trPr>
        <w:tc>
          <w:tcPr>
            <w:tcW w:w="1456" w:type="dxa"/>
            <w:tcBorders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b/>
                <w:bCs/>
                <w:color w:val="000000"/>
                <w:sz w:val="18"/>
                <w:szCs w:val="18"/>
                <w:lang w:val="nl-NL" w:eastAsia="nl-NL"/>
              </w:rPr>
              <w:t>Appropriateness</w:t>
            </w:r>
          </w:p>
        </w:tc>
        <w:tc>
          <w:tcPr>
            <w:tcW w:w="480" w:type="dxa"/>
            <w:tcBorders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  <w:lang w:val="nl-NL" w:eastAsia="nl-NL"/>
              </w:rPr>
              <w:t>10</w:t>
            </w:r>
          </w:p>
        </w:tc>
        <w:tc>
          <w:tcPr>
            <w:tcW w:w="7090" w:type="dxa"/>
            <w:tcBorders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sz w:val="18"/>
                <w:szCs w:val="18"/>
                <w:lang w:val="en-US" w:eastAsia="nl-NL"/>
              </w:rPr>
              <w:t>I think IPA is an effective treatment against nausea</w:t>
            </w:r>
          </w:p>
        </w:tc>
      </w:tr>
      <w:tr>
        <w:trPr>
          <w:trHeight w:val="20" w:hRule="atLeast"/>
        </w:trPr>
        <w:tc>
          <w:tcPr>
            <w:tcW w:w="1456" w:type="dxa"/>
            <w:tcBorders>
              <w:top w:val="nil"/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b/>
                <w:bCs/>
                <w:color w:val="000000"/>
                <w:sz w:val="18"/>
                <w:szCs w:val="18"/>
                <w:lang w:val="en-US" w:eastAsia="nl-NL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  <w:lang w:val="nl-NL" w:eastAsia="nl-NL"/>
              </w:rPr>
              <w:t>11</w:t>
            </w:r>
          </w:p>
        </w:tc>
        <w:tc>
          <w:tcPr>
            <w:tcW w:w="7090" w:type="dxa"/>
            <w:tcBorders>
              <w:top w:val="nil"/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sz w:val="18"/>
                <w:szCs w:val="18"/>
                <w:lang w:val="en-US" w:eastAsia="nl-NL"/>
              </w:rPr>
              <w:t>I think IPA is a better option to treat nausea than Zofran/Primperan</w:t>
            </w:r>
          </w:p>
        </w:tc>
      </w:tr>
      <w:tr>
        <w:trPr>
          <w:trHeight w:val="20" w:hRule="atLeast"/>
        </w:trPr>
        <w:tc>
          <w:tcPr>
            <w:tcW w:w="1456" w:type="dxa"/>
            <w:tcBorders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b/>
                <w:bCs/>
                <w:color w:val="000000"/>
                <w:sz w:val="18"/>
                <w:szCs w:val="18"/>
                <w:lang w:val="nl-NL" w:eastAsia="nl-NL"/>
              </w:rPr>
              <w:t>Cost</w:t>
            </w:r>
          </w:p>
        </w:tc>
        <w:tc>
          <w:tcPr>
            <w:tcW w:w="480" w:type="dxa"/>
            <w:tcBorders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  <w:lang w:val="nl-NL" w:eastAsia="nl-NL"/>
              </w:rPr>
              <w:t>12</w:t>
            </w:r>
          </w:p>
        </w:tc>
        <w:tc>
          <w:tcPr>
            <w:tcW w:w="7090" w:type="dxa"/>
            <w:tcBorders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sz w:val="18"/>
                <w:szCs w:val="18"/>
                <w:lang w:val="en-US" w:eastAsia="nl-NL"/>
              </w:rPr>
              <w:t>I start an IV less frequently in nauseous patients since I started to use IPA</w:t>
            </w:r>
          </w:p>
        </w:tc>
      </w:tr>
      <w:tr>
        <w:trPr>
          <w:trHeight w:val="20" w:hRule="atLeast"/>
        </w:trPr>
        <w:tc>
          <w:tcPr>
            <w:tcW w:w="1456" w:type="dxa"/>
            <w:tcBorders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b/>
                <w:bCs/>
                <w:color w:val="000000"/>
                <w:sz w:val="18"/>
                <w:szCs w:val="18"/>
                <w:lang w:val="nl-NL" w:eastAsia="nl-NL"/>
              </w:rPr>
              <w:t>Feasibility</w:t>
            </w:r>
          </w:p>
        </w:tc>
        <w:tc>
          <w:tcPr>
            <w:tcW w:w="480" w:type="dxa"/>
            <w:tcBorders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  <w:lang w:val="nl-NL" w:eastAsia="nl-NL"/>
              </w:rPr>
              <w:t>13</w:t>
            </w:r>
          </w:p>
        </w:tc>
        <w:tc>
          <w:tcPr>
            <w:tcW w:w="7090" w:type="dxa"/>
            <w:tcBorders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sz w:val="18"/>
                <w:szCs w:val="18"/>
                <w:lang w:val="en-US" w:eastAsia="nl-NL"/>
              </w:rPr>
              <w:t>IPA is easy to use</w:t>
            </w:r>
          </w:p>
        </w:tc>
      </w:tr>
      <w:tr>
        <w:trPr>
          <w:trHeight w:val="20" w:hRule="atLeast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Calibri"/>
                <w:b/>
                <w:b/>
                <w:bCs/>
                <w:sz w:val="18"/>
                <w:szCs w:val="18"/>
                <w:lang w:val="en-US" w:eastAsia="nl-NL"/>
              </w:rPr>
            </w:pPr>
            <w:r>
              <w:rPr>
                <w:rFonts w:eastAsia="Calibri" w:cs="Calibri"/>
                <w:b/>
                <w:bCs/>
                <w:sz w:val="18"/>
                <w:szCs w:val="18"/>
                <w:lang w:val="en-US" w:eastAsia="nl-NL"/>
              </w:rPr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  <w:lang w:val="nl-NL" w:eastAsia="nl-NL"/>
              </w:rPr>
              <w:t>14</w:t>
            </w:r>
          </w:p>
        </w:tc>
        <w:tc>
          <w:tcPr>
            <w:tcW w:w="709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sz w:val="18"/>
                <w:szCs w:val="18"/>
                <w:lang w:val="en-US" w:eastAsia="nl-NL"/>
              </w:rPr>
              <w:t>IPA saves me time compared to Zofran/Primperan</w:t>
            </w:r>
          </w:p>
        </w:tc>
      </w:tr>
      <w:tr>
        <w:trPr>
          <w:trHeight w:val="20" w:hRule="atLeast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Calibri"/>
                <w:b/>
                <w:b/>
                <w:bCs/>
                <w:sz w:val="18"/>
                <w:szCs w:val="18"/>
                <w:lang w:val="en-US" w:eastAsia="nl-NL"/>
              </w:rPr>
            </w:pPr>
            <w:r>
              <w:rPr>
                <w:rFonts w:eastAsia="Calibri" w:cs="Calibri"/>
                <w:b/>
                <w:bCs/>
                <w:sz w:val="18"/>
                <w:szCs w:val="18"/>
                <w:lang w:val="en-US" w:eastAsia="nl-NL"/>
              </w:rPr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  <w:lang w:val="nl-NL" w:eastAsia="nl-NL"/>
              </w:rPr>
              <w:t>15</w:t>
            </w:r>
          </w:p>
        </w:tc>
        <w:tc>
          <w:tcPr>
            <w:tcW w:w="709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sz w:val="18"/>
                <w:szCs w:val="18"/>
                <w:lang w:val="en-US" w:eastAsia="nl-NL"/>
              </w:rPr>
              <w:t>The time a nauseous patient has to wait before nausea treatment is initiated is shorter after IPA implementation</w:t>
            </w:r>
          </w:p>
        </w:tc>
      </w:tr>
      <w:tr>
        <w:trPr>
          <w:trHeight w:val="20" w:hRule="atLeast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Calibri"/>
                <w:b/>
                <w:b/>
                <w:bCs/>
                <w:sz w:val="18"/>
                <w:szCs w:val="18"/>
                <w:lang w:val="en-US" w:eastAsia="nl-NL"/>
              </w:rPr>
            </w:pPr>
            <w:r>
              <w:rPr>
                <w:rFonts w:eastAsia="Calibri" w:cs="Calibri"/>
                <w:b/>
                <w:bCs/>
                <w:sz w:val="18"/>
                <w:szCs w:val="18"/>
                <w:lang w:val="en-US" w:eastAsia="nl-NL"/>
              </w:rPr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  <w:lang w:val="nl-NL" w:eastAsia="nl-NL"/>
              </w:rPr>
              <w:t>16</w:t>
            </w:r>
          </w:p>
        </w:tc>
        <w:tc>
          <w:tcPr>
            <w:tcW w:w="709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sz w:val="18"/>
                <w:szCs w:val="18"/>
                <w:lang w:val="en-US" w:eastAsia="nl-NL"/>
              </w:rPr>
              <w:t>Because of the use of IPA people suffering from mild nausea also receive treatment</w:t>
            </w:r>
          </w:p>
        </w:tc>
      </w:tr>
      <w:tr>
        <w:trPr>
          <w:trHeight w:val="20" w:hRule="atLeast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Calibri"/>
                <w:b/>
                <w:b/>
                <w:bCs/>
                <w:sz w:val="18"/>
                <w:szCs w:val="18"/>
                <w:lang w:val="en-US" w:eastAsia="nl-NL"/>
              </w:rPr>
            </w:pPr>
            <w:r>
              <w:rPr>
                <w:rFonts w:eastAsia="Calibri" w:cs="Calibri"/>
                <w:b/>
                <w:bCs/>
                <w:sz w:val="18"/>
                <w:szCs w:val="18"/>
                <w:lang w:val="en-US" w:eastAsia="nl-NL"/>
              </w:rPr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  <w:lang w:val="nl-NL" w:eastAsia="nl-NL"/>
              </w:rPr>
              <w:t>17</w:t>
            </w:r>
          </w:p>
        </w:tc>
        <w:tc>
          <w:tcPr>
            <w:tcW w:w="709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sz w:val="18"/>
                <w:szCs w:val="18"/>
                <w:lang w:val="en-US" w:eastAsia="nl-NL"/>
              </w:rPr>
              <w:t>Instructing patients on the use of IPA is easy</w:t>
            </w:r>
          </w:p>
        </w:tc>
      </w:tr>
      <w:tr>
        <w:trPr>
          <w:trHeight w:val="20" w:hRule="atLeast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Calibri"/>
                <w:b/>
                <w:b/>
                <w:bCs/>
                <w:sz w:val="18"/>
                <w:szCs w:val="18"/>
                <w:lang w:val="en-US" w:eastAsia="nl-NL"/>
              </w:rPr>
            </w:pPr>
            <w:r>
              <w:rPr>
                <w:rFonts w:eastAsia="Calibri" w:cs="Calibri"/>
                <w:b/>
                <w:bCs/>
                <w:sz w:val="18"/>
                <w:szCs w:val="18"/>
                <w:lang w:val="en-US" w:eastAsia="nl-NL"/>
              </w:rPr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  <w:lang w:val="nl-NL" w:eastAsia="nl-NL"/>
              </w:rPr>
              <w:t>18</w:t>
            </w:r>
          </w:p>
        </w:tc>
        <w:tc>
          <w:tcPr>
            <w:tcW w:w="709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sz w:val="18"/>
                <w:szCs w:val="18"/>
                <w:lang w:val="en-US" w:eastAsia="nl-NL"/>
              </w:rPr>
              <w:t>Instructing patients on the use of IPA costs little time</w:t>
            </w:r>
          </w:p>
        </w:tc>
      </w:tr>
      <w:tr>
        <w:trPr>
          <w:trHeight w:val="20" w:hRule="atLeast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Calibri"/>
                <w:b/>
                <w:b/>
                <w:bCs/>
                <w:sz w:val="18"/>
                <w:szCs w:val="18"/>
                <w:lang w:val="en-US" w:eastAsia="nl-NL"/>
              </w:rPr>
            </w:pPr>
            <w:r>
              <w:rPr>
                <w:rFonts w:eastAsia="Calibri" w:cs="Calibri"/>
                <w:b/>
                <w:bCs/>
                <w:sz w:val="18"/>
                <w:szCs w:val="18"/>
                <w:lang w:val="en-US" w:eastAsia="nl-NL"/>
              </w:rPr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  <w:lang w:val="nl-NL" w:eastAsia="nl-NL"/>
              </w:rPr>
              <w:t>19</w:t>
            </w:r>
          </w:p>
        </w:tc>
        <w:tc>
          <w:tcPr>
            <w:tcW w:w="709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sz w:val="18"/>
                <w:szCs w:val="18"/>
                <w:lang w:val="en-US" w:eastAsia="nl-NL"/>
              </w:rPr>
              <w:t>Patients adhere very well to the IPA instructions</w:t>
            </w:r>
          </w:p>
        </w:tc>
      </w:tr>
      <w:tr>
        <w:trPr>
          <w:trHeight w:val="20" w:hRule="atLeast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Calibri"/>
                <w:b/>
                <w:b/>
                <w:bCs/>
                <w:sz w:val="18"/>
                <w:szCs w:val="18"/>
                <w:lang w:val="en-US" w:eastAsia="nl-NL"/>
              </w:rPr>
            </w:pPr>
            <w:r>
              <w:rPr>
                <w:rFonts w:eastAsia="Calibri" w:cs="Calibri"/>
                <w:b/>
                <w:bCs/>
                <w:sz w:val="18"/>
                <w:szCs w:val="18"/>
                <w:lang w:val="en-US" w:eastAsia="nl-NL"/>
              </w:rPr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  <w:lang w:val="nl-NL" w:eastAsia="nl-NL"/>
              </w:rPr>
              <w:t>20</w:t>
            </w:r>
          </w:p>
        </w:tc>
        <w:tc>
          <w:tcPr>
            <w:tcW w:w="709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sz w:val="18"/>
                <w:szCs w:val="18"/>
                <w:lang w:val="en-US" w:eastAsia="nl-NL"/>
              </w:rPr>
              <w:t>Patients seem satisfied with IPA treatment</w:t>
            </w:r>
          </w:p>
        </w:tc>
      </w:tr>
      <w:tr>
        <w:trPr>
          <w:trHeight w:val="20" w:hRule="atLeast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Calibri"/>
                <w:b/>
                <w:b/>
                <w:bCs/>
                <w:sz w:val="18"/>
                <w:szCs w:val="18"/>
                <w:lang w:val="en-US" w:eastAsia="nl-NL"/>
              </w:rPr>
            </w:pPr>
            <w:r>
              <w:rPr>
                <w:rFonts w:eastAsia="Calibri" w:cs="Calibri"/>
                <w:b/>
                <w:bCs/>
                <w:sz w:val="18"/>
                <w:szCs w:val="18"/>
                <w:lang w:val="en-US" w:eastAsia="nl-NL"/>
              </w:rPr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  <w:lang w:val="nl-NL" w:eastAsia="nl-NL"/>
              </w:rPr>
              <w:t>21</w:t>
            </w:r>
          </w:p>
        </w:tc>
        <w:tc>
          <w:tcPr>
            <w:tcW w:w="709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sz w:val="18"/>
                <w:szCs w:val="18"/>
                <w:lang w:val="en-US" w:eastAsia="nl-NL"/>
              </w:rPr>
              <w:t>Generally speaking, IPA is of added value in our ED</w:t>
            </w:r>
          </w:p>
        </w:tc>
      </w:tr>
      <w:tr>
        <w:trPr>
          <w:trHeight w:val="20" w:hRule="atLeast"/>
        </w:trPr>
        <w:tc>
          <w:tcPr>
            <w:tcW w:w="1456" w:type="dxa"/>
            <w:tcBorders>
              <w:top w:val="nil"/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b/>
                <w:bCs/>
                <w:color w:val="000000"/>
                <w:sz w:val="18"/>
                <w:szCs w:val="18"/>
                <w:lang w:val="en-US" w:eastAsia="nl-NL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  <w:lang w:val="nl-NL" w:eastAsia="nl-NL"/>
              </w:rPr>
              <w:t>22</w:t>
            </w:r>
          </w:p>
        </w:tc>
        <w:tc>
          <w:tcPr>
            <w:tcW w:w="7090" w:type="dxa"/>
            <w:tcBorders>
              <w:top w:val="nil"/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sz w:val="18"/>
                <w:szCs w:val="18"/>
                <w:lang w:val="en-US" w:eastAsia="nl-NL"/>
              </w:rPr>
              <w:t>IPA is a good first-line treatment against nausea</w:t>
            </w:r>
          </w:p>
        </w:tc>
      </w:tr>
      <w:tr>
        <w:trPr>
          <w:trHeight w:val="20" w:hRule="atLeast"/>
        </w:trPr>
        <w:tc>
          <w:tcPr>
            <w:tcW w:w="1456" w:type="dxa"/>
            <w:tcBorders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b/>
                <w:bCs/>
                <w:color w:val="000000"/>
                <w:sz w:val="18"/>
                <w:szCs w:val="18"/>
                <w:lang w:val="nl-NL" w:eastAsia="nl-NL"/>
              </w:rPr>
              <w:t>Fidelity</w:t>
            </w:r>
          </w:p>
        </w:tc>
        <w:tc>
          <w:tcPr>
            <w:tcW w:w="480" w:type="dxa"/>
            <w:tcBorders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  <w:lang w:val="nl-NL" w:eastAsia="nl-NL"/>
              </w:rPr>
              <w:t>23</w:t>
            </w:r>
          </w:p>
        </w:tc>
        <w:tc>
          <w:tcPr>
            <w:tcW w:w="7090" w:type="dxa"/>
            <w:tcBorders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sz w:val="18"/>
                <w:szCs w:val="18"/>
                <w:lang w:val="en-US" w:eastAsia="nl-NL"/>
              </w:rPr>
              <w:t>I always adhere to the protocol for anti-emetic treatment</w:t>
            </w:r>
          </w:p>
        </w:tc>
      </w:tr>
      <w:tr>
        <w:trPr>
          <w:trHeight w:val="20" w:hRule="atLeast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Calibri"/>
                <w:b/>
                <w:b/>
                <w:bCs/>
                <w:sz w:val="18"/>
                <w:szCs w:val="18"/>
                <w:lang w:val="en-US" w:eastAsia="nl-NL"/>
              </w:rPr>
            </w:pPr>
            <w:r>
              <w:rPr>
                <w:rFonts w:eastAsia="Calibri" w:cs="Calibri"/>
                <w:b/>
                <w:bCs/>
                <w:sz w:val="18"/>
                <w:szCs w:val="18"/>
                <w:lang w:val="en-US" w:eastAsia="nl-NL"/>
              </w:rPr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  <w:lang w:val="nl-NL" w:eastAsia="nl-NL"/>
              </w:rPr>
              <w:t>24</w:t>
            </w:r>
          </w:p>
        </w:tc>
        <w:tc>
          <w:tcPr>
            <w:tcW w:w="709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sz w:val="18"/>
                <w:szCs w:val="18"/>
                <w:lang w:val="en-US" w:eastAsia="nl-NL"/>
              </w:rPr>
              <w:t>When IPA does not seem to have the desirable effect after 3 swabs, I sometimes give patients extra swabs before switching to Zofran/Primperan</w:t>
            </w:r>
          </w:p>
        </w:tc>
      </w:tr>
      <w:tr>
        <w:trPr>
          <w:trHeight w:val="20" w:hRule="atLeast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Calibri"/>
                <w:b/>
                <w:b/>
                <w:bCs/>
                <w:sz w:val="18"/>
                <w:szCs w:val="18"/>
                <w:lang w:val="en-US" w:eastAsia="nl-NL"/>
              </w:rPr>
            </w:pPr>
            <w:r>
              <w:rPr>
                <w:rFonts w:eastAsia="Calibri" w:cs="Calibri"/>
                <w:b/>
                <w:bCs/>
                <w:sz w:val="18"/>
                <w:szCs w:val="18"/>
                <w:lang w:val="en-US" w:eastAsia="nl-NL"/>
              </w:rPr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  <w:lang w:val="nl-NL" w:eastAsia="nl-NL"/>
              </w:rPr>
              <w:t>25</w:t>
            </w:r>
          </w:p>
        </w:tc>
        <w:tc>
          <w:tcPr>
            <w:tcW w:w="709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sz w:val="18"/>
                <w:szCs w:val="18"/>
                <w:lang w:val="en-US" w:eastAsia="nl-NL"/>
              </w:rPr>
              <w:t>When IPA does not seem to work after 1 swab, I preferably give Zofran/Primperan immediately</w:t>
            </w:r>
          </w:p>
        </w:tc>
      </w:tr>
      <w:tr>
        <w:trPr>
          <w:trHeight w:val="20" w:hRule="atLeast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Calibri"/>
                <w:b/>
                <w:b/>
                <w:bCs/>
                <w:sz w:val="18"/>
                <w:szCs w:val="18"/>
                <w:lang w:val="en-US" w:eastAsia="nl-NL"/>
              </w:rPr>
            </w:pPr>
            <w:r>
              <w:rPr>
                <w:rFonts w:eastAsia="Calibri" w:cs="Calibri"/>
                <w:b/>
                <w:bCs/>
                <w:sz w:val="18"/>
                <w:szCs w:val="18"/>
                <w:lang w:val="en-US" w:eastAsia="nl-NL"/>
              </w:rPr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  <w:lang w:val="nl-NL" w:eastAsia="nl-NL"/>
              </w:rPr>
              <w:t>26</w:t>
            </w:r>
          </w:p>
        </w:tc>
        <w:tc>
          <w:tcPr>
            <w:tcW w:w="709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sz w:val="18"/>
                <w:szCs w:val="18"/>
                <w:lang w:val="en-US" w:eastAsia="nl-NL"/>
              </w:rPr>
              <w:t>Also in cases where IPA seems to relieve nausea, I preferably give Zofran/Primperan immediately</w:t>
            </w:r>
          </w:p>
        </w:tc>
      </w:tr>
      <w:tr>
        <w:trPr>
          <w:trHeight w:val="20" w:hRule="atLeast"/>
        </w:trPr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Calibri"/>
                <w:b/>
                <w:b/>
                <w:bCs/>
                <w:sz w:val="18"/>
                <w:szCs w:val="18"/>
                <w:lang w:val="en-US" w:eastAsia="nl-NL"/>
              </w:rPr>
            </w:pPr>
            <w:r>
              <w:rPr>
                <w:rFonts w:eastAsia="Calibri" w:cs="Calibri"/>
                <w:b/>
                <w:bCs/>
                <w:sz w:val="18"/>
                <w:szCs w:val="18"/>
                <w:lang w:val="en-US" w:eastAsia="nl-NL"/>
              </w:rPr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  <w:lang w:val="nl-NL" w:eastAsia="nl-NL"/>
              </w:rPr>
              <w:t>27</w:t>
            </w:r>
          </w:p>
        </w:tc>
        <w:tc>
          <w:tcPr>
            <w:tcW w:w="7090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sz w:val="18"/>
                <w:szCs w:val="18"/>
                <w:lang w:val="en-US" w:eastAsia="nl-NL"/>
              </w:rPr>
              <w:t>I regularly skip IPA as a first-line treatment as I prefer to start with Zofran/Primperan as the first step</w:t>
            </w:r>
          </w:p>
        </w:tc>
      </w:tr>
      <w:tr>
        <w:trPr>
          <w:trHeight w:val="20" w:hRule="atLeast"/>
        </w:trPr>
        <w:tc>
          <w:tcPr>
            <w:tcW w:w="1456" w:type="dxa"/>
            <w:tcBorders>
              <w:top w:val="nil"/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b/>
                <w:bCs/>
                <w:color w:val="000000"/>
                <w:sz w:val="18"/>
                <w:szCs w:val="18"/>
                <w:lang w:val="en-US" w:eastAsia="nl-NL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  <w:lang w:val="nl-NL" w:eastAsia="nl-NL"/>
              </w:rPr>
              <w:t>28</w:t>
            </w:r>
          </w:p>
        </w:tc>
        <w:tc>
          <w:tcPr>
            <w:tcW w:w="7090" w:type="dxa"/>
            <w:tcBorders>
              <w:top w:val="nil"/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sz w:val="18"/>
                <w:szCs w:val="18"/>
                <w:lang w:val="en-US" w:eastAsia="nl-NL"/>
              </w:rPr>
              <w:t>I sometimes provide patients with more swabs than the IPA protocol prescribes</w:t>
            </w:r>
          </w:p>
        </w:tc>
      </w:tr>
      <w:tr>
        <w:trPr>
          <w:trHeight w:val="20" w:hRule="atLeast"/>
        </w:trPr>
        <w:tc>
          <w:tcPr>
            <w:tcW w:w="1456" w:type="dxa"/>
            <w:tcBorders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bCs/>
                <w:color w:val="000000"/>
                <w:sz w:val="18"/>
                <w:szCs w:val="18"/>
                <w:lang w:val="nl-NL" w:eastAsia="nl-NL"/>
              </w:rPr>
              <w:t>Penetration</w:t>
            </w:r>
          </w:p>
        </w:tc>
        <w:tc>
          <w:tcPr>
            <w:tcW w:w="480" w:type="dxa"/>
            <w:tcBorders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  <w:lang w:val="nl-NL" w:eastAsia="nl-NL"/>
              </w:rPr>
              <w:t>29</w:t>
            </w:r>
          </w:p>
        </w:tc>
        <w:tc>
          <w:tcPr>
            <w:tcW w:w="7090" w:type="dxa"/>
            <w:tcBorders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sz w:val="18"/>
                <w:szCs w:val="18"/>
                <w:lang w:val="en-US" w:eastAsia="nl-NL"/>
              </w:rPr>
              <w:t>I use the IPA protocol for all eligible nauseous patients in the ED</w:t>
            </w:r>
          </w:p>
        </w:tc>
      </w:tr>
      <w:tr>
        <w:trPr>
          <w:trHeight w:val="20" w:hRule="atLeast"/>
        </w:trPr>
        <w:tc>
          <w:tcPr>
            <w:tcW w:w="1456" w:type="dxa"/>
            <w:tcBorders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b/>
                <w:bCs/>
                <w:color w:val="000000"/>
                <w:sz w:val="18"/>
                <w:szCs w:val="18"/>
                <w:lang w:val="nl-NL" w:eastAsia="nl-NL"/>
              </w:rPr>
              <w:t>Sustainability</w:t>
            </w:r>
          </w:p>
        </w:tc>
        <w:tc>
          <w:tcPr>
            <w:tcW w:w="480" w:type="dxa"/>
            <w:tcBorders>
              <w:left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sz w:val="18"/>
                <w:szCs w:val="18"/>
                <w:lang w:val="nl-NL" w:eastAsia="nl-NL"/>
              </w:rPr>
              <w:t>30</w:t>
            </w:r>
          </w:p>
        </w:tc>
        <w:tc>
          <w:tcPr>
            <w:tcW w:w="7090" w:type="dxa"/>
            <w:tcBorders>
              <w:left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  <w:lang w:val="en-US"/>
              </w:rPr>
            </w:pPr>
            <w:r>
              <w:rPr>
                <w:rFonts w:eastAsia="Calibri" w:cs="Calibri"/>
                <w:sz w:val="18"/>
                <w:szCs w:val="18"/>
                <w:lang w:val="en-US" w:eastAsia="nl-NL"/>
              </w:rPr>
              <w:t>After terminating this study, I would like to continue to use IPA for the treatment of nausea</w:t>
            </w:r>
          </w:p>
        </w:tc>
      </w:tr>
    </w:tbl>
    <w:p>
      <w:pPr>
        <w:pStyle w:val="Normal"/>
        <w:rPr>
          <w:b/>
          <w:b/>
          <w:bCs/>
          <w:lang w:val="en-US"/>
        </w:rPr>
      </w:pPr>
      <w:r>
        <w:rPr>
          <w:b/>
          <w:bCs/>
          <w:lang w:val="en-US"/>
        </w:rPr>
      </w:r>
    </w:p>
    <w:p>
      <w:pPr>
        <w:pStyle w:val="Normal"/>
        <w:spacing w:before="0" w:after="160"/>
        <w:rPr/>
      </w:pPr>
      <w:r>
        <w:rPr/>
      </w:r>
    </w:p>
    <w:sectPr>
      <w:type w:val="nextPage"/>
      <w:pgSz w:w="11906" w:h="16838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N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NL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d239c"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nl-N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Kop">
    <w:name w:val="Kop"/>
    <w:basedOn w:val="Normal"/>
    <w:next w:val="Tekstblok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kstblok">
    <w:name w:val="Body Text"/>
    <w:basedOn w:val="Normal"/>
    <w:pPr>
      <w:spacing w:lineRule="auto" w:line="276" w:before="0" w:after="140"/>
    </w:pPr>
    <w:rPr/>
  </w:style>
  <w:style w:type="paragraph" w:styleId="Lijst">
    <w:name w:val="List"/>
    <w:basedOn w:val="Tekstblok"/>
    <w:pPr/>
    <w:rPr>
      <w:rFonts w:cs="Arial"/>
    </w:rPr>
  </w:style>
  <w:style w:type="paragraph" w:styleId="Bijschrift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0d1d52"/>
    <w:pPr>
      <w:spacing w:after="0" w:line="240" w:lineRule="auto"/>
    </w:pPr>
    <w:rPr>
      <w:lang w:val="nl-NL" w:eastAsia="nl-NL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LibreOffice/6.2.4.2$Windows_X86_64 LibreOffice_project/2412653d852ce75f65fbfa83fb7e7b669a126d64</Application>
  <Pages>1</Pages>
  <Words>435</Words>
  <Characters>2076</Characters>
  <CharactersWithSpaces>2445</CharactersWithSpaces>
  <Paragraphs>77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2020-05-10T14:03:00Z</dcterms:created>
  <dc:creator>Maartje Melse</dc:creator>
  <dc:description/>
  <dc:language>nl-NL</dc:language>
  <cp:lastModifiedBy/>
  <dcterms:modified xsi:type="dcterms:W3CDTF">2020-12-19T12:35:44Z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