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497FF" w14:textId="5346FFFE" w:rsidR="000E0F86" w:rsidRPr="0053176A" w:rsidRDefault="000E0F86" w:rsidP="000E0F86">
      <w:pPr>
        <w:jc w:val="center"/>
        <w:rPr>
          <w:rFonts w:ascii="Calibri" w:eastAsia="Aptos" w:hAnsi="Calibri" w:cs="Calibri"/>
          <w:b/>
          <w:bCs/>
        </w:rPr>
      </w:pPr>
      <w:r w:rsidRPr="0053176A">
        <w:rPr>
          <w:rFonts w:ascii="Calibri" w:eastAsia="Aptos" w:hAnsi="Calibri" w:cs="Calibri"/>
          <w:b/>
          <w:bCs/>
        </w:rPr>
        <w:t>Supplementary file</w:t>
      </w:r>
      <w:r w:rsidRPr="0053176A">
        <w:rPr>
          <w:rFonts w:ascii="Calibri" w:eastAsia="Aptos" w:hAnsi="Calibri" w:cs="Calibri"/>
          <w:b/>
          <w:bCs/>
        </w:rPr>
        <w:br/>
      </w:r>
      <w:r w:rsidRPr="0053176A">
        <w:rPr>
          <w:rFonts w:ascii="Calibri" w:eastAsia="Aptos" w:hAnsi="Calibri" w:cs="Calibri"/>
          <w:b/>
          <w:bCs/>
        </w:rPr>
        <w:br/>
        <w:t xml:space="preserve">The association of antibiotic exposure with late-onset sepsis in preterm </w:t>
      </w:r>
      <w:r w:rsidR="00211992" w:rsidRPr="0053176A">
        <w:rPr>
          <w:rFonts w:ascii="Calibri" w:eastAsia="Aptos" w:hAnsi="Calibri" w:cs="Calibri"/>
          <w:b/>
          <w:bCs/>
        </w:rPr>
        <w:t>infants</w:t>
      </w:r>
      <w:r w:rsidRPr="0053176A">
        <w:rPr>
          <w:rFonts w:ascii="Calibri" w:eastAsia="Aptos" w:hAnsi="Calibri" w:cs="Calibri"/>
          <w:b/>
          <w:bCs/>
        </w:rPr>
        <w:t xml:space="preserve"> with sterile culture: a systematic review and meta-analysis studies</w:t>
      </w:r>
    </w:p>
    <w:p w14:paraId="0EDFC151" w14:textId="77777777" w:rsidR="000E0F86" w:rsidRPr="0053176A" w:rsidRDefault="000E0F86" w:rsidP="000E0F86">
      <w:pPr>
        <w:spacing w:line="360" w:lineRule="auto"/>
        <w:rPr>
          <w:rFonts w:asciiTheme="majorBidi" w:hAnsiTheme="majorBidi" w:cstheme="majorBidi"/>
          <w:b/>
          <w:bCs/>
          <w:color w:val="A02B93" w:themeColor="accent5"/>
        </w:rPr>
      </w:pPr>
    </w:p>
    <w:p w14:paraId="39080882" w14:textId="77777777" w:rsidR="000E0F86" w:rsidRPr="0053176A" w:rsidRDefault="000E0F86" w:rsidP="000E0F86">
      <w:pPr>
        <w:jc w:val="both"/>
        <w:rPr>
          <w:rFonts w:asciiTheme="majorBidi" w:hAnsiTheme="majorBidi" w:cstheme="majorBidi"/>
          <w:b/>
          <w:bCs/>
          <w:color w:val="A02B93" w:themeColor="accent5"/>
        </w:rPr>
      </w:pPr>
    </w:p>
    <w:p w14:paraId="043B3307" w14:textId="77777777" w:rsidR="000E0F86" w:rsidRPr="0053176A" w:rsidRDefault="000E0F86" w:rsidP="000E0F86">
      <w:pPr>
        <w:jc w:val="both"/>
        <w:rPr>
          <w:rFonts w:asciiTheme="majorBidi" w:hAnsiTheme="majorBidi" w:cstheme="majorBidi"/>
          <w:b/>
          <w:bCs/>
        </w:rPr>
      </w:pPr>
      <w:r w:rsidRPr="0053176A">
        <w:rPr>
          <w:rFonts w:asciiTheme="majorBidi" w:hAnsiTheme="majorBidi" w:cstheme="majorBidi"/>
          <w:b/>
          <w:bCs/>
        </w:rPr>
        <w:t>Table S1: The search strategy used in this study</w:t>
      </w:r>
    </w:p>
    <w:tbl>
      <w:tblPr>
        <w:tblStyle w:val="TableGrid4"/>
        <w:tblW w:w="0" w:type="auto"/>
        <w:tblLook w:val="04A0" w:firstRow="1" w:lastRow="0" w:firstColumn="1" w:lastColumn="0" w:noHBand="0" w:noVBand="1"/>
      </w:tblPr>
      <w:tblGrid>
        <w:gridCol w:w="1615"/>
        <w:gridCol w:w="7735"/>
      </w:tblGrid>
      <w:tr w:rsidR="000E0F86" w:rsidRPr="0053176A" w14:paraId="1A1BB9D7" w14:textId="77777777" w:rsidTr="00565D9E">
        <w:tc>
          <w:tcPr>
            <w:tcW w:w="1615" w:type="dxa"/>
          </w:tcPr>
          <w:p w14:paraId="6E21582D" w14:textId="77777777" w:rsidR="000E0F86" w:rsidRPr="0053176A" w:rsidRDefault="000E0F86" w:rsidP="00565D9E">
            <w:pPr>
              <w:rPr>
                <w:rFonts w:ascii="Aptos" w:eastAsia="Aptos" w:hAnsi="Aptos" w:cs="Arial"/>
              </w:rPr>
            </w:pPr>
            <w:r w:rsidRPr="0053176A">
              <w:rPr>
                <w:rFonts w:ascii="Aptos" w:eastAsia="Aptos" w:hAnsi="Aptos" w:cs="Arial"/>
              </w:rPr>
              <w:t>Search string</w:t>
            </w:r>
          </w:p>
        </w:tc>
        <w:tc>
          <w:tcPr>
            <w:tcW w:w="7735" w:type="dxa"/>
          </w:tcPr>
          <w:p w14:paraId="10409EE0" w14:textId="77777777" w:rsidR="000E0F86" w:rsidRPr="0053176A" w:rsidRDefault="000E0F86" w:rsidP="00565D9E">
            <w:pPr>
              <w:rPr>
                <w:rFonts w:ascii="Aptos" w:eastAsia="Aptos" w:hAnsi="Aptos" w:cs="Arial"/>
              </w:rPr>
            </w:pPr>
            <w:r w:rsidRPr="0053176A">
              <w:rPr>
                <w:rFonts w:ascii="Aptos" w:eastAsia="Aptos" w:hAnsi="Aptos" w:cs="Arial"/>
              </w:rPr>
              <w:t>Keywords</w:t>
            </w:r>
          </w:p>
        </w:tc>
      </w:tr>
      <w:tr w:rsidR="000E0F86" w:rsidRPr="0053176A" w14:paraId="137E8A6A" w14:textId="77777777" w:rsidTr="00565D9E">
        <w:trPr>
          <w:trHeight w:val="530"/>
        </w:trPr>
        <w:tc>
          <w:tcPr>
            <w:tcW w:w="1615" w:type="dxa"/>
          </w:tcPr>
          <w:p w14:paraId="34B52501" w14:textId="77777777" w:rsidR="000E0F86" w:rsidRPr="0053176A" w:rsidRDefault="000E0F86" w:rsidP="00565D9E">
            <w:pPr>
              <w:rPr>
                <w:rFonts w:ascii="Aptos" w:eastAsia="Aptos" w:hAnsi="Aptos" w:cs="Arial"/>
              </w:rPr>
            </w:pPr>
            <w:r w:rsidRPr="0053176A">
              <w:rPr>
                <w:rFonts w:ascii="Aptos" w:eastAsia="Aptos" w:hAnsi="Aptos" w:cs="Arial"/>
              </w:rPr>
              <w:t xml:space="preserve">#1 </w:t>
            </w:r>
          </w:p>
        </w:tc>
        <w:tc>
          <w:tcPr>
            <w:tcW w:w="7735" w:type="dxa"/>
          </w:tcPr>
          <w:p w14:paraId="24595E2C" w14:textId="77777777" w:rsidR="000E0F86" w:rsidRPr="0053176A" w:rsidRDefault="000E0F86" w:rsidP="00565D9E">
            <w:pPr>
              <w:rPr>
                <w:rFonts w:ascii="Aptos" w:eastAsia="Aptos" w:hAnsi="Aptos" w:cs="Arial"/>
              </w:rPr>
            </w:pPr>
            <w:proofErr w:type="spellStart"/>
            <w:r w:rsidRPr="0053176A">
              <w:rPr>
                <w:rFonts w:ascii="Aptos" w:eastAsia="Aptos" w:hAnsi="Aptos" w:cs="Arial"/>
              </w:rPr>
              <w:t>Neonat</w:t>
            </w:r>
            <w:proofErr w:type="spellEnd"/>
            <w:r w:rsidRPr="0053176A">
              <w:rPr>
                <w:rFonts w:ascii="Aptos" w:eastAsia="Aptos" w:hAnsi="Aptos" w:cs="Arial"/>
              </w:rPr>
              <w:t>* OR newborn* OR infant* OR Baby</w:t>
            </w:r>
            <w:r w:rsidRPr="0053176A">
              <w:t xml:space="preserve"> </w:t>
            </w:r>
          </w:p>
        </w:tc>
      </w:tr>
      <w:tr w:rsidR="000E0F86" w:rsidRPr="0053176A" w14:paraId="56CFF693" w14:textId="77777777" w:rsidTr="00565D9E">
        <w:tc>
          <w:tcPr>
            <w:tcW w:w="1615" w:type="dxa"/>
          </w:tcPr>
          <w:p w14:paraId="7890C278" w14:textId="77777777" w:rsidR="000E0F86" w:rsidRPr="0053176A" w:rsidRDefault="000E0F86" w:rsidP="00565D9E">
            <w:pPr>
              <w:rPr>
                <w:rFonts w:ascii="Aptos" w:eastAsia="Aptos" w:hAnsi="Aptos" w:cs="Arial"/>
              </w:rPr>
            </w:pPr>
            <w:r w:rsidRPr="0053176A">
              <w:rPr>
                <w:rFonts w:ascii="Aptos" w:eastAsia="Aptos" w:hAnsi="Aptos" w:cs="Arial"/>
              </w:rPr>
              <w:t xml:space="preserve">#2 </w:t>
            </w:r>
          </w:p>
        </w:tc>
        <w:tc>
          <w:tcPr>
            <w:tcW w:w="7735" w:type="dxa"/>
          </w:tcPr>
          <w:p w14:paraId="64817E1C" w14:textId="77777777" w:rsidR="000E0F86" w:rsidRPr="0053176A" w:rsidRDefault="000E0F86" w:rsidP="00565D9E">
            <w:pPr>
              <w:rPr>
                <w:rFonts w:ascii="Aptos" w:eastAsia="Aptos" w:hAnsi="Aptos" w:cs="Arial"/>
              </w:rPr>
            </w:pPr>
            <w:r w:rsidRPr="0053176A">
              <w:rPr>
                <w:rFonts w:ascii="Aptos" w:eastAsia="Aptos" w:hAnsi="Aptos" w:cs="Arial"/>
              </w:rPr>
              <w:t>Antibiotic OR “Anti-Bacterial Agents” OR</w:t>
            </w:r>
            <w:r w:rsidRPr="0053176A">
              <w:t xml:space="preserve"> </w:t>
            </w:r>
            <w:r w:rsidRPr="0053176A">
              <w:rPr>
                <w:rFonts w:ascii="Aptos" w:eastAsia="Aptos" w:hAnsi="Aptos" w:cs="Arial"/>
              </w:rPr>
              <w:t>antimicrobial OR “Antibiotic exposure”</w:t>
            </w:r>
            <w:r w:rsidRPr="0053176A">
              <w:t xml:space="preserve"> </w:t>
            </w:r>
            <w:r w:rsidRPr="0053176A">
              <w:rPr>
                <w:rFonts w:ascii="Aptos" w:eastAsia="Aptos" w:hAnsi="Aptos" w:cs="Arial"/>
              </w:rPr>
              <w:t>OR “prolonged antibiotic exposure” OR “early Antibiotic exposure”</w:t>
            </w:r>
          </w:p>
        </w:tc>
      </w:tr>
      <w:tr w:rsidR="000E0F86" w:rsidRPr="0053176A" w14:paraId="6A40909C" w14:textId="77777777" w:rsidTr="00565D9E">
        <w:tc>
          <w:tcPr>
            <w:tcW w:w="1615" w:type="dxa"/>
          </w:tcPr>
          <w:p w14:paraId="03334FA8" w14:textId="77777777" w:rsidR="000E0F86" w:rsidRPr="0053176A" w:rsidRDefault="000E0F86" w:rsidP="00565D9E">
            <w:pPr>
              <w:rPr>
                <w:rFonts w:ascii="Aptos" w:eastAsia="Aptos" w:hAnsi="Aptos" w:cs="Arial"/>
              </w:rPr>
            </w:pPr>
            <w:r w:rsidRPr="0053176A">
              <w:rPr>
                <w:rFonts w:ascii="Aptos" w:eastAsia="Aptos" w:hAnsi="Aptos" w:cs="Arial"/>
              </w:rPr>
              <w:t>#3</w:t>
            </w:r>
          </w:p>
        </w:tc>
        <w:tc>
          <w:tcPr>
            <w:tcW w:w="7735" w:type="dxa"/>
          </w:tcPr>
          <w:p w14:paraId="628382DF" w14:textId="77777777" w:rsidR="000E0F86" w:rsidRPr="0053176A" w:rsidRDefault="000E0F86" w:rsidP="00565D9E">
            <w:pPr>
              <w:rPr>
                <w:rFonts w:ascii="Aptos" w:eastAsia="Aptos" w:hAnsi="Aptos" w:cs="Arial"/>
              </w:rPr>
            </w:pPr>
            <w:r w:rsidRPr="0053176A">
              <w:rPr>
                <w:rFonts w:ascii="Aptos" w:eastAsia="Aptos" w:hAnsi="Aptos" w:cs="Arial"/>
              </w:rPr>
              <w:t>Association OR</w:t>
            </w:r>
            <w:r w:rsidRPr="0053176A">
              <w:t xml:space="preserve"> </w:t>
            </w:r>
            <w:r w:rsidRPr="0053176A">
              <w:rPr>
                <w:rFonts w:ascii="Aptos" w:eastAsia="Aptos" w:hAnsi="Aptos" w:cs="Arial"/>
              </w:rPr>
              <w:t xml:space="preserve">correlation OR </w:t>
            </w:r>
            <w:r w:rsidRPr="0053176A">
              <w:t>“</w:t>
            </w:r>
            <w:r w:rsidRPr="0053176A">
              <w:rPr>
                <w:rFonts w:ascii="Aptos" w:eastAsia="Aptos" w:hAnsi="Aptos" w:cs="Arial"/>
              </w:rPr>
              <w:t xml:space="preserve">risk ratio” OR "odds ratio" OR "hazard ratio" </w:t>
            </w:r>
          </w:p>
        </w:tc>
      </w:tr>
      <w:tr w:rsidR="000E0F86" w:rsidRPr="0053176A" w14:paraId="5E4F4258" w14:textId="77777777" w:rsidTr="00565D9E">
        <w:trPr>
          <w:trHeight w:val="170"/>
        </w:trPr>
        <w:tc>
          <w:tcPr>
            <w:tcW w:w="1615" w:type="dxa"/>
          </w:tcPr>
          <w:p w14:paraId="49F89B38" w14:textId="77777777" w:rsidR="000E0F86" w:rsidRPr="0053176A" w:rsidRDefault="000E0F86" w:rsidP="00565D9E">
            <w:pPr>
              <w:rPr>
                <w:rFonts w:ascii="Aptos" w:eastAsia="Aptos" w:hAnsi="Aptos" w:cs="Arial"/>
              </w:rPr>
            </w:pPr>
            <w:r w:rsidRPr="0053176A">
              <w:rPr>
                <w:rFonts w:ascii="Aptos" w:eastAsia="Aptos" w:hAnsi="Aptos" w:cs="Arial"/>
              </w:rPr>
              <w:t>#4</w:t>
            </w:r>
          </w:p>
        </w:tc>
        <w:tc>
          <w:tcPr>
            <w:tcW w:w="7735" w:type="dxa"/>
          </w:tcPr>
          <w:p w14:paraId="6167986C" w14:textId="77777777" w:rsidR="000E0F86" w:rsidRPr="0053176A" w:rsidRDefault="000E0F86" w:rsidP="00565D9E">
            <w:pPr>
              <w:rPr>
                <w:rFonts w:ascii="Aptos" w:eastAsia="Aptos" w:hAnsi="Aptos" w:cs="Arial"/>
              </w:rPr>
            </w:pPr>
            <w:r w:rsidRPr="0053176A">
              <w:rPr>
                <w:rFonts w:ascii="Aptos" w:eastAsia="Aptos" w:hAnsi="Aptos" w:cs="Arial"/>
              </w:rPr>
              <w:t>“Late-onset sepsis” OR “Late-onset neonatal sepsis” LOS</w:t>
            </w:r>
          </w:p>
        </w:tc>
      </w:tr>
      <w:tr w:rsidR="000E0F86" w:rsidRPr="0053176A" w14:paraId="574AAC6B" w14:textId="77777777" w:rsidTr="00565D9E">
        <w:tc>
          <w:tcPr>
            <w:tcW w:w="1615" w:type="dxa"/>
          </w:tcPr>
          <w:p w14:paraId="21B12561" w14:textId="77777777" w:rsidR="000E0F86" w:rsidRPr="0053176A" w:rsidRDefault="000E0F86" w:rsidP="00565D9E">
            <w:pPr>
              <w:rPr>
                <w:rFonts w:ascii="Aptos" w:eastAsia="Aptos" w:hAnsi="Aptos" w:cs="Arial"/>
              </w:rPr>
            </w:pPr>
            <w:r w:rsidRPr="0053176A">
              <w:rPr>
                <w:rFonts w:ascii="Aptos" w:eastAsia="Aptos" w:hAnsi="Aptos" w:cs="Arial"/>
              </w:rPr>
              <w:t>#5</w:t>
            </w:r>
          </w:p>
        </w:tc>
        <w:tc>
          <w:tcPr>
            <w:tcW w:w="7735" w:type="dxa"/>
          </w:tcPr>
          <w:p w14:paraId="23F3B3EF" w14:textId="77777777" w:rsidR="000E0F86" w:rsidRPr="0053176A" w:rsidRDefault="000E0F86" w:rsidP="00565D9E">
            <w:pPr>
              <w:rPr>
                <w:rFonts w:ascii="Aptos" w:eastAsia="Aptos" w:hAnsi="Aptos" w:cs="Arial"/>
              </w:rPr>
            </w:pPr>
            <w:r w:rsidRPr="0053176A">
              <w:rPr>
                <w:rFonts w:ascii="Aptos" w:eastAsia="Aptos" w:hAnsi="Aptos" w:cs="Arial"/>
              </w:rPr>
              <w:t>#1 AND #2 AND #3 AND #4</w:t>
            </w:r>
          </w:p>
        </w:tc>
      </w:tr>
    </w:tbl>
    <w:p w14:paraId="66C5617B" w14:textId="77777777" w:rsidR="000E0F86" w:rsidRPr="0053176A" w:rsidRDefault="000E0F86" w:rsidP="000E0F86">
      <w:pPr>
        <w:jc w:val="both"/>
        <w:rPr>
          <w:rFonts w:asciiTheme="majorBidi" w:hAnsiTheme="majorBidi" w:cstheme="majorBidi"/>
          <w:b/>
          <w:bCs/>
          <w:color w:val="A02B93" w:themeColor="accent5"/>
        </w:rPr>
      </w:pPr>
    </w:p>
    <w:p w14:paraId="3D399901" w14:textId="77777777" w:rsidR="000E0F86" w:rsidRPr="0053176A" w:rsidRDefault="000E0F86" w:rsidP="000E0F86">
      <w:pPr>
        <w:jc w:val="both"/>
        <w:rPr>
          <w:rFonts w:asciiTheme="majorBidi" w:hAnsiTheme="majorBidi" w:cstheme="majorBidi"/>
          <w:b/>
          <w:bCs/>
          <w:color w:val="A02B93" w:themeColor="accent5"/>
        </w:rPr>
      </w:pPr>
    </w:p>
    <w:p w14:paraId="65AF95BA" w14:textId="77777777" w:rsidR="000E0F86" w:rsidRPr="0053176A" w:rsidRDefault="000E0F86" w:rsidP="000E0F86">
      <w:pPr>
        <w:jc w:val="both"/>
        <w:rPr>
          <w:rFonts w:asciiTheme="majorBidi" w:hAnsiTheme="majorBidi" w:cstheme="majorBidi"/>
          <w:b/>
          <w:bCs/>
          <w:color w:val="A02B93" w:themeColor="accent5"/>
        </w:rPr>
      </w:pPr>
    </w:p>
    <w:p w14:paraId="1C0FDCA9" w14:textId="77777777" w:rsidR="000E0F86" w:rsidRPr="0053176A" w:rsidRDefault="000E0F86" w:rsidP="000E0F86">
      <w:pPr>
        <w:jc w:val="both"/>
        <w:rPr>
          <w:rFonts w:asciiTheme="majorBidi" w:hAnsiTheme="majorBidi" w:cstheme="majorBidi"/>
          <w:b/>
          <w:bCs/>
          <w:color w:val="A02B93" w:themeColor="accent5"/>
          <w:rtl/>
        </w:rPr>
      </w:pPr>
    </w:p>
    <w:p w14:paraId="2790FBF0" w14:textId="77777777" w:rsidR="000E0F86" w:rsidRPr="0053176A" w:rsidRDefault="000E0F86" w:rsidP="000E0F86">
      <w:pPr>
        <w:jc w:val="both"/>
        <w:rPr>
          <w:rFonts w:asciiTheme="majorBidi" w:hAnsiTheme="majorBidi" w:cstheme="majorBidi"/>
          <w:b/>
          <w:bCs/>
          <w:color w:val="A02B93" w:themeColor="accent5"/>
          <w:rtl/>
        </w:rPr>
      </w:pPr>
    </w:p>
    <w:p w14:paraId="001DF70A" w14:textId="77777777" w:rsidR="000E0F86" w:rsidRPr="0053176A" w:rsidRDefault="000E0F86" w:rsidP="000E0F86">
      <w:pPr>
        <w:jc w:val="both"/>
        <w:rPr>
          <w:rFonts w:asciiTheme="majorBidi" w:hAnsiTheme="majorBidi" w:cstheme="majorBidi"/>
          <w:b/>
          <w:bCs/>
          <w:color w:val="A02B93" w:themeColor="accent5"/>
          <w:rtl/>
        </w:rPr>
      </w:pPr>
    </w:p>
    <w:p w14:paraId="189AEDBD" w14:textId="77777777" w:rsidR="000E0F86" w:rsidRPr="0053176A" w:rsidRDefault="000E0F86" w:rsidP="000E0F86">
      <w:pPr>
        <w:jc w:val="both"/>
        <w:rPr>
          <w:rFonts w:asciiTheme="majorBidi" w:hAnsiTheme="majorBidi" w:cstheme="majorBidi"/>
          <w:b/>
          <w:bCs/>
          <w:color w:val="A02B93" w:themeColor="accent5"/>
          <w:rtl/>
        </w:rPr>
      </w:pPr>
    </w:p>
    <w:p w14:paraId="0A9F1A7F" w14:textId="77777777" w:rsidR="000E0F86" w:rsidRPr="0053176A" w:rsidRDefault="000E0F86" w:rsidP="000E0F86">
      <w:pPr>
        <w:jc w:val="both"/>
        <w:rPr>
          <w:rFonts w:asciiTheme="majorBidi" w:hAnsiTheme="majorBidi" w:cstheme="majorBidi"/>
          <w:b/>
          <w:bCs/>
          <w:color w:val="A02B93" w:themeColor="accent5"/>
        </w:rPr>
      </w:pPr>
    </w:p>
    <w:p w14:paraId="70B56393" w14:textId="77777777" w:rsidR="002E31E4" w:rsidRPr="0053176A" w:rsidRDefault="002E31E4" w:rsidP="000E0F86">
      <w:pPr>
        <w:jc w:val="both"/>
        <w:rPr>
          <w:rFonts w:asciiTheme="majorBidi" w:hAnsiTheme="majorBidi" w:cstheme="majorBidi"/>
          <w:b/>
          <w:bCs/>
          <w:color w:val="A02B93" w:themeColor="accent5"/>
        </w:rPr>
      </w:pPr>
    </w:p>
    <w:p w14:paraId="01E16D3C" w14:textId="77777777" w:rsidR="002E31E4" w:rsidRPr="0053176A" w:rsidRDefault="002E31E4" w:rsidP="000E0F86">
      <w:pPr>
        <w:jc w:val="both"/>
        <w:rPr>
          <w:rFonts w:asciiTheme="majorBidi" w:hAnsiTheme="majorBidi" w:cstheme="majorBidi"/>
          <w:b/>
          <w:bCs/>
          <w:color w:val="A02B93" w:themeColor="accent5"/>
        </w:rPr>
      </w:pPr>
    </w:p>
    <w:p w14:paraId="4F4A876F" w14:textId="77777777" w:rsidR="002E31E4" w:rsidRPr="0053176A" w:rsidRDefault="002E31E4" w:rsidP="000E0F86">
      <w:pPr>
        <w:jc w:val="both"/>
        <w:rPr>
          <w:rFonts w:asciiTheme="majorBidi" w:hAnsiTheme="majorBidi" w:cstheme="majorBidi"/>
          <w:b/>
          <w:bCs/>
          <w:color w:val="A02B93" w:themeColor="accent5"/>
          <w:rtl/>
        </w:rPr>
      </w:pPr>
    </w:p>
    <w:p w14:paraId="14C829C6" w14:textId="77777777" w:rsidR="000E0F86" w:rsidRPr="0053176A" w:rsidRDefault="000E0F86" w:rsidP="000E0F86">
      <w:pPr>
        <w:jc w:val="both"/>
        <w:rPr>
          <w:rFonts w:asciiTheme="majorBidi" w:hAnsiTheme="majorBidi" w:cstheme="majorBidi"/>
          <w:b/>
          <w:bCs/>
          <w:color w:val="A02B93" w:themeColor="accent5"/>
          <w:rtl/>
        </w:rPr>
      </w:pPr>
    </w:p>
    <w:p w14:paraId="5DF76055" w14:textId="77777777" w:rsidR="000E0F86" w:rsidRPr="0053176A" w:rsidRDefault="000E0F86" w:rsidP="000E0F86">
      <w:pPr>
        <w:jc w:val="both"/>
        <w:rPr>
          <w:rFonts w:asciiTheme="majorBidi" w:hAnsiTheme="majorBidi" w:cstheme="majorBidi"/>
          <w:b/>
          <w:bCs/>
          <w:color w:val="A02B93" w:themeColor="accent5"/>
        </w:rPr>
      </w:pPr>
    </w:p>
    <w:p w14:paraId="233FCB4E" w14:textId="77777777" w:rsidR="00DE686F" w:rsidRPr="0053176A" w:rsidRDefault="00DE686F" w:rsidP="000E0F86">
      <w:pPr>
        <w:jc w:val="both"/>
        <w:rPr>
          <w:rFonts w:asciiTheme="majorBidi" w:hAnsiTheme="majorBidi" w:cstheme="majorBidi"/>
          <w:b/>
          <w:bCs/>
          <w:color w:val="A02B93" w:themeColor="accent5"/>
        </w:rPr>
      </w:pPr>
    </w:p>
    <w:p w14:paraId="7637933E" w14:textId="77777777" w:rsidR="000E0F86" w:rsidRPr="0053176A" w:rsidRDefault="000E0F86" w:rsidP="000E0F86">
      <w:pPr>
        <w:jc w:val="both"/>
        <w:rPr>
          <w:rFonts w:asciiTheme="majorBidi" w:hAnsiTheme="majorBidi" w:cstheme="majorBidi"/>
        </w:rPr>
      </w:pPr>
      <w:r w:rsidRPr="0053176A">
        <w:rPr>
          <w:rFonts w:asciiTheme="majorBidi" w:hAnsiTheme="majorBidi" w:cstheme="majorBidi"/>
          <w:b/>
          <w:bCs/>
          <w:color w:val="A02B93" w:themeColor="accent5"/>
        </w:rPr>
        <w:lastRenderedPageBreak/>
        <w:t xml:space="preserve">Table S2: </w:t>
      </w:r>
      <w:r w:rsidRPr="0053176A">
        <w:rPr>
          <w:rFonts w:asciiTheme="majorBidi" w:hAnsiTheme="majorBidi" w:cstheme="majorBidi"/>
        </w:rPr>
        <w:t>Supplementary preferred reporting items for systematic reviews and meta-analyses (PRISMA) checklist.</w:t>
      </w:r>
    </w:p>
    <w:tbl>
      <w:tblPr>
        <w:tblW w:w="5000" w:type="pct"/>
        <w:tblBorders>
          <w:top w:val="nil"/>
          <w:left w:val="nil"/>
          <w:bottom w:val="nil"/>
          <w:right w:val="nil"/>
        </w:tblBorders>
        <w:tblLook w:val="0000" w:firstRow="0" w:lastRow="0" w:firstColumn="0" w:lastColumn="0" w:noHBand="0" w:noVBand="0"/>
      </w:tblPr>
      <w:tblGrid>
        <w:gridCol w:w="1367"/>
        <w:gridCol w:w="587"/>
        <w:gridCol w:w="6428"/>
        <w:gridCol w:w="966"/>
      </w:tblGrid>
      <w:tr w:rsidR="000E0F86" w:rsidRPr="0053176A" w14:paraId="22B435D2" w14:textId="77777777" w:rsidTr="00565D9E">
        <w:trPr>
          <w:trHeight w:val="65"/>
          <w:tblHeader/>
        </w:trPr>
        <w:tc>
          <w:tcPr>
            <w:tcW w:w="549"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4D18B94B" w14:textId="77777777" w:rsidR="000E0F86" w:rsidRPr="0053176A" w:rsidRDefault="000E0F86" w:rsidP="00565D9E">
            <w:pPr>
              <w:pStyle w:val="Default"/>
              <w:rPr>
                <w:rFonts w:ascii="Arial" w:hAnsi="Arial" w:cs="Arial"/>
                <w:color w:val="FFFFFF" w:themeColor="background1"/>
                <w:sz w:val="18"/>
                <w:szCs w:val="18"/>
              </w:rPr>
            </w:pPr>
            <w:r w:rsidRPr="0053176A">
              <w:rPr>
                <w:rFonts w:ascii="Arial" w:hAnsi="Arial" w:cs="Arial"/>
                <w:b/>
                <w:bCs/>
                <w:color w:val="FFFFFF" w:themeColor="background1"/>
                <w:sz w:val="18"/>
                <w:szCs w:val="18"/>
              </w:rPr>
              <w:t xml:space="preserve">Section and Topic </w:t>
            </w:r>
          </w:p>
        </w:tc>
        <w:tc>
          <w:tcPr>
            <w:tcW w:w="193"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4889512E" w14:textId="77777777" w:rsidR="000E0F86" w:rsidRPr="0053176A" w:rsidRDefault="000E0F86" w:rsidP="00565D9E">
            <w:pPr>
              <w:pStyle w:val="Default"/>
              <w:rPr>
                <w:rFonts w:ascii="Arial" w:hAnsi="Arial" w:cs="Arial"/>
                <w:b/>
                <w:bCs/>
                <w:color w:val="FFFFFF" w:themeColor="background1"/>
                <w:sz w:val="18"/>
                <w:szCs w:val="18"/>
              </w:rPr>
            </w:pPr>
            <w:r w:rsidRPr="0053176A">
              <w:rPr>
                <w:rFonts w:ascii="Arial" w:hAnsi="Arial" w:cs="Arial"/>
                <w:b/>
                <w:bCs/>
                <w:color w:val="FFFFFF" w:themeColor="background1"/>
                <w:sz w:val="18"/>
                <w:szCs w:val="18"/>
              </w:rPr>
              <w:t>Item #</w:t>
            </w:r>
          </w:p>
        </w:tc>
        <w:tc>
          <w:tcPr>
            <w:tcW w:w="3863"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56FC30DE" w14:textId="77777777" w:rsidR="000E0F86" w:rsidRPr="0053176A" w:rsidRDefault="000E0F86" w:rsidP="00565D9E">
            <w:pPr>
              <w:pStyle w:val="Default"/>
              <w:rPr>
                <w:rFonts w:ascii="Arial" w:hAnsi="Arial" w:cs="Arial"/>
                <w:color w:val="FFFFFF" w:themeColor="background1"/>
                <w:sz w:val="18"/>
                <w:szCs w:val="18"/>
              </w:rPr>
            </w:pPr>
            <w:r w:rsidRPr="0053176A">
              <w:rPr>
                <w:rFonts w:ascii="Arial" w:hAnsi="Arial" w:cs="Arial"/>
                <w:b/>
                <w:bCs/>
                <w:color w:val="FFFFFF" w:themeColor="background1"/>
                <w:sz w:val="18"/>
                <w:szCs w:val="18"/>
              </w:rPr>
              <w:t xml:space="preserve">Checklist item </w:t>
            </w:r>
          </w:p>
        </w:tc>
        <w:tc>
          <w:tcPr>
            <w:tcW w:w="395"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23EBA8B7" w14:textId="77777777" w:rsidR="000E0F86" w:rsidRPr="0053176A" w:rsidRDefault="000E0F86" w:rsidP="00565D9E">
            <w:pPr>
              <w:pStyle w:val="Default"/>
              <w:rPr>
                <w:rFonts w:ascii="Arial" w:hAnsi="Arial" w:cs="Arial"/>
                <w:color w:val="FFFFFF" w:themeColor="background1"/>
                <w:sz w:val="18"/>
                <w:szCs w:val="18"/>
              </w:rPr>
            </w:pPr>
            <w:r w:rsidRPr="0053176A">
              <w:rPr>
                <w:rFonts w:ascii="Arial" w:hAnsi="Arial" w:cs="Arial"/>
                <w:b/>
                <w:bCs/>
                <w:color w:val="FFFFFF" w:themeColor="background1"/>
                <w:sz w:val="18"/>
                <w:szCs w:val="18"/>
              </w:rPr>
              <w:t>Location where item is reported</w:t>
            </w:r>
          </w:p>
        </w:tc>
      </w:tr>
      <w:tr w:rsidR="000E0F86" w:rsidRPr="0053176A" w14:paraId="0FFE610D" w14:textId="77777777" w:rsidTr="00565D9E">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6817BBF" w14:textId="77777777" w:rsidR="000E0F86" w:rsidRPr="0053176A" w:rsidRDefault="000E0F86" w:rsidP="00565D9E">
            <w:pPr>
              <w:pStyle w:val="Default"/>
              <w:rPr>
                <w:rFonts w:ascii="Arial" w:hAnsi="Arial" w:cs="Arial"/>
                <w:color w:val="auto"/>
                <w:sz w:val="18"/>
                <w:szCs w:val="18"/>
              </w:rPr>
            </w:pPr>
            <w:r w:rsidRPr="0053176A">
              <w:rPr>
                <w:rFonts w:ascii="Arial" w:hAnsi="Arial" w:cs="Arial"/>
                <w:b/>
                <w:bCs/>
                <w:color w:val="auto"/>
                <w:sz w:val="18"/>
                <w:szCs w:val="18"/>
              </w:rPr>
              <w:t xml:space="preserve">TITLE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60755302" w14:textId="77777777" w:rsidR="000E0F86" w:rsidRPr="0053176A" w:rsidRDefault="000E0F86" w:rsidP="00565D9E">
            <w:pPr>
              <w:pStyle w:val="Default"/>
              <w:jc w:val="right"/>
              <w:rPr>
                <w:rFonts w:ascii="Arial" w:hAnsi="Arial" w:cs="Arial"/>
                <w:color w:val="auto"/>
                <w:sz w:val="18"/>
                <w:szCs w:val="18"/>
              </w:rPr>
            </w:pPr>
          </w:p>
        </w:tc>
      </w:tr>
      <w:tr w:rsidR="000E0F86" w:rsidRPr="0053176A" w14:paraId="7E2A33EA" w14:textId="77777777" w:rsidTr="00565D9E">
        <w:trPr>
          <w:trHeight w:val="48"/>
        </w:trPr>
        <w:tc>
          <w:tcPr>
            <w:tcW w:w="549" w:type="pct"/>
            <w:tcBorders>
              <w:top w:val="single" w:sz="5" w:space="0" w:color="000000"/>
              <w:left w:val="single" w:sz="5" w:space="0" w:color="000000"/>
              <w:bottom w:val="double" w:sz="2" w:space="0" w:color="FFFFCC"/>
              <w:right w:val="single" w:sz="5" w:space="0" w:color="000000"/>
            </w:tcBorders>
          </w:tcPr>
          <w:p w14:paraId="2CDDE3B9"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 xml:space="preserve">Title </w:t>
            </w:r>
          </w:p>
        </w:tc>
        <w:tc>
          <w:tcPr>
            <w:tcW w:w="193" w:type="pct"/>
            <w:tcBorders>
              <w:top w:val="single" w:sz="5" w:space="0" w:color="000000"/>
              <w:left w:val="single" w:sz="5" w:space="0" w:color="000000"/>
              <w:bottom w:val="double" w:sz="2" w:space="0" w:color="FFFFCC"/>
              <w:right w:val="single" w:sz="5" w:space="0" w:color="000000"/>
            </w:tcBorders>
          </w:tcPr>
          <w:p w14:paraId="57760C4B"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1</w:t>
            </w:r>
          </w:p>
        </w:tc>
        <w:tc>
          <w:tcPr>
            <w:tcW w:w="3863" w:type="pct"/>
            <w:tcBorders>
              <w:top w:val="single" w:sz="5" w:space="0" w:color="000000"/>
              <w:left w:val="single" w:sz="5" w:space="0" w:color="000000"/>
              <w:bottom w:val="double" w:sz="5" w:space="0" w:color="000000"/>
              <w:right w:val="single" w:sz="5" w:space="0" w:color="000000"/>
            </w:tcBorders>
          </w:tcPr>
          <w:p w14:paraId="66C27C26"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Identify the report as a systematic review.</w:t>
            </w:r>
          </w:p>
        </w:tc>
        <w:tc>
          <w:tcPr>
            <w:tcW w:w="395" w:type="pct"/>
            <w:tcBorders>
              <w:top w:val="single" w:sz="5" w:space="0" w:color="000000"/>
              <w:left w:val="single" w:sz="5" w:space="0" w:color="000000"/>
              <w:bottom w:val="double" w:sz="5" w:space="0" w:color="000000"/>
              <w:right w:val="single" w:sz="5" w:space="0" w:color="000000"/>
            </w:tcBorders>
          </w:tcPr>
          <w:p w14:paraId="4E21B504"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1</w:t>
            </w:r>
          </w:p>
        </w:tc>
      </w:tr>
      <w:tr w:rsidR="000E0F86" w:rsidRPr="0053176A" w14:paraId="533127EC" w14:textId="77777777" w:rsidTr="00565D9E">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4169391" w14:textId="77777777" w:rsidR="000E0F86" w:rsidRPr="0053176A" w:rsidRDefault="000E0F86" w:rsidP="00565D9E">
            <w:pPr>
              <w:pStyle w:val="Default"/>
              <w:rPr>
                <w:rFonts w:ascii="Arial" w:hAnsi="Arial" w:cs="Arial"/>
                <w:color w:val="auto"/>
                <w:sz w:val="18"/>
                <w:szCs w:val="18"/>
              </w:rPr>
            </w:pPr>
            <w:r w:rsidRPr="0053176A">
              <w:rPr>
                <w:rFonts w:ascii="Arial" w:hAnsi="Arial" w:cs="Arial"/>
                <w:b/>
                <w:bCs/>
                <w:color w:val="auto"/>
                <w:sz w:val="18"/>
                <w:szCs w:val="18"/>
              </w:rPr>
              <w:t xml:space="preserve">ABSTRACT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6127E961" w14:textId="77777777" w:rsidR="000E0F86" w:rsidRPr="0053176A" w:rsidRDefault="000E0F86" w:rsidP="00565D9E">
            <w:pPr>
              <w:pStyle w:val="Default"/>
              <w:jc w:val="right"/>
              <w:rPr>
                <w:rFonts w:ascii="Arial" w:hAnsi="Arial" w:cs="Arial"/>
                <w:color w:val="auto"/>
                <w:sz w:val="18"/>
                <w:szCs w:val="18"/>
              </w:rPr>
            </w:pPr>
          </w:p>
        </w:tc>
      </w:tr>
      <w:tr w:rsidR="000E0F86" w:rsidRPr="0053176A" w14:paraId="270C32C2" w14:textId="77777777" w:rsidTr="00565D9E">
        <w:trPr>
          <w:trHeight w:val="48"/>
        </w:trPr>
        <w:tc>
          <w:tcPr>
            <w:tcW w:w="549" w:type="pct"/>
            <w:tcBorders>
              <w:top w:val="single" w:sz="5" w:space="0" w:color="000000"/>
              <w:left w:val="single" w:sz="5" w:space="0" w:color="000000"/>
              <w:bottom w:val="double" w:sz="2" w:space="0" w:color="FFFFCC"/>
              <w:right w:val="single" w:sz="5" w:space="0" w:color="000000"/>
            </w:tcBorders>
          </w:tcPr>
          <w:p w14:paraId="1FD561FA"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Abstract</w:t>
            </w:r>
          </w:p>
        </w:tc>
        <w:tc>
          <w:tcPr>
            <w:tcW w:w="193" w:type="pct"/>
            <w:tcBorders>
              <w:top w:val="single" w:sz="5" w:space="0" w:color="000000"/>
              <w:left w:val="single" w:sz="5" w:space="0" w:color="000000"/>
              <w:bottom w:val="double" w:sz="2" w:space="0" w:color="FFFFCC"/>
              <w:right w:val="single" w:sz="5" w:space="0" w:color="000000"/>
            </w:tcBorders>
          </w:tcPr>
          <w:p w14:paraId="581C741C"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2</w:t>
            </w:r>
          </w:p>
        </w:tc>
        <w:tc>
          <w:tcPr>
            <w:tcW w:w="3863" w:type="pct"/>
            <w:tcBorders>
              <w:top w:val="single" w:sz="5" w:space="0" w:color="000000"/>
              <w:left w:val="single" w:sz="5" w:space="0" w:color="000000"/>
              <w:bottom w:val="double" w:sz="5" w:space="0" w:color="000000"/>
              <w:right w:val="single" w:sz="5" w:space="0" w:color="000000"/>
            </w:tcBorders>
          </w:tcPr>
          <w:p w14:paraId="569F2A2A"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See the PRISMA 2020 for Abstracts checklist.</w:t>
            </w:r>
          </w:p>
        </w:tc>
        <w:tc>
          <w:tcPr>
            <w:tcW w:w="395" w:type="pct"/>
            <w:tcBorders>
              <w:top w:val="single" w:sz="5" w:space="0" w:color="000000"/>
              <w:left w:val="single" w:sz="5" w:space="0" w:color="000000"/>
              <w:bottom w:val="double" w:sz="5" w:space="0" w:color="000000"/>
              <w:right w:val="single" w:sz="5" w:space="0" w:color="000000"/>
            </w:tcBorders>
          </w:tcPr>
          <w:p w14:paraId="33217EDA"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1</w:t>
            </w:r>
          </w:p>
        </w:tc>
      </w:tr>
      <w:tr w:rsidR="000E0F86" w:rsidRPr="0053176A" w14:paraId="4BDF3914" w14:textId="77777777" w:rsidTr="00565D9E">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A0413D8" w14:textId="77777777" w:rsidR="000E0F86" w:rsidRPr="0053176A" w:rsidRDefault="000E0F86" w:rsidP="00565D9E">
            <w:pPr>
              <w:pStyle w:val="Default"/>
              <w:rPr>
                <w:rFonts w:ascii="Arial" w:hAnsi="Arial" w:cs="Arial"/>
                <w:color w:val="auto"/>
                <w:sz w:val="18"/>
                <w:szCs w:val="18"/>
              </w:rPr>
            </w:pPr>
            <w:r w:rsidRPr="0053176A">
              <w:rPr>
                <w:rFonts w:ascii="Arial" w:hAnsi="Arial" w:cs="Arial"/>
                <w:b/>
                <w:bCs/>
                <w:color w:val="auto"/>
                <w:sz w:val="18"/>
                <w:szCs w:val="18"/>
              </w:rPr>
              <w:t xml:space="preserve">INTRODUCTION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297A175E" w14:textId="77777777" w:rsidR="000E0F86" w:rsidRPr="0053176A" w:rsidRDefault="000E0F86" w:rsidP="00565D9E">
            <w:pPr>
              <w:pStyle w:val="Default"/>
              <w:jc w:val="right"/>
              <w:rPr>
                <w:rFonts w:ascii="Arial" w:hAnsi="Arial" w:cs="Arial"/>
                <w:color w:val="auto"/>
                <w:sz w:val="18"/>
                <w:szCs w:val="18"/>
              </w:rPr>
            </w:pPr>
          </w:p>
        </w:tc>
      </w:tr>
      <w:tr w:rsidR="000E0F86" w:rsidRPr="0053176A" w14:paraId="33A3B697" w14:textId="77777777" w:rsidTr="00565D9E">
        <w:trPr>
          <w:trHeight w:val="48"/>
        </w:trPr>
        <w:tc>
          <w:tcPr>
            <w:tcW w:w="549" w:type="pct"/>
            <w:tcBorders>
              <w:top w:val="single" w:sz="5" w:space="0" w:color="000000"/>
              <w:left w:val="single" w:sz="5" w:space="0" w:color="000000"/>
              <w:bottom w:val="single" w:sz="5" w:space="0" w:color="000000"/>
              <w:right w:val="single" w:sz="5" w:space="0" w:color="000000"/>
            </w:tcBorders>
          </w:tcPr>
          <w:p w14:paraId="4D9D9C7E"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 xml:space="preserve">Rationale </w:t>
            </w:r>
          </w:p>
        </w:tc>
        <w:tc>
          <w:tcPr>
            <w:tcW w:w="193" w:type="pct"/>
            <w:tcBorders>
              <w:top w:val="single" w:sz="5" w:space="0" w:color="000000"/>
              <w:left w:val="single" w:sz="5" w:space="0" w:color="000000"/>
              <w:bottom w:val="single" w:sz="5" w:space="0" w:color="000000"/>
              <w:right w:val="single" w:sz="5" w:space="0" w:color="000000"/>
            </w:tcBorders>
          </w:tcPr>
          <w:p w14:paraId="32895AA7"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3</w:t>
            </w:r>
          </w:p>
        </w:tc>
        <w:tc>
          <w:tcPr>
            <w:tcW w:w="3863" w:type="pct"/>
            <w:tcBorders>
              <w:top w:val="single" w:sz="5" w:space="0" w:color="000000"/>
              <w:left w:val="single" w:sz="5" w:space="0" w:color="000000"/>
              <w:bottom w:val="single" w:sz="5" w:space="0" w:color="000000"/>
              <w:right w:val="single" w:sz="5" w:space="0" w:color="000000"/>
            </w:tcBorders>
          </w:tcPr>
          <w:p w14:paraId="5A677A14"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Describe the rationale for the review in the context of existing knowledge.</w:t>
            </w:r>
          </w:p>
        </w:tc>
        <w:tc>
          <w:tcPr>
            <w:tcW w:w="395" w:type="pct"/>
            <w:tcBorders>
              <w:top w:val="single" w:sz="5" w:space="0" w:color="000000"/>
              <w:left w:val="single" w:sz="5" w:space="0" w:color="000000"/>
              <w:bottom w:val="single" w:sz="5" w:space="0" w:color="000000"/>
              <w:right w:val="single" w:sz="5" w:space="0" w:color="000000"/>
            </w:tcBorders>
          </w:tcPr>
          <w:p w14:paraId="4EC3410F"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2</w:t>
            </w:r>
          </w:p>
        </w:tc>
      </w:tr>
      <w:tr w:rsidR="000E0F86" w:rsidRPr="0053176A" w14:paraId="37AF1B24" w14:textId="77777777" w:rsidTr="00565D9E">
        <w:trPr>
          <w:trHeight w:val="48"/>
        </w:trPr>
        <w:tc>
          <w:tcPr>
            <w:tcW w:w="549" w:type="pct"/>
            <w:tcBorders>
              <w:top w:val="single" w:sz="5" w:space="0" w:color="000000"/>
              <w:left w:val="single" w:sz="5" w:space="0" w:color="000000"/>
              <w:bottom w:val="double" w:sz="2" w:space="0" w:color="FFFFCC"/>
              <w:right w:val="single" w:sz="5" w:space="0" w:color="000000"/>
            </w:tcBorders>
          </w:tcPr>
          <w:p w14:paraId="2AA0860A"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 xml:space="preserve">Objectives </w:t>
            </w:r>
          </w:p>
        </w:tc>
        <w:tc>
          <w:tcPr>
            <w:tcW w:w="193" w:type="pct"/>
            <w:tcBorders>
              <w:top w:val="single" w:sz="5" w:space="0" w:color="000000"/>
              <w:left w:val="single" w:sz="5" w:space="0" w:color="000000"/>
              <w:bottom w:val="double" w:sz="2" w:space="0" w:color="FFFFCC"/>
              <w:right w:val="single" w:sz="5" w:space="0" w:color="000000"/>
            </w:tcBorders>
          </w:tcPr>
          <w:p w14:paraId="6B42F689"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4</w:t>
            </w:r>
          </w:p>
        </w:tc>
        <w:tc>
          <w:tcPr>
            <w:tcW w:w="3863" w:type="pct"/>
            <w:tcBorders>
              <w:top w:val="single" w:sz="5" w:space="0" w:color="000000"/>
              <w:left w:val="single" w:sz="5" w:space="0" w:color="000000"/>
              <w:bottom w:val="double" w:sz="5" w:space="0" w:color="000000"/>
              <w:right w:val="single" w:sz="5" w:space="0" w:color="000000"/>
            </w:tcBorders>
          </w:tcPr>
          <w:p w14:paraId="02F8DBDC"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Provide an explicit statement of the objective(s) or question(s) the review addresses.</w:t>
            </w:r>
          </w:p>
        </w:tc>
        <w:tc>
          <w:tcPr>
            <w:tcW w:w="395" w:type="pct"/>
            <w:tcBorders>
              <w:top w:val="single" w:sz="5" w:space="0" w:color="000000"/>
              <w:left w:val="single" w:sz="5" w:space="0" w:color="000000"/>
              <w:bottom w:val="double" w:sz="5" w:space="0" w:color="000000"/>
              <w:right w:val="single" w:sz="5" w:space="0" w:color="000000"/>
            </w:tcBorders>
          </w:tcPr>
          <w:p w14:paraId="20174497"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3</w:t>
            </w:r>
          </w:p>
        </w:tc>
      </w:tr>
      <w:tr w:rsidR="000E0F86" w:rsidRPr="0053176A" w14:paraId="7F6D6C96" w14:textId="77777777" w:rsidTr="00565D9E">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3B10D18" w14:textId="77777777" w:rsidR="000E0F86" w:rsidRPr="0053176A" w:rsidRDefault="000E0F86" w:rsidP="00565D9E">
            <w:pPr>
              <w:pStyle w:val="Default"/>
              <w:rPr>
                <w:rFonts w:ascii="Arial" w:hAnsi="Arial" w:cs="Arial"/>
                <w:color w:val="auto"/>
                <w:sz w:val="18"/>
                <w:szCs w:val="18"/>
              </w:rPr>
            </w:pPr>
            <w:r w:rsidRPr="0053176A">
              <w:rPr>
                <w:rFonts w:ascii="Arial" w:hAnsi="Arial" w:cs="Arial"/>
                <w:b/>
                <w:bCs/>
                <w:color w:val="auto"/>
                <w:sz w:val="18"/>
                <w:szCs w:val="18"/>
              </w:rPr>
              <w:t xml:space="preserve">METHODS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4A502377" w14:textId="77777777" w:rsidR="000E0F86" w:rsidRPr="0053176A" w:rsidRDefault="000E0F86" w:rsidP="00565D9E">
            <w:pPr>
              <w:pStyle w:val="Default"/>
              <w:jc w:val="right"/>
              <w:rPr>
                <w:rFonts w:ascii="Arial" w:hAnsi="Arial" w:cs="Arial"/>
                <w:color w:val="auto"/>
                <w:sz w:val="18"/>
                <w:szCs w:val="18"/>
              </w:rPr>
            </w:pPr>
          </w:p>
        </w:tc>
      </w:tr>
      <w:tr w:rsidR="000E0F86" w:rsidRPr="0053176A" w14:paraId="3CE1B8BB" w14:textId="77777777" w:rsidTr="00565D9E">
        <w:trPr>
          <w:trHeight w:val="48"/>
        </w:trPr>
        <w:tc>
          <w:tcPr>
            <w:tcW w:w="549" w:type="pct"/>
            <w:tcBorders>
              <w:top w:val="single" w:sz="5" w:space="0" w:color="000000"/>
              <w:left w:val="single" w:sz="5" w:space="0" w:color="000000"/>
              <w:bottom w:val="single" w:sz="5" w:space="0" w:color="000000"/>
              <w:right w:val="single" w:sz="5" w:space="0" w:color="000000"/>
            </w:tcBorders>
          </w:tcPr>
          <w:p w14:paraId="23EBA6F6"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 xml:space="preserve">Eligibility criteria </w:t>
            </w:r>
          </w:p>
        </w:tc>
        <w:tc>
          <w:tcPr>
            <w:tcW w:w="193" w:type="pct"/>
            <w:tcBorders>
              <w:top w:val="single" w:sz="5" w:space="0" w:color="000000"/>
              <w:left w:val="single" w:sz="5" w:space="0" w:color="000000"/>
              <w:bottom w:val="single" w:sz="5" w:space="0" w:color="000000"/>
              <w:right w:val="single" w:sz="5" w:space="0" w:color="000000"/>
            </w:tcBorders>
          </w:tcPr>
          <w:p w14:paraId="2270F792"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5</w:t>
            </w:r>
          </w:p>
        </w:tc>
        <w:tc>
          <w:tcPr>
            <w:tcW w:w="3863" w:type="pct"/>
            <w:tcBorders>
              <w:top w:val="single" w:sz="5" w:space="0" w:color="000000"/>
              <w:left w:val="single" w:sz="5" w:space="0" w:color="000000"/>
              <w:bottom w:val="single" w:sz="5" w:space="0" w:color="000000"/>
              <w:right w:val="single" w:sz="5" w:space="0" w:color="000000"/>
            </w:tcBorders>
          </w:tcPr>
          <w:p w14:paraId="62D66B76"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Specify the inclusion and exclusion criteria for the review and how studies were grouped for the syntheses.</w:t>
            </w:r>
          </w:p>
        </w:tc>
        <w:tc>
          <w:tcPr>
            <w:tcW w:w="395" w:type="pct"/>
            <w:tcBorders>
              <w:top w:val="single" w:sz="5" w:space="0" w:color="000000"/>
              <w:left w:val="single" w:sz="5" w:space="0" w:color="000000"/>
              <w:bottom w:val="single" w:sz="5" w:space="0" w:color="000000"/>
              <w:right w:val="single" w:sz="5" w:space="0" w:color="000000"/>
            </w:tcBorders>
          </w:tcPr>
          <w:p w14:paraId="56E57C63"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4</w:t>
            </w:r>
          </w:p>
        </w:tc>
      </w:tr>
      <w:tr w:rsidR="000E0F86" w:rsidRPr="0053176A" w14:paraId="5BE5638D" w14:textId="77777777" w:rsidTr="00565D9E">
        <w:trPr>
          <w:trHeight w:val="191"/>
        </w:trPr>
        <w:tc>
          <w:tcPr>
            <w:tcW w:w="549" w:type="pct"/>
            <w:tcBorders>
              <w:top w:val="single" w:sz="5" w:space="0" w:color="000000"/>
              <w:left w:val="single" w:sz="5" w:space="0" w:color="000000"/>
              <w:bottom w:val="single" w:sz="5" w:space="0" w:color="000000"/>
              <w:right w:val="single" w:sz="5" w:space="0" w:color="000000"/>
            </w:tcBorders>
          </w:tcPr>
          <w:p w14:paraId="3A78C4D0"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 xml:space="preserve">Information sources </w:t>
            </w:r>
          </w:p>
        </w:tc>
        <w:tc>
          <w:tcPr>
            <w:tcW w:w="193" w:type="pct"/>
            <w:tcBorders>
              <w:top w:val="single" w:sz="5" w:space="0" w:color="000000"/>
              <w:left w:val="single" w:sz="5" w:space="0" w:color="000000"/>
              <w:bottom w:val="single" w:sz="5" w:space="0" w:color="000000"/>
              <w:right w:val="single" w:sz="5" w:space="0" w:color="000000"/>
            </w:tcBorders>
          </w:tcPr>
          <w:p w14:paraId="46232219"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6</w:t>
            </w:r>
          </w:p>
        </w:tc>
        <w:tc>
          <w:tcPr>
            <w:tcW w:w="3863" w:type="pct"/>
            <w:tcBorders>
              <w:top w:val="single" w:sz="5" w:space="0" w:color="000000"/>
              <w:left w:val="single" w:sz="5" w:space="0" w:color="000000"/>
              <w:bottom w:val="single" w:sz="5" w:space="0" w:color="000000"/>
              <w:right w:val="single" w:sz="5" w:space="0" w:color="000000"/>
            </w:tcBorders>
          </w:tcPr>
          <w:p w14:paraId="4CDFFE4F"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Specify all databases, registers, websites, organisations, reference lists and other sources searched or consulted to identify studies. Specify the date when each source was last searched or consulted.</w:t>
            </w:r>
          </w:p>
        </w:tc>
        <w:tc>
          <w:tcPr>
            <w:tcW w:w="395" w:type="pct"/>
            <w:tcBorders>
              <w:top w:val="single" w:sz="5" w:space="0" w:color="000000"/>
              <w:left w:val="single" w:sz="5" w:space="0" w:color="000000"/>
              <w:bottom w:val="single" w:sz="5" w:space="0" w:color="000000"/>
              <w:right w:val="single" w:sz="5" w:space="0" w:color="000000"/>
            </w:tcBorders>
          </w:tcPr>
          <w:p w14:paraId="482C05C0"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4</w:t>
            </w:r>
          </w:p>
        </w:tc>
      </w:tr>
      <w:tr w:rsidR="000E0F86" w:rsidRPr="0053176A" w14:paraId="17949B14" w14:textId="77777777" w:rsidTr="00565D9E">
        <w:trPr>
          <w:trHeight w:val="48"/>
        </w:trPr>
        <w:tc>
          <w:tcPr>
            <w:tcW w:w="549" w:type="pct"/>
            <w:tcBorders>
              <w:top w:val="single" w:sz="5" w:space="0" w:color="000000"/>
              <w:left w:val="single" w:sz="5" w:space="0" w:color="000000"/>
              <w:bottom w:val="single" w:sz="5" w:space="0" w:color="000000"/>
              <w:right w:val="single" w:sz="5" w:space="0" w:color="000000"/>
            </w:tcBorders>
          </w:tcPr>
          <w:p w14:paraId="0A28F909"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Search strategy</w:t>
            </w:r>
          </w:p>
        </w:tc>
        <w:tc>
          <w:tcPr>
            <w:tcW w:w="193" w:type="pct"/>
            <w:tcBorders>
              <w:top w:val="single" w:sz="5" w:space="0" w:color="000000"/>
              <w:left w:val="single" w:sz="5" w:space="0" w:color="000000"/>
              <w:bottom w:val="single" w:sz="5" w:space="0" w:color="000000"/>
              <w:right w:val="single" w:sz="5" w:space="0" w:color="000000"/>
            </w:tcBorders>
          </w:tcPr>
          <w:p w14:paraId="60E67575"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7</w:t>
            </w:r>
          </w:p>
        </w:tc>
        <w:tc>
          <w:tcPr>
            <w:tcW w:w="3863" w:type="pct"/>
            <w:tcBorders>
              <w:top w:val="single" w:sz="5" w:space="0" w:color="000000"/>
              <w:left w:val="single" w:sz="5" w:space="0" w:color="000000"/>
              <w:bottom w:val="single" w:sz="5" w:space="0" w:color="000000"/>
              <w:right w:val="single" w:sz="5" w:space="0" w:color="000000"/>
            </w:tcBorders>
          </w:tcPr>
          <w:p w14:paraId="0434E346"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Present the full search strategies for all databases, registers and websites, including any filters and limits used.</w:t>
            </w:r>
          </w:p>
        </w:tc>
        <w:tc>
          <w:tcPr>
            <w:tcW w:w="395" w:type="pct"/>
            <w:tcBorders>
              <w:top w:val="single" w:sz="5" w:space="0" w:color="000000"/>
              <w:left w:val="single" w:sz="5" w:space="0" w:color="000000"/>
              <w:bottom w:val="single" w:sz="5" w:space="0" w:color="000000"/>
              <w:right w:val="single" w:sz="5" w:space="0" w:color="000000"/>
            </w:tcBorders>
          </w:tcPr>
          <w:p w14:paraId="7BFF98C4"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4</w:t>
            </w:r>
          </w:p>
        </w:tc>
      </w:tr>
      <w:tr w:rsidR="000E0F86" w:rsidRPr="0053176A" w14:paraId="7D5F4EB3" w14:textId="77777777" w:rsidTr="00565D9E">
        <w:trPr>
          <w:trHeight w:val="48"/>
        </w:trPr>
        <w:tc>
          <w:tcPr>
            <w:tcW w:w="549" w:type="pct"/>
            <w:tcBorders>
              <w:top w:val="single" w:sz="5" w:space="0" w:color="000000"/>
              <w:left w:val="single" w:sz="5" w:space="0" w:color="000000"/>
              <w:bottom w:val="single" w:sz="5" w:space="0" w:color="000000"/>
              <w:right w:val="single" w:sz="5" w:space="0" w:color="000000"/>
            </w:tcBorders>
          </w:tcPr>
          <w:p w14:paraId="3B0E1C1E"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Selection process</w:t>
            </w:r>
          </w:p>
        </w:tc>
        <w:tc>
          <w:tcPr>
            <w:tcW w:w="193" w:type="pct"/>
            <w:tcBorders>
              <w:top w:val="single" w:sz="5" w:space="0" w:color="000000"/>
              <w:left w:val="single" w:sz="5" w:space="0" w:color="000000"/>
              <w:bottom w:val="single" w:sz="5" w:space="0" w:color="000000"/>
              <w:right w:val="single" w:sz="5" w:space="0" w:color="000000"/>
            </w:tcBorders>
          </w:tcPr>
          <w:p w14:paraId="27597A2D"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8</w:t>
            </w:r>
          </w:p>
        </w:tc>
        <w:tc>
          <w:tcPr>
            <w:tcW w:w="3863" w:type="pct"/>
            <w:tcBorders>
              <w:top w:val="single" w:sz="5" w:space="0" w:color="000000"/>
              <w:left w:val="single" w:sz="5" w:space="0" w:color="000000"/>
              <w:bottom w:val="single" w:sz="5" w:space="0" w:color="000000"/>
              <w:right w:val="single" w:sz="5" w:space="0" w:color="000000"/>
            </w:tcBorders>
          </w:tcPr>
          <w:p w14:paraId="2EB0CA91"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395" w:type="pct"/>
            <w:tcBorders>
              <w:top w:val="single" w:sz="5" w:space="0" w:color="000000"/>
              <w:left w:val="single" w:sz="5" w:space="0" w:color="000000"/>
              <w:bottom w:val="single" w:sz="5" w:space="0" w:color="000000"/>
              <w:right w:val="single" w:sz="5" w:space="0" w:color="000000"/>
            </w:tcBorders>
          </w:tcPr>
          <w:p w14:paraId="4F57FBAF"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5</w:t>
            </w:r>
          </w:p>
        </w:tc>
      </w:tr>
      <w:tr w:rsidR="000E0F86" w:rsidRPr="0053176A" w14:paraId="5979C633" w14:textId="77777777" w:rsidTr="00565D9E">
        <w:trPr>
          <w:trHeight w:val="152"/>
        </w:trPr>
        <w:tc>
          <w:tcPr>
            <w:tcW w:w="549" w:type="pct"/>
            <w:tcBorders>
              <w:top w:val="single" w:sz="5" w:space="0" w:color="000000"/>
              <w:left w:val="single" w:sz="5" w:space="0" w:color="000000"/>
              <w:bottom w:val="single" w:sz="5" w:space="0" w:color="000000"/>
              <w:right w:val="single" w:sz="5" w:space="0" w:color="000000"/>
            </w:tcBorders>
          </w:tcPr>
          <w:p w14:paraId="4C5B18F8"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 xml:space="preserve">Data collection process </w:t>
            </w:r>
          </w:p>
        </w:tc>
        <w:tc>
          <w:tcPr>
            <w:tcW w:w="193" w:type="pct"/>
            <w:tcBorders>
              <w:top w:val="single" w:sz="5" w:space="0" w:color="000000"/>
              <w:left w:val="single" w:sz="5" w:space="0" w:color="000000"/>
              <w:bottom w:val="single" w:sz="5" w:space="0" w:color="000000"/>
              <w:right w:val="single" w:sz="5" w:space="0" w:color="000000"/>
            </w:tcBorders>
          </w:tcPr>
          <w:p w14:paraId="5DD9CA51"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9</w:t>
            </w:r>
          </w:p>
        </w:tc>
        <w:tc>
          <w:tcPr>
            <w:tcW w:w="3863" w:type="pct"/>
            <w:tcBorders>
              <w:top w:val="single" w:sz="5" w:space="0" w:color="000000"/>
              <w:left w:val="single" w:sz="5" w:space="0" w:color="000000"/>
              <w:bottom w:val="single" w:sz="5" w:space="0" w:color="000000"/>
              <w:right w:val="single" w:sz="5" w:space="0" w:color="000000"/>
            </w:tcBorders>
          </w:tcPr>
          <w:p w14:paraId="073378AB"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395" w:type="pct"/>
            <w:tcBorders>
              <w:top w:val="single" w:sz="5" w:space="0" w:color="000000"/>
              <w:left w:val="single" w:sz="5" w:space="0" w:color="000000"/>
              <w:bottom w:val="single" w:sz="5" w:space="0" w:color="000000"/>
              <w:right w:val="single" w:sz="5" w:space="0" w:color="000000"/>
            </w:tcBorders>
          </w:tcPr>
          <w:p w14:paraId="5CA8F988"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5</w:t>
            </w:r>
          </w:p>
        </w:tc>
      </w:tr>
      <w:tr w:rsidR="000E0F86" w:rsidRPr="0053176A" w14:paraId="374EF6EB" w14:textId="77777777" w:rsidTr="00565D9E">
        <w:trPr>
          <w:trHeight w:val="48"/>
        </w:trPr>
        <w:tc>
          <w:tcPr>
            <w:tcW w:w="549" w:type="pct"/>
            <w:vMerge w:val="restart"/>
            <w:tcBorders>
              <w:top w:val="single" w:sz="5" w:space="0" w:color="000000"/>
              <w:left w:val="single" w:sz="5" w:space="0" w:color="000000"/>
              <w:right w:val="single" w:sz="5" w:space="0" w:color="000000"/>
            </w:tcBorders>
          </w:tcPr>
          <w:p w14:paraId="2FB56CAB"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 xml:space="preserve">Data items </w:t>
            </w:r>
          </w:p>
        </w:tc>
        <w:tc>
          <w:tcPr>
            <w:tcW w:w="193" w:type="pct"/>
            <w:tcBorders>
              <w:top w:val="single" w:sz="5" w:space="0" w:color="000000"/>
              <w:left w:val="single" w:sz="5" w:space="0" w:color="000000"/>
              <w:bottom w:val="single" w:sz="5" w:space="0" w:color="000000"/>
              <w:right w:val="single" w:sz="5" w:space="0" w:color="000000"/>
            </w:tcBorders>
          </w:tcPr>
          <w:p w14:paraId="5E16A34D"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10a</w:t>
            </w:r>
          </w:p>
        </w:tc>
        <w:tc>
          <w:tcPr>
            <w:tcW w:w="3863" w:type="pct"/>
            <w:tcBorders>
              <w:top w:val="single" w:sz="5" w:space="0" w:color="000000"/>
              <w:left w:val="single" w:sz="5" w:space="0" w:color="000000"/>
              <w:bottom w:val="single" w:sz="5" w:space="0" w:color="000000"/>
              <w:right w:val="single" w:sz="5" w:space="0" w:color="000000"/>
            </w:tcBorders>
          </w:tcPr>
          <w:p w14:paraId="2583B03E"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395" w:type="pct"/>
            <w:tcBorders>
              <w:top w:val="single" w:sz="5" w:space="0" w:color="000000"/>
              <w:left w:val="single" w:sz="5" w:space="0" w:color="000000"/>
              <w:bottom w:val="single" w:sz="5" w:space="0" w:color="000000"/>
              <w:right w:val="single" w:sz="5" w:space="0" w:color="000000"/>
            </w:tcBorders>
          </w:tcPr>
          <w:p w14:paraId="480D0A3F"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5,6</w:t>
            </w:r>
          </w:p>
        </w:tc>
      </w:tr>
      <w:tr w:rsidR="000E0F86" w:rsidRPr="0053176A" w14:paraId="0C4BAA5F" w14:textId="77777777" w:rsidTr="00565D9E">
        <w:trPr>
          <w:trHeight w:val="48"/>
        </w:trPr>
        <w:tc>
          <w:tcPr>
            <w:tcW w:w="549" w:type="pct"/>
            <w:vMerge/>
            <w:tcBorders>
              <w:left w:val="single" w:sz="5" w:space="0" w:color="000000"/>
              <w:bottom w:val="single" w:sz="5" w:space="0" w:color="000000"/>
              <w:right w:val="single" w:sz="5" w:space="0" w:color="000000"/>
            </w:tcBorders>
          </w:tcPr>
          <w:p w14:paraId="6B635BA7" w14:textId="77777777" w:rsidR="000E0F86" w:rsidRPr="0053176A" w:rsidRDefault="000E0F86" w:rsidP="00565D9E">
            <w:pPr>
              <w:pStyle w:val="Default"/>
              <w:spacing w:before="40" w:after="40"/>
              <w:rPr>
                <w:rFonts w:ascii="Arial" w:hAnsi="Arial" w:cs="Arial"/>
                <w:color w:val="auto"/>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5DBFFE0B"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10b</w:t>
            </w:r>
          </w:p>
        </w:tc>
        <w:tc>
          <w:tcPr>
            <w:tcW w:w="3863" w:type="pct"/>
            <w:tcBorders>
              <w:top w:val="single" w:sz="5" w:space="0" w:color="000000"/>
              <w:left w:val="single" w:sz="5" w:space="0" w:color="000000"/>
              <w:bottom w:val="single" w:sz="5" w:space="0" w:color="000000"/>
              <w:right w:val="single" w:sz="5" w:space="0" w:color="000000"/>
            </w:tcBorders>
          </w:tcPr>
          <w:p w14:paraId="2981C6E3"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List and define all other variables for which data were sought (e.g. participant and intervention characteristics, funding sources). Describe any assumptions made about any missing or unclear information.</w:t>
            </w:r>
          </w:p>
        </w:tc>
        <w:tc>
          <w:tcPr>
            <w:tcW w:w="395" w:type="pct"/>
            <w:tcBorders>
              <w:top w:val="single" w:sz="5" w:space="0" w:color="000000"/>
              <w:left w:val="single" w:sz="5" w:space="0" w:color="000000"/>
              <w:bottom w:val="single" w:sz="5" w:space="0" w:color="000000"/>
              <w:right w:val="single" w:sz="5" w:space="0" w:color="000000"/>
            </w:tcBorders>
          </w:tcPr>
          <w:p w14:paraId="72B7B29A"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4,16</w:t>
            </w:r>
          </w:p>
        </w:tc>
      </w:tr>
      <w:tr w:rsidR="000E0F86" w:rsidRPr="0053176A" w14:paraId="201EBE41" w14:textId="77777777" w:rsidTr="00565D9E">
        <w:trPr>
          <w:trHeight w:val="48"/>
        </w:trPr>
        <w:tc>
          <w:tcPr>
            <w:tcW w:w="549" w:type="pct"/>
            <w:tcBorders>
              <w:top w:val="single" w:sz="5" w:space="0" w:color="000000"/>
              <w:left w:val="single" w:sz="5" w:space="0" w:color="000000"/>
              <w:bottom w:val="single" w:sz="5" w:space="0" w:color="000000"/>
              <w:right w:val="single" w:sz="5" w:space="0" w:color="000000"/>
            </w:tcBorders>
          </w:tcPr>
          <w:p w14:paraId="4DD3ABB1"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Study risk of bias assessment</w:t>
            </w:r>
          </w:p>
        </w:tc>
        <w:tc>
          <w:tcPr>
            <w:tcW w:w="193" w:type="pct"/>
            <w:tcBorders>
              <w:top w:val="single" w:sz="5" w:space="0" w:color="000000"/>
              <w:left w:val="single" w:sz="5" w:space="0" w:color="000000"/>
              <w:bottom w:val="single" w:sz="5" w:space="0" w:color="000000"/>
              <w:right w:val="single" w:sz="5" w:space="0" w:color="000000"/>
            </w:tcBorders>
          </w:tcPr>
          <w:p w14:paraId="4C6E9372"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11</w:t>
            </w:r>
          </w:p>
        </w:tc>
        <w:tc>
          <w:tcPr>
            <w:tcW w:w="3863" w:type="pct"/>
            <w:tcBorders>
              <w:top w:val="single" w:sz="5" w:space="0" w:color="000000"/>
              <w:left w:val="single" w:sz="5" w:space="0" w:color="000000"/>
              <w:bottom w:val="single" w:sz="5" w:space="0" w:color="000000"/>
              <w:right w:val="single" w:sz="5" w:space="0" w:color="000000"/>
            </w:tcBorders>
          </w:tcPr>
          <w:p w14:paraId="491B56B4"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395" w:type="pct"/>
            <w:tcBorders>
              <w:top w:val="single" w:sz="5" w:space="0" w:color="000000"/>
              <w:left w:val="single" w:sz="5" w:space="0" w:color="000000"/>
              <w:bottom w:val="single" w:sz="5" w:space="0" w:color="000000"/>
              <w:right w:val="single" w:sz="5" w:space="0" w:color="000000"/>
            </w:tcBorders>
          </w:tcPr>
          <w:p w14:paraId="38DA0C83"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6</w:t>
            </w:r>
          </w:p>
        </w:tc>
      </w:tr>
      <w:tr w:rsidR="000E0F86" w:rsidRPr="0053176A" w14:paraId="14AA5D5B" w14:textId="77777777" w:rsidTr="00565D9E">
        <w:trPr>
          <w:trHeight w:val="48"/>
        </w:trPr>
        <w:tc>
          <w:tcPr>
            <w:tcW w:w="549" w:type="pct"/>
            <w:tcBorders>
              <w:top w:val="single" w:sz="5" w:space="0" w:color="000000"/>
              <w:left w:val="single" w:sz="5" w:space="0" w:color="000000"/>
              <w:bottom w:val="single" w:sz="5" w:space="0" w:color="000000"/>
              <w:right w:val="single" w:sz="5" w:space="0" w:color="000000"/>
            </w:tcBorders>
          </w:tcPr>
          <w:p w14:paraId="56759416"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 xml:space="preserve">Effect measures </w:t>
            </w:r>
          </w:p>
        </w:tc>
        <w:tc>
          <w:tcPr>
            <w:tcW w:w="193" w:type="pct"/>
            <w:tcBorders>
              <w:top w:val="single" w:sz="5" w:space="0" w:color="000000"/>
              <w:left w:val="single" w:sz="5" w:space="0" w:color="000000"/>
              <w:bottom w:val="single" w:sz="5" w:space="0" w:color="000000"/>
              <w:right w:val="single" w:sz="5" w:space="0" w:color="000000"/>
            </w:tcBorders>
          </w:tcPr>
          <w:p w14:paraId="77BEECFA"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12</w:t>
            </w:r>
          </w:p>
        </w:tc>
        <w:tc>
          <w:tcPr>
            <w:tcW w:w="3863" w:type="pct"/>
            <w:tcBorders>
              <w:top w:val="single" w:sz="5" w:space="0" w:color="000000"/>
              <w:left w:val="single" w:sz="5" w:space="0" w:color="000000"/>
              <w:bottom w:val="single" w:sz="5" w:space="0" w:color="000000"/>
              <w:right w:val="single" w:sz="5" w:space="0" w:color="000000"/>
            </w:tcBorders>
          </w:tcPr>
          <w:p w14:paraId="72961C9E"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Specify for each outcome the effect measure(s) (e.g. risk ratio, mean difference) used in the synthesis or presentation of results.</w:t>
            </w:r>
          </w:p>
        </w:tc>
        <w:tc>
          <w:tcPr>
            <w:tcW w:w="395" w:type="pct"/>
            <w:tcBorders>
              <w:top w:val="single" w:sz="5" w:space="0" w:color="000000"/>
              <w:left w:val="single" w:sz="5" w:space="0" w:color="000000"/>
              <w:bottom w:val="single" w:sz="5" w:space="0" w:color="000000"/>
              <w:right w:val="single" w:sz="5" w:space="0" w:color="000000"/>
            </w:tcBorders>
          </w:tcPr>
          <w:p w14:paraId="03D4C586"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6</w:t>
            </w:r>
          </w:p>
        </w:tc>
      </w:tr>
      <w:tr w:rsidR="000E0F86" w:rsidRPr="0053176A" w14:paraId="301881CC" w14:textId="77777777" w:rsidTr="00565D9E">
        <w:trPr>
          <w:trHeight w:val="48"/>
        </w:trPr>
        <w:tc>
          <w:tcPr>
            <w:tcW w:w="549" w:type="pct"/>
            <w:vMerge w:val="restart"/>
            <w:tcBorders>
              <w:top w:val="single" w:sz="5" w:space="0" w:color="000000"/>
              <w:left w:val="single" w:sz="5" w:space="0" w:color="000000"/>
              <w:right w:val="single" w:sz="5" w:space="0" w:color="000000"/>
            </w:tcBorders>
          </w:tcPr>
          <w:p w14:paraId="66CC1DF5"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Synthesis methods</w:t>
            </w:r>
          </w:p>
        </w:tc>
        <w:tc>
          <w:tcPr>
            <w:tcW w:w="193" w:type="pct"/>
            <w:tcBorders>
              <w:top w:val="single" w:sz="5" w:space="0" w:color="000000"/>
              <w:left w:val="single" w:sz="5" w:space="0" w:color="000000"/>
              <w:bottom w:val="single" w:sz="5" w:space="0" w:color="000000"/>
              <w:right w:val="single" w:sz="5" w:space="0" w:color="000000"/>
            </w:tcBorders>
          </w:tcPr>
          <w:p w14:paraId="3FA63F28"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13a</w:t>
            </w:r>
          </w:p>
        </w:tc>
        <w:tc>
          <w:tcPr>
            <w:tcW w:w="3863" w:type="pct"/>
            <w:tcBorders>
              <w:top w:val="single" w:sz="5" w:space="0" w:color="000000"/>
              <w:left w:val="single" w:sz="5" w:space="0" w:color="000000"/>
              <w:bottom w:val="single" w:sz="5" w:space="0" w:color="000000"/>
              <w:right w:val="single" w:sz="5" w:space="0" w:color="000000"/>
            </w:tcBorders>
          </w:tcPr>
          <w:p w14:paraId="67D1C4BC"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Describe the processes used to decide which studies were eligible for each synthesis (e.g. tabulating the study intervention characteristics and comparing against the planned groups for each synthesis (item #5)).</w:t>
            </w:r>
          </w:p>
        </w:tc>
        <w:tc>
          <w:tcPr>
            <w:tcW w:w="395" w:type="pct"/>
            <w:tcBorders>
              <w:top w:val="single" w:sz="5" w:space="0" w:color="000000"/>
              <w:left w:val="single" w:sz="5" w:space="0" w:color="000000"/>
              <w:bottom w:val="single" w:sz="5" w:space="0" w:color="000000"/>
              <w:right w:val="single" w:sz="5" w:space="0" w:color="000000"/>
            </w:tcBorders>
          </w:tcPr>
          <w:p w14:paraId="75754D04"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6,7</w:t>
            </w:r>
          </w:p>
        </w:tc>
      </w:tr>
      <w:tr w:rsidR="000E0F86" w:rsidRPr="0053176A" w14:paraId="315FFB53" w14:textId="77777777" w:rsidTr="00565D9E">
        <w:trPr>
          <w:trHeight w:val="48"/>
        </w:trPr>
        <w:tc>
          <w:tcPr>
            <w:tcW w:w="549" w:type="pct"/>
            <w:vMerge/>
            <w:tcBorders>
              <w:left w:val="single" w:sz="5" w:space="0" w:color="000000"/>
              <w:right w:val="single" w:sz="5" w:space="0" w:color="000000"/>
            </w:tcBorders>
          </w:tcPr>
          <w:p w14:paraId="373845F4" w14:textId="77777777" w:rsidR="000E0F86" w:rsidRPr="0053176A" w:rsidRDefault="000E0F86" w:rsidP="00565D9E">
            <w:pPr>
              <w:pStyle w:val="Default"/>
              <w:spacing w:before="40" w:after="40"/>
              <w:rPr>
                <w:rFonts w:ascii="Arial" w:hAnsi="Arial" w:cs="Arial"/>
                <w:color w:val="auto"/>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04E06920"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13b</w:t>
            </w:r>
          </w:p>
        </w:tc>
        <w:tc>
          <w:tcPr>
            <w:tcW w:w="3863" w:type="pct"/>
            <w:tcBorders>
              <w:top w:val="single" w:sz="5" w:space="0" w:color="000000"/>
              <w:left w:val="single" w:sz="5" w:space="0" w:color="000000"/>
              <w:bottom w:val="single" w:sz="5" w:space="0" w:color="000000"/>
              <w:right w:val="single" w:sz="5" w:space="0" w:color="000000"/>
            </w:tcBorders>
          </w:tcPr>
          <w:p w14:paraId="302DAF0B"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Describe any methods required to prepare the data for presentation or synthesis, such as handling of missing summary statistics, or data conversions.</w:t>
            </w:r>
          </w:p>
        </w:tc>
        <w:tc>
          <w:tcPr>
            <w:tcW w:w="395" w:type="pct"/>
            <w:tcBorders>
              <w:top w:val="single" w:sz="5" w:space="0" w:color="000000"/>
              <w:left w:val="single" w:sz="5" w:space="0" w:color="000000"/>
              <w:bottom w:val="single" w:sz="5" w:space="0" w:color="000000"/>
              <w:right w:val="single" w:sz="5" w:space="0" w:color="000000"/>
            </w:tcBorders>
          </w:tcPr>
          <w:p w14:paraId="63A0F83C"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6</w:t>
            </w:r>
          </w:p>
        </w:tc>
      </w:tr>
      <w:tr w:rsidR="000E0F86" w:rsidRPr="0053176A" w14:paraId="6943484F" w14:textId="77777777" w:rsidTr="00565D9E">
        <w:trPr>
          <w:trHeight w:val="48"/>
        </w:trPr>
        <w:tc>
          <w:tcPr>
            <w:tcW w:w="549" w:type="pct"/>
            <w:vMerge/>
            <w:tcBorders>
              <w:left w:val="single" w:sz="5" w:space="0" w:color="000000"/>
              <w:right w:val="single" w:sz="5" w:space="0" w:color="000000"/>
            </w:tcBorders>
          </w:tcPr>
          <w:p w14:paraId="4A397DB6" w14:textId="77777777" w:rsidR="000E0F86" w:rsidRPr="0053176A" w:rsidRDefault="000E0F86" w:rsidP="00565D9E">
            <w:pPr>
              <w:pStyle w:val="Default"/>
              <w:spacing w:before="40" w:after="40"/>
              <w:rPr>
                <w:rFonts w:ascii="Arial" w:hAnsi="Arial" w:cs="Arial"/>
                <w:color w:val="auto"/>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1A9891CD"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13c</w:t>
            </w:r>
          </w:p>
        </w:tc>
        <w:tc>
          <w:tcPr>
            <w:tcW w:w="3863" w:type="pct"/>
            <w:tcBorders>
              <w:top w:val="single" w:sz="5" w:space="0" w:color="000000"/>
              <w:left w:val="single" w:sz="5" w:space="0" w:color="000000"/>
              <w:bottom w:val="single" w:sz="5" w:space="0" w:color="000000"/>
              <w:right w:val="single" w:sz="5" w:space="0" w:color="000000"/>
            </w:tcBorders>
          </w:tcPr>
          <w:p w14:paraId="6A1E216A"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Describe any methods used to tabulate or visually display results of individual studies and syntheses.</w:t>
            </w:r>
          </w:p>
        </w:tc>
        <w:tc>
          <w:tcPr>
            <w:tcW w:w="395" w:type="pct"/>
            <w:tcBorders>
              <w:top w:val="single" w:sz="5" w:space="0" w:color="000000"/>
              <w:left w:val="single" w:sz="5" w:space="0" w:color="000000"/>
              <w:bottom w:val="single" w:sz="5" w:space="0" w:color="000000"/>
              <w:right w:val="single" w:sz="5" w:space="0" w:color="000000"/>
            </w:tcBorders>
          </w:tcPr>
          <w:p w14:paraId="20F4C556"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8,9,10</w:t>
            </w:r>
          </w:p>
        </w:tc>
      </w:tr>
      <w:tr w:rsidR="000E0F86" w:rsidRPr="0053176A" w14:paraId="5E868AA6" w14:textId="77777777" w:rsidTr="00565D9E">
        <w:trPr>
          <w:trHeight w:val="48"/>
        </w:trPr>
        <w:tc>
          <w:tcPr>
            <w:tcW w:w="549" w:type="pct"/>
            <w:vMerge/>
            <w:tcBorders>
              <w:left w:val="single" w:sz="5" w:space="0" w:color="000000"/>
              <w:right w:val="single" w:sz="5" w:space="0" w:color="000000"/>
            </w:tcBorders>
          </w:tcPr>
          <w:p w14:paraId="5539F742" w14:textId="77777777" w:rsidR="000E0F86" w:rsidRPr="0053176A" w:rsidRDefault="000E0F86" w:rsidP="00565D9E">
            <w:pPr>
              <w:pStyle w:val="Default"/>
              <w:spacing w:before="40" w:after="40"/>
              <w:rPr>
                <w:rFonts w:ascii="Arial" w:hAnsi="Arial" w:cs="Arial"/>
                <w:color w:val="auto"/>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2BCF82C8"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13d</w:t>
            </w:r>
          </w:p>
        </w:tc>
        <w:tc>
          <w:tcPr>
            <w:tcW w:w="3863" w:type="pct"/>
            <w:tcBorders>
              <w:top w:val="single" w:sz="5" w:space="0" w:color="000000"/>
              <w:left w:val="single" w:sz="5" w:space="0" w:color="000000"/>
              <w:bottom w:val="single" w:sz="5" w:space="0" w:color="000000"/>
              <w:right w:val="single" w:sz="5" w:space="0" w:color="000000"/>
            </w:tcBorders>
          </w:tcPr>
          <w:p w14:paraId="52D90A65"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395" w:type="pct"/>
            <w:tcBorders>
              <w:top w:val="single" w:sz="5" w:space="0" w:color="000000"/>
              <w:left w:val="single" w:sz="5" w:space="0" w:color="000000"/>
              <w:bottom w:val="single" w:sz="5" w:space="0" w:color="000000"/>
              <w:right w:val="single" w:sz="5" w:space="0" w:color="000000"/>
            </w:tcBorders>
          </w:tcPr>
          <w:p w14:paraId="6B70B96D"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6</w:t>
            </w:r>
          </w:p>
        </w:tc>
      </w:tr>
      <w:tr w:rsidR="000E0F86" w:rsidRPr="0053176A" w14:paraId="0803525A" w14:textId="77777777" w:rsidTr="00565D9E">
        <w:trPr>
          <w:trHeight w:val="48"/>
        </w:trPr>
        <w:tc>
          <w:tcPr>
            <w:tcW w:w="549" w:type="pct"/>
            <w:vMerge/>
            <w:tcBorders>
              <w:left w:val="single" w:sz="5" w:space="0" w:color="000000"/>
              <w:right w:val="single" w:sz="5" w:space="0" w:color="000000"/>
            </w:tcBorders>
          </w:tcPr>
          <w:p w14:paraId="6A81EC7A" w14:textId="77777777" w:rsidR="000E0F86" w:rsidRPr="0053176A" w:rsidRDefault="000E0F86" w:rsidP="00565D9E">
            <w:pPr>
              <w:pStyle w:val="Default"/>
              <w:spacing w:before="40" w:after="40"/>
              <w:rPr>
                <w:rFonts w:ascii="Arial" w:hAnsi="Arial" w:cs="Arial"/>
                <w:color w:val="auto"/>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1559ECEC"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13e</w:t>
            </w:r>
          </w:p>
        </w:tc>
        <w:tc>
          <w:tcPr>
            <w:tcW w:w="3863" w:type="pct"/>
            <w:tcBorders>
              <w:top w:val="single" w:sz="5" w:space="0" w:color="000000"/>
              <w:left w:val="single" w:sz="5" w:space="0" w:color="000000"/>
              <w:bottom w:val="single" w:sz="5" w:space="0" w:color="000000"/>
              <w:right w:val="single" w:sz="5" w:space="0" w:color="000000"/>
            </w:tcBorders>
          </w:tcPr>
          <w:p w14:paraId="35E2E317"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Describe any methods used to explore possible causes of heterogeneity among study results (e.g. subgroup analysis, meta-regression).</w:t>
            </w:r>
          </w:p>
        </w:tc>
        <w:tc>
          <w:tcPr>
            <w:tcW w:w="395" w:type="pct"/>
            <w:tcBorders>
              <w:top w:val="single" w:sz="5" w:space="0" w:color="000000"/>
              <w:left w:val="single" w:sz="5" w:space="0" w:color="000000"/>
              <w:bottom w:val="single" w:sz="5" w:space="0" w:color="000000"/>
              <w:right w:val="single" w:sz="5" w:space="0" w:color="000000"/>
            </w:tcBorders>
          </w:tcPr>
          <w:p w14:paraId="5C2EBC86"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6</w:t>
            </w:r>
          </w:p>
        </w:tc>
      </w:tr>
      <w:tr w:rsidR="000E0F86" w:rsidRPr="0053176A" w14:paraId="253262AE" w14:textId="77777777" w:rsidTr="00565D9E">
        <w:trPr>
          <w:trHeight w:val="50"/>
        </w:trPr>
        <w:tc>
          <w:tcPr>
            <w:tcW w:w="549" w:type="pct"/>
            <w:vMerge/>
            <w:tcBorders>
              <w:left w:val="single" w:sz="5" w:space="0" w:color="000000"/>
              <w:bottom w:val="single" w:sz="5" w:space="0" w:color="000000"/>
              <w:right w:val="single" w:sz="5" w:space="0" w:color="000000"/>
            </w:tcBorders>
          </w:tcPr>
          <w:p w14:paraId="027AE8DE" w14:textId="77777777" w:rsidR="000E0F86" w:rsidRPr="0053176A" w:rsidRDefault="000E0F86" w:rsidP="00565D9E">
            <w:pPr>
              <w:pStyle w:val="Default"/>
              <w:spacing w:before="40" w:after="40"/>
              <w:rPr>
                <w:rFonts w:ascii="Arial" w:hAnsi="Arial" w:cs="Arial"/>
                <w:color w:val="auto"/>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40443988"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13f</w:t>
            </w:r>
          </w:p>
        </w:tc>
        <w:tc>
          <w:tcPr>
            <w:tcW w:w="3863" w:type="pct"/>
            <w:tcBorders>
              <w:top w:val="single" w:sz="5" w:space="0" w:color="000000"/>
              <w:left w:val="single" w:sz="5" w:space="0" w:color="000000"/>
              <w:bottom w:val="single" w:sz="5" w:space="0" w:color="000000"/>
              <w:right w:val="single" w:sz="5" w:space="0" w:color="000000"/>
            </w:tcBorders>
          </w:tcPr>
          <w:p w14:paraId="145FE8AF"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Describe any sensitivity analyses conducted to assess robustness of the synthesized results.</w:t>
            </w:r>
          </w:p>
        </w:tc>
        <w:tc>
          <w:tcPr>
            <w:tcW w:w="395" w:type="pct"/>
            <w:tcBorders>
              <w:top w:val="single" w:sz="5" w:space="0" w:color="000000"/>
              <w:left w:val="single" w:sz="5" w:space="0" w:color="000000"/>
              <w:bottom w:val="single" w:sz="5" w:space="0" w:color="000000"/>
              <w:right w:val="single" w:sz="5" w:space="0" w:color="000000"/>
            </w:tcBorders>
          </w:tcPr>
          <w:p w14:paraId="3E6E36A0"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6,7</w:t>
            </w:r>
          </w:p>
        </w:tc>
      </w:tr>
      <w:tr w:rsidR="000E0F86" w:rsidRPr="0053176A" w14:paraId="542589C2" w14:textId="77777777" w:rsidTr="00565D9E">
        <w:trPr>
          <w:trHeight w:val="48"/>
        </w:trPr>
        <w:tc>
          <w:tcPr>
            <w:tcW w:w="549" w:type="pct"/>
            <w:tcBorders>
              <w:top w:val="single" w:sz="5" w:space="0" w:color="000000"/>
              <w:left w:val="single" w:sz="5" w:space="0" w:color="000000"/>
              <w:bottom w:val="single" w:sz="5" w:space="0" w:color="000000"/>
              <w:right w:val="single" w:sz="5" w:space="0" w:color="000000"/>
            </w:tcBorders>
          </w:tcPr>
          <w:p w14:paraId="19007CCA"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Reporting bias assessment</w:t>
            </w:r>
          </w:p>
        </w:tc>
        <w:tc>
          <w:tcPr>
            <w:tcW w:w="193" w:type="pct"/>
            <w:tcBorders>
              <w:top w:val="single" w:sz="5" w:space="0" w:color="000000"/>
              <w:left w:val="single" w:sz="5" w:space="0" w:color="000000"/>
              <w:bottom w:val="single" w:sz="5" w:space="0" w:color="000000"/>
              <w:right w:val="single" w:sz="5" w:space="0" w:color="000000"/>
            </w:tcBorders>
          </w:tcPr>
          <w:p w14:paraId="42C0011D"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14</w:t>
            </w:r>
          </w:p>
        </w:tc>
        <w:tc>
          <w:tcPr>
            <w:tcW w:w="3863" w:type="pct"/>
            <w:tcBorders>
              <w:top w:val="single" w:sz="5" w:space="0" w:color="000000"/>
              <w:left w:val="single" w:sz="5" w:space="0" w:color="000000"/>
              <w:bottom w:val="single" w:sz="5" w:space="0" w:color="000000"/>
              <w:right w:val="single" w:sz="5" w:space="0" w:color="000000"/>
            </w:tcBorders>
          </w:tcPr>
          <w:p w14:paraId="5AF7840F"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Describe any methods used to assess risk of bias due to missing results in a synthesis (arising from reporting biases).</w:t>
            </w:r>
          </w:p>
        </w:tc>
        <w:tc>
          <w:tcPr>
            <w:tcW w:w="395" w:type="pct"/>
            <w:tcBorders>
              <w:top w:val="single" w:sz="5" w:space="0" w:color="000000"/>
              <w:left w:val="single" w:sz="5" w:space="0" w:color="000000"/>
              <w:bottom w:val="single" w:sz="5" w:space="0" w:color="000000"/>
              <w:right w:val="single" w:sz="5" w:space="0" w:color="000000"/>
            </w:tcBorders>
          </w:tcPr>
          <w:p w14:paraId="64921B13"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6</w:t>
            </w:r>
          </w:p>
        </w:tc>
      </w:tr>
      <w:tr w:rsidR="000E0F86" w:rsidRPr="0053176A" w14:paraId="7F3E90E4" w14:textId="77777777" w:rsidTr="00565D9E">
        <w:trPr>
          <w:trHeight w:val="48"/>
        </w:trPr>
        <w:tc>
          <w:tcPr>
            <w:tcW w:w="549" w:type="pct"/>
            <w:tcBorders>
              <w:top w:val="single" w:sz="5" w:space="0" w:color="000000"/>
              <w:left w:val="single" w:sz="5" w:space="0" w:color="000000"/>
              <w:bottom w:val="single" w:sz="5" w:space="0" w:color="000000"/>
              <w:right w:val="single" w:sz="5" w:space="0" w:color="000000"/>
            </w:tcBorders>
          </w:tcPr>
          <w:p w14:paraId="3F22B9DC"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Certainty assessment</w:t>
            </w:r>
          </w:p>
        </w:tc>
        <w:tc>
          <w:tcPr>
            <w:tcW w:w="193" w:type="pct"/>
            <w:tcBorders>
              <w:top w:val="single" w:sz="5" w:space="0" w:color="000000"/>
              <w:left w:val="single" w:sz="5" w:space="0" w:color="000000"/>
              <w:bottom w:val="single" w:sz="5" w:space="0" w:color="000000"/>
              <w:right w:val="single" w:sz="5" w:space="0" w:color="000000"/>
            </w:tcBorders>
          </w:tcPr>
          <w:p w14:paraId="3240F35B"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15</w:t>
            </w:r>
          </w:p>
        </w:tc>
        <w:tc>
          <w:tcPr>
            <w:tcW w:w="3863" w:type="pct"/>
            <w:tcBorders>
              <w:top w:val="single" w:sz="5" w:space="0" w:color="000000"/>
              <w:left w:val="single" w:sz="5" w:space="0" w:color="000000"/>
              <w:bottom w:val="single" w:sz="5" w:space="0" w:color="000000"/>
              <w:right w:val="single" w:sz="5" w:space="0" w:color="000000"/>
            </w:tcBorders>
          </w:tcPr>
          <w:p w14:paraId="00C4BA03"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Describe any methods used to assess certainty (or confidence) in the body of evidence for an outcome.</w:t>
            </w:r>
          </w:p>
        </w:tc>
        <w:tc>
          <w:tcPr>
            <w:tcW w:w="395" w:type="pct"/>
            <w:tcBorders>
              <w:top w:val="single" w:sz="5" w:space="0" w:color="000000"/>
              <w:left w:val="single" w:sz="5" w:space="0" w:color="000000"/>
              <w:bottom w:val="single" w:sz="5" w:space="0" w:color="000000"/>
              <w:right w:val="single" w:sz="5" w:space="0" w:color="000000"/>
            </w:tcBorders>
          </w:tcPr>
          <w:p w14:paraId="1620B14D"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6</w:t>
            </w:r>
          </w:p>
        </w:tc>
      </w:tr>
      <w:tr w:rsidR="000E0F86" w:rsidRPr="0053176A" w14:paraId="6A35A76F" w14:textId="77777777" w:rsidTr="00565D9E">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E496FD5" w14:textId="77777777" w:rsidR="000E0F86" w:rsidRPr="0053176A" w:rsidRDefault="000E0F86" w:rsidP="00565D9E">
            <w:pPr>
              <w:pStyle w:val="Default"/>
              <w:rPr>
                <w:rFonts w:ascii="Arial" w:hAnsi="Arial" w:cs="Arial"/>
                <w:color w:val="auto"/>
                <w:sz w:val="18"/>
                <w:szCs w:val="18"/>
              </w:rPr>
            </w:pPr>
            <w:r w:rsidRPr="0053176A">
              <w:rPr>
                <w:rFonts w:ascii="Arial" w:hAnsi="Arial" w:cs="Arial"/>
                <w:b/>
                <w:bCs/>
                <w:color w:val="auto"/>
                <w:sz w:val="18"/>
                <w:szCs w:val="18"/>
              </w:rPr>
              <w:t xml:space="preserve">RESULTS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0253F6F4" w14:textId="77777777" w:rsidR="000E0F86" w:rsidRPr="0053176A" w:rsidRDefault="000E0F86" w:rsidP="00565D9E">
            <w:pPr>
              <w:pStyle w:val="Default"/>
              <w:jc w:val="center"/>
              <w:rPr>
                <w:rFonts w:ascii="Arial" w:hAnsi="Arial" w:cs="Arial"/>
                <w:color w:val="auto"/>
                <w:sz w:val="18"/>
                <w:szCs w:val="18"/>
              </w:rPr>
            </w:pPr>
          </w:p>
        </w:tc>
      </w:tr>
      <w:tr w:rsidR="000E0F86" w:rsidRPr="0053176A" w14:paraId="6B5B8F20" w14:textId="77777777" w:rsidTr="00565D9E">
        <w:trPr>
          <w:trHeight w:val="48"/>
        </w:trPr>
        <w:tc>
          <w:tcPr>
            <w:tcW w:w="549" w:type="pct"/>
            <w:vMerge w:val="restart"/>
            <w:tcBorders>
              <w:top w:val="single" w:sz="5" w:space="0" w:color="000000"/>
              <w:left w:val="single" w:sz="5" w:space="0" w:color="000000"/>
              <w:right w:val="single" w:sz="5" w:space="0" w:color="000000"/>
            </w:tcBorders>
          </w:tcPr>
          <w:p w14:paraId="27654164"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 xml:space="preserve">Study selection </w:t>
            </w:r>
          </w:p>
        </w:tc>
        <w:tc>
          <w:tcPr>
            <w:tcW w:w="193" w:type="pct"/>
            <w:tcBorders>
              <w:top w:val="single" w:sz="5" w:space="0" w:color="000000"/>
              <w:left w:val="single" w:sz="5" w:space="0" w:color="000000"/>
              <w:bottom w:val="single" w:sz="5" w:space="0" w:color="000000"/>
              <w:right w:val="single" w:sz="5" w:space="0" w:color="000000"/>
            </w:tcBorders>
          </w:tcPr>
          <w:p w14:paraId="728A71AA"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16a</w:t>
            </w:r>
          </w:p>
        </w:tc>
        <w:tc>
          <w:tcPr>
            <w:tcW w:w="3863" w:type="pct"/>
            <w:tcBorders>
              <w:top w:val="single" w:sz="5" w:space="0" w:color="000000"/>
              <w:left w:val="single" w:sz="5" w:space="0" w:color="000000"/>
              <w:bottom w:val="single" w:sz="5" w:space="0" w:color="000000"/>
              <w:right w:val="single" w:sz="5" w:space="0" w:color="000000"/>
            </w:tcBorders>
          </w:tcPr>
          <w:p w14:paraId="44378CE1"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Describe the results of the search and selection process, from the number of records identified in the search to the number of studies included in the review, ideally using a flow diagram.</w:t>
            </w:r>
          </w:p>
        </w:tc>
        <w:tc>
          <w:tcPr>
            <w:tcW w:w="395" w:type="pct"/>
            <w:tcBorders>
              <w:top w:val="single" w:sz="5" w:space="0" w:color="000000"/>
              <w:left w:val="single" w:sz="5" w:space="0" w:color="000000"/>
              <w:bottom w:val="single" w:sz="5" w:space="0" w:color="000000"/>
              <w:right w:val="single" w:sz="5" w:space="0" w:color="000000"/>
            </w:tcBorders>
          </w:tcPr>
          <w:p w14:paraId="222472F9"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7</w:t>
            </w:r>
          </w:p>
        </w:tc>
      </w:tr>
      <w:tr w:rsidR="000E0F86" w:rsidRPr="0053176A" w14:paraId="19705706" w14:textId="77777777" w:rsidTr="00565D9E">
        <w:trPr>
          <w:trHeight w:val="48"/>
        </w:trPr>
        <w:tc>
          <w:tcPr>
            <w:tcW w:w="549" w:type="pct"/>
            <w:vMerge/>
            <w:tcBorders>
              <w:left w:val="single" w:sz="5" w:space="0" w:color="000000"/>
              <w:bottom w:val="single" w:sz="5" w:space="0" w:color="000000"/>
              <w:right w:val="single" w:sz="5" w:space="0" w:color="000000"/>
            </w:tcBorders>
          </w:tcPr>
          <w:p w14:paraId="328EA235" w14:textId="77777777" w:rsidR="000E0F86" w:rsidRPr="0053176A" w:rsidRDefault="000E0F86" w:rsidP="00565D9E">
            <w:pPr>
              <w:pStyle w:val="Default"/>
              <w:spacing w:before="40" w:after="40"/>
              <w:rPr>
                <w:rFonts w:ascii="Arial" w:hAnsi="Arial" w:cs="Arial"/>
                <w:color w:val="auto"/>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24F18E2B"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16b</w:t>
            </w:r>
          </w:p>
        </w:tc>
        <w:tc>
          <w:tcPr>
            <w:tcW w:w="3863" w:type="pct"/>
            <w:tcBorders>
              <w:top w:val="single" w:sz="5" w:space="0" w:color="000000"/>
              <w:left w:val="single" w:sz="5" w:space="0" w:color="000000"/>
              <w:bottom w:val="single" w:sz="5" w:space="0" w:color="000000"/>
              <w:right w:val="single" w:sz="5" w:space="0" w:color="000000"/>
            </w:tcBorders>
          </w:tcPr>
          <w:p w14:paraId="61E7C2F6"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Cite studies that might appear to meet the inclusion criteria, but which were excluded, and explain why they were excluded.</w:t>
            </w:r>
          </w:p>
        </w:tc>
        <w:tc>
          <w:tcPr>
            <w:tcW w:w="395" w:type="pct"/>
            <w:tcBorders>
              <w:top w:val="single" w:sz="5" w:space="0" w:color="000000"/>
              <w:left w:val="single" w:sz="5" w:space="0" w:color="000000"/>
              <w:bottom w:val="single" w:sz="5" w:space="0" w:color="000000"/>
              <w:right w:val="single" w:sz="5" w:space="0" w:color="000000"/>
            </w:tcBorders>
          </w:tcPr>
          <w:p w14:paraId="132F522D"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8-11</w:t>
            </w:r>
          </w:p>
        </w:tc>
      </w:tr>
      <w:tr w:rsidR="000E0F86" w:rsidRPr="0053176A" w14:paraId="3B9D2A62" w14:textId="77777777" w:rsidTr="00565D9E">
        <w:trPr>
          <w:trHeight w:val="103"/>
        </w:trPr>
        <w:tc>
          <w:tcPr>
            <w:tcW w:w="549" w:type="pct"/>
            <w:tcBorders>
              <w:top w:val="single" w:sz="5" w:space="0" w:color="000000"/>
              <w:left w:val="single" w:sz="5" w:space="0" w:color="000000"/>
              <w:bottom w:val="single" w:sz="5" w:space="0" w:color="000000"/>
              <w:right w:val="single" w:sz="5" w:space="0" w:color="000000"/>
            </w:tcBorders>
          </w:tcPr>
          <w:p w14:paraId="05C75062"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 xml:space="preserve">Study characteristics </w:t>
            </w:r>
          </w:p>
        </w:tc>
        <w:tc>
          <w:tcPr>
            <w:tcW w:w="193" w:type="pct"/>
            <w:tcBorders>
              <w:top w:val="single" w:sz="5" w:space="0" w:color="000000"/>
              <w:left w:val="single" w:sz="5" w:space="0" w:color="000000"/>
              <w:bottom w:val="single" w:sz="5" w:space="0" w:color="000000"/>
              <w:right w:val="single" w:sz="5" w:space="0" w:color="000000"/>
            </w:tcBorders>
          </w:tcPr>
          <w:p w14:paraId="4A6372DA"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17</w:t>
            </w:r>
          </w:p>
        </w:tc>
        <w:tc>
          <w:tcPr>
            <w:tcW w:w="3863" w:type="pct"/>
            <w:tcBorders>
              <w:top w:val="single" w:sz="5" w:space="0" w:color="000000"/>
              <w:left w:val="single" w:sz="5" w:space="0" w:color="000000"/>
              <w:bottom w:val="single" w:sz="5" w:space="0" w:color="000000"/>
              <w:right w:val="single" w:sz="5" w:space="0" w:color="000000"/>
            </w:tcBorders>
          </w:tcPr>
          <w:p w14:paraId="6439F853"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Cite each included study and present its characteristics.</w:t>
            </w:r>
          </w:p>
        </w:tc>
        <w:tc>
          <w:tcPr>
            <w:tcW w:w="395" w:type="pct"/>
            <w:tcBorders>
              <w:top w:val="single" w:sz="5" w:space="0" w:color="000000"/>
              <w:left w:val="single" w:sz="5" w:space="0" w:color="000000"/>
              <w:bottom w:val="single" w:sz="5" w:space="0" w:color="000000"/>
              <w:right w:val="single" w:sz="5" w:space="0" w:color="000000"/>
            </w:tcBorders>
          </w:tcPr>
          <w:p w14:paraId="1EF86DE8"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8-11</w:t>
            </w:r>
          </w:p>
        </w:tc>
      </w:tr>
      <w:tr w:rsidR="000E0F86" w:rsidRPr="0053176A" w14:paraId="448C529C" w14:textId="77777777" w:rsidTr="00565D9E">
        <w:trPr>
          <w:trHeight w:val="48"/>
        </w:trPr>
        <w:tc>
          <w:tcPr>
            <w:tcW w:w="549" w:type="pct"/>
            <w:tcBorders>
              <w:top w:val="single" w:sz="5" w:space="0" w:color="000000"/>
              <w:left w:val="single" w:sz="5" w:space="0" w:color="000000"/>
              <w:bottom w:val="single" w:sz="5" w:space="0" w:color="000000"/>
              <w:right w:val="single" w:sz="5" w:space="0" w:color="000000"/>
            </w:tcBorders>
          </w:tcPr>
          <w:p w14:paraId="176FC7EC"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 xml:space="preserve">Risk of bias in studies </w:t>
            </w:r>
          </w:p>
        </w:tc>
        <w:tc>
          <w:tcPr>
            <w:tcW w:w="193" w:type="pct"/>
            <w:tcBorders>
              <w:top w:val="single" w:sz="5" w:space="0" w:color="000000"/>
              <w:left w:val="single" w:sz="5" w:space="0" w:color="000000"/>
              <w:bottom w:val="single" w:sz="5" w:space="0" w:color="000000"/>
              <w:right w:val="single" w:sz="5" w:space="0" w:color="000000"/>
            </w:tcBorders>
          </w:tcPr>
          <w:p w14:paraId="365565CD"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18</w:t>
            </w:r>
          </w:p>
        </w:tc>
        <w:tc>
          <w:tcPr>
            <w:tcW w:w="3863" w:type="pct"/>
            <w:tcBorders>
              <w:top w:val="single" w:sz="5" w:space="0" w:color="000000"/>
              <w:left w:val="single" w:sz="5" w:space="0" w:color="000000"/>
              <w:bottom w:val="single" w:sz="5" w:space="0" w:color="000000"/>
              <w:right w:val="single" w:sz="5" w:space="0" w:color="000000"/>
            </w:tcBorders>
          </w:tcPr>
          <w:p w14:paraId="052F44BD"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Present assessments of risk of bias for each included study.</w:t>
            </w:r>
          </w:p>
        </w:tc>
        <w:tc>
          <w:tcPr>
            <w:tcW w:w="395" w:type="pct"/>
            <w:tcBorders>
              <w:top w:val="single" w:sz="5" w:space="0" w:color="000000"/>
              <w:left w:val="single" w:sz="5" w:space="0" w:color="000000"/>
              <w:bottom w:val="single" w:sz="5" w:space="0" w:color="000000"/>
              <w:right w:val="single" w:sz="5" w:space="0" w:color="000000"/>
            </w:tcBorders>
          </w:tcPr>
          <w:p w14:paraId="016CC348"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11,12</w:t>
            </w:r>
          </w:p>
        </w:tc>
      </w:tr>
      <w:tr w:rsidR="000E0F86" w:rsidRPr="0053176A" w14:paraId="5F61E745" w14:textId="77777777" w:rsidTr="00565D9E">
        <w:trPr>
          <w:trHeight w:val="48"/>
        </w:trPr>
        <w:tc>
          <w:tcPr>
            <w:tcW w:w="549" w:type="pct"/>
            <w:tcBorders>
              <w:top w:val="single" w:sz="5" w:space="0" w:color="000000"/>
              <w:left w:val="single" w:sz="5" w:space="0" w:color="000000"/>
              <w:bottom w:val="single" w:sz="5" w:space="0" w:color="000000"/>
              <w:right w:val="single" w:sz="5" w:space="0" w:color="000000"/>
            </w:tcBorders>
          </w:tcPr>
          <w:p w14:paraId="564A0004"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 xml:space="preserve">Results of individual studies </w:t>
            </w:r>
          </w:p>
        </w:tc>
        <w:tc>
          <w:tcPr>
            <w:tcW w:w="193" w:type="pct"/>
            <w:tcBorders>
              <w:top w:val="single" w:sz="5" w:space="0" w:color="000000"/>
              <w:left w:val="single" w:sz="5" w:space="0" w:color="000000"/>
              <w:bottom w:val="single" w:sz="5" w:space="0" w:color="000000"/>
              <w:right w:val="single" w:sz="5" w:space="0" w:color="000000"/>
            </w:tcBorders>
          </w:tcPr>
          <w:p w14:paraId="6FEF7A7C"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19</w:t>
            </w:r>
          </w:p>
        </w:tc>
        <w:tc>
          <w:tcPr>
            <w:tcW w:w="3863" w:type="pct"/>
            <w:tcBorders>
              <w:top w:val="single" w:sz="5" w:space="0" w:color="000000"/>
              <w:left w:val="single" w:sz="5" w:space="0" w:color="000000"/>
              <w:bottom w:val="single" w:sz="5" w:space="0" w:color="000000"/>
              <w:right w:val="single" w:sz="5" w:space="0" w:color="000000"/>
            </w:tcBorders>
          </w:tcPr>
          <w:p w14:paraId="513AC980"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For all outcomes, present, for each study: (a) summary statistics for each group (where appropriate) and (b) an effect estimates and its precision (e.g. confidence/credible interval), ideally using structured tables or plots.</w:t>
            </w:r>
          </w:p>
        </w:tc>
        <w:tc>
          <w:tcPr>
            <w:tcW w:w="395" w:type="pct"/>
            <w:tcBorders>
              <w:top w:val="single" w:sz="5" w:space="0" w:color="000000"/>
              <w:left w:val="single" w:sz="5" w:space="0" w:color="000000"/>
              <w:bottom w:val="single" w:sz="5" w:space="0" w:color="000000"/>
              <w:right w:val="single" w:sz="5" w:space="0" w:color="000000"/>
            </w:tcBorders>
          </w:tcPr>
          <w:p w14:paraId="5751276A"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11,12</w:t>
            </w:r>
          </w:p>
        </w:tc>
      </w:tr>
      <w:tr w:rsidR="000E0F86" w:rsidRPr="0053176A" w14:paraId="1FFF1B5E" w14:textId="77777777" w:rsidTr="00565D9E">
        <w:trPr>
          <w:trHeight w:val="48"/>
        </w:trPr>
        <w:tc>
          <w:tcPr>
            <w:tcW w:w="549" w:type="pct"/>
            <w:vMerge w:val="restart"/>
            <w:tcBorders>
              <w:top w:val="single" w:sz="5" w:space="0" w:color="000000"/>
              <w:left w:val="single" w:sz="5" w:space="0" w:color="000000"/>
              <w:right w:val="single" w:sz="5" w:space="0" w:color="000000"/>
            </w:tcBorders>
          </w:tcPr>
          <w:p w14:paraId="49F23322"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Results of syntheses</w:t>
            </w:r>
          </w:p>
        </w:tc>
        <w:tc>
          <w:tcPr>
            <w:tcW w:w="193" w:type="pct"/>
            <w:tcBorders>
              <w:top w:val="single" w:sz="5" w:space="0" w:color="000000"/>
              <w:left w:val="single" w:sz="5" w:space="0" w:color="000000"/>
              <w:bottom w:val="single" w:sz="5" w:space="0" w:color="000000"/>
              <w:right w:val="single" w:sz="5" w:space="0" w:color="000000"/>
            </w:tcBorders>
          </w:tcPr>
          <w:p w14:paraId="6BA07CDC"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20a</w:t>
            </w:r>
          </w:p>
        </w:tc>
        <w:tc>
          <w:tcPr>
            <w:tcW w:w="3863" w:type="pct"/>
            <w:tcBorders>
              <w:top w:val="single" w:sz="5" w:space="0" w:color="000000"/>
              <w:left w:val="single" w:sz="5" w:space="0" w:color="000000"/>
              <w:bottom w:val="single" w:sz="5" w:space="0" w:color="000000"/>
              <w:right w:val="single" w:sz="5" w:space="0" w:color="000000"/>
            </w:tcBorders>
          </w:tcPr>
          <w:p w14:paraId="06E2F824"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For each synthesis, briefly summarise the characteristics and risk of bias among contributing studies.</w:t>
            </w:r>
          </w:p>
        </w:tc>
        <w:tc>
          <w:tcPr>
            <w:tcW w:w="395" w:type="pct"/>
            <w:tcBorders>
              <w:top w:val="single" w:sz="5" w:space="0" w:color="000000"/>
              <w:left w:val="single" w:sz="5" w:space="0" w:color="000000"/>
              <w:bottom w:val="single" w:sz="5" w:space="0" w:color="000000"/>
              <w:right w:val="single" w:sz="5" w:space="0" w:color="000000"/>
            </w:tcBorders>
          </w:tcPr>
          <w:p w14:paraId="4C562610"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11,12</w:t>
            </w:r>
          </w:p>
        </w:tc>
      </w:tr>
      <w:tr w:rsidR="000E0F86" w:rsidRPr="0053176A" w14:paraId="3A1E107D" w14:textId="77777777" w:rsidTr="00565D9E">
        <w:trPr>
          <w:trHeight w:val="203"/>
        </w:trPr>
        <w:tc>
          <w:tcPr>
            <w:tcW w:w="549" w:type="pct"/>
            <w:vMerge/>
            <w:tcBorders>
              <w:left w:val="single" w:sz="5" w:space="0" w:color="000000"/>
              <w:right w:val="single" w:sz="5" w:space="0" w:color="000000"/>
            </w:tcBorders>
          </w:tcPr>
          <w:p w14:paraId="18C999AD" w14:textId="77777777" w:rsidR="000E0F86" w:rsidRPr="0053176A" w:rsidRDefault="000E0F86" w:rsidP="00565D9E">
            <w:pPr>
              <w:pStyle w:val="Default"/>
              <w:spacing w:before="40" w:after="40"/>
              <w:rPr>
                <w:rFonts w:ascii="Arial" w:hAnsi="Arial" w:cs="Arial"/>
                <w:color w:val="auto"/>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091941FD"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20b</w:t>
            </w:r>
          </w:p>
        </w:tc>
        <w:tc>
          <w:tcPr>
            <w:tcW w:w="3863" w:type="pct"/>
            <w:tcBorders>
              <w:top w:val="single" w:sz="5" w:space="0" w:color="000000"/>
              <w:left w:val="single" w:sz="5" w:space="0" w:color="000000"/>
              <w:bottom w:val="single" w:sz="5" w:space="0" w:color="000000"/>
              <w:right w:val="single" w:sz="5" w:space="0" w:color="000000"/>
            </w:tcBorders>
          </w:tcPr>
          <w:p w14:paraId="29054CF8"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395" w:type="pct"/>
            <w:tcBorders>
              <w:top w:val="single" w:sz="5" w:space="0" w:color="000000"/>
              <w:left w:val="single" w:sz="5" w:space="0" w:color="000000"/>
              <w:bottom w:val="single" w:sz="5" w:space="0" w:color="000000"/>
              <w:right w:val="single" w:sz="5" w:space="0" w:color="000000"/>
            </w:tcBorders>
          </w:tcPr>
          <w:p w14:paraId="4B669990"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11,12</w:t>
            </w:r>
          </w:p>
        </w:tc>
      </w:tr>
      <w:tr w:rsidR="000E0F86" w:rsidRPr="0053176A" w14:paraId="18120976" w14:textId="77777777" w:rsidTr="00565D9E">
        <w:trPr>
          <w:trHeight w:val="48"/>
        </w:trPr>
        <w:tc>
          <w:tcPr>
            <w:tcW w:w="549" w:type="pct"/>
            <w:vMerge/>
            <w:tcBorders>
              <w:left w:val="single" w:sz="5" w:space="0" w:color="000000"/>
              <w:right w:val="single" w:sz="5" w:space="0" w:color="000000"/>
            </w:tcBorders>
          </w:tcPr>
          <w:p w14:paraId="2E6B69D2" w14:textId="77777777" w:rsidR="000E0F86" w:rsidRPr="0053176A" w:rsidRDefault="000E0F86" w:rsidP="00565D9E">
            <w:pPr>
              <w:pStyle w:val="Default"/>
              <w:spacing w:before="40" w:after="40"/>
              <w:rPr>
                <w:rFonts w:ascii="Arial" w:hAnsi="Arial" w:cs="Arial"/>
                <w:color w:val="auto"/>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69C77208"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20c</w:t>
            </w:r>
          </w:p>
        </w:tc>
        <w:tc>
          <w:tcPr>
            <w:tcW w:w="3863" w:type="pct"/>
            <w:tcBorders>
              <w:top w:val="single" w:sz="5" w:space="0" w:color="000000"/>
              <w:left w:val="single" w:sz="5" w:space="0" w:color="000000"/>
              <w:bottom w:val="single" w:sz="5" w:space="0" w:color="000000"/>
              <w:right w:val="single" w:sz="5" w:space="0" w:color="000000"/>
            </w:tcBorders>
          </w:tcPr>
          <w:p w14:paraId="236E8775"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Present results of all investigations of possible causes of heterogeneity among study results.</w:t>
            </w:r>
          </w:p>
        </w:tc>
        <w:tc>
          <w:tcPr>
            <w:tcW w:w="395" w:type="pct"/>
            <w:tcBorders>
              <w:top w:val="single" w:sz="5" w:space="0" w:color="000000"/>
              <w:left w:val="single" w:sz="5" w:space="0" w:color="000000"/>
              <w:bottom w:val="single" w:sz="5" w:space="0" w:color="000000"/>
              <w:right w:val="single" w:sz="5" w:space="0" w:color="000000"/>
            </w:tcBorders>
          </w:tcPr>
          <w:p w14:paraId="624F5238"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11</w:t>
            </w:r>
          </w:p>
        </w:tc>
      </w:tr>
      <w:tr w:rsidR="000E0F86" w:rsidRPr="0053176A" w14:paraId="31CC7DED" w14:textId="77777777" w:rsidTr="00565D9E">
        <w:trPr>
          <w:trHeight w:val="48"/>
        </w:trPr>
        <w:tc>
          <w:tcPr>
            <w:tcW w:w="549" w:type="pct"/>
            <w:vMerge/>
            <w:tcBorders>
              <w:left w:val="single" w:sz="5" w:space="0" w:color="000000"/>
              <w:bottom w:val="single" w:sz="5" w:space="0" w:color="000000"/>
              <w:right w:val="single" w:sz="5" w:space="0" w:color="000000"/>
            </w:tcBorders>
          </w:tcPr>
          <w:p w14:paraId="0701A28D" w14:textId="77777777" w:rsidR="000E0F86" w:rsidRPr="0053176A" w:rsidRDefault="000E0F86" w:rsidP="00565D9E">
            <w:pPr>
              <w:pStyle w:val="Default"/>
              <w:spacing w:before="40" w:after="40"/>
              <w:rPr>
                <w:rFonts w:ascii="Arial" w:hAnsi="Arial" w:cs="Arial"/>
                <w:color w:val="auto"/>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64C5B4EA"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20d</w:t>
            </w:r>
          </w:p>
        </w:tc>
        <w:tc>
          <w:tcPr>
            <w:tcW w:w="3863" w:type="pct"/>
            <w:tcBorders>
              <w:top w:val="single" w:sz="5" w:space="0" w:color="000000"/>
              <w:left w:val="single" w:sz="5" w:space="0" w:color="000000"/>
              <w:bottom w:val="single" w:sz="5" w:space="0" w:color="000000"/>
              <w:right w:val="single" w:sz="5" w:space="0" w:color="000000"/>
            </w:tcBorders>
          </w:tcPr>
          <w:p w14:paraId="0FBA6FF8"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Present results of all sensitivity analyses conducted to assess the robustness of the synthesized results.</w:t>
            </w:r>
          </w:p>
        </w:tc>
        <w:tc>
          <w:tcPr>
            <w:tcW w:w="395" w:type="pct"/>
            <w:tcBorders>
              <w:top w:val="single" w:sz="5" w:space="0" w:color="000000"/>
              <w:left w:val="single" w:sz="5" w:space="0" w:color="000000"/>
              <w:bottom w:val="single" w:sz="5" w:space="0" w:color="000000"/>
              <w:right w:val="single" w:sz="5" w:space="0" w:color="000000"/>
            </w:tcBorders>
          </w:tcPr>
          <w:p w14:paraId="7E663357"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11</w:t>
            </w:r>
          </w:p>
        </w:tc>
      </w:tr>
      <w:tr w:rsidR="000E0F86" w:rsidRPr="0053176A" w14:paraId="6FC1E375" w14:textId="77777777" w:rsidTr="00565D9E">
        <w:trPr>
          <w:trHeight w:val="48"/>
        </w:trPr>
        <w:tc>
          <w:tcPr>
            <w:tcW w:w="549" w:type="pct"/>
            <w:tcBorders>
              <w:top w:val="single" w:sz="5" w:space="0" w:color="000000"/>
              <w:left w:val="single" w:sz="5" w:space="0" w:color="000000"/>
              <w:bottom w:val="single" w:sz="5" w:space="0" w:color="000000"/>
              <w:right w:val="single" w:sz="5" w:space="0" w:color="000000"/>
            </w:tcBorders>
          </w:tcPr>
          <w:p w14:paraId="0D07C78A"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Reporting biases</w:t>
            </w:r>
          </w:p>
        </w:tc>
        <w:tc>
          <w:tcPr>
            <w:tcW w:w="193" w:type="pct"/>
            <w:tcBorders>
              <w:top w:val="single" w:sz="5" w:space="0" w:color="000000"/>
              <w:left w:val="single" w:sz="5" w:space="0" w:color="000000"/>
              <w:bottom w:val="single" w:sz="5" w:space="0" w:color="000000"/>
              <w:right w:val="single" w:sz="5" w:space="0" w:color="000000"/>
            </w:tcBorders>
          </w:tcPr>
          <w:p w14:paraId="7E7EB5D2"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21</w:t>
            </w:r>
          </w:p>
        </w:tc>
        <w:tc>
          <w:tcPr>
            <w:tcW w:w="3863" w:type="pct"/>
            <w:tcBorders>
              <w:top w:val="single" w:sz="5" w:space="0" w:color="000000"/>
              <w:left w:val="single" w:sz="5" w:space="0" w:color="000000"/>
              <w:bottom w:val="single" w:sz="5" w:space="0" w:color="000000"/>
              <w:right w:val="single" w:sz="5" w:space="0" w:color="000000"/>
            </w:tcBorders>
          </w:tcPr>
          <w:p w14:paraId="5E123E6F"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Present assessments of risk of bias due to missing results (arising from reporting biases) for each synthesis assessed.</w:t>
            </w:r>
          </w:p>
        </w:tc>
        <w:tc>
          <w:tcPr>
            <w:tcW w:w="395" w:type="pct"/>
            <w:tcBorders>
              <w:top w:val="single" w:sz="5" w:space="0" w:color="000000"/>
              <w:left w:val="single" w:sz="5" w:space="0" w:color="000000"/>
              <w:bottom w:val="single" w:sz="5" w:space="0" w:color="000000"/>
              <w:right w:val="single" w:sz="5" w:space="0" w:color="000000"/>
            </w:tcBorders>
          </w:tcPr>
          <w:p w14:paraId="7CF21FFB"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11</w:t>
            </w:r>
          </w:p>
        </w:tc>
      </w:tr>
      <w:tr w:rsidR="000E0F86" w:rsidRPr="0053176A" w14:paraId="64DED5EA" w14:textId="77777777" w:rsidTr="00565D9E">
        <w:trPr>
          <w:trHeight w:val="48"/>
        </w:trPr>
        <w:tc>
          <w:tcPr>
            <w:tcW w:w="549" w:type="pct"/>
            <w:tcBorders>
              <w:top w:val="single" w:sz="5" w:space="0" w:color="000000"/>
              <w:left w:val="single" w:sz="5" w:space="0" w:color="000000"/>
              <w:bottom w:val="single" w:sz="5" w:space="0" w:color="000000"/>
              <w:right w:val="single" w:sz="5" w:space="0" w:color="000000"/>
            </w:tcBorders>
          </w:tcPr>
          <w:p w14:paraId="7C3FE255"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 xml:space="preserve">Certainty of evidence </w:t>
            </w:r>
          </w:p>
        </w:tc>
        <w:tc>
          <w:tcPr>
            <w:tcW w:w="193" w:type="pct"/>
            <w:tcBorders>
              <w:top w:val="single" w:sz="5" w:space="0" w:color="000000"/>
              <w:left w:val="single" w:sz="5" w:space="0" w:color="000000"/>
              <w:bottom w:val="single" w:sz="5" w:space="0" w:color="000000"/>
              <w:right w:val="single" w:sz="5" w:space="0" w:color="000000"/>
            </w:tcBorders>
          </w:tcPr>
          <w:p w14:paraId="39DAC732"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22</w:t>
            </w:r>
          </w:p>
        </w:tc>
        <w:tc>
          <w:tcPr>
            <w:tcW w:w="3863" w:type="pct"/>
            <w:tcBorders>
              <w:top w:val="single" w:sz="5" w:space="0" w:color="000000"/>
              <w:left w:val="single" w:sz="5" w:space="0" w:color="000000"/>
              <w:bottom w:val="single" w:sz="5" w:space="0" w:color="000000"/>
              <w:right w:val="single" w:sz="5" w:space="0" w:color="000000"/>
            </w:tcBorders>
          </w:tcPr>
          <w:p w14:paraId="1918ADCC"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Present assessments of certainty (or confidence) in the body of evidence for each outcome assessed.</w:t>
            </w:r>
          </w:p>
        </w:tc>
        <w:tc>
          <w:tcPr>
            <w:tcW w:w="395" w:type="pct"/>
            <w:tcBorders>
              <w:top w:val="single" w:sz="5" w:space="0" w:color="000000"/>
              <w:left w:val="single" w:sz="5" w:space="0" w:color="000000"/>
              <w:bottom w:val="single" w:sz="5" w:space="0" w:color="000000"/>
              <w:right w:val="single" w:sz="5" w:space="0" w:color="000000"/>
            </w:tcBorders>
          </w:tcPr>
          <w:p w14:paraId="62D01C69"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11</w:t>
            </w:r>
          </w:p>
        </w:tc>
      </w:tr>
      <w:tr w:rsidR="000E0F86" w:rsidRPr="0053176A" w14:paraId="76133B74" w14:textId="77777777" w:rsidTr="00565D9E">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3C14FD1" w14:textId="77777777" w:rsidR="000E0F86" w:rsidRPr="0053176A" w:rsidRDefault="000E0F86" w:rsidP="00565D9E">
            <w:pPr>
              <w:pStyle w:val="Default"/>
              <w:rPr>
                <w:rFonts w:ascii="Arial" w:hAnsi="Arial" w:cs="Arial"/>
                <w:color w:val="auto"/>
                <w:sz w:val="18"/>
                <w:szCs w:val="18"/>
              </w:rPr>
            </w:pPr>
            <w:r w:rsidRPr="0053176A">
              <w:rPr>
                <w:rFonts w:ascii="Arial" w:hAnsi="Arial" w:cs="Arial"/>
                <w:b/>
                <w:bCs/>
                <w:color w:val="auto"/>
                <w:sz w:val="18"/>
                <w:szCs w:val="18"/>
              </w:rPr>
              <w:t xml:space="preserve">DISCUSSION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3A1FEEA6" w14:textId="77777777" w:rsidR="000E0F86" w:rsidRPr="0053176A" w:rsidRDefault="000E0F86" w:rsidP="00565D9E">
            <w:pPr>
              <w:pStyle w:val="Default"/>
              <w:jc w:val="center"/>
              <w:rPr>
                <w:rFonts w:ascii="Arial" w:hAnsi="Arial" w:cs="Arial"/>
                <w:color w:val="auto"/>
                <w:sz w:val="18"/>
                <w:szCs w:val="18"/>
              </w:rPr>
            </w:pPr>
          </w:p>
        </w:tc>
      </w:tr>
      <w:tr w:rsidR="000E0F86" w:rsidRPr="0053176A" w14:paraId="1A3E7A69" w14:textId="77777777" w:rsidTr="00565D9E">
        <w:trPr>
          <w:trHeight w:val="48"/>
        </w:trPr>
        <w:tc>
          <w:tcPr>
            <w:tcW w:w="549" w:type="pct"/>
            <w:vMerge w:val="restart"/>
            <w:tcBorders>
              <w:top w:val="single" w:sz="5" w:space="0" w:color="000000"/>
              <w:left w:val="single" w:sz="5" w:space="0" w:color="000000"/>
              <w:right w:val="single" w:sz="5" w:space="0" w:color="000000"/>
            </w:tcBorders>
          </w:tcPr>
          <w:p w14:paraId="5ADCD995"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 xml:space="preserve">Discussion </w:t>
            </w:r>
          </w:p>
        </w:tc>
        <w:tc>
          <w:tcPr>
            <w:tcW w:w="193" w:type="pct"/>
            <w:tcBorders>
              <w:top w:val="single" w:sz="5" w:space="0" w:color="000000"/>
              <w:left w:val="single" w:sz="5" w:space="0" w:color="000000"/>
              <w:bottom w:val="single" w:sz="5" w:space="0" w:color="000000"/>
              <w:right w:val="single" w:sz="5" w:space="0" w:color="000000"/>
            </w:tcBorders>
          </w:tcPr>
          <w:p w14:paraId="6594207D"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23a</w:t>
            </w:r>
          </w:p>
        </w:tc>
        <w:tc>
          <w:tcPr>
            <w:tcW w:w="3863" w:type="pct"/>
            <w:tcBorders>
              <w:top w:val="single" w:sz="5" w:space="0" w:color="000000"/>
              <w:left w:val="single" w:sz="5" w:space="0" w:color="000000"/>
              <w:bottom w:val="single" w:sz="5" w:space="0" w:color="000000"/>
              <w:right w:val="single" w:sz="5" w:space="0" w:color="000000"/>
            </w:tcBorders>
          </w:tcPr>
          <w:p w14:paraId="7EAF42CF"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Provide a general interpretation of the results in the context of other evidence.</w:t>
            </w:r>
          </w:p>
        </w:tc>
        <w:tc>
          <w:tcPr>
            <w:tcW w:w="395" w:type="pct"/>
            <w:tcBorders>
              <w:top w:val="single" w:sz="5" w:space="0" w:color="000000"/>
              <w:left w:val="single" w:sz="5" w:space="0" w:color="000000"/>
              <w:bottom w:val="single" w:sz="5" w:space="0" w:color="000000"/>
              <w:right w:val="single" w:sz="5" w:space="0" w:color="000000"/>
            </w:tcBorders>
          </w:tcPr>
          <w:p w14:paraId="24A2F284"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12-15</w:t>
            </w:r>
          </w:p>
        </w:tc>
      </w:tr>
      <w:tr w:rsidR="000E0F86" w:rsidRPr="0053176A" w14:paraId="0A39D1B9" w14:textId="77777777" w:rsidTr="00565D9E">
        <w:trPr>
          <w:trHeight w:val="48"/>
        </w:trPr>
        <w:tc>
          <w:tcPr>
            <w:tcW w:w="549" w:type="pct"/>
            <w:vMerge/>
            <w:tcBorders>
              <w:left w:val="single" w:sz="5" w:space="0" w:color="000000"/>
              <w:right w:val="single" w:sz="5" w:space="0" w:color="000000"/>
            </w:tcBorders>
          </w:tcPr>
          <w:p w14:paraId="69EADA6B" w14:textId="77777777" w:rsidR="000E0F86" w:rsidRPr="0053176A" w:rsidRDefault="000E0F86" w:rsidP="00565D9E">
            <w:pPr>
              <w:pStyle w:val="Default"/>
              <w:spacing w:before="40" w:after="40"/>
              <w:rPr>
                <w:rFonts w:ascii="Arial" w:hAnsi="Arial" w:cs="Arial"/>
                <w:color w:val="auto"/>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71CA37A0"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23b</w:t>
            </w:r>
          </w:p>
        </w:tc>
        <w:tc>
          <w:tcPr>
            <w:tcW w:w="3863" w:type="pct"/>
            <w:tcBorders>
              <w:top w:val="single" w:sz="5" w:space="0" w:color="000000"/>
              <w:left w:val="single" w:sz="5" w:space="0" w:color="000000"/>
              <w:bottom w:val="single" w:sz="5" w:space="0" w:color="000000"/>
              <w:right w:val="single" w:sz="5" w:space="0" w:color="000000"/>
            </w:tcBorders>
          </w:tcPr>
          <w:p w14:paraId="75C4DF85"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Discuss any limitations of the evidence included in the review.</w:t>
            </w:r>
          </w:p>
        </w:tc>
        <w:tc>
          <w:tcPr>
            <w:tcW w:w="395" w:type="pct"/>
            <w:tcBorders>
              <w:top w:val="single" w:sz="5" w:space="0" w:color="000000"/>
              <w:left w:val="single" w:sz="5" w:space="0" w:color="000000"/>
              <w:bottom w:val="single" w:sz="5" w:space="0" w:color="000000"/>
              <w:right w:val="single" w:sz="5" w:space="0" w:color="000000"/>
            </w:tcBorders>
          </w:tcPr>
          <w:p w14:paraId="1CBFEED3"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15</w:t>
            </w:r>
          </w:p>
        </w:tc>
      </w:tr>
      <w:tr w:rsidR="000E0F86" w:rsidRPr="0053176A" w14:paraId="5E61EB94" w14:textId="77777777" w:rsidTr="00565D9E">
        <w:trPr>
          <w:trHeight w:val="48"/>
        </w:trPr>
        <w:tc>
          <w:tcPr>
            <w:tcW w:w="549" w:type="pct"/>
            <w:vMerge/>
            <w:tcBorders>
              <w:left w:val="single" w:sz="5" w:space="0" w:color="000000"/>
              <w:right w:val="single" w:sz="5" w:space="0" w:color="000000"/>
            </w:tcBorders>
          </w:tcPr>
          <w:p w14:paraId="672F5B1B" w14:textId="77777777" w:rsidR="000E0F86" w:rsidRPr="0053176A" w:rsidRDefault="000E0F86" w:rsidP="00565D9E">
            <w:pPr>
              <w:pStyle w:val="Default"/>
              <w:spacing w:before="40" w:after="40"/>
              <w:rPr>
                <w:rFonts w:ascii="Arial" w:hAnsi="Arial" w:cs="Arial"/>
                <w:color w:val="auto"/>
                <w:sz w:val="18"/>
                <w:szCs w:val="18"/>
              </w:rPr>
            </w:pPr>
          </w:p>
        </w:tc>
        <w:tc>
          <w:tcPr>
            <w:tcW w:w="193" w:type="pct"/>
            <w:tcBorders>
              <w:top w:val="single" w:sz="5" w:space="0" w:color="000000"/>
              <w:left w:val="single" w:sz="5" w:space="0" w:color="000000"/>
              <w:bottom w:val="single" w:sz="4" w:space="0" w:color="auto"/>
              <w:right w:val="single" w:sz="5" w:space="0" w:color="000000"/>
            </w:tcBorders>
          </w:tcPr>
          <w:p w14:paraId="1EC6FDCB"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23c</w:t>
            </w:r>
          </w:p>
        </w:tc>
        <w:tc>
          <w:tcPr>
            <w:tcW w:w="3863" w:type="pct"/>
            <w:tcBorders>
              <w:top w:val="single" w:sz="5" w:space="0" w:color="000000"/>
              <w:left w:val="single" w:sz="5" w:space="0" w:color="000000"/>
              <w:bottom w:val="single" w:sz="5" w:space="0" w:color="000000"/>
              <w:right w:val="single" w:sz="5" w:space="0" w:color="000000"/>
            </w:tcBorders>
          </w:tcPr>
          <w:p w14:paraId="53030633"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Discuss any limitations of the review processes used.</w:t>
            </w:r>
          </w:p>
        </w:tc>
        <w:tc>
          <w:tcPr>
            <w:tcW w:w="395" w:type="pct"/>
            <w:tcBorders>
              <w:top w:val="single" w:sz="5" w:space="0" w:color="000000"/>
              <w:left w:val="single" w:sz="5" w:space="0" w:color="000000"/>
              <w:bottom w:val="single" w:sz="5" w:space="0" w:color="000000"/>
              <w:right w:val="single" w:sz="5" w:space="0" w:color="000000"/>
            </w:tcBorders>
          </w:tcPr>
          <w:p w14:paraId="3611A7DF"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15</w:t>
            </w:r>
          </w:p>
        </w:tc>
      </w:tr>
      <w:tr w:rsidR="000E0F86" w:rsidRPr="0053176A" w14:paraId="6B923428" w14:textId="77777777" w:rsidTr="00565D9E">
        <w:trPr>
          <w:trHeight w:val="48"/>
        </w:trPr>
        <w:tc>
          <w:tcPr>
            <w:tcW w:w="549" w:type="pct"/>
            <w:vMerge/>
            <w:tcBorders>
              <w:left w:val="single" w:sz="5" w:space="0" w:color="000000"/>
              <w:bottom w:val="single" w:sz="4" w:space="0" w:color="auto"/>
              <w:right w:val="single" w:sz="5" w:space="0" w:color="000000"/>
            </w:tcBorders>
          </w:tcPr>
          <w:p w14:paraId="6D97773C" w14:textId="77777777" w:rsidR="000E0F86" w:rsidRPr="0053176A" w:rsidRDefault="000E0F86" w:rsidP="00565D9E">
            <w:pPr>
              <w:pStyle w:val="Default"/>
              <w:spacing w:before="40" w:after="40"/>
              <w:rPr>
                <w:rFonts w:ascii="Arial" w:hAnsi="Arial" w:cs="Arial"/>
                <w:color w:val="auto"/>
                <w:sz w:val="18"/>
                <w:szCs w:val="18"/>
              </w:rPr>
            </w:pPr>
          </w:p>
        </w:tc>
        <w:tc>
          <w:tcPr>
            <w:tcW w:w="193" w:type="pct"/>
            <w:tcBorders>
              <w:top w:val="single" w:sz="4" w:space="0" w:color="auto"/>
              <w:left w:val="single" w:sz="5" w:space="0" w:color="000000"/>
              <w:bottom w:val="single" w:sz="4" w:space="0" w:color="auto"/>
              <w:right w:val="single" w:sz="4" w:space="0" w:color="auto"/>
            </w:tcBorders>
          </w:tcPr>
          <w:p w14:paraId="66C63D45"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23d</w:t>
            </w:r>
          </w:p>
        </w:tc>
        <w:tc>
          <w:tcPr>
            <w:tcW w:w="3863" w:type="pct"/>
            <w:tcBorders>
              <w:top w:val="single" w:sz="5" w:space="0" w:color="000000"/>
              <w:left w:val="single" w:sz="4" w:space="0" w:color="auto"/>
              <w:bottom w:val="double" w:sz="5" w:space="0" w:color="000000"/>
              <w:right w:val="single" w:sz="5" w:space="0" w:color="000000"/>
            </w:tcBorders>
          </w:tcPr>
          <w:p w14:paraId="5E295F4C"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Discuss implications of the results for practice, policy, and future research.</w:t>
            </w:r>
          </w:p>
        </w:tc>
        <w:tc>
          <w:tcPr>
            <w:tcW w:w="395" w:type="pct"/>
            <w:tcBorders>
              <w:top w:val="single" w:sz="5" w:space="0" w:color="000000"/>
              <w:left w:val="single" w:sz="5" w:space="0" w:color="000000"/>
              <w:bottom w:val="double" w:sz="5" w:space="0" w:color="000000"/>
              <w:right w:val="single" w:sz="5" w:space="0" w:color="000000"/>
            </w:tcBorders>
          </w:tcPr>
          <w:p w14:paraId="7439E1A4"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15</w:t>
            </w:r>
          </w:p>
        </w:tc>
      </w:tr>
      <w:tr w:rsidR="000E0F86" w:rsidRPr="0053176A" w14:paraId="3666ABD0" w14:textId="77777777" w:rsidTr="00565D9E">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2E7CBCE" w14:textId="77777777" w:rsidR="000E0F86" w:rsidRPr="0053176A" w:rsidRDefault="000E0F86" w:rsidP="00565D9E">
            <w:pPr>
              <w:pStyle w:val="Default"/>
              <w:rPr>
                <w:rFonts w:ascii="Arial" w:hAnsi="Arial" w:cs="Arial"/>
                <w:color w:val="auto"/>
                <w:sz w:val="18"/>
                <w:szCs w:val="18"/>
              </w:rPr>
            </w:pPr>
            <w:r w:rsidRPr="0053176A">
              <w:rPr>
                <w:rFonts w:ascii="Arial" w:hAnsi="Arial" w:cs="Arial"/>
                <w:b/>
                <w:bCs/>
                <w:color w:val="auto"/>
                <w:sz w:val="18"/>
                <w:szCs w:val="18"/>
              </w:rPr>
              <w:t>OTHER INFORMATION</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71827F9D" w14:textId="77777777" w:rsidR="000E0F86" w:rsidRPr="0053176A" w:rsidRDefault="000E0F86" w:rsidP="00565D9E">
            <w:pPr>
              <w:pStyle w:val="Default"/>
              <w:jc w:val="center"/>
              <w:rPr>
                <w:rFonts w:ascii="Arial" w:hAnsi="Arial" w:cs="Arial"/>
                <w:color w:val="auto"/>
                <w:sz w:val="18"/>
                <w:szCs w:val="18"/>
              </w:rPr>
            </w:pPr>
          </w:p>
        </w:tc>
      </w:tr>
      <w:tr w:rsidR="000E0F86" w:rsidRPr="0053176A" w14:paraId="4245D883" w14:textId="77777777" w:rsidTr="00565D9E">
        <w:trPr>
          <w:trHeight w:val="48"/>
        </w:trPr>
        <w:tc>
          <w:tcPr>
            <w:tcW w:w="549" w:type="pct"/>
            <w:vMerge w:val="restart"/>
            <w:tcBorders>
              <w:top w:val="single" w:sz="5" w:space="0" w:color="000000"/>
              <w:left w:val="single" w:sz="5" w:space="0" w:color="000000"/>
              <w:right w:val="single" w:sz="5" w:space="0" w:color="000000"/>
            </w:tcBorders>
          </w:tcPr>
          <w:p w14:paraId="1BDA151E"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Registration and protocol</w:t>
            </w:r>
          </w:p>
        </w:tc>
        <w:tc>
          <w:tcPr>
            <w:tcW w:w="193" w:type="pct"/>
            <w:tcBorders>
              <w:top w:val="single" w:sz="5" w:space="0" w:color="000000"/>
              <w:left w:val="single" w:sz="5" w:space="0" w:color="000000"/>
              <w:bottom w:val="single" w:sz="5" w:space="0" w:color="000000"/>
              <w:right w:val="single" w:sz="5" w:space="0" w:color="000000"/>
            </w:tcBorders>
          </w:tcPr>
          <w:p w14:paraId="1868EF7A"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24a</w:t>
            </w:r>
          </w:p>
        </w:tc>
        <w:tc>
          <w:tcPr>
            <w:tcW w:w="3863" w:type="pct"/>
            <w:tcBorders>
              <w:top w:val="single" w:sz="5" w:space="0" w:color="000000"/>
              <w:left w:val="single" w:sz="5" w:space="0" w:color="000000"/>
              <w:bottom w:val="single" w:sz="5" w:space="0" w:color="000000"/>
              <w:right w:val="single" w:sz="5" w:space="0" w:color="000000"/>
            </w:tcBorders>
          </w:tcPr>
          <w:p w14:paraId="0CB7CB0E"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Provide registration information for the review, including register name and registration number, or state that the review was not registered.</w:t>
            </w:r>
          </w:p>
        </w:tc>
        <w:tc>
          <w:tcPr>
            <w:tcW w:w="395" w:type="pct"/>
            <w:tcBorders>
              <w:top w:val="single" w:sz="5" w:space="0" w:color="000000"/>
              <w:left w:val="single" w:sz="5" w:space="0" w:color="000000"/>
              <w:bottom w:val="single" w:sz="5" w:space="0" w:color="000000"/>
              <w:right w:val="single" w:sz="5" w:space="0" w:color="000000"/>
            </w:tcBorders>
          </w:tcPr>
          <w:p w14:paraId="01F58040"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N/A</w:t>
            </w:r>
          </w:p>
        </w:tc>
      </w:tr>
      <w:tr w:rsidR="000E0F86" w:rsidRPr="0053176A" w14:paraId="7B49803B" w14:textId="77777777" w:rsidTr="00565D9E">
        <w:trPr>
          <w:trHeight w:val="57"/>
        </w:trPr>
        <w:tc>
          <w:tcPr>
            <w:tcW w:w="549" w:type="pct"/>
            <w:vMerge/>
            <w:tcBorders>
              <w:left w:val="single" w:sz="5" w:space="0" w:color="000000"/>
              <w:right w:val="single" w:sz="5" w:space="0" w:color="000000"/>
            </w:tcBorders>
          </w:tcPr>
          <w:p w14:paraId="0C8FFB74" w14:textId="77777777" w:rsidR="000E0F86" w:rsidRPr="0053176A" w:rsidRDefault="000E0F86" w:rsidP="00565D9E">
            <w:pPr>
              <w:pStyle w:val="Default"/>
              <w:spacing w:before="40" w:after="40"/>
              <w:rPr>
                <w:rFonts w:ascii="Arial" w:hAnsi="Arial" w:cs="Arial"/>
                <w:color w:val="auto"/>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0AAE3DCD"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24b</w:t>
            </w:r>
          </w:p>
        </w:tc>
        <w:tc>
          <w:tcPr>
            <w:tcW w:w="3863" w:type="pct"/>
            <w:tcBorders>
              <w:top w:val="single" w:sz="5" w:space="0" w:color="000000"/>
              <w:left w:val="single" w:sz="5" w:space="0" w:color="000000"/>
              <w:bottom w:val="single" w:sz="5" w:space="0" w:color="000000"/>
              <w:right w:val="single" w:sz="5" w:space="0" w:color="000000"/>
            </w:tcBorders>
          </w:tcPr>
          <w:p w14:paraId="59859ED6"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Indicate where the review protocol can be accessed, or state that a protocol was not prepared.</w:t>
            </w:r>
          </w:p>
        </w:tc>
        <w:tc>
          <w:tcPr>
            <w:tcW w:w="395" w:type="pct"/>
            <w:tcBorders>
              <w:top w:val="single" w:sz="5" w:space="0" w:color="000000"/>
              <w:left w:val="single" w:sz="5" w:space="0" w:color="000000"/>
              <w:bottom w:val="single" w:sz="5" w:space="0" w:color="000000"/>
              <w:right w:val="single" w:sz="5" w:space="0" w:color="000000"/>
            </w:tcBorders>
          </w:tcPr>
          <w:p w14:paraId="762B6EE0"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N/A</w:t>
            </w:r>
          </w:p>
        </w:tc>
      </w:tr>
      <w:tr w:rsidR="000E0F86" w:rsidRPr="0053176A" w14:paraId="0D5EB3C4" w14:textId="77777777" w:rsidTr="00565D9E">
        <w:trPr>
          <w:trHeight w:val="48"/>
        </w:trPr>
        <w:tc>
          <w:tcPr>
            <w:tcW w:w="549" w:type="pct"/>
            <w:vMerge/>
            <w:tcBorders>
              <w:left w:val="single" w:sz="5" w:space="0" w:color="000000"/>
              <w:bottom w:val="single" w:sz="5" w:space="0" w:color="000000"/>
              <w:right w:val="single" w:sz="5" w:space="0" w:color="000000"/>
            </w:tcBorders>
          </w:tcPr>
          <w:p w14:paraId="4DC95730" w14:textId="77777777" w:rsidR="000E0F86" w:rsidRPr="0053176A" w:rsidRDefault="000E0F86" w:rsidP="00565D9E">
            <w:pPr>
              <w:pStyle w:val="Default"/>
              <w:spacing w:before="40" w:after="40"/>
              <w:rPr>
                <w:rFonts w:ascii="Arial" w:hAnsi="Arial" w:cs="Arial"/>
                <w:color w:val="auto"/>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40229ABD"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24c</w:t>
            </w:r>
          </w:p>
        </w:tc>
        <w:tc>
          <w:tcPr>
            <w:tcW w:w="3863" w:type="pct"/>
            <w:tcBorders>
              <w:top w:val="single" w:sz="5" w:space="0" w:color="000000"/>
              <w:left w:val="single" w:sz="5" w:space="0" w:color="000000"/>
              <w:bottom w:val="single" w:sz="5" w:space="0" w:color="000000"/>
              <w:right w:val="single" w:sz="5" w:space="0" w:color="000000"/>
            </w:tcBorders>
          </w:tcPr>
          <w:p w14:paraId="0A971762"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Describe and explain any amendments to information provided at registration or in the protocol.</w:t>
            </w:r>
          </w:p>
        </w:tc>
        <w:tc>
          <w:tcPr>
            <w:tcW w:w="395" w:type="pct"/>
            <w:tcBorders>
              <w:top w:val="single" w:sz="5" w:space="0" w:color="000000"/>
              <w:left w:val="single" w:sz="5" w:space="0" w:color="000000"/>
              <w:bottom w:val="single" w:sz="5" w:space="0" w:color="000000"/>
              <w:right w:val="single" w:sz="5" w:space="0" w:color="000000"/>
            </w:tcBorders>
          </w:tcPr>
          <w:p w14:paraId="6168D275"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N/A</w:t>
            </w:r>
          </w:p>
        </w:tc>
      </w:tr>
      <w:tr w:rsidR="000E0F86" w:rsidRPr="0053176A" w14:paraId="3FEE0237" w14:textId="77777777" w:rsidTr="00565D9E">
        <w:trPr>
          <w:trHeight w:val="48"/>
        </w:trPr>
        <w:tc>
          <w:tcPr>
            <w:tcW w:w="549" w:type="pct"/>
            <w:tcBorders>
              <w:top w:val="single" w:sz="5" w:space="0" w:color="000000"/>
              <w:left w:val="single" w:sz="5" w:space="0" w:color="000000"/>
              <w:bottom w:val="single" w:sz="5" w:space="0" w:color="000000"/>
              <w:right w:val="single" w:sz="5" w:space="0" w:color="000000"/>
            </w:tcBorders>
          </w:tcPr>
          <w:p w14:paraId="052310D7"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Support</w:t>
            </w:r>
          </w:p>
        </w:tc>
        <w:tc>
          <w:tcPr>
            <w:tcW w:w="193" w:type="pct"/>
            <w:tcBorders>
              <w:top w:val="single" w:sz="5" w:space="0" w:color="000000"/>
              <w:left w:val="single" w:sz="5" w:space="0" w:color="000000"/>
              <w:bottom w:val="single" w:sz="5" w:space="0" w:color="000000"/>
              <w:right w:val="single" w:sz="5" w:space="0" w:color="000000"/>
            </w:tcBorders>
          </w:tcPr>
          <w:p w14:paraId="2D49C925"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25</w:t>
            </w:r>
          </w:p>
        </w:tc>
        <w:tc>
          <w:tcPr>
            <w:tcW w:w="3863" w:type="pct"/>
            <w:tcBorders>
              <w:top w:val="single" w:sz="5" w:space="0" w:color="000000"/>
              <w:left w:val="single" w:sz="5" w:space="0" w:color="000000"/>
              <w:bottom w:val="single" w:sz="5" w:space="0" w:color="000000"/>
              <w:right w:val="single" w:sz="5" w:space="0" w:color="000000"/>
            </w:tcBorders>
          </w:tcPr>
          <w:p w14:paraId="02B65D66"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Describe sources of financial or non-financial support for the review, and the role of the funders or sponsors in the review.</w:t>
            </w:r>
          </w:p>
        </w:tc>
        <w:tc>
          <w:tcPr>
            <w:tcW w:w="395" w:type="pct"/>
            <w:tcBorders>
              <w:top w:val="single" w:sz="5" w:space="0" w:color="000000"/>
              <w:left w:val="single" w:sz="5" w:space="0" w:color="000000"/>
              <w:bottom w:val="single" w:sz="5" w:space="0" w:color="000000"/>
              <w:right w:val="single" w:sz="5" w:space="0" w:color="000000"/>
            </w:tcBorders>
          </w:tcPr>
          <w:p w14:paraId="2929B413"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16</w:t>
            </w:r>
          </w:p>
        </w:tc>
      </w:tr>
      <w:tr w:rsidR="000E0F86" w:rsidRPr="0053176A" w14:paraId="0E1014C5" w14:textId="77777777" w:rsidTr="00565D9E">
        <w:trPr>
          <w:trHeight w:val="48"/>
        </w:trPr>
        <w:tc>
          <w:tcPr>
            <w:tcW w:w="549" w:type="pct"/>
            <w:tcBorders>
              <w:top w:val="single" w:sz="5" w:space="0" w:color="000000"/>
              <w:left w:val="single" w:sz="5" w:space="0" w:color="000000"/>
              <w:bottom w:val="single" w:sz="5" w:space="0" w:color="000000"/>
              <w:right w:val="single" w:sz="5" w:space="0" w:color="000000"/>
            </w:tcBorders>
          </w:tcPr>
          <w:p w14:paraId="28D7C323"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Competing interests</w:t>
            </w:r>
          </w:p>
        </w:tc>
        <w:tc>
          <w:tcPr>
            <w:tcW w:w="193" w:type="pct"/>
            <w:tcBorders>
              <w:top w:val="single" w:sz="5" w:space="0" w:color="000000"/>
              <w:left w:val="single" w:sz="5" w:space="0" w:color="000000"/>
              <w:bottom w:val="single" w:sz="5" w:space="0" w:color="000000"/>
              <w:right w:val="single" w:sz="5" w:space="0" w:color="000000"/>
            </w:tcBorders>
          </w:tcPr>
          <w:p w14:paraId="7865D04E"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26</w:t>
            </w:r>
          </w:p>
        </w:tc>
        <w:tc>
          <w:tcPr>
            <w:tcW w:w="3863" w:type="pct"/>
            <w:tcBorders>
              <w:top w:val="single" w:sz="5" w:space="0" w:color="000000"/>
              <w:left w:val="single" w:sz="5" w:space="0" w:color="000000"/>
              <w:bottom w:val="single" w:sz="5" w:space="0" w:color="000000"/>
              <w:right w:val="single" w:sz="5" w:space="0" w:color="000000"/>
            </w:tcBorders>
          </w:tcPr>
          <w:p w14:paraId="74F5422F"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Declare any competing interests of review authors.</w:t>
            </w:r>
          </w:p>
        </w:tc>
        <w:tc>
          <w:tcPr>
            <w:tcW w:w="395" w:type="pct"/>
            <w:tcBorders>
              <w:top w:val="single" w:sz="5" w:space="0" w:color="000000"/>
              <w:left w:val="single" w:sz="5" w:space="0" w:color="000000"/>
              <w:bottom w:val="single" w:sz="5" w:space="0" w:color="000000"/>
              <w:right w:val="single" w:sz="5" w:space="0" w:color="000000"/>
            </w:tcBorders>
          </w:tcPr>
          <w:p w14:paraId="7FF8FD08"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16</w:t>
            </w:r>
          </w:p>
        </w:tc>
      </w:tr>
      <w:tr w:rsidR="000E0F86" w:rsidRPr="0053176A" w14:paraId="3D6DC577" w14:textId="77777777" w:rsidTr="00565D9E">
        <w:trPr>
          <w:trHeight w:val="219"/>
        </w:trPr>
        <w:tc>
          <w:tcPr>
            <w:tcW w:w="549" w:type="pct"/>
            <w:tcBorders>
              <w:top w:val="single" w:sz="5" w:space="0" w:color="000000"/>
              <w:left w:val="single" w:sz="5" w:space="0" w:color="000000"/>
              <w:bottom w:val="double" w:sz="5" w:space="0" w:color="000000"/>
              <w:right w:val="single" w:sz="5" w:space="0" w:color="000000"/>
            </w:tcBorders>
          </w:tcPr>
          <w:p w14:paraId="19F97C98"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Availability of data, code and other materials</w:t>
            </w:r>
          </w:p>
        </w:tc>
        <w:tc>
          <w:tcPr>
            <w:tcW w:w="193" w:type="pct"/>
            <w:tcBorders>
              <w:top w:val="single" w:sz="5" w:space="0" w:color="000000"/>
              <w:left w:val="single" w:sz="5" w:space="0" w:color="000000"/>
              <w:bottom w:val="double" w:sz="5" w:space="0" w:color="000000"/>
              <w:right w:val="single" w:sz="5" w:space="0" w:color="000000"/>
            </w:tcBorders>
          </w:tcPr>
          <w:p w14:paraId="132DA172" w14:textId="77777777" w:rsidR="000E0F86" w:rsidRPr="0053176A" w:rsidRDefault="000E0F86" w:rsidP="00565D9E">
            <w:pPr>
              <w:pStyle w:val="Default"/>
              <w:spacing w:before="40" w:after="40"/>
              <w:jc w:val="right"/>
              <w:rPr>
                <w:rFonts w:ascii="Arial" w:hAnsi="Arial" w:cs="Arial"/>
                <w:color w:val="auto"/>
                <w:sz w:val="18"/>
                <w:szCs w:val="18"/>
              </w:rPr>
            </w:pPr>
            <w:r w:rsidRPr="0053176A">
              <w:rPr>
                <w:rFonts w:ascii="Arial" w:hAnsi="Arial" w:cs="Arial"/>
                <w:color w:val="auto"/>
                <w:sz w:val="18"/>
                <w:szCs w:val="18"/>
              </w:rPr>
              <w:t>27</w:t>
            </w:r>
          </w:p>
        </w:tc>
        <w:tc>
          <w:tcPr>
            <w:tcW w:w="3863" w:type="pct"/>
            <w:tcBorders>
              <w:top w:val="single" w:sz="5" w:space="0" w:color="000000"/>
              <w:left w:val="single" w:sz="5" w:space="0" w:color="000000"/>
              <w:bottom w:val="double" w:sz="5" w:space="0" w:color="000000"/>
              <w:right w:val="single" w:sz="5" w:space="0" w:color="000000"/>
            </w:tcBorders>
          </w:tcPr>
          <w:p w14:paraId="58975E2A"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 xml:space="preserve">Report which of the following are publicly available and where they can be </w:t>
            </w:r>
            <w:proofErr w:type="gramStart"/>
            <w:r w:rsidRPr="0053176A">
              <w:rPr>
                <w:rFonts w:ascii="Arial" w:hAnsi="Arial" w:cs="Arial"/>
                <w:color w:val="auto"/>
                <w:sz w:val="18"/>
                <w:szCs w:val="18"/>
              </w:rPr>
              <w:t>found:</w:t>
            </w:r>
            <w:proofErr w:type="gramEnd"/>
            <w:r w:rsidRPr="0053176A">
              <w:rPr>
                <w:rFonts w:ascii="Arial" w:hAnsi="Arial" w:cs="Arial"/>
                <w:color w:val="auto"/>
                <w:sz w:val="18"/>
                <w:szCs w:val="18"/>
              </w:rPr>
              <w:t xml:space="preserve"> template data collection forms; data extracted from included studies; data used for all analyses; analytic code; any other materials used in the review.</w:t>
            </w:r>
          </w:p>
        </w:tc>
        <w:tc>
          <w:tcPr>
            <w:tcW w:w="395" w:type="pct"/>
            <w:tcBorders>
              <w:top w:val="single" w:sz="5" w:space="0" w:color="000000"/>
              <w:left w:val="single" w:sz="5" w:space="0" w:color="000000"/>
              <w:bottom w:val="double" w:sz="5" w:space="0" w:color="000000"/>
              <w:right w:val="single" w:sz="5" w:space="0" w:color="000000"/>
            </w:tcBorders>
          </w:tcPr>
          <w:p w14:paraId="42046399" w14:textId="77777777" w:rsidR="000E0F86" w:rsidRPr="0053176A" w:rsidRDefault="000E0F86" w:rsidP="00565D9E">
            <w:pPr>
              <w:pStyle w:val="Default"/>
              <w:spacing w:before="40" w:after="40"/>
              <w:rPr>
                <w:rFonts w:ascii="Arial" w:hAnsi="Arial" w:cs="Arial"/>
                <w:color w:val="auto"/>
                <w:sz w:val="18"/>
                <w:szCs w:val="18"/>
              </w:rPr>
            </w:pPr>
            <w:r w:rsidRPr="0053176A">
              <w:rPr>
                <w:rFonts w:ascii="Arial" w:hAnsi="Arial" w:cs="Arial"/>
                <w:color w:val="auto"/>
                <w:sz w:val="18"/>
                <w:szCs w:val="18"/>
              </w:rPr>
              <w:t>N/A</w:t>
            </w:r>
          </w:p>
        </w:tc>
      </w:tr>
    </w:tbl>
    <w:p w14:paraId="373D3AC0" w14:textId="77777777" w:rsidR="000E0F86" w:rsidRPr="0053176A" w:rsidRDefault="000E0F86" w:rsidP="000E0F86">
      <w:pPr>
        <w:tabs>
          <w:tab w:val="left" w:pos="5925"/>
        </w:tabs>
        <w:rPr>
          <w:rFonts w:asciiTheme="majorBidi" w:hAnsiTheme="majorBidi" w:cstheme="majorBidi"/>
        </w:rPr>
      </w:pPr>
    </w:p>
    <w:p w14:paraId="4303AD65" w14:textId="77777777" w:rsidR="000E0F86" w:rsidRPr="0053176A" w:rsidRDefault="000E0F86" w:rsidP="000E0F86">
      <w:pPr>
        <w:tabs>
          <w:tab w:val="left" w:pos="5925"/>
        </w:tabs>
        <w:rPr>
          <w:rFonts w:asciiTheme="majorBidi" w:hAnsiTheme="majorBidi" w:cstheme="majorBidi"/>
          <w:b/>
          <w:bCs/>
          <w:color w:val="A02B93" w:themeColor="accent5"/>
        </w:rPr>
      </w:pPr>
    </w:p>
    <w:p w14:paraId="3D7E98ED" w14:textId="77777777" w:rsidR="000E0F86" w:rsidRPr="0053176A" w:rsidRDefault="000E0F86" w:rsidP="000E0F86">
      <w:pPr>
        <w:tabs>
          <w:tab w:val="left" w:pos="5925"/>
        </w:tabs>
        <w:rPr>
          <w:rFonts w:asciiTheme="majorBidi" w:hAnsiTheme="majorBidi" w:cstheme="majorBidi"/>
          <w:b/>
          <w:bCs/>
          <w:color w:val="A02B93" w:themeColor="accent5"/>
        </w:rPr>
      </w:pPr>
    </w:p>
    <w:p w14:paraId="450BD2C9" w14:textId="77777777" w:rsidR="000E0F86" w:rsidRPr="0053176A" w:rsidRDefault="000E0F86" w:rsidP="000E0F86">
      <w:pPr>
        <w:tabs>
          <w:tab w:val="left" w:pos="5925"/>
        </w:tabs>
        <w:rPr>
          <w:rFonts w:asciiTheme="majorBidi" w:hAnsiTheme="majorBidi" w:cstheme="majorBidi"/>
          <w:b/>
          <w:bCs/>
          <w:color w:val="A02B93" w:themeColor="accent5"/>
        </w:rPr>
      </w:pPr>
    </w:p>
    <w:p w14:paraId="25276A58" w14:textId="77777777" w:rsidR="000E0F86" w:rsidRPr="0053176A" w:rsidRDefault="000E0F86" w:rsidP="000E0F86">
      <w:pPr>
        <w:tabs>
          <w:tab w:val="left" w:pos="5925"/>
        </w:tabs>
        <w:rPr>
          <w:rFonts w:asciiTheme="majorBidi" w:hAnsiTheme="majorBidi" w:cstheme="majorBidi"/>
          <w:b/>
          <w:bCs/>
          <w:color w:val="A02B93" w:themeColor="accent5"/>
        </w:rPr>
      </w:pPr>
    </w:p>
    <w:p w14:paraId="5DFBE9F6" w14:textId="77777777" w:rsidR="000E0F86" w:rsidRPr="0053176A" w:rsidRDefault="000E0F86" w:rsidP="000E0F86">
      <w:pPr>
        <w:tabs>
          <w:tab w:val="left" w:pos="5925"/>
        </w:tabs>
        <w:rPr>
          <w:rFonts w:asciiTheme="majorBidi" w:hAnsiTheme="majorBidi" w:cstheme="majorBidi"/>
          <w:b/>
          <w:bCs/>
          <w:color w:val="A02B93" w:themeColor="accent5"/>
        </w:rPr>
      </w:pPr>
    </w:p>
    <w:p w14:paraId="6239147D" w14:textId="77777777" w:rsidR="000E0F86" w:rsidRPr="0053176A" w:rsidRDefault="000E0F86" w:rsidP="000E0F86">
      <w:pPr>
        <w:tabs>
          <w:tab w:val="left" w:pos="5925"/>
        </w:tabs>
        <w:rPr>
          <w:rFonts w:asciiTheme="majorBidi" w:hAnsiTheme="majorBidi" w:cstheme="majorBidi"/>
          <w:b/>
          <w:bCs/>
          <w:color w:val="A02B93" w:themeColor="accent5"/>
        </w:rPr>
      </w:pPr>
    </w:p>
    <w:p w14:paraId="7BD465AC" w14:textId="77777777" w:rsidR="000E0F86" w:rsidRPr="0053176A" w:rsidRDefault="000E0F86" w:rsidP="000E0F86">
      <w:pPr>
        <w:tabs>
          <w:tab w:val="left" w:pos="5925"/>
        </w:tabs>
        <w:rPr>
          <w:rFonts w:asciiTheme="majorBidi" w:hAnsiTheme="majorBidi" w:cstheme="majorBidi"/>
          <w:b/>
          <w:bCs/>
          <w:color w:val="A02B93" w:themeColor="accent5"/>
        </w:rPr>
      </w:pPr>
    </w:p>
    <w:p w14:paraId="1C920DCA" w14:textId="77777777" w:rsidR="000E0F86" w:rsidRPr="0053176A" w:rsidRDefault="000E0F86" w:rsidP="000E0F86">
      <w:pPr>
        <w:tabs>
          <w:tab w:val="left" w:pos="5925"/>
        </w:tabs>
        <w:rPr>
          <w:rFonts w:asciiTheme="majorBidi" w:hAnsiTheme="majorBidi" w:cstheme="majorBidi"/>
          <w:b/>
          <w:bCs/>
          <w:color w:val="A02B93" w:themeColor="accent5"/>
        </w:rPr>
      </w:pPr>
    </w:p>
    <w:p w14:paraId="2423786C" w14:textId="77777777" w:rsidR="000E0F86" w:rsidRPr="0053176A" w:rsidRDefault="000E0F86" w:rsidP="000E0F86">
      <w:pPr>
        <w:tabs>
          <w:tab w:val="left" w:pos="5925"/>
        </w:tabs>
        <w:rPr>
          <w:rFonts w:asciiTheme="majorBidi" w:hAnsiTheme="majorBidi" w:cstheme="majorBidi"/>
          <w:b/>
          <w:bCs/>
          <w:color w:val="A02B93" w:themeColor="accent5"/>
        </w:rPr>
      </w:pPr>
    </w:p>
    <w:p w14:paraId="6E42F7A1" w14:textId="77777777" w:rsidR="000E0F86" w:rsidRPr="0053176A" w:rsidRDefault="000E0F86" w:rsidP="000E0F86">
      <w:pPr>
        <w:tabs>
          <w:tab w:val="left" w:pos="5925"/>
        </w:tabs>
        <w:rPr>
          <w:rFonts w:asciiTheme="majorBidi" w:hAnsiTheme="majorBidi" w:cstheme="majorBidi"/>
          <w:b/>
          <w:bCs/>
          <w:color w:val="A02B93" w:themeColor="accent5"/>
        </w:rPr>
      </w:pPr>
    </w:p>
    <w:p w14:paraId="323F3B77" w14:textId="77777777" w:rsidR="000E0F86" w:rsidRPr="0053176A" w:rsidRDefault="000E0F86" w:rsidP="000E0F86">
      <w:pPr>
        <w:tabs>
          <w:tab w:val="left" w:pos="5925"/>
        </w:tabs>
        <w:rPr>
          <w:rFonts w:asciiTheme="majorBidi" w:hAnsiTheme="majorBidi" w:cstheme="majorBidi"/>
          <w:b/>
          <w:bCs/>
          <w:color w:val="A02B93" w:themeColor="accent5"/>
        </w:rPr>
      </w:pPr>
    </w:p>
    <w:p w14:paraId="7EC0061A" w14:textId="77777777" w:rsidR="000E0F86" w:rsidRPr="0053176A" w:rsidRDefault="000E0F86" w:rsidP="000E0F86">
      <w:pPr>
        <w:tabs>
          <w:tab w:val="left" w:pos="5925"/>
        </w:tabs>
        <w:rPr>
          <w:rFonts w:asciiTheme="majorBidi" w:hAnsiTheme="majorBidi" w:cstheme="majorBidi"/>
          <w:b/>
          <w:bCs/>
          <w:color w:val="A02B93" w:themeColor="accent5"/>
        </w:rPr>
      </w:pPr>
    </w:p>
    <w:p w14:paraId="494E6C8E" w14:textId="77777777" w:rsidR="000E0F86" w:rsidRPr="0053176A" w:rsidRDefault="000E0F86" w:rsidP="000E0F86">
      <w:pPr>
        <w:tabs>
          <w:tab w:val="left" w:pos="5925"/>
        </w:tabs>
        <w:rPr>
          <w:rFonts w:asciiTheme="majorBidi" w:hAnsiTheme="majorBidi" w:cstheme="majorBidi"/>
          <w:b/>
          <w:bCs/>
          <w:color w:val="A02B93" w:themeColor="accent5"/>
        </w:rPr>
      </w:pPr>
    </w:p>
    <w:p w14:paraId="59CB9D16" w14:textId="77777777" w:rsidR="000E0F86" w:rsidRPr="0053176A" w:rsidRDefault="000E0F86" w:rsidP="000E0F86">
      <w:pPr>
        <w:tabs>
          <w:tab w:val="left" w:pos="5925"/>
        </w:tabs>
        <w:rPr>
          <w:rFonts w:asciiTheme="majorBidi" w:hAnsiTheme="majorBidi" w:cstheme="majorBidi"/>
          <w:b/>
          <w:bCs/>
          <w:color w:val="A02B93" w:themeColor="accent5"/>
        </w:rPr>
      </w:pPr>
    </w:p>
    <w:p w14:paraId="64D43ACF" w14:textId="77777777" w:rsidR="0041399E" w:rsidRPr="0053176A" w:rsidRDefault="0041399E" w:rsidP="000E0F86">
      <w:pPr>
        <w:tabs>
          <w:tab w:val="left" w:pos="5925"/>
        </w:tabs>
        <w:rPr>
          <w:rFonts w:asciiTheme="majorBidi" w:hAnsiTheme="majorBidi" w:cstheme="majorBidi"/>
          <w:b/>
          <w:bCs/>
          <w:color w:val="A02B93" w:themeColor="accent5"/>
        </w:rPr>
      </w:pPr>
    </w:p>
    <w:p w14:paraId="5F550588" w14:textId="77777777" w:rsidR="000E0F86" w:rsidRPr="0053176A" w:rsidRDefault="000E0F86" w:rsidP="000E0F86">
      <w:pPr>
        <w:tabs>
          <w:tab w:val="left" w:pos="5925"/>
        </w:tabs>
        <w:rPr>
          <w:rFonts w:asciiTheme="majorBidi" w:hAnsiTheme="majorBidi" w:cstheme="majorBidi"/>
          <w:b/>
          <w:bCs/>
          <w:color w:val="A02B93" w:themeColor="accent5"/>
        </w:rPr>
      </w:pPr>
    </w:p>
    <w:p w14:paraId="328A2020" w14:textId="77777777" w:rsidR="000E0F86" w:rsidRPr="0053176A" w:rsidRDefault="000E0F86" w:rsidP="000E0F86">
      <w:pPr>
        <w:tabs>
          <w:tab w:val="left" w:pos="5925"/>
        </w:tabs>
        <w:rPr>
          <w:rFonts w:asciiTheme="majorBidi" w:hAnsiTheme="majorBidi" w:cstheme="majorBidi"/>
          <w:b/>
          <w:bCs/>
          <w:color w:val="A02B93" w:themeColor="accent5"/>
        </w:rPr>
      </w:pPr>
    </w:p>
    <w:p w14:paraId="7F1FC6C4" w14:textId="77777777" w:rsidR="000E0F86" w:rsidRPr="0053176A" w:rsidRDefault="000E0F86" w:rsidP="000E0F86">
      <w:pPr>
        <w:tabs>
          <w:tab w:val="left" w:pos="5925"/>
        </w:tabs>
        <w:rPr>
          <w:rFonts w:asciiTheme="majorBidi" w:hAnsiTheme="majorBidi" w:cstheme="majorBidi"/>
          <w:b/>
          <w:bCs/>
          <w:color w:val="A02B93" w:themeColor="accent5"/>
        </w:rPr>
      </w:pPr>
    </w:p>
    <w:p w14:paraId="01194D8F" w14:textId="77777777" w:rsidR="000E0F86" w:rsidRPr="0053176A" w:rsidRDefault="000E0F86" w:rsidP="000E0F86">
      <w:pPr>
        <w:tabs>
          <w:tab w:val="left" w:pos="5925"/>
        </w:tabs>
        <w:rPr>
          <w:rFonts w:asciiTheme="majorBidi" w:hAnsiTheme="majorBidi" w:cstheme="majorBidi"/>
        </w:rPr>
      </w:pPr>
      <w:r w:rsidRPr="0053176A">
        <w:rPr>
          <w:rFonts w:asciiTheme="majorBidi" w:hAnsiTheme="majorBidi" w:cstheme="majorBidi"/>
          <w:b/>
          <w:bCs/>
          <w:color w:val="A02B93" w:themeColor="accent5"/>
        </w:rPr>
        <w:lastRenderedPageBreak/>
        <w:t xml:space="preserve">Table S3: </w:t>
      </w:r>
      <w:r w:rsidRPr="0053176A">
        <w:rPr>
          <w:b/>
          <w:bCs/>
          <w:lang w:val="en-GB"/>
        </w:rPr>
        <w:t>NEWCASTLE - OTTAWA QUALITY ASSESSMENT SCALE</w:t>
      </w:r>
      <w:r w:rsidRPr="0053176A">
        <w:rPr>
          <w:rFonts w:asciiTheme="majorBidi" w:hAnsiTheme="majorBidi" w:cstheme="majorBidi"/>
          <w:lang w:val="en-GB"/>
        </w:rPr>
        <w:t xml:space="preserve"> </w:t>
      </w:r>
      <w:r w:rsidRPr="0053176A">
        <w:rPr>
          <w:rFonts w:ascii="Times New Roman" w:eastAsia="Times New Roman" w:hAnsi="Times New Roman" w:cs="Times New Roman"/>
          <w:b/>
          <w:bCs/>
          <w:lang w:val="en-GB"/>
        </w:rPr>
        <w:t>COHORT STUDIES</w:t>
      </w:r>
    </w:p>
    <w:p w14:paraId="42C12045" w14:textId="77777777" w:rsidR="000E0F86" w:rsidRPr="0053176A" w:rsidRDefault="000E0F86" w:rsidP="000E0F86">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rPr>
      </w:pPr>
    </w:p>
    <w:tbl>
      <w:tblPr>
        <w:tblW w:w="5243"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1237"/>
        <w:gridCol w:w="712"/>
        <w:gridCol w:w="993"/>
        <w:gridCol w:w="1074"/>
        <w:gridCol w:w="985"/>
        <w:gridCol w:w="845"/>
        <w:gridCol w:w="726"/>
        <w:gridCol w:w="756"/>
        <w:gridCol w:w="894"/>
      </w:tblGrid>
      <w:tr w:rsidR="005F06AF" w:rsidRPr="0053176A" w14:paraId="2463C9A4" w14:textId="77777777" w:rsidTr="00565D9E">
        <w:trPr>
          <w:cantSplit/>
          <w:trHeight w:val="300"/>
        </w:trPr>
        <w:tc>
          <w:tcPr>
            <w:tcW w:w="843" w:type="pct"/>
            <w:vMerge w:val="restart"/>
            <w:shd w:val="clear" w:color="auto" w:fill="auto"/>
            <w:vAlign w:val="bottom"/>
            <w:hideMark/>
          </w:tcPr>
          <w:p w14:paraId="05FFCF30"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Last name of the first</w:t>
            </w:r>
            <w:r w:rsidRPr="0053176A">
              <w:rPr>
                <w:rFonts w:ascii="Calibri" w:eastAsia="Times New Roman" w:hAnsi="Calibri" w:cs="Calibri"/>
                <w:color w:val="000000"/>
              </w:rPr>
              <w:br/>
              <w:t xml:space="preserve"> author (publication year)</w:t>
            </w:r>
          </w:p>
        </w:tc>
        <w:tc>
          <w:tcPr>
            <w:tcW w:w="2046" w:type="pct"/>
            <w:gridSpan w:val="4"/>
            <w:shd w:val="clear" w:color="auto" w:fill="auto"/>
            <w:noWrap/>
            <w:vAlign w:val="bottom"/>
            <w:hideMark/>
          </w:tcPr>
          <w:p w14:paraId="41BC1464" w14:textId="77777777" w:rsidR="000E0F86" w:rsidRPr="0053176A" w:rsidRDefault="000E0F86" w:rsidP="00565D9E">
            <w:pPr>
              <w:spacing w:after="0" w:line="240" w:lineRule="auto"/>
              <w:jc w:val="center"/>
              <w:rPr>
                <w:rFonts w:ascii="Calibri" w:eastAsia="Times New Roman" w:hAnsi="Calibri" w:cs="Calibri"/>
                <w:b/>
                <w:bCs/>
                <w:color w:val="000000"/>
                <w:u w:val="single"/>
              </w:rPr>
            </w:pPr>
            <w:r w:rsidRPr="0053176A">
              <w:rPr>
                <w:rFonts w:ascii="Calibri" w:eastAsia="Times New Roman" w:hAnsi="Calibri" w:cs="Calibri"/>
                <w:b/>
                <w:bCs/>
                <w:color w:val="000000"/>
                <w:u w:val="single"/>
              </w:rPr>
              <w:t>Selection</w:t>
            </w:r>
          </w:p>
        </w:tc>
        <w:tc>
          <w:tcPr>
            <w:tcW w:w="1688" w:type="pct"/>
            <w:gridSpan w:val="4"/>
            <w:shd w:val="clear" w:color="auto" w:fill="auto"/>
            <w:vAlign w:val="bottom"/>
          </w:tcPr>
          <w:p w14:paraId="676723C2" w14:textId="77777777" w:rsidR="000E0F86" w:rsidRPr="0053176A" w:rsidRDefault="000E0F86" w:rsidP="00565D9E">
            <w:pPr>
              <w:spacing w:after="0" w:line="240" w:lineRule="auto"/>
              <w:jc w:val="center"/>
              <w:rPr>
                <w:rFonts w:ascii="Calibri" w:eastAsia="Times New Roman" w:hAnsi="Calibri" w:cs="Calibri"/>
                <w:b/>
                <w:bCs/>
                <w:color w:val="000000"/>
                <w:u w:val="single"/>
              </w:rPr>
            </w:pPr>
            <w:r w:rsidRPr="0053176A">
              <w:rPr>
                <w:rFonts w:ascii="Calibri" w:eastAsia="Times New Roman" w:hAnsi="Calibri" w:cs="Calibri"/>
                <w:b/>
                <w:bCs/>
                <w:color w:val="000000"/>
                <w:u w:val="single"/>
              </w:rPr>
              <w:t>Comparability</w:t>
            </w:r>
          </w:p>
        </w:tc>
        <w:tc>
          <w:tcPr>
            <w:tcW w:w="423" w:type="pct"/>
            <w:shd w:val="clear" w:color="auto" w:fill="auto"/>
            <w:noWrap/>
            <w:vAlign w:val="bottom"/>
          </w:tcPr>
          <w:p w14:paraId="7AD3A4BC" w14:textId="77777777" w:rsidR="000E0F86" w:rsidRPr="0053176A" w:rsidRDefault="000E0F86" w:rsidP="00565D9E">
            <w:pPr>
              <w:spacing w:after="0" w:line="240" w:lineRule="auto"/>
              <w:jc w:val="center"/>
              <w:rPr>
                <w:rFonts w:ascii="Calibri" w:eastAsia="Times New Roman" w:hAnsi="Calibri" w:cs="Calibri"/>
                <w:b/>
                <w:bCs/>
                <w:color w:val="000000"/>
                <w:u w:val="single"/>
              </w:rPr>
            </w:pPr>
            <w:r w:rsidRPr="0053176A">
              <w:rPr>
                <w:rFonts w:ascii="Calibri" w:eastAsia="Times New Roman" w:hAnsi="Calibri" w:cs="Calibri"/>
                <w:b/>
                <w:bCs/>
                <w:color w:val="000000"/>
                <w:u w:val="single"/>
              </w:rPr>
              <w:t>Outcome</w:t>
            </w:r>
          </w:p>
        </w:tc>
      </w:tr>
      <w:tr w:rsidR="005F06AF" w:rsidRPr="0053176A" w14:paraId="77580278" w14:textId="77777777" w:rsidTr="00565D9E">
        <w:trPr>
          <w:trHeight w:val="2976"/>
        </w:trPr>
        <w:tc>
          <w:tcPr>
            <w:tcW w:w="843" w:type="pct"/>
            <w:vMerge/>
            <w:vAlign w:val="center"/>
            <w:hideMark/>
          </w:tcPr>
          <w:p w14:paraId="233B7079" w14:textId="77777777" w:rsidR="000E0F86" w:rsidRPr="0053176A" w:rsidRDefault="000E0F86" w:rsidP="00565D9E">
            <w:pPr>
              <w:spacing w:after="0" w:line="240" w:lineRule="auto"/>
              <w:rPr>
                <w:rFonts w:ascii="Calibri" w:eastAsia="Times New Roman" w:hAnsi="Calibri" w:cs="Calibri"/>
                <w:color w:val="000000"/>
              </w:rPr>
            </w:pPr>
          </w:p>
        </w:tc>
        <w:tc>
          <w:tcPr>
            <w:tcW w:w="630" w:type="pct"/>
            <w:shd w:val="clear" w:color="auto" w:fill="auto"/>
            <w:vAlign w:val="center"/>
            <w:hideMark/>
          </w:tcPr>
          <w:p w14:paraId="3A5687E8" w14:textId="77777777" w:rsidR="000E0F86" w:rsidRPr="0053176A" w:rsidRDefault="000E0F86" w:rsidP="00565D9E">
            <w:pPr>
              <w:spacing w:after="0" w:line="240" w:lineRule="auto"/>
              <w:jc w:val="center"/>
              <w:rPr>
                <w:rFonts w:ascii="Times New Roman" w:eastAsia="Times New Roman" w:hAnsi="Times New Roman" w:cs="Times New Roman"/>
                <w:color w:val="000000"/>
                <w:sz w:val="18"/>
                <w:szCs w:val="18"/>
              </w:rPr>
            </w:pPr>
            <w:r w:rsidRPr="0053176A">
              <w:rPr>
                <w:rFonts w:ascii="Times New Roman" w:eastAsia="Times New Roman" w:hAnsi="Times New Roman" w:cs="Times New Roman"/>
                <w:color w:val="000000"/>
                <w:sz w:val="18"/>
                <w:szCs w:val="18"/>
              </w:rPr>
              <w:t xml:space="preserve">Representativeness of </w:t>
            </w:r>
            <w:r w:rsidRPr="0053176A">
              <w:rPr>
                <w:rFonts w:ascii="Times New Roman" w:eastAsia="Times New Roman" w:hAnsi="Times New Roman" w:cs="Times New Roman"/>
                <w:color w:val="000000"/>
                <w:sz w:val="18"/>
                <w:szCs w:val="18"/>
              </w:rPr>
              <w:br/>
              <w:t>the exposed cohort</w:t>
            </w:r>
          </w:p>
        </w:tc>
        <w:tc>
          <w:tcPr>
            <w:tcW w:w="363" w:type="pct"/>
            <w:shd w:val="clear" w:color="auto" w:fill="auto"/>
            <w:vAlign w:val="center"/>
            <w:hideMark/>
          </w:tcPr>
          <w:p w14:paraId="24A8A0BB" w14:textId="77777777" w:rsidR="000E0F86" w:rsidRPr="0053176A" w:rsidRDefault="000E0F86" w:rsidP="00565D9E">
            <w:pPr>
              <w:spacing w:after="0" w:line="240" w:lineRule="auto"/>
              <w:jc w:val="center"/>
              <w:rPr>
                <w:rFonts w:ascii="Times New Roman" w:eastAsia="Times New Roman" w:hAnsi="Times New Roman" w:cs="Times New Roman"/>
                <w:color w:val="000000"/>
                <w:sz w:val="18"/>
                <w:szCs w:val="18"/>
              </w:rPr>
            </w:pPr>
            <w:r w:rsidRPr="0053176A">
              <w:rPr>
                <w:rFonts w:ascii="Times New Roman" w:eastAsia="Times New Roman" w:hAnsi="Times New Roman" w:cs="Times New Roman"/>
                <w:color w:val="000000"/>
                <w:sz w:val="18"/>
                <w:szCs w:val="18"/>
              </w:rPr>
              <w:t xml:space="preserve">Selection </w:t>
            </w:r>
            <w:proofErr w:type="gramStart"/>
            <w:r w:rsidRPr="0053176A">
              <w:rPr>
                <w:rFonts w:ascii="Times New Roman" w:eastAsia="Times New Roman" w:hAnsi="Times New Roman" w:cs="Times New Roman"/>
                <w:color w:val="000000"/>
                <w:sz w:val="18"/>
                <w:szCs w:val="18"/>
              </w:rPr>
              <w:t xml:space="preserve">of  </w:t>
            </w:r>
            <w:proofErr w:type="spellStart"/>
            <w:r w:rsidRPr="0053176A">
              <w:rPr>
                <w:rFonts w:ascii="Times New Roman" w:eastAsia="Times New Roman" w:hAnsi="Times New Roman" w:cs="Times New Roman"/>
                <w:color w:val="000000"/>
                <w:sz w:val="18"/>
                <w:szCs w:val="18"/>
              </w:rPr>
              <w:t>of</w:t>
            </w:r>
            <w:proofErr w:type="spellEnd"/>
            <w:proofErr w:type="gramEnd"/>
            <w:r w:rsidRPr="0053176A">
              <w:rPr>
                <w:rFonts w:ascii="Times New Roman" w:eastAsia="Times New Roman" w:hAnsi="Times New Roman" w:cs="Times New Roman"/>
                <w:color w:val="000000"/>
                <w:sz w:val="18"/>
                <w:szCs w:val="18"/>
              </w:rPr>
              <w:t xml:space="preserve"> </w:t>
            </w:r>
            <w:r w:rsidRPr="0053176A">
              <w:rPr>
                <w:rFonts w:ascii="Times New Roman" w:eastAsia="Times New Roman" w:hAnsi="Times New Roman" w:cs="Times New Roman"/>
                <w:color w:val="000000"/>
                <w:sz w:val="18"/>
                <w:szCs w:val="18"/>
              </w:rPr>
              <w:br/>
              <w:t>the non- exposed cohort</w:t>
            </w:r>
          </w:p>
        </w:tc>
        <w:tc>
          <w:tcPr>
            <w:tcW w:w="506" w:type="pct"/>
            <w:shd w:val="clear" w:color="auto" w:fill="auto"/>
            <w:vAlign w:val="center"/>
            <w:hideMark/>
          </w:tcPr>
          <w:p w14:paraId="742AEA6A" w14:textId="77777777" w:rsidR="000E0F86" w:rsidRPr="0053176A" w:rsidRDefault="000E0F86" w:rsidP="00565D9E">
            <w:pPr>
              <w:spacing w:after="0" w:line="240" w:lineRule="auto"/>
              <w:jc w:val="center"/>
              <w:rPr>
                <w:rFonts w:ascii="Times New Roman" w:eastAsia="Times New Roman" w:hAnsi="Times New Roman" w:cs="Times New Roman"/>
                <w:color w:val="000000"/>
                <w:sz w:val="18"/>
                <w:szCs w:val="18"/>
              </w:rPr>
            </w:pPr>
            <w:r w:rsidRPr="0053176A">
              <w:rPr>
                <w:rFonts w:ascii="Times New Roman" w:eastAsia="Times New Roman" w:hAnsi="Times New Roman" w:cs="Times New Roman"/>
                <w:color w:val="000000"/>
                <w:sz w:val="18"/>
                <w:szCs w:val="18"/>
              </w:rPr>
              <w:t>Ascertainment of exposure</w:t>
            </w:r>
          </w:p>
        </w:tc>
        <w:tc>
          <w:tcPr>
            <w:tcW w:w="547" w:type="pct"/>
            <w:shd w:val="clear" w:color="auto" w:fill="auto"/>
            <w:vAlign w:val="bottom"/>
            <w:hideMark/>
          </w:tcPr>
          <w:p w14:paraId="2D6FE576" w14:textId="77777777" w:rsidR="000E0F86" w:rsidRPr="0053176A" w:rsidRDefault="000E0F86" w:rsidP="00565D9E">
            <w:pPr>
              <w:spacing w:after="0" w:line="240" w:lineRule="auto"/>
              <w:jc w:val="center"/>
              <w:rPr>
                <w:rFonts w:ascii="Times New Roman" w:eastAsia="Times New Roman" w:hAnsi="Times New Roman" w:cs="Times New Roman"/>
                <w:color w:val="000000"/>
                <w:sz w:val="18"/>
                <w:szCs w:val="18"/>
              </w:rPr>
            </w:pPr>
            <w:r w:rsidRPr="0053176A">
              <w:rPr>
                <w:rFonts w:ascii="Times New Roman" w:eastAsia="Times New Roman" w:hAnsi="Times New Roman" w:cs="Times New Roman"/>
                <w:color w:val="000000"/>
                <w:sz w:val="18"/>
                <w:szCs w:val="18"/>
              </w:rPr>
              <w:t xml:space="preserve">4Demonstration that outcome of </w:t>
            </w:r>
            <w:r w:rsidRPr="0053176A">
              <w:rPr>
                <w:rFonts w:ascii="Times New Roman" w:eastAsia="Times New Roman" w:hAnsi="Times New Roman" w:cs="Times New Roman"/>
                <w:color w:val="000000"/>
                <w:sz w:val="18"/>
                <w:szCs w:val="18"/>
              </w:rPr>
              <w:br/>
              <w:t>interest was not present at start of study</w:t>
            </w:r>
          </w:p>
        </w:tc>
        <w:tc>
          <w:tcPr>
            <w:tcW w:w="502" w:type="pct"/>
            <w:shd w:val="clear" w:color="auto" w:fill="auto"/>
            <w:vAlign w:val="bottom"/>
            <w:hideMark/>
          </w:tcPr>
          <w:p w14:paraId="38C2AA92" w14:textId="77777777" w:rsidR="000E0F86" w:rsidRPr="0053176A" w:rsidRDefault="000E0F86" w:rsidP="00565D9E">
            <w:pPr>
              <w:spacing w:after="0" w:line="240" w:lineRule="auto"/>
              <w:jc w:val="center"/>
              <w:rPr>
                <w:rFonts w:ascii="Times New Roman" w:eastAsia="Times New Roman" w:hAnsi="Times New Roman" w:cs="Times New Roman"/>
                <w:color w:val="000000"/>
                <w:sz w:val="18"/>
                <w:szCs w:val="18"/>
              </w:rPr>
            </w:pPr>
            <w:r w:rsidRPr="0053176A">
              <w:rPr>
                <w:rFonts w:ascii="Times New Roman" w:eastAsia="Times New Roman" w:hAnsi="Times New Roman" w:cs="Times New Roman"/>
                <w:color w:val="000000"/>
                <w:sz w:val="18"/>
                <w:szCs w:val="18"/>
                <w:lang w:val="en-GB"/>
              </w:rPr>
              <w:t xml:space="preserve">Comparability of cohorts based </w:t>
            </w:r>
            <w:r w:rsidRPr="0053176A">
              <w:rPr>
                <w:rFonts w:ascii="Times New Roman" w:eastAsia="Times New Roman" w:hAnsi="Times New Roman" w:cs="Times New Roman"/>
                <w:color w:val="000000"/>
                <w:sz w:val="18"/>
                <w:szCs w:val="18"/>
                <w:lang w:val="en-GB"/>
              </w:rPr>
              <w:br/>
              <w:t>on the design or analysis</w:t>
            </w:r>
          </w:p>
        </w:tc>
        <w:tc>
          <w:tcPr>
            <w:tcW w:w="430" w:type="pct"/>
            <w:shd w:val="clear" w:color="auto" w:fill="auto"/>
            <w:vAlign w:val="bottom"/>
            <w:hideMark/>
          </w:tcPr>
          <w:p w14:paraId="1F16808D" w14:textId="77777777" w:rsidR="000E0F86" w:rsidRPr="0053176A" w:rsidRDefault="000E0F86" w:rsidP="00565D9E">
            <w:pPr>
              <w:spacing w:after="0" w:line="240" w:lineRule="auto"/>
              <w:jc w:val="center"/>
              <w:rPr>
                <w:rFonts w:ascii="Times New Roman" w:eastAsia="Times New Roman" w:hAnsi="Times New Roman" w:cs="Times New Roman"/>
                <w:color w:val="000000"/>
                <w:sz w:val="18"/>
                <w:szCs w:val="18"/>
              </w:rPr>
            </w:pPr>
            <w:r w:rsidRPr="0053176A">
              <w:rPr>
                <w:rFonts w:ascii="Times New Roman" w:eastAsia="Times New Roman" w:hAnsi="Times New Roman" w:cs="Times New Roman"/>
                <w:color w:val="000000"/>
                <w:sz w:val="18"/>
                <w:szCs w:val="18"/>
              </w:rPr>
              <w:t xml:space="preserve">Assessment </w:t>
            </w:r>
            <w:r w:rsidRPr="0053176A">
              <w:rPr>
                <w:rFonts w:ascii="Times New Roman" w:eastAsia="Times New Roman" w:hAnsi="Times New Roman" w:cs="Times New Roman"/>
                <w:color w:val="000000"/>
                <w:sz w:val="18"/>
                <w:szCs w:val="18"/>
              </w:rPr>
              <w:br/>
              <w:t xml:space="preserve">of outcome </w:t>
            </w:r>
          </w:p>
        </w:tc>
        <w:tc>
          <w:tcPr>
            <w:tcW w:w="370" w:type="pct"/>
            <w:shd w:val="clear" w:color="auto" w:fill="auto"/>
            <w:vAlign w:val="bottom"/>
            <w:hideMark/>
          </w:tcPr>
          <w:p w14:paraId="3D4E6F13" w14:textId="77777777" w:rsidR="000E0F86" w:rsidRPr="0053176A" w:rsidRDefault="000E0F86" w:rsidP="00565D9E">
            <w:pPr>
              <w:spacing w:after="0" w:line="240" w:lineRule="auto"/>
              <w:jc w:val="center"/>
              <w:rPr>
                <w:rFonts w:ascii="Times New Roman" w:eastAsia="Times New Roman" w:hAnsi="Times New Roman" w:cs="Times New Roman"/>
                <w:color w:val="000000"/>
                <w:sz w:val="18"/>
                <w:szCs w:val="18"/>
              </w:rPr>
            </w:pPr>
            <w:r w:rsidRPr="0053176A">
              <w:rPr>
                <w:rFonts w:ascii="Times New Roman" w:eastAsia="Times New Roman" w:hAnsi="Times New Roman" w:cs="Times New Roman"/>
                <w:color w:val="000000"/>
                <w:sz w:val="18"/>
                <w:szCs w:val="18"/>
              </w:rPr>
              <w:t>Was follow-up long enough</w:t>
            </w:r>
            <w:r w:rsidRPr="0053176A">
              <w:rPr>
                <w:rFonts w:ascii="Times New Roman" w:eastAsia="Times New Roman" w:hAnsi="Times New Roman" w:cs="Times New Roman"/>
                <w:color w:val="000000"/>
                <w:sz w:val="18"/>
                <w:szCs w:val="18"/>
              </w:rPr>
              <w:br/>
              <w:t xml:space="preserve"> for outcomes to occur</w:t>
            </w:r>
          </w:p>
        </w:tc>
        <w:tc>
          <w:tcPr>
            <w:tcW w:w="386" w:type="pct"/>
            <w:shd w:val="clear" w:color="auto" w:fill="auto"/>
            <w:vAlign w:val="bottom"/>
            <w:hideMark/>
          </w:tcPr>
          <w:p w14:paraId="0507FB2E" w14:textId="77777777" w:rsidR="000E0F86" w:rsidRPr="0053176A" w:rsidRDefault="000E0F86" w:rsidP="00565D9E">
            <w:pPr>
              <w:spacing w:after="0" w:line="240" w:lineRule="auto"/>
              <w:jc w:val="center"/>
              <w:rPr>
                <w:rFonts w:ascii="Times New Roman" w:eastAsia="Times New Roman" w:hAnsi="Times New Roman" w:cs="Times New Roman"/>
                <w:color w:val="000000"/>
                <w:sz w:val="18"/>
                <w:szCs w:val="18"/>
              </w:rPr>
            </w:pPr>
            <w:r w:rsidRPr="0053176A">
              <w:rPr>
                <w:rFonts w:ascii="Times New Roman" w:eastAsia="Times New Roman" w:hAnsi="Times New Roman" w:cs="Times New Roman"/>
                <w:color w:val="000000"/>
                <w:sz w:val="18"/>
                <w:szCs w:val="18"/>
              </w:rPr>
              <w:t xml:space="preserve">Adequacy of follow-up </w:t>
            </w:r>
            <w:r w:rsidRPr="0053176A">
              <w:rPr>
                <w:rFonts w:ascii="Times New Roman" w:eastAsia="Times New Roman" w:hAnsi="Times New Roman" w:cs="Times New Roman"/>
                <w:color w:val="000000"/>
                <w:sz w:val="18"/>
                <w:szCs w:val="18"/>
              </w:rPr>
              <w:br/>
              <w:t>of cohorts</w:t>
            </w:r>
          </w:p>
        </w:tc>
        <w:tc>
          <w:tcPr>
            <w:tcW w:w="423" w:type="pct"/>
            <w:shd w:val="clear" w:color="auto" w:fill="auto"/>
            <w:noWrap/>
            <w:vAlign w:val="bottom"/>
            <w:hideMark/>
          </w:tcPr>
          <w:p w14:paraId="1E3BCDEF"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 </w:t>
            </w:r>
          </w:p>
        </w:tc>
      </w:tr>
      <w:tr w:rsidR="005F06AF" w:rsidRPr="0053176A" w14:paraId="3E20FB2C" w14:textId="77777777" w:rsidTr="00565D9E">
        <w:trPr>
          <w:trHeight w:val="300"/>
        </w:trPr>
        <w:tc>
          <w:tcPr>
            <w:tcW w:w="843" w:type="pct"/>
            <w:shd w:val="clear" w:color="auto" w:fill="auto"/>
            <w:noWrap/>
            <w:vAlign w:val="bottom"/>
            <w:hideMark/>
          </w:tcPr>
          <w:p w14:paraId="06639BBA" w14:textId="336EA2AC"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Kuppala (2011)</w:t>
            </w:r>
            <w:r w:rsidR="00D93BE8" w:rsidRPr="0053176A">
              <w:rPr>
                <w:rFonts w:ascii="Calibri" w:eastAsia="Times New Roman" w:hAnsi="Calibri" w:cs="Calibri"/>
                <w:color w:val="000000"/>
              </w:rPr>
              <w:fldChar w:fldCharType="begin" w:fldLock="1"/>
            </w:r>
            <w:r w:rsidR="00D93BE8" w:rsidRPr="0053176A">
              <w:rPr>
                <w:rFonts w:ascii="Calibri" w:eastAsia="Times New Roman" w:hAnsi="Calibri" w:cs="Calibri"/>
                <w:color w:val="000000"/>
              </w:rPr>
              <w:instrText>ADDIN CSL_CITATION {"citationItems":[{"id":"ITEM-1","itemData":{"DOI":"10.1016/j.jpeds.2011.05.033","ISSN":"00223476","PMID":"21784435","abstract":"Objective: To investigate the outcomes after prolonged empirical antibiotic administration to premature infants in the first week of life, and concluding subsequent late onset sepsis (LOS), necrotizing enterocolitis (NEC), and death. Study design: Study infants were ≤32 weeks gestational age and ≤1500 g birth weight who survived free of sepsis and NEC for 7 days. Multivariable logistic regression was conducted to determine independent relationships between prolonged initial empirical antibiotic therapy (≥5 days) and study outcomes that control for birth weight, gestational age, race, prolonged premature rupture of membranes, days on high-frequency ventilation in 7 days, and the amount of breast milk received in the first 14 days of life. Results: Of the 365 premature infants who survived 7 days free of sepsis or NEC, 36% received prolonged initial empirical antibiotics, which was independently associated with subsequent outcomes: LOS (OR, 2.45 [95% CI, 1.28-4.67]) and the combination of LOS, NEC, or death (OR, 2.66 [95% CI, 1.12-6.3]). Conclusions: Prolonged administration of empirical antibiotics to premature infants with sterile cultures in the first week of life is associated with subsequent severe outcomes. Judicious restriction of antibiotic use should be investigated as a strategy to reduce severe outcomes for premature infants. Copyright © 2011 Mosby Inc. All rights reserved.","author":[{"dropping-particle":"","family":"Kuppala","given":"Venkata S.","non-dropping-particle":"","parse-names":false,"suffix":""},{"dropping-particle":"","family":"Meinzen-Derr","given":"Jareen","non-dropping-particle":"","parse-names":false,"suffix":""},{"dropping-particle":"","family":"Morrow","given":"Ardythe L.","non-dropping-particle":"","parse-names":false,"suffix":""},{"dropping-particle":"","family":"Schibler","given":"Kurt R.","non-dropping-particle":"","parse-names":false,"suffix":""}],"container-title":"Journal of Pediatrics","id":"ITEM-1","issue":"5","issued":{"date-parts":[["2011","11","1"]]},"page":"720-725","publisher":"Elsevier","title":"Prolonged initial empirical antibiotic treatment is associated with adverse outcomes in premature infants","type":"article-journal","volume":"159"},"uris":["http://www.mendeley.com/documents/?uuid=c92d2829-3e74-4e9c-a659-fc1b3cfd90f5"]}],"mendeley":{"formattedCitation":"[7]","plainTextFormattedCitation":"[7]","previouslyFormattedCitation":"[7]"},"properties":{"noteIndex":0},"schema":"https://github.com/citation-style-language/schema/raw/master/csl-citation.json"}</w:instrText>
            </w:r>
            <w:r w:rsidR="00D93BE8" w:rsidRPr="0053176A">
              <w:rPr>
                <w:rFonts w:ascii="Calibri" w:eastAsia="Times New Roman" w:hAnsi="Calibri" w:cs="Calibri"/>
                <w:color w:val="000000"/>
              </w:rPr>
              <w:fldChar w:fldCharType="separate"/>
            </w:r>
            <w:r w:rsidR="00D93BE8" w:rsidRPr="0053176A">
              <w:rPr>
                <w:rFonts w:ascii="Calibri" w:eastAsia="Times New Roman" w:hAnsi="Calibri" w:cs="Calibri"/>
                <w:noProof/>
                <w:color w:val="000000"/>
              </w:rPr>
              <w:t>[7]</w:t>
            </w:r>
            <w:r w:rsidR="00D93BE8" w:rsidRPr="0053176A">
              <w:rPr>
                <w:rFonts w:ascii="Calibri" w:eastAsia="Times New Roman" w:hAnsi="Calibri" w:cs="Calibri"/>
                <w:color w:val="000000"/>
              </w:rPr>
              <w:fldChar w:fldCharType="end"/>
            </w:r>
          </w:p>
          <w:p w14:paraId="3659D1DD"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 </w:t>
            </w:r>
          </w:p>
        </w:tc>
        <w:tc>
          <w:tcPr>
            <w:tcW w:w="630" w:type="pct"/>
            <w:shd w:val="clear" w:color="auto" w:fill="auto"/>
            <w:noWrap/>
            <w:vAlign w:val="bottom"/>
            <w:hideMark/>
          </w:tcPr>
          <w:p w14:paraId="2ED4D3F8"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363" w:type="pct"/>
            <w:shd w:val="clear" w:color="auto" w:fill="auto"/>
            <w:noWrap/>
            <w:vAlign w:val="bottom"/>
            <w:hideMark/>
          </w:tcPr>
          <w:p w14:paraId="35D48BEA"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 </w:t>
            </w:r>
          </w:p>
        </w:tc>
        <w:tc>
          <w:tcPr>
            <w:tcW w:w="506" w:type="pct"/>
            <w:shd w:val="clear" w:color="auto" w:fill="auto"/>
            <w:noWrap/>
            <w:vAlign w:val="bottom"/>
            <w:hideMark/>
          </w:tcPr>
          <w:p w14:paraId="36085A0A"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547" w:type="pct"/>
            <w:shd w:val="clear" w:color="auto" w:fill="auto"/>
            <w:noWrap/>
            <w:vAlign w:val="bottom"/>
            <w:hideMark/>
          </w:tcPr>
          <w:p w14:paraId="7972F6CA"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502" w:type="pct"/>
            <w:shd w:val="clear" w:color="auto" w:fill="auto"/>
            <w:noWrap/>
            <w:vAlign w:val="bottom"/>
            <w:hideMark/>
          </w:tcPr>
          <w:p w14:paraId="4A729653"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430" w:type="pct"/>
            <w:shd w:val="clear" w:color="auto" w:fill="auto"/>
            <w:noWrap/>
            <w:vAlign w:val="bottom"/>
          </w:tcPr>
          <w:p w14:paraId="28FDBA35" w14:textId="77777777" w:rsidR="000E0F86" w:rsidRPr="0053176A" w:rsidRDefault="000E0F86" w:rsidP="00565D9E">
            <w:pPr>
              <w:spacing w:after="0" w:line="240" w:lineRule="auto"/>
              <w:rPr>
                <w:rFonts w:ascii="Calibri" w:eastAsia="Times New Roman" w:hAnsi="Calibri" w:cs="Calibri"/>
                <w:color w:val="000000"/>
              </w:rPr>
            </w:pPr>
          </w:p>
        </w:tc>
        <w:tc>
          <w:tcPr>
            <w:tcW w:w="370" w:type="pct"/>
            <w:shd w:val="clear" w:color="auto" w:fill="auto"/>
            <w:noWrap/>
            <w:vAlign w:val="bottom"/>
            <w:hideMark/>
          </w:tcPr>
          <w:p w14:paraId="28DD44BE"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386" w:type="pct"/>
            <w:shd w:val="clear" w:color="auto" w:fill="auto"/>
            <w:noWrap/>
            <w:vAlign w:val="bottom"/>
            <w:hideMark/>
          </w:tcPr>
          <w:p w14:paraId="4BA2FD6C"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423" w:type="pct"/>
            <w:shd w:val="clear" w:color="auto" w:fill="auto"/>
            <w:noWrap/>
            <w:vAlign w:val="bottom"/>
            <w:hideMark/>
          </w:tcPr>
          <w:p w14:paraId="46E0EE41"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r>
      <w:tr w:rsidR="005F06AF" w:rsidRPr="0053176A" w14:paraId="7375731A" w14:textId="77777777" w:rsidTr="00565D9E">
        <w:trPr>
          <w:trHeight w:val="300"/>
        </w:trPr>
        <w:tc>
          <w:tcPr>
            <w:tcW w:w="843" w:type="pct"/>
            <w:shd w:val="clear" w:color="auto" w:fill="auto"/>
            <w:noWrap/>
            <w:vAlign w:val="bottom"/>
            <w:hideMark/>
          </w:tcPr>
          <w:p w14:paraId="12508C5F" w14:textId="74C0B216"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Cott</w:t>
            </w:r>
            <w:r w:rsidR="00D93BE8" w:rsidRPr="0053176A">
              <w:rPr>
                <w:rFonts w:ascii="Calibri" w:eastAsia="Times New Roman" w:hAnsi="Calibri" w:cs="Calibri"/>
                <w:color w:val="000000"/>
              </w:rPr>
              <w:t>e</w:t>
            </w:r>
            <w:r w:rsidRPr="0053176A">
              <w:rPr>
                <w:rFonts w:ascii="Calibri" w:eastAsia="Times New Roman" w:hAnsi="Calibri" w:cs="Calibri"/>
                <w:color w:val="000000"/>
              </w:rPr>
              <w:t>n (2009)</w:t>
            </w:r>
            <w:r w:rsidR="00D93BE8" w:rsidRPr="0053176A">
              <w:rPr>
                <w:rFonts w:ascii="Calibri" w:eastAsia="Times New Roman" w:hAnsi="Calibri" w:cs="Calibri"/>
                <w:color w:val="000000"/>
              </w:rPr>
              <w:fldChar w:fldCharType="begin" w:fldLock="1"/>
            </w:r>
            <w:r w:rsidR="005F06AF" w:rsidRPr="0053176A">
              <w:rPr>
                <w:rFonts w:ascii="Calibri" w:eastAsia="Times New Roman" w:hAnsi="Calibri" w:cs="Calibri"/>
                <w:color w:val="000000"/>
              </w:rPr>
              <w:instrText>ADDIN CSL_CITATION {"citationItems":[{"id":"ITEM-1","itemData":{"DOI":"10.1542/PEDS.2007-3423","ISSN":"0031-4005","PMID":"19117861","abstract":"OBJECTIVES. Our objectives were to identify factors associated with the duration of the first antibiotic course initiated in the first 3 postnatal days and to assess associations between the duration of the initial antibiotic course and subsequent necrotizing enterocolitis or death in extremely low birth weight infants with sterile initial postnatal culture results. METHODS. We conducted a retrospective cohort analysis of extremely low birth weight infants admitted to tertiary centers in 1998-2001. We defined initial empirical antibiotic treatment duration as continuous days of antibiotic therapy started in the first 3 postnatal days with sterile culture results. We used descriptive statistics to characterize center practice, bivariate analyses to identify factors associated with prolonged empirical antibiotic therapy (≥5 days), and multivariate analyses to evaluate associations between therapy duration, prolonged empirical therapy, and subsequent necrotizing enterocolitis or death. RESULTS. Of 5693 extremely low birth weight infants admitted to 19 centers, 4039 (71%) survived &gt;5 days, received initial empirical antibiotic treatment, and had sterile initial culture results through the first 3 postnatal days. The median therapy duration was 5 days (range: 1-36 days);2147 infants (53%) received prolonged empirical therapy (center range: 27%-85%). Infants who received prolonged therapy were less mature, had lower Apgar scores, and were more likely to be black. In multivariate analyses adjusted for these factors and center, prolonged therapy was associated with increased odds of necrotizing enterocolitis or death and of death. Each empirical treatment day was associated with increased odds of death, necrotizing enterocolitis, and the composite measure of necrotizing enterocolitis or death. CONCLUSION. Prolonged initial empirical antibiotic therapy may be associated with increased risk of necrotizing enterocolitis or death and should be used with caution. Copyright © 2009 by the American Academy of Pediatrics.","author":[{"dropping-particle":"","family":"Michael Cotten","given":"C.","non-dropping-particle":"","parse-names":false,"suffix":""},{"dropping-particle":"","family":"Taylor","given":"Sarah","non-dropping-particle":"","parse-names":false,"suffix":""},{"dropping-particle":"","family":"Stoll","given":"Barbara","non-dropping-particle":"","parse-names":false,"suffix":""},{"dropping-particle":"","family":"Goldberg","given":"Ronald N.","non-dropping-particle":"","parse-names":false,"suffix":""},{"dropping-particle":"","family":"Hansen","given":"Nellie I.","non-dropping-particle":"","parse-names":false,"suffix":""},{"dropping-particle":"","family":"Sanchez","given":"Pablo J.","non-dropping-particle":"","parse-names":false,"suffix":""},{"dropping-particle":"","family":"Ambalavanan","given":"Namasivayam","non-dropping-particle":"","parse-names":false,"suffix":""},{"dropping-particle":"","family":"Benjamin","given":"Daniel K.","non-dropping-particle":"","parse-names":false,"suffix":""}],"container-title":"Pediatrics","id":"ITEM-1","issue":"1","issued":{"date-parts":[["2009","1","1"]]},"page":"58-66","publisher":"American Academy of Pediatrics","title":"Prolonged Duration of Initial Empirical Antibiotic Treatment Is Associated With Increased Rates of Necrotizing Enterocolitis and Death for Extremely Low Birth Weight Infants","type":"article-journal","volume":"123"},"uris":["http://www.mendeley.com/documents/?uuid=1a1b615d-7459-48a3-a67f-3d870681b439"]}],"mendeley":{"formattedCitation":"[3]","plainTextFormattedCitation":"[3]","previouslyFormattedCitation":"[3]"},"properties":{"noteIndex":0},"schema":"https://github.com/citation-style-language/schema/raw/master/csl-citation.json"}</w:instrText>
            </w:r>
            <w:r w:rsidR="00D93BE8" w:rsidRPr="0053176A">
              <w:rPr>
                <w:rFonts w:ascii="Calibri" w:eastAsia="Times New Roman" w:hAnsi="Calibri" w:cs="Calibri"/>
                <w:color w:val="000000"/>
              </w:rPr>
              <w:fldChar w:fldCharType="separate"/>
            </w:r>
            <w:r w:rsidR="00D93BE8" w:rsidRPr="0053176A">
              <w:rPr>
                <w:rFonts w:ascii="Calibri" w:eastAsia="Times New Roman" w:hAnsi="Calibri" w:cs="Calibri"/>
                <w:noProof/>
                <w:color w:val="000000"/>
              </w:rPr>
              <w:t>[3]</w:t>
            </w:r>
            <w:r w:rsidR="00D93BE8" w:rsidRPr="0053176A">
              <w:rPr>
                <w:rFonts w:ascii="Calibri" w:eastAsia="Times New Roman" w:hAnsi="Calibri" w:cs="Calibri"/>
                <w:color w:val="000000"/>
              </w:rPr>
              <w:fldChar w:fldCharType="end"/>
            </w:r>
          </w:p>
          <w:p w14:paraId="3725D3A2"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 xml:space="preserve">   </w:t>
            </w:r>
          </w:p>
        </w:tc>
        <w:tc>
          <w:tcPr>
            <w:tcW w:w="630" w:type="pct"/>
            <w:shd w:val="clear" w:color="auto" w:fill="auto"/>
            <w:noWrap/>
            <w:vAlign w:val="bottom"/>
            <w:hideMark/>
          </w:tcPr>
          <w:p w14:paraId="4134AD64"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363" w:type="pct"/>
            <w:shd w:val="clear" w:color="auto" w:fill="auto"/>
            <w:noWrap/>
            <w:vAlign w:val="bottom"/>
            <w:hideMark/>
          </w:tcPr>
          <w:p w14:paraId="1CECB05E"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 </w:t>
            </w:r>
          </w:p>
        </w:tc>
        <w:tc>
          <w:tcPr>
            <w:tcW w:w="506" w:type="pct"/>
            <w:shd w:val="clear" w:color="auto" w:fill="auto"/>
            <w:noWrap/>
            <w:vAlign w:val="bottom"/>
            <w:hideMark/>
          </w:tcPr>
          <w:p w14:paraId="3F36D439"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 xml:space="preserve"> **</w:t>
            </w:r>
          </w:p>
        </w:tc>
        <w:tc>
          <w:tcPr>
            <w:tcW w:w="547" w:type="pct"/>
            <w:shd w:val="clear" w:color="auto" w:fill="auto"/>
            <w:noWrap/>
            <w:vAlign w:val="bottom"/>
            <w:hideMark/>
          </w:tcPr>
          <w:p w14:paraId="357872E3"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502" w:type="pct"/>
            <w:shd w:val="clear" w:color="auto" w:fill="auto"/>
            <w:noWrap/>
            <w:vAlign w:val="bottom"/>
            <w:hideMark/>
          </w:tcPr>
          <w:p w14:paraId="68DC42AF"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430" w:type="pct"/>
            <w:shd w:val="clear" w:color="auto" w:fill="auto"/>
            <w:noWrap/>
            <w:vAlign w:val="bottom"/>
          </w:tcPr>
          <w:p w14:paraId="64F713B5" w14:textId="77777777" w:rsidR="000E0F86" w:rsidRPr="0053176A" w:rsidRDefault="000E0F86" w:rsidP="00565D9E">
            <w:pPr>
              <w:spacing w:after="0" w:line="240" w:lineRule="auto"/>
              <w:rPr>
                <w:rFonts w:ascii="Calibri" w:eastAsia="Times New Roman" w:hAnsi="Calibri" w:cs="Calibri"/>
                <w:color w:val="000000"/>
              </w:rPr>
            </w:pPr>
          </w:p>
        </w:tc>
        <w:tc>
          <w:tcPr>
            <w:tcW w:w="370" w:type="pct"/>
            <w:shd w:val="clear" w:color="auto" w:fill="auto"/>
            <w:noWrap/>
            <w:vAlign w:val="bottom"/>
            <w:hideMark/>
          </w:tcPr>
          <w:p w14:paraId="75BBE250"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386" w:type="pct"/>
            <w:shd w:val="clear" w:color="auto" w:fill="auto"/>
            <w:noWrap/>
            <w:vAlign w:val="bottom"/>
            <w:hideMark/>
          </w:tcPr>
          <w:p w14:paraId="43E615EB"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423" w:type="pct"/>
            <w:shd w:val="clear" w:color="auto" w:fill="auto"/>
            <w:noWrap/>
            <w:vAlign w:val="bottom"/>
            <w:hideMark/>
          </w:tcPr>
          <w:p w14:paraId="6CE39FC6"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r>
      <w:tr w:rsidR="005F06AF" w:rsidRPr="0053176A" w14:paraId="7AA8341F" w14:textId="77777777" w:rsidTr="00565D9E">
        <w:trPr>
          <w:trHeight w:val="300"/>
        </w:trPr>
        <w:tc>
          <w:tcPr>
            <w:tcW w:w="843" w:type="pct"/>
            <w:shd w:val="clear" w:color="auto" w:fill="auto"/>
            <w:noWrap/>
            <w:vAlign w:val="bottom"/>
            <w:hideMark/>
          </w:tcPr>
          <w:p w14:paraId="7BCD962A" w14:textId="50BBCA98"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Ting (2019)</w:t>
            </w:r>
            <w:r w:rsidR="005F06AF" w:rsidRPr="0053176A">
              <w:rPr>
                <w:rFonts w:ascii="Calibri" w:eastAsia="Times New Roman" w:hAnsi="Calibri" w:cs="Calibri"/>
                <w:color w:val="000000"/>
              </w:rPr>
              <w:fldChar w:fldCharType="begin" w:fldLock="1"/>
            </w:r>
            <w:r w:rsidR="005F06AF" w:rsidRPr="0053176A">
              <w:rPr>
                <w:rFonts w:ascii="Calibri" w:eastAsia="Times New Roman" w:hAnsi="Calibri" w:cs="Calibri"/>
                <w:color w:val="000000"/>
              </w:rPr>
              <w:instrText>ADDIN CSL_CITATION {"citationItems":[{"id":"ITEM-1","itemData":{"DOI":"10.1542/PEDS.2018-2286/76778","ISSN":"10984275","PMID":"30819968","abstract":"BACKGROUND: Overuse of antibiotics can facilitate antibiotic resistance and is associated with abstract adverse neonatal outcomes. We studied the association between duration of antibiotic therapy and short-term outcomes of very low birth weight (VLBW) (, 1500 g) infants without cultureproven sepsis. METHODS: We included VLBW infants admitted to NICUs in the Canadian Neonatal Network between 2010-2016 who were exposed to antibiotics but did not have culture-proven sepsis in the first week. Antibiotic exposure was calculated as the number of days an infant received antibiotics in the first week of life. Composite primary outcome was defined as mortality or any major morbidity (severe neurologic injury, retinopathy of prematurity, necrotizing enterocolitis, chronic lung disease, or hospital-acquired infection). RESULTS: Of the 14 207 included infants, 21% (n = 2950), 38% (n = 5401), and 41% (n = 5856) received 0, 1 to 3, and 4 to 7 days of antibiotics, respectively. Antibiotic exposure for 4 to 7 days was associated with higher odds of the composite outcome (adjusted odds ratio 1.24; 95% confidence interval [CI] 1.09-1.41). Each additional day of antibiotic use was associated with 4.7% (95% CI 2.6%-6.8%) increased odds of composite outcome and 7.3% (95% CI 3.3%-11.4%) increased odds in VLBW infants at low risk of early-onset sepsis (born via cesarean delivery, without labor and without chorioamnionitis). CONCLUSIONS: Prolonged empirical antibiotic exposure within the first week after birth in VLBW infants is associated with increased odds of the composite outcome. This practice is a potential target for antimicrobial stewardship.","author":[{"dropping-particle":"","family":"Ting","given":"Joseph Y.","non-dropping-particle":"","parse-names":false,"suffix":""},{"dropping-particle":"","family":"Roberts","given":"Ashley","non-dropping-particle":"","parse-names":false,"suffix":""},{"dropping-particle":"","family":"Sherlock","given":"Rebecca","non-dropping-particle":"","parse-names":false,"suffix":""},{"dropping-particle":"","family":"Ojah","given":"Cecil","non-dropping-particle":"","parse-names":false,"suffix":""},{"dropping-particle":"","family":"Cieslak","given":"Zenon","non-dropping-particle":"","parse-names":false,"suffix":""},{"dropping-particle":"","family":"Dunn","given":"Michael","non-dropping-particle":"","parse-names":false,"suffix":""},{"dropping-particle":"","family":"Barrington","given":"Keith","non-dropping-particle":"","parse-names":false,"suffix":""},{"dropping-particle":"","family":"Yoon","given":"Eugene W.","non-dropping-particle":"","parse-names":false,"suffix":""},{"dropping-particle":"","family":"Shah","given":"Prakesh S.","non-dropping-particle":"","parse-names":false,"suffix":""}],"container-title":"Pediatrics","id":"ITEM-1","issue":"3","issued":{"date-parts":[["2019","3","1"]]},"publisher":"American Academy of Pediatrics","title":"Duration of initial empirical antibiotic therapy and outcomes in very low birth weight infants","type":"article-journal","volume":"143"},"uris":["http://www.mendeley.com/documents/?uuid=86826c17-7cb3-4224-9cc2-ecd8ed478137"]}],"mendeley":{"formattedCitation":"[13]","plainTextFormattedCitation":"[13]","previouslyFormattedCitation":"[13]"},"properties":{"noteIndex":0},"schema":"https://github.com/citation-style-language/schema/raw/master/csl-citation.json"}</w:instrText>
            </w:r>
            <w:r w:rsidR="005F06AF" w:rsidRPr="0053176A">
              <w:rPr>
                <w:rFonts w:ascii="Calibri" w:eastAsia="Times New Roman" w:hAnsi="Calibri" w:cs="Calibri"/>
                <w:color w:val="000000"/>
              </w:rPr>
              <w:fldChar w:fldCharType="separate"/>
            </w:r>
            <w:r w:rsidR="005F06AF" w:rsidRPr="0053176A">
              <w:rPr>
                <w:rFonts w:ascii="Calibri" w:eastAsia="Times New Roman" w:hAnsi="Calibri" w:cs="Calibri"/>
                <w:noProof/>
                <w:color w:val="000000"/>
              </w:rPr>
              <w:t>[13]</w:t>
            </w:r>
            <w:r w:rsidR="005F06AF" w:rsidRPr="0053176A">
              <w:rPr>
                <w:rFonts w:ascii="Calibri" w:eastAsia="Times New Roman" w:hAnsi="Calibri" w:cs="Calibri"/>
                <w:color w:val="000000"/>
              </w:rPr>
              <w:fldChar w:fldCharType="end"/>
            </w:r>
          </w:p>
          <w:p w14:paraId="1906D4DA"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 </w:t>
            </w:r>
          </w:p>
        </w:tc>
        <w:tc>
          <w:tcPr>
            <w:tcW w:w="630" w:type="pct"/>
            <w:shd w:val="clear" w:color="auto" w:fill="auto"/>
            <w:noWrap/>
            <w:vAlign w:val="bottom"/>
            <w:hideMark/>
          </w:tcPr>
          <w:p w14:paraId="362071F5"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363" w:type="pct"/>
            <w:shd w:val="clear" w:color="auto" w:fill="auto"/>
            <w:noWrap/>
            <w:vAlign w:val="bottom"/>
            <w:hideMark/>
          </w:tcPr>
          <w:p w14:paraId="15C097C7"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 </w:t>
            </w:r>
          </w:p>
        </w:tc>
        <w:tc>
          <w:tcPr>
            <w:tcW w:w="506" w:type="pct"/>
            <w:shd w:val="clear" w:color="auto" w:fill="auto"/>
            <w:noWrap/>
            <w:vAlign w:val="bottom"/>
            <w:hideMark/>
          </w:tcPr>
          <w:p w14:paraId="188B639E"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547" w:type="pct"/>
            <w:shd w:val="clear" w:color="auto" w:fill="auto"/>
            <w:noWrap/>
            <w:vAlign w:val="bottom"/>
            <w:hideMark/>
          </w:tcPr>
          <w:p w14:paraId="36797253"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502" w:type="pct"/>
            <w:shd w:val="clear" w:color="auto" w:fill="auto"/>
            <w:noWrap/>
            <w:vAlign w:val="bottom"/>
            <w:hideMark/>
          </w:tcPr>
          <w:p w14:paraId="6C23B064"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430" w:type="pct"/>
            <w:shd w:val="clear" w:color="auto" w:fill="auto"/>
            <w:noWrap/>
            <w:vAlign w:val="bottom"/>
          </w:tcPr>
          <w:p w14:paraId="3032EF27" w14:textId="77777777" w:rsidR="000E0F86" w:rsidRPr="0053176A" w:rsidRDefault="000E0F86" w:rsidP="00565D9E">
            <w:pPr>
              <w:spacing w:after="0" w:line="240" w:lineRule="auto"/>
              <w:rPr>
                <w:rFonts w:ascii="Calibri" w:eastAsia="Times New Roman" w:hAnsi="Calibri" w:cs="Calibri"/>
                <w:color w:val="000000"/>
              </w:rPr>
            </w:pPr>
          </w:p>
        </w:tc>
        <w:tc>
          <w:tcPr>
            <w:tcW w:w="370" w:type="pct"/>
            <w:shd w:val="clear" w:color="auto" w:fill="auto"/>
            <w:noWrap/>
            <w:vAlign w:val="bottom"/>
            <w:hideMark/>
          </w:tcPr>
          <w:p w14:paraId="2D0D8AB4"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386" w:type="pct"/>
            <w:shd w:val="clear" w:color="auto" w:fill="auto"/>
            <w:noWrap/>
            <w:vAlign w:val="bottom"/>
            <w:hideMark/>
          </w:tcPr>
          <w:p w14:paraId="7B8EE591"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423" w:type="pct"/>
            <w:shd w:val="clear" w:color="auto" w:fill="auto"/>
            <w:noWrap/>
            <w:vAlign w:val="bottom"/>
            <w:hideMark/>
          </w:tcPr>
          <w:p w14:paraId="3409E523"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r>
      <w:tr w:rsidR="005F06AF" w:rsidRPr="0053176A" w14:paraId="3477F5A7" w14:textId="77777777" w:rsidTr="00565D9E">
        <w:trPr>
          <w:trHeight w:val="300"/>
        </w:trPr>
        <w:tc>
          <w:tcPr>
            <w:tcW w:w="843" w:type="pct"/>
            <w:shd w:val="clear" w:color="auto" w:fill="auto"/>
            <w:noWrap/>
            <w:vAlign w:val="bottom"/>
            <w:hideMark/>
          </w:tcPr>
          <w:p w14:paraId="21E4833F" w14:textId="545AC305"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Greenberg (2019)</w:t>
            </w:r>
            <w:r w:rsidR="00D93BE8" w:rsidRPr="0053176A">
              <w:rPr>
                <w:rFonts w:ascii="Calibri" w:eastAsia="Times New Roman" w:hAnsi="Calibri" w:cs="Calibri"/>
                <w:color w:val="000000"/>
              </w:rPr>
              <w:t xml:space="preserve"> </w:t>
            </w:r>
          </w:p>
          <w:p w14:paraId="568BD6A3" w14:textId="4CFE16FE"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 </w:t>
            </w:r>
            <w:r w:rsidR="005F06AF" w:rsidRPr="0053176A">
              <w:rPr>
                <w:rFonts w:ascii="Calibri" w:eastAsia="Times New Roman" w:hAnsi="Calibri" w:cs="Calibri"/>
                <w:color w:val="000000"/>
              </w:rPr>
              <w:fldChar w:fldCharType="begin" w:fldLock="1"/>
            </w:r>
            <w:r w:rsidR="005F06AF" w:rsidRPr="0053176A">
              <w:rPr>
                <w:rFonts w:ascii="Calibri" w:eastAsia="Times New Roman" w:hAnsi="Calibri" w:cs="Calibri"/>
                <w:color w:val="000000"/>
              </w:rPr>
              <w:instrText>ADDIN CSL_CITATION {"citationItems":[{"id":"ITEM-1","itemData":{"DOI":"10.1038/s41390-019-0300-4","ISSN":"1530-0447","PMID":"30737489","abstract":"Prolonged early antibiotics in extremely premature infants may have negative effects. We aimed to assess prevalence and outcomes of provision of prolonged early antibiotics to extremely premature infants in the absence of culture-confirmed infection or NEC. Cohort study of infants from 13 centers born without a major birth defect from 2008–2014 who were 401–1000 grams birth weight, 22–28 weeks gestation, and survived ≥5 days without culture-confirmed infection, NEC, or spontaneous intestinal perforation. We determined the proportion of infants who received prolonged early antibiotics, defined as ≥5 days of antibiotic therapy started at ≤72 h of age, by center and over time. Associations between prolonged early antibiotics and adverse outcomes were assessed using multivariable logistic regression. A total of 5730 infants were included. The proportion of infants receiving prolonged early antibiotics varied from 30–69% among centers and declined from 49% in 2008 to 35% in 2014. Prolonged early antibiotics was not significantly associated with death (adjusted odds ratio 1.17 [95% CI: 0.99–1.40], p = 0.07) and was not associated with NEC. The proportion of extremely premature infants receiving prolonged early antibiotics decreased, but significant center variation persists. Prolonged early antibiotics were not significantly associated with increased odds of death or NEC.","author":[{"dropping-particle":"","family":"Greenberg","given":"Rachel G.","non-dropping-particle":"","parse-names":false,"suffix":""},{"dropping-particle":"","family":"Chowdhury","given":"Dhuly","non-dropping-particle":"","parse-names":false,"suffix":""},{"dropping-particle":"","family":"Hansen","given":"Nellie I.","non-dropping-particle":"","parse-names":false,"suffix":""},{"dropping-particle":"","family":"Smith","given":"P. Brian","non-dropping-particle":"","parse-names":false,"suffix":""},{"dropping-particle":"","family":"Stoll","given":"Barbara J.","non-dropping-particle":"","parse-names":false,"suffix":""},{"dropping-particle":"","family":"Sánchez","given":"Pablo J.","non-dropping-particle":"","parse-names":false,"suffix":""},{"dropping-particle":"","family":"Das","given":"Abhik","non-dropping-particle":"","parse-names":false,"suffix":""},{"dropping-particle":"","family":"Puopolo","given":"Karen M.","non-dropping-particle":"","parse-names":false,"suffix":""},{"dropping-particle":"","family":"Mukhopadhyay","given":"Sagori","non-dropping-particle":"","parse-names":false,"suffix":""},{"dropping-particle":"","family":"Higgins","given":"Rosemary D.","non-dropping-particle":"","parse-names":false,"suffix":""},{"dropping-particle":"","family":"Cotten","given":"C. Michael","non-dropping-particle":"","parse-names":false,"suffix":""}],"container-title":"Pediatric Research 2019 85:7","id":"ITEM-1","issue":"7","issued":{"date-parts":[["2019","1","22"]]},"page":"994-1000","publisher":"Nature Publishing Group","title":"Prolonged duration of early antibiotic therapy in extremely premature infants","type":"article-journal","volume":"85"},"uris":["http://www.mendeley.com/documents/?uuid=7c0cf448-b002-309f-abe9-a2933e9a7bd3"]}],"mendeley":{"formattedCitation":"[20]","plainTextFormattedCitation":"[20]","previouslyFormattedCitation":"[20]"},"properties":{"noteIndex":0},"schema":"https://github.com/citation-style-language/schema/raw/master/csl-citation.json"}</w:instrText>
            </w:r>
            <w:r w:rsidR="005F06AF" w:rsidRPr="0053176A">
              <w:rPr>
                <w:rFonts w:ascii="Calibri" w:eastAsia="Times New Roman" w:hAnsi="Calibri" w:cs="Calibri"/>
                <w:color w:val="000000"/>
              </w:rPr>
              <w:fldChar w:fldCharType="separate"/>
            </w:r>
            <w:r w:rsidR="005F06AF" w:rsidRPr="0053176A">
              <w:rPr>
                <w:rFonts w:ascii="Calibri" w:eastAsia="Times New Roman" w:hAnsi="Calibri" w:cs="Calibri"/>
                <w:noProof/>
                <w:color w:val="000000"/>
              </w:rPr>
              <w:t>[20]</w:t>
            </w:r>
            <w:r w:rsidR="005F06AF" w:rsidRPr="0053176A">
              <w:rPr>
                <w:rFonts w:ascii="Calibri" w:eastAsia="Times New Roman" w:hAnsi="Calibri" w:cs="Calibri"/>
                <w:color w:val="000000"/>
              </w:rPr>
              <w:fldChar w:fldCharType="end"/>
            </w:r>
          </w:p>
        </w:tc>
        <w:tc>
          <w:tcPr>
            <w:tcW w:w="630" w:type="pct"/>
            <w:shd w:val="clear" w:color="auto" w:fill="auto"/>
            <w:noWrap/>
            <w:vAlign w:val="bottom"/>
            <w:hideMark/>
          </w:tcPr>
          <w:p w14:paraId="4DB60162"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363" w:type="pct"/>
            <w:shd w:val="clear" w:color="auto" w:fill="auto"/>
            <w:noWrap/>
            <w:vAlign w:val="bottom"/>
            <w:hideMark/>
          </w:tcPr>
          <w:p w14:paraId="5A5FE218"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 </w:t>
            </w:r>
          </w:p>
        </w:tc>
        <w:tc>
          <w:tcPr>
            <w:tcW w:w="506" w:type="pct"/>
            <w:shd w:val="clear" w:color="auto" w:fill="auto"/>
            <w:noWrap/>
            <w:vAlign w:val="bottom"/>
            <w:hideMark/>
          </w:tcPr>
          <w:p w14:paraId="2B71963A"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547" w:type="pct"/>
            <w:shd w:val="clear" w:color="auto" w:fill="auto"/>
            <w:noWrap/>
            <w:vAlign w:val="bottom"/>
            <w:hideMark/>
          </w:tcPr>
          <w:p w14:paraId="3F9CEAF0"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502" w:type="pct"/>
            <w:shd w:val="clear" w:color="auto" w:fill="auto"/>
            <w:noWrap/>
            <w:vAlign w:val="bottom"/>
            <w:hideMark/>
          </w:tcPr>
          <w:p w14:paraId="01EDD80D"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430" w:type="pct"/>
            <w:shd w:val="clear" w:color="auto" w:fill="auto"/>
            <w:noWrap/>
            <w:vAlign w:val="bottom"/>
          </w:tcPr>
          <w:p w14:paraId="1C861C8D" w14:textId="77777777" w:rsidR="000E0F86" w:rsidRPr="0053176A" w:rsidRDefault="000E0F86" w:rsidP="00565D9E">
            <w:pPr>
              <w:spacing w:after="0" w:line="240" w:lineRule="auto"/>
              <w:rPr>
                <w:rFonts w:ascii="Calibri" w:eastAsia="Times New Roman" w:hAnsi="Calibri" w:cs="Calibri"/>
                <w:color w:val="000000"/>
              </w:rPr>
            </w:pPr>
          </w:p>
        </w:tc>
        <w:tc>
          <w:tcPr>
            <w:tcW w:w="370" w:type="pct"/>
            <w:shd w:val="clear" w:color="auto" w:fill="auto"/>
            <w:noWrap/>
            <w:vAlign w:val="bottom"/>
            <w:hideMark/>
          </w:tcPr>
          <w:p w14:paraId="60021F0C"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386" w:type="pct"/>
            <w:shd w:val="clear" w:color="auto" w:fill="auto"/>
            <w:noWrap/>
            <w:vAlign w:val="bottom"/>
            <w:hideMark/>
          </w:tcPr>
          <w:p w14:paraId="4C6DE753"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423" w:type="pct"/>
            <w:shd w:val="clear" w:color="auto" w:fill="auto"/>
            <w:noWrap/>
            <w:vAlign w:val="bottom"/>
            <w:hideMark/>
          </w:tcPr>
          <w:p w14:paraId="2F503E6F"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r>
      <w:tr w:rsidR="005F06AF" w:rsidRPr="0053176A" w14:paraId="15579942" w14:textId="77777777" w:rsidTr="00565D9E">
        <w:trPr>
          <w:trHeight w:val="300"/>
        </w:trPr>
        <w:tc>
          <w:tcPr>
            <w:tcW w:w="843" w:type="pct"/>
            <w:shd w:val="clear" w:color="auto" w:fill="auto"/>
            <w:noWrap/>
            <w:vAlign w:val="bottom"/>
            <w:hideMark/>
          </w:tcPr>
          <w:p w14:paraId="7917CC86" w14:textId="13C7CF08"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Dierikx (2022)</w:t>
            </w:r>
            <w:r w:rsidR="005F06AF" w:rsidRPr="0053176A">
              <w:rPr>
                <w:rFonts w:ascii="Calibri" w:eastAsia="Times New Roman" w:hAnsi="Calibri" w:cs="Calibri"/>
                <w:color w:val="000000"/>
              </w:rPr>
              <w:fldChar w:fldCharType="begin" w:fldLock="1"/>
            </w:r>
            <w:r w:rsidR="005F06AF" w:rsidRPr="0053176A">
              <w:rPr>
                <w:rFonts w:ascii="Calibri" w:eastAsia="Times New Roman" w:hAnsi="Calibri" w:cs="Calibri"/>
                <w:color w:val="000000"/>
              </w:rPr>
              <w:instrText>ADDIN CSL_CITATION {"citationItems":[{"id":"ITEM-1","itemData":{"DOI":"10.1007/S00431-022-04579-5/TABLES/4","ISSN":"14321076","PMID":"35927379","abstract":"The threshold to initiate empiric antibiotics for suspicion of early-onset sepsis (EOS) is low in preterm infants. Antibiotics’ effects on short-term outcomes have recently been debated. We aimed at exploring the extent of early empiric antibiotic exposure (EEAE) in preterm infants and the association between the duration of EEAE with necrotizing enterocolitis (NEC) and late-onset sepsis (LOS) within different EEAE groups. EEAE practice for suspicion of EOS was evaluated in all included infants (gestational age &lt; 30 weeks) born in 9 centers in the Netherlands and Belgium between Oct. 2014 and Jan. 2019. EEAE association with NEC and LOS development was analyzed by multivariate regression. After excluding 56 EOS cases, 1259 infants were included. A total of 1122 infants (89.1%) were exposed to empirical antibiotics for the suspicion of EOS of whom 802 (63.7%) had short (≤ 72 h) and 320 (25.4%) prolonged EEAE (&gt; 72 h). Infants with EEAE ≤ 72 h had a lower incidence of NEC compared to both infants without EEAE (adjusted odds ratio (aOR) 0.39; 95% confidence interval (CI) [0.19–0.80]; p = 0.01) and with prolonged EEAE (&gt; 72 h) (aOR [95%CI]: 0.58 [0.35–0.96]; p = 0.03). With every additional day of EEAE, LOS incidence decreased (aOR [95%CI]: 0.90 [0.85–0.97]; p = 0.003). Conclusion: Almost 90% of preterm infants who have negative blood culture results in the first 72 h of life are exposed to EEAE under suspicion of EOS. One-fourth has prolonged EEAE. Duration of EEAE was differently associated with NEC and LOS incidence. The effects of antibiotics, and potentially induced microbial dysbiosis related to development of NEC and LOS, should further be explored.What is Known:• Preterm infants often receive antibiotics empirically directly after birth for suspicion of early-onset sepsis.• The effects of the duration of early empirical antibiotic exposure on the risk for necrotizing enterocolitis and late-onset sepsis are debated.What is New:• Almost 90% of preterm infants with a gestational age below 30 weeks are exposed to antibiotics empirically after birth despite negative culture results. In a quarter of these culture-negative infants, empirical antibiotics are prolonged.• A short course of empirical antibiotics (≤72h) is associated with decreased odds for necrotizing enterocolitis compared to both prolonged (&gt;72h) or no empirical antibiotics after birth. Furthermore, every additional day of empirical antibiotic exposure is associated with decreased risk for l…","author":[{"dropping-particle":"","family":"Dierikx","given":"Thomas H.","non-dropping-particle":"","parse-names":false,"suffix":""},{"dropping-particle":"","family":"Deianova","given":"Nancy","non-dropping-particle":"","parse-names":false,"suffix":""},{"dropping-particle":"","family":"Groen","given":"Jip","non-dropping-particle":"","parse-names":false,"suffix":""},{"dropping-particle":"","family":"Vijlbrief","given":"Daniel C.","non-dropping-particle":"","parse-names":false,"suffix":""},{"dropping-particle":"","family":"Hulzebos","given":"Christian","non-dropping-particle":"","parse-names":false,"suffix":""},{"dropping-particle":"","family":"Boode","given":"Willem P.","non-dropping-particle":"de","parse-names":false,"suffix":""},{"dropping-particle":"","family":"d’Haens","given":"Esther J.","non-dropping-particle":"","parse-names":false,"suffix":""},{"dropping-particle":"","family":"Cossey","given":"Veerle","non-dropping-particle":"","parse-names":false,"suffix":""},{"dropping-particle":"","family":"Kramer","given":"Boris W.","non-dropping-particle":"","parse-names":false,"suffix":""},{"dropping-particle":"","family":"Weissenbruch","given":"Mirjam M.","non-dropping-particle":"van","parse-names":false,"suffix":""},{"dropping-particle":"","family":"Jonge","given":"Wouter J.","non-dropping-particle":"de","parse-names":false,"suffix":""},{"dropping-particle":"","family":"Benninga","given":"Marc A.","non-dropping-particle":"","parse-names":false,"suffix":""},{"dropping-particle":"","family":"Akker","given":"Chris H.","non-dropping-particle":"van den","parse-names":false,"suffix":""},{"dropping-particle":"","family":"Kaam","given":"Anton H.","non-dropping-particle":"van","parse-names":false,"suffix":""},{"dropping-particle":"","family":"Boer","given":"Nanne K.H.","non-dropping-particle":"de","parse-names":false,"suffix":""},{"dropping-particle":"","family":"Visser","given":"Douwe H.","non-dropping-particle":"","parse-names":false,"suffix":""},{"dropping-particle":"","family":"Niemarkt","given":"Hendrik J.","non-dropping-particle":"","parse-names":false,"suffix":""},{"dropping-particle":"","family":"Meij","given":"Tim G.J.","non-dropping-particle":"de","parse-names":false,"suffix":""}],"container-title":"European Journal of Pediatrics","id":"ITEM-1","issue":"10","issued":{"date-parts":[["2022","10","1"]]},"page":"3715-3724","publisher":"Springer Science and Business Media Deutschland GmbH","title":"Association between duration of early empiric antibiotics and necrotizing enterocolitis and late-onset sepsis in preterm infants: a multicenter cohort study","type":"article-journal","volume":"181"},"uris":["http://www.mendeley.com/documents/?uuid=83629078-64ab-452e-9f2e-02512c5232d1"]}],"mendeley":{"formattedCitation":"[12]","plainTextFormattedCitation":"[12]","previouslyFormattedCitation":"[12]"},"properties":{"noteIndex":0},"schema":"https://github.com/citation-style-language/schema/raw/master/csl-citation.json"}</w:instrText>
            </w:r>
            <w:r w:rsidR="005F06AF" w:rsidRPr="0053176A">
              <w:rPr>
                <w:rFonts w:ascii="Calibri" w:eastAsia="Times New Roman" w:hAnsi="Calibri" w:cs="Calibri"/>
                <w:color w:val="000000"/>
              </w:rPr>
              <w:fldChar w:fldCharType="separate"/>
            </w:r>
            <w:r w:rsidR="005F06AF" w:rsidRPr="0053176A">
              <w:rPr>
                <w:rFonts w:ascii="Calibri" w:eastAsia="Times New Roman" w:hAnsi="Calibri" w:cs="Calibri"/>
                <w:noProof/>
                <w:color w:val="000000"/>
              </w:rPr>
              <w:t>[12]</w:t>
            </w:r>
            <w:r w:rsidR="005F06AF" w:rsidRPr="0053176A">
              <w:rPr>
                <w:rFonts w:ascii="Calibri" w:eastAsia="Times New Roman" w:hAnsi="Calibri" w:cs="Calibri"/>
                <w:color w:val="000000"/>
              </w:rPr>
              <w:fldChar w:fldCharType="end"/>
            </w:r>
          </w:p>
          <w:p w14:paraId="210E2E1D"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 </w:t>
            </w:r>
          </w:p>
        </w:tc>
        <w:tc>
          <w:tcPr>
            <w:tcW w:w="630" w:type="pct"/>
            <w:shd w:val="clear" w:color="auto" w:fill="auto"/>
            <w:noWrap/>
            <w:vAlign w:val="bottom"/>
            <w:hideMark/>
          </w:tcPr>
          <w:p w14:paraId="380BC4B6"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363" w:type="pct"/>
            <w:shd w:val="clear" w:color="auto" w:fill="auto"/>
            <w:noWrap/>
            <w:vAlign w:val="bottom"/>
            <w:hideMark/>
          </w:tcPr>
          <w:p w14:paraId="36863A1B"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 </w:t>
            </w:r>
          </w:p>
        </w:tc>
        <w:tc>
          <w:tcPr>
            <w:tcW w:w="506" w:type="pct"/>
            <w:shd w:val="clear" w:color="auto" w:fill="auto"/>
            <w:noWrap/>
            <w:vAlign w:val="bottom"/>
            <w:hideMark/>
          </w:tcPr>
          <w:p w14:paraId="566FFC4B"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547" w:type="pct"/>
            <w:shd w:val="clear" w:color="auto" w:fill="auto"/>
            <w:noWrap/>
            <w:vAlign w:val="bottom"/>
            <w:hideMark/>
          </w:tcPr>
          <w:p w14:paraId="212EA4F6"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502" w:type="pct"/>
            <w:shd w:val="clear" w:color="auto" w:fill="auto"/>
            <w:noWrap/>
            <w:vAlign w:val="bottom"/>
            <w:hideMark/>
          </w:tcPr>
          <w:p w14:paraId="157B316F"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430" w:type="pct"/>
            <w:shd w:val="clear" w:color="auto" w:fill="auto"/>
            <w:noWrap/>
            <w:vAlign w:val="bottom"/>
          </w:tcPr>
          <w:p w14:paraId="32242E6A" w14:textId="77777777" w:rsidR="000E0F86" w:rsidRPr="0053176A" w:rsidRDefault="000E0F86" w:rsidP="00565D9E">
            <w:pPr>
              <w:spacing w:after="0" w:line="240" w:lineRule="auto"/>
              <w:rPr>
                <w:rFonts w:ascii="Calibri" w:eastAsia="Times New Roman" w:hAnsi="Calibri" w:cs="Calibri"/>
                <w:color w:val="000000"/>
              </w:rPr>
            </w:pPr>
          </w:p>
        </w:tc>
        <w:tc>
          <w:tcPr>
            <w:tcW w:w="370" w:type="pct"/>
            <w:shd w:val="clear" w:color="auto" w:fill="auto"/>
            <w:noWrap/>
            <w:vAlign w:val="bottom"/>
            <w:hideMark/>
          </w:tcPr>
          <w:p w14:paraId="3115701A"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386" w:type="pct"/>
            <w:shd w:val="clear" w:color="auto" w:fill="auto"/>
            <w:noWrap/>
            <w:vAlign w:val="bottom"/>
            <w:hideMark/>
          </w:tcPr>
          <w:p w14:paraId="1E7A55E3"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423" w:type="pct"/>
            <w:shd w:val="clear" w:color="auto" w:fill="auto"/>
            <w:noWrap/>
            <w:vAlign w:val="bottom"/>
            <w:hideMark/>
          </w:tcPr>
          <w:p w14:paraId="563DA108"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r>
      <w:tr w:rsidR="005F06AF" w:rsidRPr="0053176A" w14:paraId="224E6AD4" w14:textId="77777777" w:rsidTr="00565D9E">
        <w:trPr>
          <w:trHeight w:val="300"/>
        </w:trPr>
        <w:tc>
          <w:tcPr>
            <w:tcW w:w="843" w:type="pct"/>
            <w:shd w:val="clear" w:color="auto" w:fill="auto"/>
            <w:noWrap/>
            <w:vAlign w:val="bottom"/>
            <w:hideMark/>
          </w:tcPr>
          <w:p w14:paraId="5C9F3B49" w14:textId="485A746D"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Fajardoa (2018)</w:t>
            </w:r>
            <w:r w:rsidR="005F06AF" w:rsidRPr="0053176A">
              <w:rPr>
                <w:rFonts w:ascii="Calibri" w:eastAsia="Times New Roman" w:hAnsi="Calibri" w:cs="Calibri"/>
                <w:color w:val="000000"/>
              </w:rPr>
              <w:t xml:space="preserve"> </w:t>
            </w:r>
            <w:r w:rsidR="005F06AF" w:rsidRPr="0053176A">
              <w:rPr>
                <w:rFonts w:ascii="Calibri" w:eastAsia="Times New Roman" w:hAnsi="Calibri" w:cs="Calibri"/>
                <w:color w:val="000000"/>
              </w:rPr>
              <w:fldChar w:fldCharType="begin" w:fldLock="1"/>
            </w:r>
            <w:r w:rsidR="005F06AF" w:rsidRPr="0053176A">
              <w:rPr>
                <w:rFonts w:ascii="Calibri" w:eastAsia="Times New Roman" w:hAnsi="Calibri" w:cs="Calibri"/>
                <w:color w:val="000000"/>
              </w:rPr>
              <w:instrText>ADDIN CSL_CITATION {"citationItems":[{"id":"ITEM-1","itemData":{"DOI":"10.1080/14767058.2018.1481042","ISSN":"14764954","PMID":"29792103","abstract":"Background: Most preterm infants are exposed to a variable duration of antibiotic therapy after birth despite negative cultures. Data is emerging about the risks of prolonged antibiotics. We sought to assess the association between length of initial antibiotic course and neonatal outcomes in a cohort from a single large perinatal center. Methods: Retrospective cohort study of prospectively collected data on all infants with a birth weight of less than 1250 g hospitalized in our NICU in a 4 year window and who had negative blood and CSF cultures in the first 2 days of life. The primary outcome is a composite of necrotizing enterocolitis (NEC), late onset sepsis (LOS) and death evaluated using multivariable regression analysis. Results: A total of 620 infants less than 1250 g with negative cultures were eligible for study over a 4 year period. The 238 infants with more than 5 days initial antibiotic use were significantly smaller and of lower gestational age than the 382 infants who received up to 5 days of antibiotics. Their mothers had more clinical chorioamnionitis, less maternal hypertension and greater perinatal use of antibiotics. On multivariate analysis, infants who received empiric antibiotics for longer than 5 days had higher rates of neonatal morbidities after adjusting for gestational age, SNAP II, small-for-gestational age status, gender, maternal hypertension, prenatal steroid treatment, clinical chorioamnionitis, intrapartum antibiotic treatment, and multiple births. Composite outcome OR: 1.83 (1.15 to 2.92), LOS OR: 2.02 (1.20 to 3.39), bronchopulmonary dysplasia OR: 1.58 (1.04 to 2.29). Mortality and NEC were not significantly different. Conclusion: More than 5 days of antibiotic treatment in very preterm infants with negative cultures was associated with increased morbidity in our population, and that included BPD. It is of note that patterns of increased morbidity and/or mortality differ between studies. Prospective trials of clinical protocols for starting and stopping antibiotics in the very preterm infants are required.","author":[{"dropping-particle":"","family":"Fajardo","given":"Carlos","non-dropping-particle":"","parse-names":false,"suffix":""},{"dropping-particle":"","family":"Alshaikh","given":"Belal","non-dropping-particle":"","parse-names":false,"suffix":""},{"dropping-particle":"","family":"Harabor","given":"Andrei","non-dropping-particle":"","parse-names":false,"suffix":""}],"container-title":"Journal of Maternal-Fetal and Neonatal Medicine","id":"ITEM-1","issue":"24","issued":{"date-parts":[["2019","12","17"]]},"page":"4060-4066","publisher":"Taylor &amp; Francis","title":"Prolonged use of antibiotics after birth is associated with increased morbidity in preterm infants with negative cultures","type":"article-journal","volume":"32"},"uris":["http://www.mendeley.com/documents/?uuid=0f38d027-a47c-4796-8aa1-4bddf4484cb8"]}],"mendeley":{"formattedCitation":"[9]","plainTextFormattedCitation":"[9]","previouslyFormattedCitation":"[9]"},"properties":{"noteIndex":0},"schema":"https://github.com/citation-style-language/schema/raw/master/csl-citation.json"}</w:instrText>
            </w:r>
            <w:r w:rsidR="005F06AF" w:rsidRPr="0053176A">
              <w:rPr>
                <w:rFonts w:ascii="Calibri" w:eastAsia="Times New Roman" w:hAnsi="Calibri" w:cs="Calibri"/>
                <w:color w:val="000000"/>
              </w:rPr>
              <w:fldChar w:fldCharType="separate"/>
            </w:r>
            <w:r w:rsidR="005F06AF" w:rsidRPr="0053176A">
              <w:rPr>
                <w:rFonts w:ascii="Calibri" w:eastAsia="Times New Roman" w:hAnsi="Calibri" w:cs="Calibri"/>
                <w:noProof/>
                <w:color w:val="000000"/>
              </w:rPr>
              <w:t>[9]</w:t>
            </w:r>
            <w:r w:rsidR="005F06AF" w:rsidRPr="0053176A">
              <w:rPr>
                <w:rFonts w:ascii="Calibri" w:eastAsia="Times New Roman" w:hAnsi="Calibri" w:cs="Calibri"/>
                <w:color w:val="000000"/>
              </w:rPr>
              <w:fldChar w:fldCharType="end"/>
            </w:r>
          </w:p>
          <w:p w14:paraId="63B25634"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 </w:t>
            </w:r>
          </w:p>
        </w:tc>
        <w:tc>
          <w:tcPr>
            <w:tcW w:w="630" w:type="pct"/>
            <w:shd w:val="clear" w:color="auto" w:fill="auto"/>
            <w:noWrap/>
            <w:vAlign w:val="bottom"/>
            <w:hideMark/>
          </w:tcPr>
          <w:p w14:paraId="4BA1FE4E"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363" w:type="pct"/>
            <w:shd w:val="clear" w:color="auto" w:fill="auto"/>
            <w:noWrap/>
            <w:vAlign w:val="bottom"/>
            <w:hideMark/>
          </w:tcPr>
          <w:p w14:paraId="20A5C204"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 </w:t>
            </w:r>
          </w:p>
        </w:tc>
        <w:tc>
          <w:tcPr>
            <w:tcW w:w="506" w:type="pct"/>
            <w:shd w:val="clear" w:color="auto" w:fill="auto"/>
            <w:noWrap/>
            <w:vAlign w:val="bottom"/>
            <w:hideMark/>
          </w:tcPr>
          <w:p w14:paraId="1210D877"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547" w:type="pct"/>
            <w:shd w:val="clear" w:color="auto" w:fill="auto"/>
            <w:noWrap/>
            <w:vAlign w:val="bottom"/>
            <w:hideMark/>
          </w:tcPr>
          <w:p w14:paraId="2B4D0BDF"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502" w:type="pct"/>
            <w:shd w:val="clear" w:color="auto" w:fill="auto"/>
            <w:noWrap/>
            <w:vAlign w:val="bottom"/>
            <w:hideMark/>
          </w:tcPr>
          <w:p w14:paraId="45CD3E28"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430" w:type="pct"/>
            <w:shd w:val="clear" w:color="auto" w:fill="auto"/>
            <w:noWrap/>
            <w:vAlign w:val="bottom"/>
          </w:tcPr>
          <w:p w14:paraId="6DD65DB2" w14:textId="77777777" w:rsidR="000E0F86" w:rsidRPr="0053176A" w:rsidRDefault="000E0F86" w:rsidP="00565D9E">
            <w:pPr>
              <w:spacing w:after="0" w:line="240" w:lineRule="auto"/>
              <w:rPr>
                <w:rFonts w:ascii="Calibri" w:eastAsia="Times New Roman" w:hAnsi="Calibri" w:cs="Calibri"/>
                <w:color w:val="000000"/>
              </w:rPr>
            </w:pPr>
          </w:p>
        </w:tc>
        <w:tc>
          <w:tcPr>
            <w:tcW w:w="370" w:type="pct"/>
            <w:shd w:val="clear" w:color="auto" w:fill="auto"/>
            <w:noWrap/>
            <w:vAlign w:val="bottom"/>
            <w:hideMark/>
          </w:tcPr>
          <w:p w14:paraId="53D55559"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386" w:type="pct"/>
            <w:shd w:val="clear" w:color="auto" w:fill="auto"/>
            <w:noWrap/>
            <w:vAlign w:val="bottom"/>
            <w:hideMark/>
          </w:tcPr>
          <w:p w14:paraId="3A380F86"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423" w:type="pct"/>
            <w:shd w:val="clear" w:color="auto" w:fill="auto"/>
            <w:noWrap/>
            <w:vAlign w:val="bottom"/>
            <w:hideMark/>
          </w:tcPr>
          <w:p w14:paraId="13B85981"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r>
      <w:tr w:rsidR="005F06AF" w:rsidRPr="0053176A" w14:paraId="63C1868B" w14:textId="77777777" w:rsidTr="00565D9E">
        <w:trPr>
          <w:trHeight w:val="300"/>
        </w:trPr>
        <w:tc>
          <w:tcPr>
            <w:tcW w:w="843" w:type="pct"/>
            <w:shd w:val="clear" w:color="auto" w:fill="auto"/>
            <w:noWrap/>
            <w:vAlign w:val="bottom"/>
            <w:hideMark/>
          </w:tcPr>
          <w:p w14:paraId="35650D00" w14:textId="0D310280"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Yu (2023)</w:t>
            </w:r>
            <w:r w:rsidR="005F06AF" w:rsidRPr="0053176A">
              <w:rPr>
                <w:rFonts w:ascii="Calibri" w:eastAsia="Times New Roman" w:hAnsi="Calibri" w:cs="Calibri"/>
                <w:color w:val="000000"/>
              </w:rPr>
              <w:t xml:space="preserve"> </w:t>
            </w:r>
            <w:r w:rsidR="005F06AF" w:rsidRPr="0053176A">
              <w:rPr>
                <w:rFonts w:ascii="Calibri" w:eastAsia="Times New Roman" w:hAnsi="Calibri" w:cs="Calibri"/>
                <w:color w:val="000000"/>
              </w:rPr>
              <w:fldChar w:fldCharType="begin" w:fldLock="1"/>
            </w:r>
            <w:r w:rsidR="005F06AF" w:rsidRPr="0053176A">
              <w:rPr>
                <w:rFonts w:ascii="Calibri" w:eastAsia="Times New Roman" w:hAnsi="Calibri" w:cs="Calibri"/>
                <w:color w:val="000000"/>
              </w:rPr>
              <w:instrText>ADDIN CSL_CITATION {"citationItems":[{"id":"ITEM-1","itemData":{"DOI":"10.1542/PEDS.2022-059427","ISSN":"10984275","PMID":"37042203","abstract":"OBJECTIVES: To determine whether use, duration, and types of early antibiotics were associated with neonatal outcomes and late antibiotic use in preterm infants without infection-related diseases. METHODS: This cohort study enrolled infants admitted to 25 tertiary NICUs in China within 24 hours of birth during 2015-2018. Death, discharge, or infection-related morbidities within 7 days of birth; major congenital anomalies; and error data on antibiotic use were excluded. The composite outcome was death or adverse morbidities. Late antibiotic use indicated antibiotics used after 7 days of age. Late antibiotic use rate was total antibiotic use days divided by the days of hospital stay after the first 7 days of life. RESULTS: Among 21 540 infants, 18 302 (85.0%) received early antibiotics. Early antibiotics was related to increased bronchopulmonary dysplasia (BPD) (adjusted odds ratio [aOR], 1.28; 95% confidence interval [CI], 1.05-1.56), late antibiotic use (aOR, 4.64; 95% CI, 4.19-5.14), and late antibiotic use rate (adjusted mean difference, 130 days/1000 patient-days; 95% CI, 112-147). Each additional day of early antibiotics was associated with increased BPD (aOR, 1.07; 95% CI, 1.04-1.10) and late antibiotic use (aOR, 1.41; 95% CI, 1.39-1.43). Broad-spectrum antibiotics showed larger effect size on neonatal outcomes than narrow-spectrum antibiotics. The correlation between early antibiotics and outcomes was significant among noncritical infants but disappeared for critical infants. CONCLUSIONS: Among infants without infection, early antibiotic use was associated with increased risk of BPD and late antibiotic use. Judicious early antibiotic use, especially avoiding prolonged duration and broad-spectrum antibiotics among noncritical infants, may improve neonatal outcomes and overall antibiotic use in NICUs.","author":[{"dropping-particle":"","family":"Yu","given":"Weiyin","non-dropping-particle":"","parse-names":false,"suffix":""},{"dropping-particle":"","family":"Zhang","given":"Lan","non-dropping-particle":"","parse-names":false,"suffix":""},{"dropping-particle":"","family":"Li","given":"Shujuan","non-dropping-particle":"","parse-names":false,"suffix":""},{"dropping-particle":"","family":"Yan","given":"Weili","non-dropping-particle":"","parse-names":false,"suffix":""},{"dropping-particle":"","family":"Bai","given":"Ruimiao","non-dropping-particle":"","parse-names":false,"suffix":""},{"dropping-particle":"","family":"Yang","given":"Zuming","non-dropping-particle":"","parse-names":false,"suffix":""},{"dropping-particle":"","family":"Shi","given":"Jingyun","non-dropping-particle":"","parse-names":false,"suffix":""},{"dropping-particle":"","family":"Yuan","given":"Jing","non-dropping-particle":"","parse-names":false,"suffix":""},{"dropping-particle":"","family":"Yang","given":"Chuanzhong","non-dropping-particle":"","parse-names":false,"suffix":""},{"dropping-particle":"","family":"Cai","given":"Wenhong","non-dropping-particle":"","parse-names":false,"suffix":""},{"dropping-particle":"","family":"Wang","given":"Yang","non-dropping-particle":"","parse-names":false,"suffix":""},{"dropping-particle":"","family":"Zhang","given":"Yi","non-dropping-particle":"","parse-names":false,"suffix":""},{"dropping-particle":"","family":"Gu","given":"Xinyue","non-dropping-particle":"","parse-names":false,"suffix":""},{"dropping-particle":"","family":"Cao","given":"Xincheng","non-dropping-particle":"","parse-names":false,"suffix":""},{"dropping-particle":"","family":"Huang","given":"Yihuang","non-dropping-particle":"","parse-names":false,"suffix":""},{"dropping-particle":"","family":"Hong","given":"Luyang","non-dropping-particle":"","parse-names":false,"suffix":""},{"dropping-particle":"","family":"Zhou","given":"Qi","non-dropping-particle":"","parse-names":false,"suffix":""},{"dropping-particle":"","family":"Yang","given":"Yi","non-dropping-particle":"","parse-names":false,"suffix":""},{"dropping-particle":"","family":"Lee","given":"Shoo K.","non-dropping-particle":"","parse-names":false,"suffix":""},{"dropping-particle":"","family":"Jiang","given":"Siyuan","non-dropping-particle":"","parse-names":false,"suffix":""},{"dropping-particle":"","family":"Cao","given":"Yun","non-dropping-particle":"","parse-names":false,"suffix":""},{"dropping-particle":"","family":"Ji","given":"Yong","non-dropping-particle":"","parse-names":false,"suffix":""},{"dropping-particle":"","family":"Han","given":"Shuping","non-dropping-particle":"","parse-names":false,"suffix":""},{"dropping-particle":"","family":"Wang","given":"Sannan","non-dropping-particle":"","parse-names":false,"suffix":""},{"dropping-particle":"","family":"Li","given":"Zhankui","non-dropping-particle":"","parse-names":false,"suffix":""},{"dropping-particle":"","family":"Xia","given":"Shiwen","non-dropping-particle":"","parse-names":false,"suffix":""},{"dropping-particle":"","family":"Yang","given":"Changyi","non-dropping-particle":"","parse-names":false,"suffix":""},{"dropping-particle":"","family":"Yang","given":"Chuan Zhong","non-dropping-particle":"","parse-names":false,"suffix":""},{"dropping-particle":"","family":"Chen","given":"Ling","non-dropping-particle":"","parse-names":false,"suffix":""},{"dropping-particle":"","family":"Shan","given":"Ruobing","non-dropping-particle":"","parse-names":false,"suffix":""},{"dropping-particle":"","family":"Liu","given":"Ling","non-dropping-particle":"","parse-names":false,"suffix":""},{"dropping-particle":"","family":"Yi","given":"Bin","non-dropping-particle":"","parse-names":false,"suffix":""},{"dropping-particle":"","family":"Liu","given":"Jiangqin","non-dropping-particle":"","parse-names":false,"suffix":""},{"dropping-particle":"","family":"He","given":"Ling","non-dropping-particle":"","parse-names":false,"suffix":""},{"dropping-particle":"","family":"Li","given":"Mingxia","non-dropping-particle":"","parse-names":false,"suffix":""},{"dropping-particle":"","family":"Pan","given":"Xinnian","non-dropping-particle":"","parse-names":false,"suffix":""},{"dropping-particle":"","family":"Guo","given":"Yan","non-dropping-particle":"","parse-names":false,"suffix":""},{"dropping-particle":"","family":"Liu","given":"Cuiqing","non-dropping-particle":"","parse-names":false,"suffix":""},{"dropping-particle":"","family":"Zhou","given":"Qin","non-dropping-particle":"","parse-names":false,"suffix":""},{"dropping-particle":"","family":"Li","given":"Xiaoying","non-dropping-particle":"","parse-names":false,"suffix":""},{"dropping-particle":"","family":"Xiong","given":"Hong","non-dropping-particle":"","parse-names":false,"suffix":""},{"dropping-particle":"","family":"Qi","given":"Yujie","non-dropping-particle":"","parse-names":false,"suffix":""},{"dropping-particle":"","family":"Hei","given":"Mingyan","non-dropping-particle":"","parse-names":false,"suffix":""}],"container-title":"Pediatrics","id":"ITEM-1","issue":"5","issued":{"date-parts":[["2023","5","1"]]},"page":"2022059427","publisher":"American Academy of Pediatrics","title":"Early Antibiotic Use and Neonatal Outcomes Among Preterm Infants Without Infections","type":"article-journal","volume":"151"},"uris":["http://www.mendeley.com/documents/?uuid=49900c81-3c60-305a-86ae-ee1229068d80"]}],"mendeley":{"formattedCitation":"[21]","plainTextFormattedCitation":"[21]","previouslyFormattedCitation":"[21]"},"properties":{"noteIndex":0},"schema":"https://github.com/citation-style-language/schema/raw/master/csl-citation.json"}</w:instrText>
            </w:r>
            <w:r w:rsidR="005F06AF" w:rsidRPr="0053176A">
              <w:rPr>
                <w:rFonts w:ascii="Calibri" w:eastAsia="Times New Roman" w:hAnsi="Calibri" w:cs="Calibri"/>
                <w:color w:val="000000"/>
              </w:rPr>
              <w:fldChar w:fldCharType="separate"/>
            </w:r>
            <w:r w:rsidR="005F06AF" w:rsidRPr="0053176A">
              <w:rPr>
                <w:rFonts w:ascii="Calibri" w:eastAsia="Times New Roman" w:hAnsi="Calibri" w:cs="Calibri"/>
                <w:noProof/>
                <w:color w:val="000000"/>
              </w:rPr>
              <w:t>[21]</w:t>
            </w:r>
            <w:r w:rsidR="005F06AF" w:rsidRPr="0053176A">
              <w:rPr>
                <w:rFonts w:ascii="Calibri" w:eastAsia="Times New Roman" w:hAnsi="Calibri" w:cs="Calibri"/>
                <w:color w:val="000000"/>
              </w:rPr>
              <w:fldChar w:fldCharType="end"/>
            </w:r>
          </w:p>
          <w:p w14:paraId="00B08582"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 </w:t>
            </w:r>
          </w:p>
        </w:tc>
        <w:tc>
          <w:tcPr>
            <w:tcW w:w="630" w:type="pct"/>
            <w:shd w:val="clear" w:color="auto" w:fill="auto"/>
            <w:noWrap/>
            <w:vAlign w:val="bottom"/>
            <w:hideMark/>
          </w:tcPr>
          <w:p w14:paraId="0EFE6ACD"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363" w:type="pct"/>
            <w:shd w:val="clear" w:color="auto" w:fill="auto"/>
            <w:noWrap/>
            <w:vAlign w:val="bottom"/>
            <w:hideMark/>
          </w:tcPr>
          <w:p w14:paraId="5153F225"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 </w:t>
            </w:r>
          </w:p>
        </w:tc>
        <w:tc>
          <w:tcPr>
            <w:tcW w:w="506" w:type="pct"/>
            <w:shd w:val="clear" w:color="auto" w:fill="auto"/>
            <w:noWrap/>
            <w:vAlign w:val="bottom"/>
            <w:hideMark/>
          </w:tcPr>
          <w:p w14:paraId="1C7D5936"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547" w:type="pct"/>
            <w:shd w:val="clear" w:color="auto" w:fill="auto"/>
            <w:noWrap/>
            <w:vAlign w:val="bottom"/>
            <w:hideMark/>
          </w:tcPr>
          <w:p w14:paraId="0FD42DA9"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502" w:type="pct"/>
            <w:shd w:val="clear" w:color="auto" w:fill="auto"/>
            <w:noWrap/>
            <w:vAlign w:val="bottom"/>
            <w:hideMark/>
          </w:tcPr>
          <w:p w14:paraId="59E852FB"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430" w:type="pct"/>
            <w:shd w:val="clear" w:color="auto" w:fill="auto"/>
            <w:noWrap/>
            <w:vAlign w:val="bottom"/>
          </w:tcPr>
          <w:p w14:paraId="40C455EE" w14:textId="77777777" w:rsidR="000E0F86" w:rsidRPr="0053176A" w:rsidRDefault="000E0F86" w:rsidP="00565D9E">
            <w:pPr>
              <w:spacing w:after="0" w:line="240" w:lineRule="auto"/>
              <w:rPr>
                <w:rFonts w:ascii="Calibri" w:eastAsia="Times New Roman" w:hAnsi="Calibri" w:cs="Calibri"/>
                <w:color w:val="000000"/>
              </w:rPr>
            </w:pPr>
          </w:p>
        </w:tc>
        <w:tc>
          <w:tcPr>
            <w:tcW w:w="370" w:type="pct"/>
            <w:shd w:val="clear" w:color="auto" w:fill="auto"/>
            <w:noWrap/>
            <w:vAlign w:val="bottom"/>
            <w:hideMark/>
          </w:tcPr>
          <w:p w14:paraId="472150C5"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386" w:type="pct"/>
            <w:shd w:val="clear" w:color="auto" w:fill="auto"/>
            <w:noWrap/>
            <w:vAlign w:val="bottom"/>
            <w:hideMark/>
          </w:tcPr>
          <w:p w14:paraId="64247014"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423" w:type="pct"/>
            <w:shd w:val="clear" w:color="auto" w:fill="auto"/>
            <w:noWrap/>
            <w:vAlign w:val="bottom"/>
            <w:hideMark/>
          </w:tcPr>
          <w:p w14:paraId="64EC994A"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r>
      <w:tr w:rsidR="005F06AF" w:rsidRPr="0053176A" w14:paraId="1AD33E15" w14:textId="77777777" w:rsidTr="00565D9E">
        <w:trPr>
          <w:trHeight w:val="300"/>
        </w:trPr>
        <w:tc>
          <w:tcPr>
            <w:tcW w:w="843" w:type="pct"/>
            <w:shd w:val="clear" w:color="auto" w:fill="auto"/>
            <w:noWrap/>
            <w:vAlign w:val="bottom"/>
            <w:hideMark/>
          </w:tcPr>
          <w:p w14:paraId="12537A76" w14:textId="111DFA30"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Vatne (2023)</w:t>
            </w:r>
            <w:r w:rsidR="005F06AF" w:rsidRPr="0053176A">
              <w:rPr>
                <w:rFonts w:ascii="Calibri" w:eastAsia="Times New Roman" w:hAnsi="Calibri" w:cs="Calibri"/>
                <w:color w:val="000000"/>
              </w:rPr>
              <w:fldChar w:fldCharType="begin" w:fldLock="1"/>
            </w:r>
            <w:r w:rsidR="00A920C5" w:rsidRPr="0053176A">
              <w:rPr>
                <w:rFonts w:ascii="Calibri" w:eastAsia="Times New Roman" w:hAnsi="Calibri" w:cs="Calibri"/>
                <w:color w:val="000000"/>
              </w:rPr>
              <w:instrText>ADDIN CSL_CITATION {"citationItems":[{"id":"ITEM-1","itemData":{"DOI":"10.1016/J.JPEDS.2022.09.029","ISSN":"0022-3476","PMID":"36179887","abstract":"Objective: The objective of this study was to evaluate the association between empirical antibiotic therapy in the first postnatal week in uninfected infants born very preterm and the risk of adverse outcomes until discharge. Study design: Population-based, nationwide registry study in Norway including all live-born infants with a gestational age &lt;32 weeks surviving first postnatal week without sepsis, intestinal perforation, or necrotizing enterocolitis (NEC) between 2009 and 2018. Primary outcomes were severe NEC, death after the first postnatal week, and/or a composite outcome of severe morbidity (severe NEC, severe bronchopulmonary dysplasia [BPD], severe retinopathy of prematurity, late-onset sepsis, or cystic periventricular leukomalacia). The association between empirical antibiotics and adverse outcomes was assessed using multivariable logistic regression models, adjusting for known confounders. Results: Of 5296 live-born infants born very preterm, 4932 (93%) were included. Antibiotics were started in first postnatal week in 3790 of 4932 (77%) infants and were associated with higher aOR of death (aOR 9.33; 95% CI: 1.10-79.5, P = .041), severe morbidity (aOR 1.88; 95% CI: 1.16-3.05, P = .01), and severe BPD (aOR 2.17; 95% CI: 1.18-3.98; P = .012), compared with those not exposed. Antibiotics ≥ 5 days were associated with higher odds of severe NEC (aOR 2.27; 95% CI: 1.02-5.06; P = .045). Each additional day of antibiotics was associated with 14% higher aOR of death or severe morbidity and severe BPD. Conclusions: Early and prolonged antibiotic exposure within the first postnatal week was associated with severe NEC, severe BPD, and death after the first postnatal week.","author":[{"dropping-particle":"","family":"Vatne","given":"Anlaug","non-dropping-particle":"","parse-names":false,"suffix":""},{"dropping-particle":"","family":"Hapnes","given":"Nina","non-dropping-particle":"","parse-names":false,"suffix":""},{"dropping-particle":"","family":"Stensvold","given":"Hans Jørgen","non-dropping-particle":"","parse-names":false,"suffix":""},{"dropping-particle":"","family":"Dalen","given":"Ingvild","non-dropping-particle":"","parse-names":false,"suffix":""},{"dropping-particle":"","family":"Guthe","given":"Hans Jørgen","non-dropping-particle":"","parse-names":false,"suffix":""},{"dropping-particle":"","family":"Støen","given":"Ragnhild","non-dropping-particle":"","parse-names":false,"suffix":""},{"dropping-particle":"","family":"Brigtsen","given":"Anne Karin","non-dropping-particle":"","parse-names":false,"suffix":""},{"dropping-particle":"","family":"Rønnestad","given":"Arild E.","non-dropping-particle":"","parse-names":false,"suffix":""},{"dropping-particle":"","family":"Klingenberg","given":"Claus","non-dropping-particle":"","parse-names":false,"suffix":""}],"container-title":"The Journal of Pediatrics","id":"ITEM-1","issued":{"date-parts":[["2023","2"]]},"page":"107-114.e5","publisher":"Mosby","title":"Early Empirical Antibiotics and Adverse Clinical Outcomes in Infants Born Very Preterm: A Population-Based Cohort","type":"article-journal","volume":"253"},"uris":["http://www.mendeley.com/documents/?uuid=3acbaf2e-b328-4a04-9de9-d40eb1cc18b8"]}],"mendeley":{"formattedCitation":"[11]","plainTextFormattedCitation":"[11]","previouslyFormattedCitation":"[11]"},"properties":{"noteIndex":0},"schema":"https://github.com/citation-style-language/schema/raw/master/csl-citation.json"}</w:instrText>
            </w:r>
            <w:r w:rsidR="005F06AF" w:rsidRPr="0053176A">
              <w:rPr>
                <w:rFonts w:ascii="Calibri" w:eastAsia="Times New Roman" w:hAnsi="Calibri" w:cs="Calibri"/>
                <w:color w:val="000000"/>
              </w:rPr>
              <w:fldChar w:fldCharType="separate"/>
            </w:r>
            <w:r w:rsidR="005F06AF" w:rsidRPr="0053176A">
              <w:rPr>
                <w:rFonts w:ascii="Calibri" w:eastAsia="Times New Roman" w:hAnsi="Calibri" w:cs="Calibri"/>
                <w:noProof/>
                <w:color w:val="000000"/>
              </w:rPr>
              <w:t>[11]</w:t>
            </w:r>
            <w:r w:rsidR="005F06AF" w:rsidRPr="0053176A">
              <w:rPr>
                <w:rFonts w:ascii="Calibri" w:eastAsia="Times New Roman" w:hAnsi="Calibri" w:cs="Calibri"/>
                <w:color w:val="000000"/>
              </w:rPr>
              <w:fldChar w:fldCharType="end"/>
            </w:r>
          </w:p>
          <w:p w14:paraId="278DACED"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 </w:t>
            </w:r>
          </w:p>
        </w:tc>
        <w:tc>
          <w:tcPr>
            <w:tcW w:w="630" w:type="pct"/>
            <w:shd w:val="clear" w:color="auto" w:fill="auto"/>
            <w:noWrap/>
            <w:vAlign w:val="bottom"/>
            <w:hideMark/>
          </w:tcPr>
          <w:p w14:paraId="012FD273"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363" w:type="pct"/>
            <w:shd w:val="clear" w:color="auto" w:fill="auto"/>
            <w:noWrap/>
            <w:vAlign w:val="bottom"/>
            <w:hideMark/>
          </w:tcPr>
          <w:p w14:paraId="22A92ACB"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 </w:t>
            </w:r>
          </w:p>
        </w:tc>
        <w:tc>
          <w:tcPr>
            <w:tcW w:w="506" w:type="pct"/>
            <w:shd w:val="clear" w:color="auto" w:fill="auto"/>
            <w:noWrap/>
            <w:vAlign w:val="bottom"/>
            <w:hideMark/>
          </w:tcPr>
          <w:p w14:paraId="4EDB7D3F"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547" w:type="pct"/>
            <w:shd w:val="clear" w:color="auto" w:fill="auto"/>
            <w:noWrap/>
            <w:vAlign w:val="bottom"/>
            <w:hideMark/>
          </w:tcPr>
          <w:p w14:paraId="5560B483"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502" w:type="pct"/>
            <w:shd w:val="clear" w:color="auto" w:fill="auto"/>
            <w:noWrap/>
            <w:vAlign w:val="bottom"/>
            <w:hideMark/>
          </w:tcPr>
          <w:p w14:paraId="79F9E6D8"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430" w:type="pct"/>
            <w:shd w:val="clear" w:color="auto" w:fill="auto"/>
            <w:noWrap/>
            <w:vAlign w:val="bottom"/>
          </w:tcPr>
          <w:p w14:paraId="0319E3D5" w14:textId="77777777" w:rsidR="000E0F86" w:rsidRPr="0053176A" w:rsidRDefault="000E0F86" w:rsidP="00565D9E">
            <w:pPr>
              <w:spacing w:after="0" w:line="240" w:lineRule="auto"/>
              <w:rPr>
                <w:rFonts w:ascii="Calibri" w:eastAsia="Times New Roman" w:hAnsi="Calibri" w:cs="Calibri"/>
                <w:color w:val="000000"/>
              </w:rPr>
            </w:pPr>
          </w:p>
        </w:tc>
        <w:tc>
          <w:tcPr>
            <w:tcW w:w="370" w:type="pct"/>
            <w:shd w:val="clear" w:color="auto" w:fill="auto"/>
            <w:noWrap/>
            <w:vAlign w:val="bottom"/>
            <w:hideMark/>
          </w:tcPr>
          <w:p w14:paraId="1346237F"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386" w:type="pct"/>
            <w:shd w:val="clear" w:color="auto" w:fill="auto"/>
            <w:noWrap/>
            <w:vAlign w:val="bottom"/>
            <w:hideMark/>
          </w:tcPr>
          <w:p w14:paraId="04CC6CB3"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423" w:type="pct"/>
            <w:shd w:val="clear" w:color="auto" w:fill="auto"/>
            <w:noWrap/>
            <w:vAlign w:val="bottom"/>
            <w:hideMark/>
          </w:tcPr>
          <w:p w14:paraId="3172C3EE"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r>
      <w:tr w:rsidR="005F06AF" w:rsidRPr="0053176A" w14:paraId="44328FB0" w14:textId="77777777" w:rsidTr="00565D9E">
        <w:trPr>
          <w:trHeight w:val="300"/>
        </w:trPr>
        <w:tc>
          <w:tcPr>
            <w:tcW w:w="843" w:type="pct"/>
            <w:shd w:val="clear" w:color="auto" w:fill="auto"/>
            <w:noWrap/>
            <w:vAlign w:val="bottom"/>
            <w:hideMark/>
          </w:tcPr>
          <w:p w14:paraId="35015D15" w14:textId="0B34DB7F"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Shah</w:t>
            </w:r>
            <w:r w:rsidR="005F06AF" w:rsidRPr="0053176A">
              <w:rPr>
                <w:rFonts w:ascii="Calibri" w:eastAsia="Times New Roman" w:hAnsi="Calibri" w:cs="Calibri"/>
                <w:color w:val="000000"/>
              </w:rPr>
              <w:br/>
            </w:r>
            <w:r w:rsidRPr="0053176A">
              <w:rPr>
                <w:rFonts w:ascii="Calibri" w:eastAsia="Times New Roman" w:hAnsi="Calibri" w:cs="Calibri"/>
                <w:color w:val="000000"/>
              </w:rPr>
              <w:t>(2013)</w:t>
            </w:r>
            <w:r w:rsidR="005F06AF" w:rsidRPr="0053176A">
              <w:rPr>
                <w:rFonts w:ascii="Calibri" w:eastAsia="Times New Roman" w:hAnsi="Calibri" w:cs="Calibri"/>
                <w:color w:val="000000"/>
              </w:rPr>
              <w:fldChar w:fldCharType="begin" w:fldLock="1"/>
            </w:r>
            <w:r w:rsidR="005F06AF" w:rsidRPr="0053176A">
              <w:rPr>
                <w:rFonts w:ascii="Calibri" w:eastAsia="Times New Roman" w:hAnsi="Calibri" w:cs="Calibri"/>
                <w:color w:val="000000"/>
              </w:rPr>
              <w:instrText>ADDIN CSL_CITATION {"citationItems":[{"id":"ITEM-1","itemData":{"DOI":"10.3109/14767058.2013.791274","ISSN":"14767058","PMID":"23565836","abstract":"Survival of extremely preterm neonates (gestation &lt;28 weeks) has increased following improvements in neonatal intensive care in the recent decades [1–3]. With improving survival, necrotizing entero...","author":[{"dropping-particle":"","family":"Shah","given":"P.","non-dropping-particle":"","parse-names":false,"suffix":""},{"dropping-particle":"","family":"Nathan","given":"E.","non-dropping-particle":"","parse-names":false,"suffix":""},{"dropping-particle":"","family":"Doherty","given":"D.","non-dropping-particle":"","parse-names":false,"suffix":""},{"dropping-particle":"","family":"Patole","given":"S.","non-dropping-particle":"","parse-names":false,"suffix":""}],"container-title":"The Journal of Maternal-Fetal &amp; Neonatal Medicine","id":"ITEM-1","issue":"17","issued":{"date-parts":[["2013","11"]]},"page":"1710-1714","publisher":"Taylor &amp; Francis","title":"Prolonged exposure to antibiotics and its associations in extremely preterm neonates - the Western Australian experience","type":"article-journal","volume":"26"},"uris":["http://www.mendeley.com/documents/?uuid=145fba7c-08f3-48ed-990d-4279101bb1c4"]}],"mendeley":{"formattedCitation":"[8]","plainTextFormattedCitation":"[8]","previouslyFormattedCitation":"[8]"},"properties":{"noteIndex":0},"schema":"https://github.com/citation-style-language/schema/raw/master/csl-citation.json"}</w:instrText>
            </w:r>
            <w:r w:rsidR="005F06AF" w:rsidRPr="0053176A">
              <w:rPr>
                <w:rFonts w:ascii="Calibri" w:eastAsia="Times New Roman" w:hAnsi="Calibri" w:cs="Calibri"/>
                <w:color w:val="000000"/>
              </w:rPr>
              <w:fldChar w:fldCharType="separate"/>
            </w:r>
            <w:r w:rsidR="005F06AF" w:rsidRPr="0053176A">
              <w:rPr>
                <w:rFonts w:ascii="Calibri" w:eastAsia="Times New Roman" w:hAnsi="Calibri" w:cs="Calibri"/>
                <w:noProof/>
                <w:color w:val="000000"/>
              </w:rPr>
              <w:t>[8]</w:t>
            </w:r>
            <w:r w:rsidR="005F06AF" w:rsidRPr="0053176A">
              <w:rPr>
                <w:rFonts w:ascii="Calibri" w:eastAsia="Times New Roman" w:hAnsi="Calibri" w:cs="Calibri"/>
                <w:color w:val="000000"/>
              </w:rPr>
              <w:fldChar w:fldCharType="end"/>
            </w:r>
          </w:p>
          <w:p w14:paraId="105CC3FA"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 </w:t>
            </w:r>
          </w:p>
        </w:tc>
        <w:tc>
          <w:tcPr>
            <w:tcW w:w="630" w:type="pct"/>
            <w:shd w:val="clear" w:color="auto" w:fill="auto"/>
            <w:noWrap/>
            <w:vAlign w:val="bottom"/>
            <w:hideMark/>
          </w:tcPr>
          <w:p w14:paraId="51D6FD06"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363" w:type="pct"/>
            <w:shd w:val="clear" w:color="auto" w:fill="auto"/>
            <w:noWrap/>
            <w:vAlign w:val="bottom"/>
            <w:hideMark/>
          </w:tcPr>
          <w:p w14:paraId="3FB5B9A7"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 </w:t>
            </w:r>
          </w:p>
        </w:tc>
        <w:tc>
          <w:tcPr>
            <w:tcW w:w="506" w:type="pct"/>
            <w:shd w:val="clear" w:color="auto" w:fill="auto"/>
            <w:noWrap/>
            <w:vAlign w:val="bottom"/>
            <w:hideMark/>
          </w:tcPr>
          <w:p w14:paraId="39A019C7"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547" w:type="pct"/>
            <w:shd w:val="clear" w:color="auto" w:fill="auto"/>
            <w:noWrap/>
            <w:vAlign w:val="bottom"/>
            <w:hideMark/>
          </w:tcPr>
          <w:p w14:paraId="4E09C687"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502" w:type="pct"/>
            <w:shd w:val="clear" w:color="auto" w:fill="auto"/>
            <w:noWrap/>
            <w:vAlign w:val="bottom"/>
            <w:hideMark/>
          </w:tcPr>
          <w:p w14:paraId="6811FDB6"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430" w:type="pct"/>
            <w:shd w:val="clear" w:color="auto" w:fill="auto"/>
            <w:noWrap/>
            <w:vAlign w:val="bottom"/>
          </w:tcPr>
          <w:p w14:paraId="153F12B3" w14:textId="77777777" w:rsidR="000E0F86" w:rsidRPr="0053176A" w:rsidRDefault="000E0F86" w:rsidP="00565D9E">
            <w:pPr>
              <w:spacing w:after="0" w:line="240" w:lineRule="auto"/>
              <w:rPr>
                <w:rFonts w:ascii="Calibri" w:eastAsia="Times New Roman" w:hAnsi="Calibri" w:cs="Calibri"/>
                <w:color w:val="000000"/>
              </w:rPr>
            </w:pPr>
          </w:p>
        </w:tc>
        <w:tc>
          <w:tcPr>
            <w:tcW w:w="370" w:type="pct"/>
            <w:shd w:val="clear" w:color="auto" w:fill="auto"/>
            <w:noWrap/>
            <w:vAlign w:val="bottom"/>
            <w:hideMark/>
          </w:tcPr>
          <w:p w14:paraId="2FBD1FDD"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386" w:type="pct"/>
            <w:shd w:val="clear" w:color="auto" w:fill="auto"/>
            <w:noWrap/>
            <w:vAlign w:val="bottom"/>
            <w:hideMark/>
          </w:tcPr>
          <w:p w14:paraId="057C3C07"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c>
          <w:tcPr>
            <w:tcW w:w="423" w:type="pct"/>
            <w:shd w:val="clear" w:color="auto" w:fill="auto"/>
            <w:noWrap/>
            <w:vAlign w:val="bottom"/>
            <w:hideMark/>
          </w:tcPr>
          <w:p w14:paraId="0A178AC0" w14:textId="77777777" w:rsidR="000E0F86" w:rsidRPr="0053176A" w:rsidRDefault="000E0F86" w:rsidP="00565D9E">
            <w:pPr>
              <w:spacing w:after="0" w:line="240" w:lineRule="auto"/>
              <w:rPr>
                <w:rFonts w:ascii="Calibri" w:eastAsia="Times New Roman" w:hAnsi="Calibri" w:cs="Calibri"/>
                <w:color w:val="000000"/>
              </w:rPr>
            </w:pPr>
            <w:r w:rsidRPr="0053176A">
              <w:rPr>
                <w:rFonts w:ascii="Calibri" w:eastAsia="Times New Roman" w:hAnsi="Calibri" w:cs="Calibri"/>
                <w:color w:val="000000"/>
              </w:rPr>
              <w:t>*</w:t>
            </w:r>
          </w:p>
        </w:tc>
      </w:tr>
    </w:tbl>
    <w:p w14:paraId="62BF25A8" w14:textId="77777777" w:rsidR="000E0F86" w:rsidRPr="0053176A" w:rsidRDefault="000E0F86" w:rsidP="000E0F86">
      <w:pPr>
        <w:tabs>
          <w:tab w:val="left" w:pos="5925"/>
        </w:tabs>
        <w:ind w:right="-900"/>
        <w:rPr>
          <w:rFonts w:asciiTheme="majorBidi" w:hAnsiTheme="majorBidi" w:cstheme="majorBidi"/>
        </w:rPr>
      </w:pPr>
    </w:p>
    <w:p w14:paraId="41CFD475" w14:textId="77777777" w:rsidR="006C39D0" w:rsidRPr="0053176A" w:rsidRDefault="006C39D0" w:rsidP="006C39D0">
      <w:pPr>
        <w:tabs>
          <w:tab w:val="left" w:pos="5925"/>
        </w:tabs>
        <w:rPr>
          <w:rFonts w:asciiTheme="majorBidi" w:hAnsiTheme="majorBidi" w:cstheme="majorBidi"/>
          <w:b/>
          <w:bCs/>
          <w:color w:val="A02B93" w:themeColor="accent5"/>
        </w:rPr>
      </w:pPr>
    </w:p>
    <w:p w14:paraId="0F49D3E5" w14:textId="77777777" w:rsidR="006C39D0" w:rsidRPr="0053176A" w:rsidRDefault="006C39D0" w:rsidP="006C39D0">
      <w:pPr>
        <w:tabs>
          <w:tab w:val="left" w:pos="5925"/>
        </w:tabs>
        <w:rPr>
          <w:rFonts w:asciiTheme="majorBidi" w:hAnsiTheme="majorBidi" w:cstheme="majorBidi"/>
          <w:b/>
          <w:bCs/>
          <w:color w:val="A02B93" w:themeColor="accent5"/>
        </w:rPr>
      </w:pPr>
    </w:p>
    <w:p w14:paraId="3D225463" w14:textId="32F4C54E" w:rsidR="006C39D0" w:rsidRPr="0053176A" w:rsidRDefault="006C39D0" w:rsidP="006C39D0">
      <w:pPr>
        <w:tabs>
          <w:tab w:val="left" w:pos="5925"/>
        </w:tabs>
        <w:rPr>
          <w:rFonts w:asciiTheme="majorBidi" w:hAnsiTheme="majorBidi" w:cstheme="majorBidi"/>
          <w:b/>
          <w:bCs/>
        </w:rPr>
      </w:pPr>
      <w:r w:rsidRPr="0053176A">
        <w:rPr>
          <w:rFonts w:asciiTheme="majorBidi" w:hAnsiTheme="majorBidi" w:cstheme="majorBidi"/>
          <w:b/>
          <w:bCs/>
          <w:color w:val="A02B93" w:themeColor="accent5"/>
        </w:rPr>
        <w:t xml:space="preserve">Table S4: </w:t>
      </w:r>
      <w:r w:rsidRPr="0053176A">
        <w:rPr>
          <w:rFonts w:asciiTheme="majorBidi" w:hAnsiTheme="majorBidi" w:cstheme="majorBidi"/>
          <w:b/>
          <w:bCs/>
        </w:rPr>
        <w:t>Cohort Demographics and Designs of the included studies</w:t>
      </w:r>
    </w:p>
    <w:p w14:paraId="6BE1C03D" w14:textId="77777777" w:rsidR="006C39D0" w:rsidRPr="0053176A" w:rsidRDefault="006C39D0" w:rsidP="00D50C50">
      <w:pPr>
        <w:spacing w:line="480" w:lineRule="auto"/>
        <w:rPr>
          <w:rFonts w:asciiTheme="majorBidi" w:hAnsiTheme="majorBidi" w:cstheme="majorBidi"/>
        </w:rPr>
      </w:pPr>
    </w:p>
    <w:tbl>
      <w:tblPr>
        <w:tblStyle w:val="TableGrid"/>
        <w:tblW w:w="9990" w:type="dxa"/>
        <w:tblInd w:w="-275" w:type="dxa"/>
        <w:tblLook w:val="04A0" w:firstRow="1" w:lastRow="0" w:firstColumn="1" w:lastColumn="0" w:noHBand="0" w:noVBand="1"/>
      </w:tblPr>
      <w:tblGrid>
        <w:gridCol w:w="1155"/>
        <w:gridCol w:w="1280"/>
        <w:gridCol w:w="1096"/>
        <w:gridCol w:w="901"/>
        <w:gridCol w:w="972"/>
        <w:gridCol w:w="907"/>
        <w:gridCol w:w="923"/>
        <w:gridCol w:w="883"/>
        <w:gridCol w:w="2305"/>
      </w:tblGrid>
      <w:tr w:rsidR="006C39D0" w:rsidRPr="0053176A" w14:paraId="7F40190A" w14:textId="77777777" w:rsidTr="006C39D0">
        <w:trPr>
          <w:trHeight w:val="300"/>
        </w:trPr>
        <w:tc>
          <w:tcPr>
            <w:tcW w:w="876" w:type="dxa"/>
            <w:noWrap/>
            <w:hideMark/>
          </w:tcPr>
          <w:p w14:paraId="54670C76" w14:textId="77777777" w:rsidR="006C39D0" w:rsidRPr="0053176A" w:rsidRDefault="006C39D0" w:rsidP="00DF5DFA">
            <w:pPr>
              <w:rPr>
                <w:rFonts w:asciiTheme="majorBidi" w:hAnsiTheme="majorBidi" w:cstheme="majorBidi"/>
                <w:sz w:val="16"/>
                <w:szCs w:val="16"/>
              </w:rPr>
            </w:pPr>
            <w:bookmarkStart w:id="0" w:name="_Hlk191701953"/>
            <w:r w:rsidRPr="0053176A">
              <w:rPr>
                <w:rFonts w:asciiTheme="majorBidi" w:hAnsiTheme="majorBidi" w:cstheme="majorBidi"/>
                <w:sz w:val="16"/>
                <w:szCs w:val="16"/>
              </w:rPr>
              <w:t>Author</w:t>
            </w:r>
          </w:p>
        </w:tc>
        <w:tc>
          <w:tcPr>
            <w:tcW w:w="1280" w:type="dxa"/>
            <w:noWrap/>
            <w:hideMark/>
          </w:tcPr>
          <w:p w14:paraId="1055F917"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Setting/Country</w:t>
            </w:r>
          </w:p>
        </w:tc>
        <w:tc>
          <w:tcPr>
            <w:tcW w:w="1065" w:type="dxa"/>
            <w:noWrap/>
            <w:hideMark/>
          </w:tcPr>
          <w:p w14:paraId="4D41A240"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Study Design</w:t>
            </w:r>
          </w:p>
        </w:tc>
        <w:tc>
          <w:tcPr>
            <w:tcW w:w="877" w:type="dxa"/>
            <w:noWrap/>
            <w:hideMark/>
          </w:tcPr>
          <w:p w14:paraId="69FA423F"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Birth Years of Cohort</w:t>
            </w:r>
          </w:p>
        </w:tc>
        <w:tc>
          <w:tcPr>
            <w:tcW w:w="946" w:type="dxa"/>
            <w:noWrap/>
            <w:hideMark/>
          </w:tcPr>
          <w:p w14:paraId="40CC524A"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Total Participants</w:t>
            </w:r>
          </w:p>
        </w:tc>
        <w:tc>
          <w:tcPr>
            <w:tcW w:w="883" w:type="dxa"/>
            <w:noWrap/>
            <w:hideMark/>
          </w:tcPr>
          <w:p w14:paraId="797DADD5"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Total number of infants with </w:t>
            </w:r>
            <w:r w:rsidRPr="0053176A">
              <w:rPr>
                <w:rFonts w:asciiTheme="majorBidi" w:hAnsiTheme="majorBidi" w:cstheme="majorBidi"/>
                <w:b/>
                <w:bCs/>
                <w:sz w:val="16"/>
                <w:szCs w:val="16"/>
              </w:rPr>
              <w:t>prolonged</w:t>
            </w:r>
            <w:r w:rsidRPr="0053176A">
              <w:rPr>
                <w:rFonts w:asciiTheme="majorBidi" w:hAnsiTheme="majorBidi" w:cstheme="majorBidi"/>
                <w:sz w:val="16"/>
                <w:szCs w:val="16"/>
              </w:rPr>
              <w:t xml:space="preserve"> early exposure to antibiotics</w:t>
            </w:r>
          </w:p>
        </w:tc>
        <w:tc>
          <w:tcPr>
            <w:tcW w:w="898" w:type="dxa"/>
            <w:noWrap/>
            <w:hideMark/>
          </w:tcPr>
          <w:p w14:paraId="6582B31F"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Total number of infants with </w:t>
            </w:r>
            <w:r w:rsidRPr="0053176A">
              <w:rPr>
                <w:rFonts w:asciiTheme="majorBidi" w:hAnsiTheme="majorBidi" w:cstheme="majorBidi"/>
                <w:b/>
                <w:bCs/>
                <w:sz w:val="16"/>
                <w:szCs w:val="16"/>
              </w:rPr>
              <w:t>short</w:t>
            </w:r>
            <w:r w:rsidRPr="0053176A">
              <w:rPr>
                <w:rFonts w:asciiTheme="majorBidi" w:hAnsiTheme="majorBidi" w:cstheme="majorBidi"/>
                <w:sz w:val="16"/>
                <w:szCs w:val="16"/>
              </w:rPr>
              <w:t xml:space="preserve"> early exposure to antibiotics.</w:t>
            </w:r>
          </w:p>
        </w:tc>
        <w:tc>
          <w:tcPr>
            <w:tcW w:w="860" w:type="dxa"/>
            <w:noWrap/>
            <w:hideMark/>
          </w:tcPr>
          <w:p w14:paraId="621E9815"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Total number of infants </w:t>
            </w:r>
            <w:r w:rsidRPr="0053176A">
              <w:rPr>
                <w:rFonts w:asciiTheme="majorBidi" w:hAnsiTheme="majorBidi" w:cstheme="majorBidi"/>
                <w:b/>
                <w:bCs/>
                <w:sz w:val="16"/>
                <w:szCs w:val="16"/>
              </w:rPr>
              <w:t>without</w:t>
            </w:r>
            <w:r w:rsidRPr="0053176A">
              <w:rPr>
                <w:rFonts w:asciiTheme="majorBidi" w:hAnsiTheme="majorBidi" w:cstheme="majorBidi"/>
                <w:sz w:val="16"/>
                <w:szCs w:val="16"/>
              </w:rPr>
              <w:t xml:space="preserve"> exposure to antibiotics</w:t>
            </w:r>
          </w:p>
          <w:p w14:paraId="4ABD4614" w14:textId="77777777" w:rsidR="006C39D0" w:rsidRPr="0053176A" w:rsidRDefault="006C39D0" w:rsidP="00DF5DFA">
            <w:pPr>
              <w:rPr>
                <w:rFonts w:asciiTheme="majorBidi" w:hAnsiTheme="majorBidi" w:cstheme="majorBidi"/>
                <w:b/>
                <w:bCs/>
                <w:sz w:val="16"/>
                <w:szCs w:val="16"/>
              </w:rPr>
            </w:pPr>
            <w:r w:rsidRPr="0053176A">
              <w:rPr>
                <w:rFonts w:asciiTheme="majorBidi" w:hAnsiTheme="majorBidi" w:cstheme="majorBidi"/>
                <w:b/>
                <w:bCs/>
                <w:sz w:val="16"/>
                <w:szCs w:val="16"/>
              </w:rPr>
              <w:t>(0 days)</w:t>
            </w:r>
          </w:p>
          <w:p w14:paraId="5A364F0C" w14:textId="77777777" w:rsidR="006C39D0" w:rsidRPr="0053176A" w:rsidRDefault="006C39D0" w:rsidP="00DF5DFA">
            <w:pPr>
              <w:rPr>
                <w:rFonts w:asciiTheme="majorBidi" w:hAnsiTheme="majorBidi" w:cstheme="majorBidi"/>
                <w:sz w:val="16"/>
                <w:szCs w:val="16"/>
              </w:rPr>
            </w:pPr>
          </w:p>
        </w:tc>
        <w:tc>
          <w:tcPr>
            <w:tcW w:w="2305" w:type="dxa"/>
            <w:noWrap/>
            <w:hideMark/>
          </w:tcPr>
          <w:p w14:paraId="70835AC5"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Late-Onset Sepsis Cases by Duration of Exposure</w:t>
            </w:r>
          </w:p>
          <w:p w14:paraId="7A3E287B" w14:textId="77777777" w:rsidR="006C39D0" w:rsidRPr="0053176A" w:rsidRDefault="006C39D0" w:rsidP="00DF5DFA">
            <w:pPr>
              <w:rPr>
                <w:rFonts w:asciiTheme="majorBidi" w:hAnsiTheme="majorBidi" w:cstheme="majorBidi"/>
                <w:sz w:val="16"/>
                <w:szCs w:val="16"/>
              </w:rPr>
            </w:pPr>
          </w:p>
          <w:p w14:paraId="3DA3ECB2" w14:textId="77777777" w:rsidR="006C39D0" w:rsidRPr="0053176A" w:rsidRDefault="006C39D0" w:rsidP="00DF5DFA">
            <w:pPr>
              <w:rPr>
                <w:rFonts w:asciiTheme="majorBidi" w:hAnsiTheme="majorBidi" w:cstheme="majorBidi"/>
                <w:sz w:val="16"/>
                <w:szCs w:val="16"/>
              </w:rPr>
            </w:pPr>
          </w:p>
          <w:p w14:paraId="54BC45CD" w14:textId="77777777" w:rsidR="006C39D0" w:rsidRPr="0053176A" w:rsidRDefault="006C39D0" w:rsidP="00DF5DFA">
            <w:pPr>
              <w:rPr>
                <w:rFonts w:asciiTheme="majorBidi" w:hAnsiTheme="majorBidi" w:cstheme="majorBidi"/>
                <w:sz w:val="16"/>
                <w:szCs w:val="16"/>
              </w:rPr>
            </w:pPr>
          </w:p>
          <w:p w14:paraId="55CE9AD8" w14:textId="77777777" w:rsidR="006C39D0" w:rsidRPr="0053176A" w:rsidRDefault="006C39D0" w:rsidP="00DF5DFA">
            <w:pPr>
              <w:rPr>
                <w:rFonts w:asciiTheme="majorBidi" w:hAnsiTheme="majorBidi" w:cstheme="majorBidi"/>
                <w:sz w:val="16"/>
                <w:szCs w:val="16"/>
              </w:rPr>
            </w:pPr>
          </w:p>
          <w:p w14:paraId="72173458" w14:textId="77777777" w:rsidR="006C39D0" w:rsidRPr="0053176A" w:rsidRDefault="006C39D0" w:rsidP="00DF5DFA">
            <w:pPr>
              <w:rPr>
                <w:rFonts w:asciiTheme="majorBidi" w:hAnsiTheme="majorBidi" w:cstheme="majorBidi"/>
                <w:sz w:val="16"/>
                <w:szCs w:val="16"/>
              </w:rPr>
            </w:pPr>
          </w:p>
        </w:tc>
      </w:tr>
      <w:bookmarkEnd w:id="0"/>
      <w:tr w:rsidR="006C39D0" w:rsidRPr="0053176A" w14:paraId="103250D4" w14:textId="77777777" w:rsidTr="006C39D0">
        <w:trPr>
          <w:trHeight w:val="300"/>
        </w:trPr>
        <w:tc>
          <w:tcPr>
            <w:tcW w:w="876" w:type="dxa"/>
            <w:noWrap/>
            <w:hideMark/>
          </w:tcPr>
          <w:p w14:paraId="590D8540" w14:textId="2754BE8A"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Kuppala</w:t>
            </w:r>
            <w:r w:rsidR="005F06AF" w:rsidRPr="0053176A">
              <w:rPr>
                <w:rFonts w:asciiTheme="majorBidi" w:hAnsiTheme="majorBidi" w:cstheme="majorBidi"/>
                <w:sz w:val="16"/>
                <w:szCs w:val="16"/>
              </w:rPr>
              <w:fldChar w:fldCharType="begin" w:fldLock="1"/>
            </w:r>
            <w:r w:rsidR="005F06AF" w:rsidRPr="0053176A">
              <w:rPr>
                <w:rFonts w:asciiTheme="majorBidi" w:hAnsiTheme="majorBidi" w:cstheme="majorBidi"/>
                <w:sz w:val="16"/>
                <w:szCs w:val="16"/>
              </w:rPr>
              <w:instrText>ADDIN CSL_CITATION {"citationItems":[{"id":"ITEM-1","itemData":{"DOI":"10.1016/j.jpeds.2011.05.033","ISSN":"00223476","PMID":"21784435","abstract":"Objective: To investigate the outcomes after prolonged empirical antibiotic administration to premature infants in the first week of life, and concluding subsequent late onset sepsis (LOS), necrotizing enterocolitis (NEC), and death. Study design: Study infants were ≤32 weeks gestational age and ≤1500 g birth weight who survived free of sepsis and NEC for 7 days. Multivariable logistic regression was conducted to determine independent relationships between prolonged initial empirical antibiotic therapy (≥5 days) and study outcomes that control for birth weight, gestational age, race, prolonged premature rupture of membranes, days on high-frequency ventilation in 7 days, and the amount of breast milk received in the first 14 days of life. Results: Of the 365 premature infants who survived 7 days free of sepsis or NEC, 36% received prolonged initial empirical antibiotics, which was independently associated with subsequent outcomes: LOS (OR, 2.45 [95% CI, 1.28-4.67]) and the combination of LOS, NEC, or death (OR, 2.66 [95% CI, 1.12-6.3]). Conclusions: Prolonged administration of empirical antibiotics to premature infants with sterile cultures in the first week of life is associated with subsequent severe outcomes. Judicious restriction of antibiotic use should be investigated as a strategy to reduce severe outcomes for premature infants. Copyright © 2011 Mosby Inc. All rights reserved.","author":[{"dropping-particle":"","family":"Kuppala","given":"Venkata S.","non-dropping-particle":"","parse-names":false,"suffix":""},{"dropping-particle":"","family":"Meinzen-Derr","given":"Jareen","non-dropping-particle":"","parse-names":false,"suffix":""},{"dropping-particle":"","family":"Morrow","given":"Ardythe L.","non-dropping-particle":"","parse-names":false,"suffix":""},{"dropping-particle":"","family":"Schibler","given":"Kurt R.","non-dropping-particle":"","parse-names":false,"suffix":""}],"container-title":"Journal of Pediatrics","id":"ITEM-1","issue":"5","issued":{"date-parts":[["2011","11","1"]]},"page":"720-725","publisher":"Elsevier","title":"Prolonged initial empirical antibiotic treatment is associated with adverse outcomes in premature infants","type":"article-journal","volume":"159"},"uris":["http://www.mendeley.com/documents/?uuid=c92d2829-3e74-4e9c-a659-fc1b3cfd90f5"]}],"mendeley":{"formattedCitation":"[7]","plainTextFormattedCitation":"[7]","previouslyFormattedCitation":"[7]"},"properties":{"noteIndex":0},"schema":"https://github.com/citation-style-language/schema/raw/master/csl-citation.json"}</w:instrText>
            </w:r>
            <w:r w:rsidR="005F06AF" w:rsidRPr="0053176A">
              <w:rPr>
                <w:rFonts w:asciiTheme="majorBidi" w:hAnsiTheme="majorBidi" w:cstheme="majorBidi"/>
                <w:sz w:val="16"/>
                <w:szCs w:val="16"/>
              </w:rPr>
              <w:fldChar w:fldCharType="separate"/>
            </w:r>
            <w:r w:rsidR="005F06AF" w:rsidRPr="0053176A">
              <w:rPr>
                <w:rFonts w:asciiTheme="majorBidi" w:hAnsiTheme="majorBidi" w:cstheme="majorBidi"/>
                <w:noProof/>
                <w:sz w:val="16"/>
                <w:szCs w:val="16"/>
              </w:rPr>
              <w:t>[7]</w:t>
            </w:r>
            <w:r w:rsidR="005F06AF" w:rsidRPr="0053176A">
              <w:rPr>
                <w:rFonts w:asciiTheme="majorBidi" w:hAnsiTheme="majorBidi" w:cstheme="majorBidi"/>
                <w:sz w:val="16"/>
                <w:szCs w:val="16"/>
              </w:rPr>
              <w:fldChar w:fldCharType="end"/>
            </w:r>
          </w:p>
        </w:tc>
        <w:tc>
          <w:tcPr>
            <w:tcW w:w="1280" w:type="dxa"/>
            <w:noWrap/>
            <w:hideMark/>
          </w:tcPr>
          <w:p w14:paraId="76BDC263"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USA (Three NICUs, Cincinnati, Ohio)</w:t>
            </w:r>
          </w:p>
        </w:tc>
        <w:tc>
          <w:tcPr>
            <w:tcW w:w="1065" w:type="dxa"/>
            <w:noWrap/>
            <w:hideMark/>
          </w:tcPr>
          <w:p w14:paraId="68D73D82"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Retrospective cohort </w:t>
            </w:r>
          </w:p>
        </w:tc>
        <w:tc>
          <w:tcPr>
            <w:tcW w:w="877" w:type="dxa"/>
            <w:noWrap/>
            <w:hideMark/>
          </w:tcPr>
          <w:p w14:paraId="245F93A6"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April 2000 – December 2004</w:t>
            </w:r>
          </w:p>
        </w:tc>
        <w:tc>
          <w:tcPr>
            <w:tcW w:w="946" w:type="dxa"/>
            <w:noWrap/>
            <w:hideMark/>
          </w:tcPr>
          <w:p w14:paraId="01AFFE9B"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365</w:t>
            </w:r>
          </w:p>
        </w:tc>
        <w:tc>
          <w:tcPr>
            <w:tcW w:w="883" w:type="dxa"/>
            <w:noWrap/>
            <w:hideMark/>
          </w:tcPr>
          <w:p w14:paraId="57C735BB"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130</w:t>
            </w:r>
            <w:r w:rsidRPr="0053176A">
              <w:rPr>
                <w:rFonts w:asciiTheme="majorBidi" w:hAnsiTheme="majorBidi" w:cstheme="majorBidi"/>
                <w:sz w:val="16"/>
                <w:szCs w:val="16"/>
              </w:rPr>
              <w:br/>
              <w:t>(≥5 days)</w:t>
            </w:r>
          </w:p>
        </w:tc>
        <w:tc>
          <w:tcPr>
            <w:tcW w:w="898" w:type="dxa"/>
            <w:noWrap/>
            <w:hideMark/>
          </w:tcPr>
          <w:p w14:paraId="10653456"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175</w:t>
            </w:r>
            <w:r w:rsidRPr="0053176A">
              <w:rPr>
                <w:rFonts w:asciiTheme="majorBidi" w:hAnsiTheme="majorBidi" w:cstheme="majorBidi"/>
                <w:sz w:val="16"/>
                <w:szCs w:val="16"/>
              </w:rPr>
              <w:br/>
              <w:t>(1–4 Days)</w:t>
            </w:r>
          </w:p>
        </w:tc>
        <w:tc>
          <w:tcPr>
            <w:tcW w:w="860" w:type="dxa"/>
            <w:noWrap/>
            <w:hideMark/>
          </w:tcPr>
          <w:p w14:paraId="159572DA"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60 </w:t>
            </w:r>
          </w:p>
        </w:tc>
        <w:tc>
          <w:tcPr>
            <w:tcW w:w="2305" w:type="dxa"/>
            <w:noWrap/>
            <w:hideMark/>
          </w:tcPr>
          <w:p w14:paraId="2163E419"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0 Days 7 (11.7%), </w:t>
            </w:r>
            <w:r w:rsidRPr="0053176A">
              <w:rPr>
                <w:rFonts w:asciiTheme="majorBidi" w:hAnsiTheme="majorBidi" w:cstheme="majorBidi"/>
                <w:sz w:val="16"/>
                <w:szCs w:val="16"/>
              </w:rPr>
              <w:br/>
              <w:t>1–4 Days: 23 (13.1%),</w:t>
            </w:r>
            <w:r w:rsidRPr="0053176A">
              <w:rPr>
                <w:rFonts w:asciiTheme="majorBidi" w:hAnsiTheme="majorBidi" w:cstheme="majorBidi"/>
                <w:sz w:val="16"/>
                <w:szCs w:val="16"/>
              </w:rPr>
              <w:br/>
              <w:t xml:space="preserve"> ≥5 Days: 46 (35.4%)</w:t>
            </w:r>
          </w:p>
        </w:tc>
      </w:tr>
      <w:tr w:rsidR="006C39D0" w:rsidRPr="0053176A" w14:paraId="68BDF440" w14:textId="77777777" w:rsidTr="006C39D0">
        <w:trPr>
          <w:trHeight w:val="300"/>
        </w:trPr>
        <w:tc>
          <w:tcPr>
            <w:tcW w:w="876" w:type="dxa"/>
            <w:noWrap/>
            <w:hideMark/>
          </w:tcPr>
          <w:p w14:paraId="75537BE7" w14:textId="52300F2C"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Shah</w:t>
            </w:r>
            <w:r w:rsidR="005F06AF" w:rsidRPr="0053176A">
              <w:rPr>
                <w:rFonts w:asciiTheme="majorBidi" w:hAnsiTheme="majorBidi" w:cstheme="majorBidi"/>
                <w:sz w:val="16"/>
                <w:szCs w:val="16"/>
              </w:rPr>
              <w:fldChar w:fldCharType="begin" w:fldLock="1"/>
            </w:r>
            <w:r w:rsidR="005F06AF" w:rsidRPr="0053176A">
              <w:rPr>
                <w:rFonts w:asciiTheme="majorBidi" w:hAnsiTheme="majorBidi" w:cstheme="majorBidi"/>
                <w:sz w:val="16"/>
                <w:szCs w:val="16"/>
              </w:rPr>
              <w:instrText>ADDIN CSL_CITATION {"citationItems":[{"id":"ITEM-1","itemData":{"DOI":"10.3109/14767058.2013.791274","ISSN":"14767058","PMID":"23565836","abstract":"Survival of extremely preterm neonates (gestation &lt;28 weeks) has increased following improvements in neonatal intensive care in the recent decades [1–3]. With improving survival, necrotizing entero...","author":[{"dropping-particle":"","family":"Shah","given":"P.","non-dropping-particle":"","parse-names":false,"suffix":""},{"dropping-particle":"","family":"Nathan","given":"E.","non-dropping-particle":"","parse-names":false,"suffix":""},{"dropping-particle":"","family":"Doherty","given":"D.","non-dropping-particle":"","parse-names":false,"suffix":""},{"dropping-particle":"","family":"Patole","given":"S.","non-dropping-particle":"","parse-names":false,"suffix":""}],"container-title":"The Journal of Maternal-Fetal &amp; Neonatal Medicine","id":"ITEM-1","issue":"17","issued":{"date-parts":[["2013","11"]]},"page":"1710-1714","publisher":"Taylor &amp; Francis","title":"Prolonged exposure to antibiotics and its associations in extremely preterm neonates - the Western Australian experience","type":"article-journal","volume":"26"},"uris":["http://www.mendeley.com/documents/?uuid=145fba7c-08f3-48ed-990d-4279101bb1c4"]}],"mendeley":{"formattedCitation":"[8]","plainTextFormattedCitation":"[8]","previouslyFormattedCitation":"[8]"},"properties":{"noteIndex":0},"schema":"https://github.com/citation-style-language/schema/raw/master/csl-citation.json"}</w:instrText>
            </w:r>
            <w:r w:rsidR="005F06AF" w:rsidRPr="0053176A">
              <w:rPr>
                <w:rFonts w:asciiTheme="majorBidi" w:hAnsiTheme="majorBidi" w:cstheme="majorBidi"/>
                <w:sz w:val="16"/>
                <w:szCs w:val="16"/>
              </w:rPr>
              <w:fldChar w:fldCharType="separate"/>
            </w:r>
            <w:r w:rsidR="005F06AF" w:rsidRPr="0053176A">
              <w:rPr>
                <w:rFonts w:asciiTheme="majorBidi" w:hAnsiTheme="majorBidi" w:cstheme="majorBidi"/>
                <w:noProof/>
                <w:sz w:val="16"/>
                <w:szCs w:val="16"/>
              </w:rPr>
              <w:t>[8]</w:t>
            </w:r>
            <w:r w:rsidR="005F06AF" w:rsidRPr="0053176A">
              <w:rPr>
                <w:rFonts w:asciiTheme="majorBidi" w:hAnsiTheme="majorBidi" w:cstheme="majorBidi"/>
                <w:sz w:val="16"/>
                <w:szCs w:val="16"/>
              </w:rPr>
              <w:fldChar w:fldCharType="end"/>
            </w:r>
          </w:p>
        </w:tc>
        <w:tc>
          <w:tcPr>
            <w:tcW w:w="1280" w:type="dxa"/>
            <w:noWrap/>
            <w:hideMark/>
          </w:tcPr>
          <w:p w14:paraId="1EC5312D"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Australia (Perth, Western Australia)</w:t>
            </w:r>
          </w:p>
        </w:tc>
        <w:tc>
          <w:tcPr>
            <w:tcW w:w="1065" w:type="dxa"/>
            <w:noWrap/>
            <w:hideMark/>
          </w:tcPr>
          <w:p w14:paraId="0DFC4053"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Retrospective cohort </w:t>
            </w:r>
          </w:p>
        </w:tc>
        <w:tc>
          <w:tcPr>
            <w:tcW w:w="877" w:type="dxa"/>
            <w:noWrap/>
            <w:hideMark/>
          </w:tcPr>
          <w:p w14:paraId="213C73BD"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January 2009 – December 2010</w:t>
            </w:r>
          </w:p>
        </w:tc>
        <w:tc>
          <w:tcPr>
            <w:tcW w:w="946" w:type="dxa"/>
            <w:noWrap/>
            <w:hideMark/>
          </w:tcPr>
          <w:p w14:paraId="2730ED5B"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216</w:t>
            </w:r>
          </w:p>
        </w:tc>
        <w:tc>
          <w:tcPr>
            <w:tcW w:w="883" w:type="dxa"/>
            <w:noWrap/>
            <w:hideMark/>
          </w:tcPr>
          <w:p w14:paraId="1B0E91C7"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120</w:t>
            </w:r>
            <w:r w:rsidRPr="0053176A">
              <w:rPr>
                <w:rFonts w:asciiTheme="majorBidi" w:hAnsiTheme="majorBidi" w:cstheme="majorBidi"/>
                <w:sz w:val="16"/>
                <w:szCs w:val="16"/>
              </w:rPr>
              <w:br/>
              <w:t xml:space="preserve"> (≥4 days)</w:t>
            </w:r>
          </w:p>
        </w:tc>
        <w:tc>
          <w:tcPr>
            <w:tcW w:w="898" w:type="dxa"/>
            <w:noWrap/>
            <w:hideMark/>
          </w:tcPr>
          <w:p w14:paraId="18FB5158"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96 </w:t>
            </w:r>
            <w:r w:rsidRPr="0053176A">
              <w:rPr>
                <w:rFonts w:asciiTheme="majorBidi" w:hAnsiTheme="majorBidi" w:cstheme="majorBidi"/>
                <w:sz w:val="16"/>
                <w:szCs w:val="16"/>
              </w:rPr>
              <w:br/>
              <w:t xml:space="preserve"> (&lt;4 days) </w:t>
            </w:r>
          </w:p>
        </w:tc>
        <w:tc>
          <w:tcPr>
            <w:tcW w:w="860" w:type="dxa"/>
            <w:noWrap/>
            <w:hideMark/>
          </w:tcPr>
          <w:p w14:paraId="7C6C4C78"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NA</w:t>
            </w:r>
          </w:p>
        </w:tc>
        <w:tc>
          <w:tcPr>
            <w:tcW w:w="2305" w:type="dxa"/>
            <w:noWrap/>
            <w:hideMark/>
          </w:tcPr>
          <w:p w14:paraId="61BE9DF0"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&lt;4 days: 18 (20.7%),</w:t>
            </w:r>
            <w:r w:rsidRPr="0053176A">
              <w:rPr>
                <w:rFonts w:asciiTheme="majorBidi" w:hAnsiTheme="majorBidi" w:cstheme="majorBidi"/>
                <w:sz w:val="16"/>
                <w:szCs w:val="16"/>
              </w:rPr>
              <w:br/>
              <w:t xml:space="preserve"> ≥4 days: 69(79.3%)</w:t>
            </w:r>
          </w:p>
        </w:tc>
      </w:tr>
      <w:tr w:rsidR="006C39D0" w:rsidRPr="0053176A" w14:paraId="0A563B2F" w14:textId="77777777" w:rsidTr="006C39D0">
        <w:trPr>
          <w:trHeight w:val="300"/>
        </w:trPr>
        <w:tc>
          <w:tcPr>
            <w:tcW w:w="876" w:type="dxa"/>
            <w:noWrap/>
            <w:hideMark/>
          </w:tcPr>
          <w:p w14:paraId="5A5022F3" w14:textId="11B9711A"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Ting</w:t>
            </w:r>
            <w:r w:rsidR="005F06AF" w:rsidRPr="0053176A">
              <w:rPr>
                <w:rFonts w:asciiTheme="majorBidi" w:hAnsiTheme="majorBidi" w:cstheme="majorBidi"/>
                <w:sz w:val="16"/>
                <w:szCs w:val="16"/>
              </w:rPr>
              <w:fldChar w:fldCharType="begin" w:fldLock="1"/>
            </w:r>
            <w:r w:rsidR="005F06AF" w:rsidRPr="0053176A">
              <w:rPr>
                <w:rFonts w:asciiTheme="majorBidi" w:hAnsiTheme="majorBidi" w:cstheme="majorBidi"/>
                <w:sz w:val="16"/>
                <w:szCs w:val="16"/>
              </w:rPr>
              <w:instrText>ADDIN CSL_CITATION {"citationItems":[{"id":"ITEM-1","itemData":{"DOI":"10.1542/PEDS.2018-2286/76778","ISSN":"10984275","PMID":"30819968","abstract":"BACKGROUND: Overuse of antibiotics can facilitate antibiotic resistance and is associated with abstract adverse neonatal outcomes. We studied the association between duration of antibiotic therapy and short-term outcomes of very low birth weight (VLBW) (, 1500 g) infants without cultureproven sepsis. METHODS: We included VLBW infants admitted to NICUs in the Canadian Neonatal Network between 2010-2016 who were exposed to antibiotics but did not have culture-proven sepsis in the first week. Antibiotic exposure was calculated as the number of days an infant received antibiotics in the first week of life. Composite primary outcome was defined as mortality or any major morbidity (severe neurologic injury, retinopathy of prematurity, necrotizing enterocolitis, chronic lung disease, or hospital-acquired infection). RESULTS: Of the 14 207 included infants, 21% (n = 2950), 38% (n = 5401), and 41% (n = 5856) received 0, 1 to 3, and 4 to 7 days of antibiotics, respectively. Antibiotic exposure for 4 to 7 days was associated with higher odds of the composite outcome (adjusted odds ratio 1.24; 95% confidence interval [CI] 1.09-1.41). Each additional day of antibiotic use was associated with 4.7% (95% CI 2.6%-6.8%) increased odds of composite outcome and 7.3% (95% CI 3.3%-11.4%) increased odds in VLBW infants at low risk of early-onset sepsis (born via cesarean delivery, without labor and without chorioamnionitis). CONCLUSIONS: Prolonged empirical antibiotic exposure within the first week after birth in VLBW infants is associated with increased odds of the composite outcome. This practice is a potential target for antimicrobial stewardship.","author":[{"dropping-particle":"","family":"Ting","given":"Joseph Y.","non-dropping-particle":"","parse-names":false,"suffix":""},{"dropping-particle":"","family":"Roberts","given":"Ashley","non-dropping-particle":"","parse-names":false,"suffix":""},{"dropping-particle":"","family":"Sherlock","given":"Rebecca","non-dropping-particle":"","parse-names":false,"suffix":""},{"dropping-particle":"","family":"Ojah","given":"Cecil","non-dropping-particle":"","parse-names":false,"suffix":""},{"dropping-particle":"","family":"Cieslak","given":"Zenon","non-dropping-particle":"","parse-names":false,"suffix":""},{"dropping-particle":"","family":"Dunn","given":"Michael","non-dropping-particle":"","parse-names":false,"suffix":""},{"dropping-particle":"","family":"Barrington","given":"Keith","non-dropping-particle":"","parse-names":false,"suffix":""},{"dropping-particle":"","family":"Yoon","given":"Eugene W.","non-dropping-particle":"","parse-names":false,"suffix":""},{"dropping-particle":"","family":"Shah","given":"Prakesh S.","non-dropping-particle":"","parse-names":false,"suffix":""}],"container-title":"Pediatrics","id":"ITEM-1","issue":"3","issued":{"date-parts":[["2019","3","1"]]},"publisher":"American Academy of Pediatrics","title":"Duration of initial empirical antibiotic therapy and outcomes in very low birth weight infants","type":"article-journal","volume":"143"},"uris":["http://www.mendeley.com/documents/?uuid=86826c17-7cb3-4224-9cc2-ecd8ed478137"]}],"mendeley":{"formattedCitation":"[13]","plainTextFormattedCitation":"[13]","previouslyFormattedCitation":"[13]"},"properties":{"noteIndex":0},"schema":"https://github.com/citation-style-language/schema/raw/master/csl-citation.json"}</w:instrText>
            </w:r>
            <w:r w:rsidR="005F06AF" w:rsidRPr="0053176A">
              <w:rPr>
                <w:rFonts w:asciiTheme="majorBidi" w:hAnsiTheme="majorBidi" w:cstheme="majorBidi"/>
                <w:sz w:val="16"/>
                <w:szCs w:val="16"/>
              </w:rPr>
              <w:fldChar w:fldCharType="separate"/>
            </w:r>
            <w:r w:rsidR="005F06AF" w:rsidRPr="0053176A">
              <w:rPr>
                <w:rFonts w:asciiTheme="majorBidi" w:hAnsiTheme="majorBidi" w:cstheme="majorBidi"/>
                <w:noProof/>
                <w:sz w:val="16"/>
                <w:szCs w:val="16"/>
              </w:rPr>
              <w:t>[13]</w:t>
            </w:r>
            <w:r w:rsidR="005F06AF" w:rsidRPr="0053176A">
              <w:rPr>
                <w:rFonts w:asciiTheme="majorBidi" w:hAnsiTheme="majorBidi" w:cstheme="majorBidi"/>
                <w:sz w:val="16"/>
                <w:szCs w:val="16"/>
              </w:rPr>
              <w:fldChar w:fldCharType="end"/>
            </w:r>
          </w:p>
        </w:tc>
        <w:tc>
          <w:tcPr>
            <w:tcW w:w="1280" w:type="dxa"/>
            <w:noWrap/>
            <w:hideMark/>
          </w:tcPr>
          <w:p w14:paraId="4F59AD1A"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Canada (29 NICUs, Canadian Neonatal Network)</w:t>
            </w:r>
          </w:p>
        </w:tc>
        <w:tc>
          <w:tcPr>
            <w:tcW w:w="1065" w:type="dxa"/>
            <w:noWrap/>
            <w:hideMark/>
          </w:tcPr>
          <w:p w14:paraId="3E529CB5"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Retrospective cohort </w:t>
            </w:r>
          </w:p>
        </w:tc>
        <w:tc>
          <w:tcPr>
            <w:tcW w:w="877" w:type="dxa"/>
            <w:noWrap/>
            <w:hideMark/>
          </w:tcPr>
          <w:p w14:paraId="02529291"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January 2010 – December 2016</w:t>
            </w:r>
          </w:p>
        </w:tc>
        <w:tc>
          <w:tcPr>
            <w:tcW w:w="946" w:type="dxa"/>
            <w:noWrap/>
            <w:hideMark/>
          </w:tcPr>
          <w:p w14:paraId="34CD6ABE"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14,207</w:t>
            </w:r>
          </w:p>
        </w:tc>
        <w:tc>
          <w:tcPr>
            <w:tcW w:w="883" w:type="dxa"/>
            <w:noWrap/>
            <w:hideMark/>
          </w:tcPr>
          <w:p w14:paraId="4784B8FE"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5,856</w:t>
            </w:r>
            <w:r w:rsidRPr="0053176A">
              <w:rPr>
                <w:rFonts w:asciiTheme="majorBidi" w:hAnsiTheme="majorBidi" w:cstheme="majorBidi"/>
                <w:sz w:val="16"/>
                <w:szCs w:val="16"/>
              </w:rPr>
              <w:br/>
              <w:t xml:space="preserve"> (≥4 days)</w:t>
            </w:r>
          </w:p>
        </w:tc>
        <w:tc>
          <w:tcPr>
            <w:tcW w:w="898" w:type="dxa"/>
            <w:noWrap/>
            <w:hideMark/>
          </w:tcPr>
          <w:p w14:paraId="49B9BB12"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5,401 </w:t>
            </w:r>
            <w:r w:rsidRPr="0053176A">
              <w:rPr>
                <w:rFonts w:asciiTheme="majorBidi" w:hAnsiTheme="majorBidi" w:cstheme="majorBidi"/>
                <w:sz w:val="16"/>
                <w:szCs w:val="16"/>
              </w:rPr>
              <w:br/>
              <w:t>(&lt;4 days)</w:t>
            </w:r>
          </w:p>
        </w:tc>
        <w:tc>
          <w:tcPr>
            <w:tcW w:w="860" w:type="dxa"/>
            <w:noWrap/>
            <w:hideMark/>
          </w:tcPr>
          <w:p w14:paraId="754A705C"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2,950 </w:t>
            </w:r>
          </w:p>
        </w:tc>
        <w:tc>
          <w:tcPr>
            <w:tcW w:w="2305" w:type="dxa"/>
            <w:noWrap/>
            <w:hideMark/>
          </w:tcPr>
          <w:p w14:paraId="43C57CEC"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0 Days: 258 (9%),</w:t>
            </w:r>
            <w:r w:rsidRPr="0053176A">
              <w:rPr>
                <w:rFonts w:asciiTheme="majorBidi" w:hAnsiTheme="majorBidi" w:cstheme="majorBidi"/>
                <w:sz w:val="16"/>
                <w:szCs w:val="16"/>
              </w:rPr>
              <w:br/>
              <w:t>&lt;4 Days: 666 (12%),</w:t>
            </w:r>
            <w:r w:rsidRPr="0053176A">
              <w:rPr>
                <w:rFonts w:asciiTheme="majorBidi" w:hAnsiTheme="majorBidi" w:cstheme="majorBidi"/>
                <w:sz w:val="16"/>
                <w:szCs w:val="16"/>
              </w:rPr>
              <w:br/>
              <w:t>4–7 Days: 1,149 (20%)</w:t>
            </w:r>
          </w:p>
        </w:tc>
      </w:tr>
      <w:tr w:rsidR="006C39D0" w:rsidRPr="0053176A" w14:paraId="09FA9A72" w14:textId="77777777" w:rsidTr="006C39D0">
        <w:trPr>
          <w:trHeight w:val="300"/>
        </w:trPr>
        <w:tc>
          <w:tcPr>
            <w:tcW w:w="876" w:type="dxa"/>
            <w:noWrap/>
            <w:hideMark/>
          </w:tcPr>
          <w:p w14:paraId="29293E8F" w14:textId="35740189"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Cotten</w:t>
            </w:r>
            <w:r w:rsidR="005F06AF" w:rsidRPr="0053176A">
              <w:rPr>
                <w:rFonts w:asciiTheme="majorBidi" w:hAnsiTheme="majorBidi" w:cstheme="majorBidi"/>
                <w:sz w:val="16"/>
                <w:szCs w:val="16"/>
              </w:rPr>
              <w:fldChar w:fldCharType="begin" w:fldLock="1"/>
            </w:r>
            <w:r w:rsidR="005F06AF" w:rsidRPr="0053176A">
              <w:rPr>
                <w:rFonts w:asciiTheme="majorBidi" w:hAnsiTheme="majorBidi" w:cstheme="majorBidi"/>
                <w:sz w:val="16"/>
                <w:szCs w:val="16"/>
              </w:rPr>
              <w:instrText>ADDIN CSL_CITATION {"citationItems":[{"id":"ITEM-1","itemData":{"DOI":"10.1542/PEDS.2007-3423","ISSN":"0031-4005","PMID":"19117861","abstract":"OBJECTIVES. Our objectives were to identify factors associated with the duration of the first antibiotic course initiated in the first 3 postnatal days and to assess associations between the duration of the initial antibiotic course and subsequent necrotizing enterocolitis or death in extremely low birth weight infants with sterile initial postnatal culture results. METHODS. We conducted a retrospective cohort analysis of extremely low birth weight infants admitted to tertiary centers in 1998-2001. We defined initial empirical antibiotic treatment duration as continuous days of antibiotic therapy started in the first 3 postnatal days with sterile culture results. We used descriptive statistics to characterize center practice, bivariate analyses to identify factors associated with prolonged empirical antibiotic therapy (≥5 days), and multivariate analyses to evaluate associations between therapy duration, prolonged empirical therapy, and subsequent necrotizing enterocolitis or death. RESULTS. Of 5693 extremely low birth weight infants admitted to 19 centers, 4039 (71%) survived &gt;5 days, received initial empirical antibiotic treatment, and had sterile initial culture results through the first 3 postnatal days. The median therapy duration was 5 days (range: 1-36 days);2147 infants (53%) received prolonged empirical therapy (center range: 27%-85%). Infants who received prolonged therapy were less mature, had lower Apgar scores, and were more likely to be black. In multivariate analyses adjusted for these factors and center, prolonged therapy was associated with increased odds of necrotizing enterocolitis or death and of death. Each empirical treatment day was associated with increased odds of death, necrotizing enterocolitis, and the composite measure of necrotizing enterocolitis or death. CONCLUSION. Prolonged initial empirical antibiotic therapy may be associated with increased risk of necrotizing enterocolitis or death and should be used with caution. Copyright © 2009 by the American Academy of Pediatrics.","author":[{"dropping-particle":"","family":"Michael Cotten","given":"C.","non-dropping-particle":"","parse-names":false,"suffix":""},{"dropping-particle":"","family":"Taylor","given":"Sarah","non-dropping-particle":"","parse-names":false,"suffix":""},{"dropping-particle":"","family":"Stoll","given":"Barbara","non-dropping-particle":"","parse-names":false,"suffix":""},{"dropping-particle":"","family":"Goldberg","given":"Ronald N.","non-dropping-particle":"","parse-names":false,"suffix":""},{"dropping-particle":"","family":"Hansen","given":"Nellie I.","non-dropping-particle":"","parse-names":false,"suffix":""},{"dropping-particle":"","family":"Sanchez","given":"Pablo J.","non-dropping-particle":"","parse-names":false,"suffix":""},{"dropping-particle":"","family":"Ambalavanan","given":"Namasivayam","non-dropping-particle":"","parse-names":false,"suffix":""},{"dropping-particle":"","family":"Benjamin","given":"Daniel K.","non-dropping-particle":"","parse-names":false,"suffix":""}],"container-title":"Pediatrics","id":"ITEM-1","issue":"1","issued":{"date-parts":[["2009","1","1"]]},"page":"58-66","publisher":"American Academy of Pediatrics","title":"Prolonged Duration of Initial Empirical Antibiotic Treatment Is Associated With Increased Rates of Necrotizing Enterocolitis and Death for Extremely Low Birth Weight Infants","type":"article-journal","volume":"123"},"uris":["http://www.mendeley.com/documents/?uuid=1a1b615d-7459-48a3-a67f-3d870681b439"]}],"mendeley":{"formattedCitation":"[3]","plainTextFormattedCitation":"[3]","previouslyFormattedCitation":"[3]"},"properties":{"noteIndex":0},"schema":"https://github.com/citation-style-language/schema/raw/master/csl-citation.json"}</w:instrText>
            </w:r>
            <w:r w:rsidR="005F06AF" w:rsidRPr="0053176A">
              <w:rPr>
                <w:rFonts w:asciiTheme="majorBidi" w:hAnsiTheme="majorBidi" w:cstheme="majorBidi"/>
                <w:sz w:val="16"/>
                <w:szCs w:val="16"/>
              </w:rPr>
              <w:fldChar w:fldCharType="separate"/>
            </w:r>
            <w:r w:rsidR="005F06AF" w:rsidRPr="0053176A">
              <w:rPr>
                <w:rFonts w:asciiTheme="majorBidi" w:hAnsiTheme="majorBidi" w:cstheme="majorBidi"/>
                <w:noProof/>
                <w:sz w:val="16"/>
                <w:szCs w:val="16"/>
              </w:rPr>
              <w:t>[3]</w:t>
            </w:r>
            <w:r w:rsidR="005F06AF" w:rsidRPr="0053176A">
              <w:rPr>
                <w:rFonts w:asciiTheme="majorBidi" w:hAnsiTheme="majorBidi" w:cstheme="majorBidi"/>
                <w:sz w:val="16"/>
                <w:szCs w:val="16"/>
              </w:rPr>
              <w:fldChar w:fldCharType="end"/>
            </w:r>
          </w:p>
        </w:tc>
        <w:tc>
          <w:tcPr>
            <w:tcW w:w="1280" w:type="dxa"/>
            <w:noWrap/>
            <w:hideMark/>
          </w:tcPr>
          <w:p w14:paraId="2E51CE8A"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USA (NICHD Neonatal Research Network, 19 centers)</w:t>
            </w:r>
          </w:p>
        </w:tc>
        <w:tc>
          <w:tcPr>
            <w:tcW w:w="1065" w:type="dxa"/>
            <w:noWrap/>
            <w:hideMark/>
          </w:tcPr>
          <w:p w14:paraId="136D4EC4"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Retrospective cohort </w:t>
            </w:r>
          </w:p>
        </w:tc>
        <w:tc>
          <w:tcPr>
            <w:tcW w:w="877" w:type="dxa"/>
            <w:noWrap/>
            <w:hideMark/>
          </w:tcPr>
          <w:p w14:paraId="63736561"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September 1998 – December 2001</w:t>
            </w:r>
          </w:p>
        </w:tc>
        <w:tc>
          <w:tcPr>
            <w:tcW w:w="946" w:type="dxa"/>
            <w:noWrap/>
            <w:hideMark/>
          </w:tcPr>
          <w:p w14:paraId="5D053292" w14:textId="07EEC4FA" w:rsidR="006C39D0" w:rsidRPr="0053176A" w:rsidRDefault="00D93BE8" w:rsidP="00DF5DFA">
            <w:pPr>
              <w:rPr>
                <w:rFonts w:asciiTheme="majorBidi" w:hAnsiTheme="majorBidi" w:cstheme="majorBidi"/>
                <w:sz w:val="16"/>
                <w:szCs w:val="16"/>
              </w:rPr>
            </w:pPr>
            <w:r w:rsidRPr="0053176A">
              <w:rPr>
                <w:rFonts w:asciiTheme="majorBidi" w:hAnsiTheme="majorBidi" w:cstheme="majorBidi"/>
                <w:sz w:val="16"/>
                <w:szCs w:val="16"/>
              </w:rPr>
              <w:t>5,693</w:t>
            </w:r>
          </w:p>
        </w:tc>
        <w:tc>
          <w:tcPr>
            <w:tcW w:w="883" w:type="dxa"/>
            <w:noWrap/>
            <w:hideMark/>
          </w:tcPr>
          <w:p w14:paraId="2B72004E"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2,147 (≥5 days)</w:t>
            </w:r>
          </w:p>
        </w:tc>
        <w:tc>
          <w:tcPr>
            <w:tcW w:w="898" w:type="dxa"/>
            <w:noWrap/>
            <w:hideMark/>
          </w:tcPr>
          <w:p w14:paraId="4F826E14"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1,892 </w:t>
            </w:r>
            <w:r w:rsidRPr="0053176A">
              <w:rPr>
                <w:rFonts w:asciiTheme="majorBidi" w:hAnsiTheme="majorBidi" w:cstheme="majorBidi"/>
                <w:sz w:val="16"/>
                <w:szCs w:val="16"/>
              </w:rPr>
              <w:br/>
              <w:t>(&lt;5 days)</w:t>
            </w:r>
          </w:p>
        </w:tc>
        <w:tc>
          <w:tcPr>
            <w:tcW w:w="860" w:type="dxa"/>
            <w:noWrap/>
            <w:hideMark/>
          </w:tcPr>
          <w:p w14:paraId="59C5C284"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NA</w:t>
            </w:r>
          </w:p>
        </w:tc>
        <w:tc>
          <w:tcPr>
            <w:tcW w:w="2305" w:type="dxa"/>
            <w:noWrap/>
            <w:hideMark/>
          </w:tcPr>
          <w:p w14:paraId="12C42636"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≥5 days of initial empirical antibiotic treatment associated with increased LOS (aOR: 1.09, 95% CI: 0.95–1.26) </w:t>
            </w:r>
            <w:r w:rsidRPr="0053176A">
              <w:rPr>
                <w:rFonts w:asciiTheme="majorBidi" w:hAnsiTheme="majorBidi" w:cstheme="majorBidi"/>
                <w:b/>
                <w:bCs/>
                <w:sz w:val="18"/>
                <w:szCs w:val="18"/>
                <w:vertAlign w:val="superscript"/>
              </w:rPr>
              <w:t>α</w:t>
            </w:r>
          </w:p>
        </w:tc>
      </w:tr>
      <w:tr w:rsidR="006C39D0" w:rsidRPr="0053176A" w14:paraId="754AA414" w14:textId="77777777" w:rsidTr="006C39D0">
        <w:trPr>
          <w:trHeight w:val="300"/>
        </w:trPr>
        <w:tc>
          <w:tcPr>
            <w:tcW w:w="876" w:type="dxa"/>
            <w:noWrap/>
            <w:hideMark/>
          </w:tcPr>
          <w:p w14:paraId="6E03BD0F" w14:textId="393E470F"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Greenberg</w:t>
            </w:r>
            <w:r w:rsidR="005F06AF" w:rsidRPr="0053176A">
              <w:rPr>
                <w:rFonts w:asciiTheme="majorBidi" w:hAnsiTheme="majorBidi" w:cstheme="majorBidi"/>
                <w:sz w:val="16"/>
                <w:szCs w:val="16"/>
              </w:rPr>
              <w:fldChar w:fldCharType="begin" w:fldLock="1"/>
            </w:r>
            <w:r w:rsidR="005F06AF" w:rsidRPr="0053176A">
              <w:rPr>
                <w:rFonts w:asciiTheme="majorBidi" w:hAnsiTheme="majorBidi" w:cstheme="majorBidi"/>
                <w:sz w:val="16"/>
                <w:szCs w:val="16"/>
              </w:rPr>
              <w:instrText>ADDIN CSL_CITATION {"citationItems":[{"id":"ITEM-1","itemData":{"DOI":"10.1038/s41390-019-0300-4","ISSN":"1530-0447","PMID":"30737489","abstract":"Prolonged early antibiotics in extremely premature infants may have negative effects. We aimed to assess prevalence and outcomes of provision of prolonged early antibiotics to extremely premature infants in the absence of culture-confirmed infection or NEC. Cohort study of infants from 13 centers born without a major birth defect from 2008–2014 who were 401–1000 grams birth weight, 22–28 weeks gestation, and survived ≥5 days without culture-confirmed infection, NEC, or spontaneous intestinal perforation. We determined the proportion of infants who received prolonged early antibiotics, defined as ≥5 days of antibiotic therapy started at ≤72 h of age, by center and over time. Associations between prolonged early antibiotics and adverse outcomes were assessed using multivariable logistic regression. A total of 5730 infants were included. The proportion of infants receiving prolonged early antibiotics varied from 30–69% among centers and declined from 49% in 2008 to 35% in 2014. Prolonged early antibiotics was not significantly associated with death (adjusted odds ratio 1.17 [95% CI: 0.99–1.40], p = 0.07) and was not associated with NEC. The proportion of extremely premature infants receiving prolonged early antibiotics decreased, but significant center variation persists. Prolonged early antibiotics were not significantly associated with increased odds of death or NEC.","author":[{"dropping-particle":"","family":"Greenberg","given":"Rachel G.","non-dropping-particle":"","parse-names":false,"suffix":""},{"dropping-particle":"","family":"Chowdhury","given":"Dhuly","non-dropping-particle":"","parse-names":false,"suffix":""},{"dropping-particle":"","family":"Hansen","given":"Nellie I.","non-dropping-particle":"","parse-names":false,"suffix":""},{"dropping-particle":"","family":"Smith","given":"P. Brian","non-dropping-particle":"","parse-names":false,"suffix":""},{"dropping-particle":"","family":"Stoll","given":"Barbara J.","non-dropping-particle":"","parse-names":false,"suffix":""},{"dropping-particle":"","family":"Sánchez","given":"Pablo J.","non-dropping-particle":"","parse-names":false,"suffix":""},{"dropping-particle":"","family":"Das","given":"Abhik","non-dropping-particle":"","parse-names":false,"suffix":""},{"dropping-particle":"","family":"Puopolo","given":"Karen M.","non-dropping-particle":"","parse-names":false,"suffix":""},{"dropping-particle":"","family":"Mukhopadhyay","given":"Sagori","non-dropping-particle":"","parse-names":false,"suffix":""},{"dropping-particle":"","family":"Higgins","given":"Rosemary D.","non-dropping-particle":"","parse-names":false,"suffix":""},{"dropping-particle":"","family":"Cotten","given":"C. Michael","non-dropping-particle":"","parse-names":false,"suffix":""}],"container-title":"Pediatric Research 2019 85:7","id":"ITEM-1","issue":"7","issued":{"date-parts":[["2019","1","22"]]},"page":"994-1000","publisher":"Nature Publishing Group","title":"Prolonged duration of early antibiotic therapy in extremely premature infants","type":"article-journal","volume":"85"},"uris":["http://www.mendeley.com/documents/?uuid=7c0cf448-b002-309f-abe9-a2933e9a7bd3"]}],"mendeley":{"formattedCitation":"[20]","plainTextFormattedCitation":"[20]","previouslyFormattedCitation":"[20]"},"properties":{"noteIndex":0},"schema":"https://github.com/citation-style-language/schema/raw/master/csl-citation.json"}</w:instrText>
            </w:r>
            <w:r w:rsidR="005F06AF" w:rsidRPr="0053176A">
              <w:rPr>
                <w:rFonts w:asciiTheme="majorBidi" w:hAnsiTheme="majorBidi" w:cstheme="majorBidi"/>
                <w:sz w:val="16"/>
                <w:szCs w:val="16"/>
              </w:rPr>
              <w:fldChar w:fldCharType="separate"/>
            </w:r>
            <w:r w:rsidR="005F06AF" w:rsidRPr="0053176A">
              <w:rPr>
                <w:rFonts w:asciiTheme="majorBidi" w:hAnsiTheme="majorBidi" w:cstheme="majorBidi"/>
                <w:noProof/>
                <w:sz w:val="16"/>
                <w:szCs w:val="16"/>
              </w:rPr>
              <w:t>[20]</w:t>
            </w:r>
            <w:r w:rsidR="005F06AF" w:rsidRPr="0053176A">
              <w:rPr>
                <w:rFonts w:asciiTheme="majorBidi" w:hAnsiTheme="majorBidi" w:cstheme="majorBidi"/>
                <w:sz w:val="16"/>
                <w:szCs w:val="16"/>
              </w:rPr>
              <w:fldChar w:fldCharType="end"/>
            </w:r>
          </w:p>
        </w:tc>
        <w:tc>
          <w:tcPr>
            <w:tcW w:w="1280" w:type="dxa"/>
            <w:noWrap/>
            <w:hideMark/>
          </w:tcPr>
          <w:p w14:paraId="2078EAC0"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USA (NICHD Neonatal Research Network, 13 centers)</w:t>
            </w:r>
          </w:p>
        </w:tc>
        <w:tc>
          <w:tcPr>
            <w:tcW w:w="1065" w:type="dxa"/>
            <w:noWrap/>
            <w:hideMark/>
          </w:tcPr>
          <w:p w14:paraId="59D29CCB"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Retrospective cohort </w:t>
            </w:r>
          </w:p>
        </w:tc>
        <w:tc>
          <w:tcPr>
            <w:tcW w:w="877" w:type="dxa"/>
            <w:noWrap/>
            <w:hideMark/>
          </w:tcPr>
          <w:p w14:paraId="7FD5F7CD"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January 2008 – December 2014</w:t>
            </w:r>
          </w:p>
        </w:tc>
        <w:tc>
          <w:tcPr>
            <w:tcW w:w="946" w:type="dxa"/>
            <w:noWrap/>
            <w:hideMark/>
          </w:tcPr>
          <w:p w14:paraId="4E906E6E"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5,730</w:t>
            </w:r>
          </w:p>
        </w:tc>
        <w:tc>
          <w:tcPr>
            <w:tcW w:w="883" w:type="dxa"/>
            <w:noWrap/>
            <w:hideMark/>
          </w:tcPr>
          <w:p w14:paraId="15E94EA6"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2,526 (≥5 days)</w:t>
            </w:r>
          </w:p>
        </w:tc>
        <w:tc>
          <w:tcPr>
            <w:tcW w:w="898" w:type="dxa"/>
            <w:noWrap/>
            <w:hideMark/>
          </w:tcPr>
          <w:p w14:paraId="327B043B"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3,204</w:t>
            </w:r>
          </w:p>
        </w:tc>
        <w:tc>
          <w:tcPr>
            <w:tcW w:w="860" w:type="dxa"/>
            <w:noWrap/>
            <w:hideMark/>
          </w:tcPr>
          <w:p w14:paraId="345E21AD"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NA</w:t>
            </w:r>
          </w:p>
        </w:tc>
        <w:tc>
          <w:tcPr>
            <w:tcW w:w="2305" w:type="dxa"/>
            <w:noWrap/>
            <w:hideMark/>
          </w:tcPr>
          <w:p w14:paraId="1A3EC650"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&lt; 5 days:670 </w:t>
            </w:r>
            <w:r w:rsidRPr="0053176A">
              <w:rPr>
                <w:rFonts w:asciiTheme="majorBidi" w:hAnsiTheme="majorBidi" w:cstheme="majorBidi"/>
                <w:sz w:val="16"/>
                <w:szCs w:val="16"/>
              </w:rPr>
              <w:br/>
              <w:t xml:space="preserve"> ≥5 days: 540  </w:t>
            </w:r>
          </w:p>
        </w:tc>
      </w:tr>
      <w:tr w:rsidR="006C39D0" w:rsidRPr="0053176A" w14:paraId="6CCF5A18" w14:textId="77777777" w:rsidTr="006C39D0">
        <w:trPr>
          <w:trHeight w:val="300"/>
        </w:trPr>
        <w:tc>
          <w:tcPr>
            <w:tcW w:w="876" w:type="dxa"/>
            <w:noWrap/>
            <w:hideMark/>
          </w:tcPr>
          <w:p w14:paraId="4B859C3C" w14:textId="53566820"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Dierikx</w:t>
            </w:r>
            <w:r w:rsidR="005F06AF" w:rsidRPr="0053176A">
              <w:rPr>
                <w:rFonts w:asciiTheme="majorBidi" w:hAnsiTheme="majorBidi" w:cstheme="majorBidi"/>
                <w:sz w:val="16"/>
                <w:szCs w:val="16"/>
              </w:rPr>
              <w:fldChar w:fldCharType="begin" w:fldLock="1"/>
            </w:r>
            <w:r w:rsidR="005F06AF" w:rsidRPr="0053176A">
              <w:rPr>
                <w:rFonts w:asciiTheme="majorBidi" w:hAnsiTheme="majorBidi" w:cstheme="majorBidi"/>
                <w:sz w:val="16"/>
                <w:szCs w:val="16"/>
              </w:rPr>
              <w:instrText>ADDIN CSL_CITATION {"citationItems":[{"id":"ITEM-1","itemData":{"DOI":"10.1007/S00431-022-04579-5/TABLES/4","ISSN":"14321076","PMID":"35927379","abstract":"The threshold to initiate empiric antibiotics for suspicion of early-onset sepsis (EOS) is low in preterm infants. Antibiotics’ effects on short-term outcomes have recently been debated. We aimed at exploring the extent of early empiric antibiotic exposure (EEAE) in preterm infants and the association between the duration of EEAE with necrotizing enterocolitis (NEC) and late-onset sepsis (LOS) within different EEAE groups. EEAE practice for suspicion of EOS was evaluated in all included infants (gestational age &lt; 30 weeks) born in 9 centers in the Netherlands and Belgium between Oct. 2014 and Jan. 2019. EEAE association with NEC and LOS development was analyzed by multivariate regression. After excluding 56 EOS cases, 1259 infants were included. A total of 1122 infants (89.1%) were exposed to empirical antibiotics for the suspicion of EOS of whom 802 (63.7%) had short (≤ 72 h) and 320 (25.4%) prolonged EEAE (&gt; 72 h). Infants with EEAE ≤ 72 h had a lower incidence of NEC compared to both infants without EEAE (adjusted odds ratio (aOR) 0.39; 95% confidence interval (CI) [0.19–0.80]; p = 0.01) and with prolonged EEAE (&gt; 72 h) (aOR [95%CI]: 0.58 [0.35–0.96]; p = 0.03). With every additional day of EEAE, LOS incidence decreased (aOR [95%CI]: 0.90 [0.85–0.97]; p = 0.003). Conclusion: Almost 90% of preterm infants who have negative blood culture results in the first 72 h of life are exposed to EEAE under suspicion of EOS. One-fourth has prolonged EEAE. Duration of EEAE was differently associated with NEC and LOS incidence. The effects of antibiotics, and potentially induced microbial dysbiosis related to development of NEC and LOS, should further be explored.What is Known:• Preterm infants often receive antibiotics empirically directly after birth for suspicion of early-onset sepsis.• The effects of the duration of early empirical antibiotic exposure on the risk for necrotizing enterocolitis and late-onset sepsis are debated.What is New:• Almost 90% of preterm infants with a gestational age below 30 weeks are exposed to antibiotics empirically after birth despite negative culture results. In a quarter of these culture-negative infants, empirical antibiotics are prolonged.• A short course of empirical antibiotics (≤72h) is associated with decreased odds for necrotizing enterocolitis compared to both prolonged (&gt;72h) or no empirical antibiotics after birth. Furthermore, every additional day of empirical antibiotic exposure is associated with decreased risk for l…","author":[{"dropping-particle":"","family":"Dierikx","given":"Thomas H.","non-dropping-particle":"","parse-names":false,"suffix":""},{"dropping-particle":"","family":"Deianova","given":"Nancy","non-dropping-particle":"","parse-names":false,"suffix":""},{"dropping-particle":"","family":"Groen","given":"Jip","non-dropping-particle":"","parse-names":false,"suffix":""},{"dropping-particle":"","family":"Vijlbrief","given":"Daniel C.","non-dropping-particle":"","parse-names":false,"suffix":""},{"dropping-particle":"","family":"Hulzebos","given":"Christian","non-dropping-particle":"","parse-names":false,"suffix":""},{"dropping-particle":"","family":"Boode","given":"Willem P.","non-dropping-particle":"de","parse-names":false,"suffix":""},{"dropping-particle":"","family":"d’Haens","given":"Esther J.","non-dropping-particle":"","parse-names":false,"suffix":""},{"dropping-particle":"","family":"Cossey","given":"Veerle","non-dropping-particle":"","parse-names":false,"suffix":""},{"dropping-particle":"","family":"Kramer","given":"Boris W.","non-dropping-particle":"","parse-names":false,"suffix":""},{"dropping-particle":"","family":"Weissenbruch","given":"Mirjam M.","non-dropping-particle":"van","parse-names":false,"suffix":""},{"dropping-particle":"","family":"Jonge","given":"Wouter J.","non-dropping-particle":"de","parse-names":false,"suffix":""},{"dropping-particle":"","family":"Benninga","given":"Marc A.","non-dropping-particle":"","parse-names":false,"suffix":""},{"dropping-particle":"","family":"Akker","given":"Chris H.","non-dropping-particle":"van den","parse-names":false,"suffix":""},{"dropping-particle":"","family":"Kaam","given":"Anton H.","non-dropping-particle":"van","parse-names":false,"suffix":""},{"dropping-particle":"","family":"Boer","given":"Nanne K.H.","non-dropping-particle":"de","parse-names":false,"suffix":""},{"dropping-particle":"","family":"Visser","given":"Douwe H.","non-dropping-particle":"","parse-names":false,"suffix":""},{"dropping-particle":"","family":"Niemarkt","given":"Hendrik J.","non-dropping-particle":"","parse-names":false,"suffix":""},{"dropping-particle":"","family":"Meij","given":"Tim G.J.","non-dropping-particle":"de","parse-names":false,"suffix":""}],"container-title":"European Journal of Pediatrics","id":"ITEM-1","issue":"10","issued":{"date-parts":[["2022","10","1"]]},"page":"3715-3724","publisher":"Springer Science and Business Media Deutschland GmbH","title":"Association between duration of early empiric antibiotics and necrotizing enterocolitis and late-onset sepsis in preterm infants: a multicenter cohort study","type":"article-journal","volume":"181"},"uris":["http://www.mendeley.com/documents/?uuid=83629078-64ab-452e-9f2e-02512c5232d1"]}],"mendeley":{"formattedCitation":"[12]","plainTextFormattedCitation":"[12]","previouslyFormattedCitation":"[12]"},"properties":{"noteIndex":0},"schema":"https://github.com/citation-style-language/schema/raw/master/csl-citation.json"}</w:instrText>
            </w:r>
            <w:r w:rsidR="005F06AF" w:rsidRPr="0053176A">
              <w:rPr>
                <w:rFonts w:asciiTheme="majorBidi" w:hAnsiTheme="majorBidi" w:cstheme="majorBidi"/>
                <w:sz w:val="16"/>
                <w:szCs w:val="16"/>
              </w:rPr>
              <w:fldChar w:fldCharType="separate"/>
            </w:r>
            <w:r w:rsidR="005F06AF" w:rsidRPr="0053176A">
              <w:rPr>
                <w:rFonts w:asciiTheme="majorBidi" w:hAnsiTheme="majorBidi" w:cstheme="majorBidi"/>
                <w:noProof/>
                <w:sz w:val="16"/>
                <w:szCs w:val="16"/>
              </w:rPr>
              <w:t>[12]</w:t>
            </w:r>
            <w:r w:rsidR="005F06AF" w:rsidRPr="0053176A">
              <w:rPr>
                <w:rFonts w:asciiTheme="majorBidi" w:hAnsiTheme="majorBidi" w:cstheme="majorBidi"/>
                <w:sz w:val="16"/>
                <w:szCs w:val="16"/>
              </w:rPr>
              <w:fldChar w:fldCharType="end"/>
            </w:r>
          </w:p>
        </w:tc>
        <w:tc>
          <w:tcPr>
            <w:tcW w:w="1280" w:type="dxa"/>
            <w:noWrap/>
            <w:hideMark/>
          </w:tcPr>
          <w:p w14:paraId="5FC78522"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Netherlands &amp; Belgium (9 NICUs)</w:t>
            </w:r>
          </w:p>
        </w:tc>
        <w:tc>
          <w:tcPr>
            <w:tcW w:w="1065" w:type="dxa"/>
            <w:noWrap/>
            <w:hideMark/>
          </w:tcPr>
          <w:p w14:paraId="044B534E"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Prospective cohort </w:t>
            </w:r>
          </w:p>
        </w:tc>
        <w:tc>
          <w:tcPr>
            <w:tcW w:w="877" w:type="dxa"/>
            <w:noWrap/>
            <w:hideMark/>
          </w:tcPr>
          <w:p w14:paraId="58C784AB"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October 2014 – January 2019</w:t>
            </w:r>
          </w:p>
        </w:tc>
        <w:tc>
          <w:tcPr>
            <w:tcW w:w="946" w:type="dxa"/>
            <w:noWrap/>
            <w:hideMark/>
          </w:tcPr>
          <w:p w14:paraId="793969D6"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1,259</w:t>
            </w:r>
          </w:p>
        </w:tc>
        <w:tc>
          <w:tcPr>
            <w:tcW w:w="883" w:type="dxa"/>
            <w:noWrap/>
            <w:hideMark/>
          </w:tcPr>
          <w:p w14:paraId="2A9E2F27"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320 (≥3 days)</w:t>
            </w:r>
          </w:p>
        </w:tc>
        <w:tc>
          <w:tcPr>
            <w:tcW w:w="898" w:type="dxa"/>
            <w:noWrap/>
            <w:hideMark/>
          </w:tcPr>
          <w:p w14:paraId="1183C11D"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802 (≤3 days)</w:t>
            </w:r>
          </w:p>
        </w:tc>
        <w:tc>
          <w:tcPr>
            <w:tcW w:w="860" w:type="dxa"/>
            <w:noWrap/>
            <w:hideMark/>
          </w:tcPr>
          <w:p w14:paraId="06943621"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137 </w:t>
            </w:r>
          </w:p>
        </w:tc>
        <w:tc>
          <w:tcPr>
            <w:tcW w:w="2305" w:type="dxa"/>
            <w:noWrap/>
            <w:hideMark/>
          </w:tcPr>
          <w:p w14:paraId="7EED3320"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0 days: 45 (32.8%)</w:t>
            </w:r>
            <w:r w:rsidRPr="0053176A">
              <w:rPr>
                <w:rFonts w:asciiTheme="majorBidi" w:hAnsiTheme="majorBidi" w:cstheme="majorBidi"/>
                <w:sz w:val="16"/>
                <w:szCs w:val="16"/>
              </w:rPr>
              <w:br/>
              <w:t>≤3 days: 266 (33.2%)</w:t>
            </w:r>
            <w:r w:rsidRPr="0053176A">
              <w:rPr>
                <w:rFonts w:asciiTheme="majorBidi" w:hAnsiTheme="majorBidi" w:cstheme="majorBidi"/>
                <w:sz w:val="16"/>
                <w:szCs w:val="16"/>
              </w:rPr>
              <w:br/>
              <w:t xml:space="preserve">&gt;3 days: 110 (34.4%), </w:t>
            </w:r>
          </w:p>
        </w:tc>
      </w:tr>
      <w:tr w:rsidR="006C39D0" w:rsidRPr="0053176A" w14:paraId="79496F75" w14:textId="77777777" w:rsidTr="006C39D0">
        <w:trPr>
          <w:trHeight w:val="300"/>
        </w:trPr>
        <w:tc>
          <w:tcPr>
            <w:tcW w:w="876" w:type="dxa"/>
            <w:noWrap/>
            <w:hideMark/>
          </w:tcPr>
          <w:p w14:paraId="69C03424" w14:textId="228223AF"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Fajardo</w:t>
            </w:r>
            <w:r w:rsidR="005F06AF" w:rsidRPr="0053176A">
              <w:rPr>
                <w:rFonts w:asciiTheme="majorBidi" w:hAnsiTheme="majorBidi" w:cstheme="majorBidi"/>
                <w:sz w:val="16"/>
                <w:szCs w:val="16"/>
              </w:rPr>
              <w:fldChar w:fldCharType="begin" w:fldLock="1"/>
            </w:r>
            <w:r w:rsidR="005F06AF" w:rsidRPr="0053176A">
              <w:rPr>
                <w:rFonts w:asciiTheme="majorBidi" w:hAnsiTheme="majorBidi" w:cstheme="majorBidi"/>
                <w:sz w:val="16"/>
                <w:szCs w:val="16"/>
              </w:rPr>
              <w:instrText>ADDIN CSL_CITATION {"citationItems":[{"id":"ITEM-1","itemData":{"DOI":"10.1080/14767058.2018.1481042","ISSN":"14764954","PMID":"29792103","abstract":"Background: Most preterm infants are exposed to a variable duration of antibiotic therapy after birth despite negative cultures. Data is emerging about the risks of prolonged antibiotics. We sought to assess the association between length of initial antibiotic course and neonatal outcomes in a cohort from a single large perinatal center. Methods: Retrospective cohort study of prospectively collected data on all infants with a birth weight of less than 1250 g hospitalized in our NICU in a 4 year window and who had negative blood and CSF cultures in the first 2 days of life. The primary outcome is a composite of necrotizing enterocolitis (NEC), late onset sepsis (LOS) and death evaluated using multivariable regression analysis. Results: A total of 620 infants less than 1250 g with negative cultures were eligible for study over a 4 year period. The 238 infants with more than 5 days initial antibiotic use were significantly smaller and of lower gestational age than the 382 infants who received up to 5 days of antibiotics. Their mothers had more clinical chorioamnionitis, less maternal hypertension and greater perinatal use of antibiotics. On multivariate analysis, infants who received empiric antibiotics for longer than 5 days had higher rates of neonatal morbidities after adjusting for gestational age, SNAP II, small-for-gestational age status, gender, maternal hypertension, prenatal steroid treatment, clinical chorioamnionitis, intrapartum antibiotic treatment, and multiple births. Composite outcome OR: 1.83 (1.15 to 2.92), LOS OR: 2.02 (1.20 to 3.39), bronchopulmonary dysplasia OR: 1.58 (1.04 to 2.29). Mortality and NEC were not significantly different. Conclusion: More than 5 days of antibiotic treatment in very preterm infants with negative cultures was associated with increased morbidity in our population, and that included BPD. It is of note that patterns of increased morbidity and/or mortality differ between studies. Prospective trials of clinical protocols for starting and stopping antibiotics in the very preterm infants are required.","author":[{"dropping-particle":"","family":"Fajardo","given":"Carlos","non-dropping-particle":"","parse-names":false,"suffix":""},{"dropping-particle":"","family":"Alshaikh","given":"Belal","non-dropping-particle":"","parse-names":false,"suffix":""},{"dropping-particle":"","family":"Harabor","given":"Andrei","non-dropping-particle":"","parse-names":false,"suffix":""}],"container-title":"Journal of Maternal-Fetal and Neonatal Medicine","id":"ITEM-1","issue":"24","issued":{"date-parts":[["2019","12","17"]]},"page":"4060-4066","publisher":"Taylor &amp; Francis","title":"Prolonged use of antibiotics after birth is associated with increased morbidity in preterm infants with negative cultures","type":"article-journal","volume":"32"},"uris":["http://www.mendeley.com/documents/?uuid=0f38d027-a47c-4796-8aa1-4bddf4484cb8"]}],"mendeley":{"formattedCitation":"[9]","plainTextFormattedCitation":"[9]","previouslyFormattedCitation":"[9]"},"properties":{"noteIndex":0},"schema":"https://github.com/citation-style-language/schema/raw/master/csl-citation.json"}</w:instrText>
            </w:r>
            <w:r w:rsidR="005F06AF" w:rsidRPr="0053176A">
              <w:rPr>
                <w:rFonts w:asciiTheme="majorBidi" w:hAnsiTheme="majorBidi" w:cstheme="majorBidi"/>
                <w:sz w:val="16"/>
                <w:szCs w:val="16"/>
              </w:rPr>
              <w:fldChar w:fldCharType="separate"/>
            </w:r>
            <w:r w:rsidR="005F06AF" w:rsidRPr="0053176A">
              <w:rPr>
                <w:rFonts w:asciiTheme="majorBidi" w:hAnsiTheme="majorBidi" w:cstheme="majorBidi"/>
                <w:noProof/>
                <w:sz w:val="16"/>
                <w:szCs w:val="16"/>
              </w:rPr>
              <w:t>[9]</w:t>
            </w:r>
            <w:r w:rsidR="005F06AF" w:rsidRPr="0053176A">
              <w:rPr>
                <w:rFonts w:asciiTheme="majorBidi" w:hAnsiTheme="majorBidi" w:cstheme="majorBidi"/>
                <w:sz w:val="16"/>
                <w:szCs w:val="16"/>
              </w:rPr>
              <w:fldChar w:fldCharType="end"/>
            </w:r>
          </w:p>
        </w:tc>
        <w:tc>
          <w:tcPr>
            <w:tcW w:w="1280" w:type="dxa"/>
            <w:noWrap/>
            <w:hideMark/>
          </w:tcPr>
          <w:p w14:paraId="0D9D38CD"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Canada (Foothills Medical Centre NICU)</w:t>
            </w:r>
          </w:p>
        </w:tc>
        <w:tc>
          <w:tcPr>
            <w:tcW w:w="1065" w:type="dxa"/>
            <w:noWrap/>
            <w:hideMark/>
          </w:tcPr>
          <w:p w14:paraId="6398BD47"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Retrospective cohort </w:t>
            </w:r>
          </w:p>
        </w:tc>
        <w:tc>
          <w:tcPr>
            <w:tcW w:w="877" w:type="dxa"/>
            <w:noWrap/>
            <w:hideMark/>
          </w:tcPr>
          <w:p w14:paraId="75A23E75"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January 2010 – December 2013</w:t>
            </w:r>
          </w:p>
        </w:tc>
        <w:tc>
          <w:tcPr>
            <w:tcW w:w="946" w:type="dxa"/>
            <w:noWrap/>
            <w:hideMark/>
          </w:tcPr>
          <w:p w14:paraId="6C42FD65"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620</w:t>
            </w:r>
          </w:p>
        </w:tc>
        <w:tc>
          <w:tcPr>
            <w:tcW w:w="883" w:type="dxa"/>
            <w:noWrap/>
            <w:hideMark/>
          </w:tcPr>
          <w:p w14:paraId="6100054C"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238 (&gt;5 days)</w:t>
            </w:r>
          </w:p>
        </w:tc>
        <w:tc>
          <w:tcPr>
            <w:tcW w:w="898" w:type="dxa"/>
            <w:noWrap/>
            <w:hideMark/>
          </w:tcPr>
          <w:p w14:paraId="58D82D51"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382 (≤5 days)</w:t>
            </w:r>
          </w:p>
        </w:tc>
        <w:tc>
          <w:tcPr>
            <w:tcW w:w="860" w:type="dxa"/>
            <w:noWrap/>
            <w:hideMark/>
          </w:tcPr>
          <w:p w14:paraId="784F6E2A"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NA</w:t>
            </w:r>
          </w:p>
        </w:tc>
        <w:tc>
          <w:tcPr>
            <w:tcW w:w="2305" w:type="dxa"/>
            <w:noWrap/>
            <w:hideMark/>
          </w:tcPr>
          <w:p w14:paraId="1A42371F"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≤5 Days: 35 (9.1%), </w:t>
            </w:r>
            <w:r w:rsidRPr="0053176A">
              <w:rPr>
                <w:rFonts w:asciiTheme="majorBidi" w:hAnsiTheme="majorBidi" w:cstheme="majorBidi"/>
                <w:sz w:val="16"/>
                <w:szCs w:val="16"/>
              </w:rPr>
              <w:br/>
              <w:t>&gt;5 Days Antibiotics: 59 (24.7%)</w:t>
            </w:r>
          </w:p>
        </w:tc>
      </w:tr>
      <w:tr w:rsidR="006C39D0" w:rsidRPr="0053176A" w14:paraId="31A1AEA1" w14:textId="77777777" w:rsidTr="006C39D0">
        <w:trPr>
          <w:trHeight w:val="300"/>
        </w:trPr>
        <w:tc>
          <w:tcPr>
            <w:tcW w:w="876" w:type="dxa"/>
            <w:noWrap/>
            <w:hideMark/>
          </w:tcPr>
          <w:p w14:paraId="1145DB7C" w14:textId="18A11AA8"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Yu</w:t>
            </w:r>
            <w:r w:rsidR="005F06AF" w:rsidRPr="0053176A">
              <w:rPr>
                <w:rFonts w:asciiTheme="majorBidi" w:hAnsiTheme="majorBidi" w:cstheme="majorBidi"/>
                <w:sz w:val="16"/>
                <w:szCs w:val="16"/>
              </w:rPr>
              <w:fldChar w:fldCharType="begin" w:fldLock="1"/>
            </w:r>
            <w:r w:rsidR="005F06AF" w:rsidRPr="0053176A">
              <w:rPr>
                <w:rFonts w:asciiTheme="majorBidi" w:hAnsiTheme="majorBidi" w:cstheme="majorBidi"/>
                <w:sz w:val="16"/>
                <w:szCs w:val="16"/>
              </w:rPr>
              <w:instrText>ADDIN CSL_CITATION {"citationItems":[{"id":"ITEM-1","itemData":{"DOI":"10.1542/PEDS.2022-059427","ISSN":"10984275","PMID":"37042203","abstract":"OBJECTIVES: To determine whether use, duration, and types of early antibiotics were associated with neonatal outcomes and late antibiotic use in preterm infants without infection-related diseases. METHODS: This cohort study enrolled infants admitted to 25 tertiary NICUs in China within 24 hours of birth during 2015-2018. Death, discharge, or infection-related morbidities within 7 days of birth; major congenital anomalies; and error data on antibiotic use were excluded. The composite outcome was death or adverse morbidities. Late antibiotic use indicated antibiotics used after 7 days of age. Late antibiotic use rate was total antibiotic use days divided by the days of hospital stay after the first 7 days of life. RESULTS: Among 21 540 infants, 18 302 (85.0%) received early antibiotics. Early antibiotics was related to increased bronchopulmonary dysplasia (BPD) (adjusted odds ratio [aOR], 1.28; 95% confidence interval [CI], 1.05-1.56), late antibiotic use (aOR, 4.64; 95% CI, 4.19-5.14), and late antibiotic use rate (adjusted mean difference, 130 days/1000 patient-days; 95% CI, 112-147). Each additional day of early antibiotics was associated with increased BPD (aOR, 1.07; 95% CI, 1.04-1.10) and late antibiotic use (aOR, 1.41; 95% CI, 1.39-1.43). Broad-spectrum antibiotics showed larger effect size on neonatal outcomes than narrow-spectrum antibiotics. The correlation between early antibiotics and outcomes was significant among noncritical infants but disappeared for critical infants. CONCLUSIONS: Among infants without infection, early antibiotic use was associated with increased risk of BPD and late antibiotic use. Judicious early antibiotic use, especially avoiding prolonged duration and broad-spectrum antibiotics among noncritical infants, may improve neonatal outcomes and overall antibiotic use in NICUs.","author":[{"dropping-particle":"","family":"Yu","given":"Weiyin","non-dropping-particle":"","parse-names":false,"suffix":""},{"dropping-particle":"","family":"Zhang","given":"Lan","non-dropping-particle":"","parse-names":false,"suffix":""},{"dropping-particle":"","family":"Li","given":"Shujuan","non-dropping-particle":"","parse-names":false,"suffix":""},{"dropping-particle":"","family":"Yan","given":"Weili","non-dropping-particle":"","parse-names":false,"suffix":""},{"dropping-particle":"","family":"Bai","given":"Ruimiao","non-dropping-particle":"","parse-names":false,"suffix":""},{"dropping-particle":"","family":"Yang","given":"Zuming","non-dropping-particle":"","parse-names":false,"suffix":""},{"dropping-particle":"","family":"Shi","given":"Jingyun","non-dropping-particle":"","parse-names":false,"suffix":""},{"dropping-particle":"","family":"Yuan","given":"Jing","non-dropping-particle":"","parse-names":false,"suffix":""},{"dropping-particle":"","family":"Yang","given":"Chuanzhong","non-dropping-particle":"","parse-names":false,"suffix":""},{"dropping-particle":"","family":"Cai","given":"Wenhong","non-dropping-particle":"","parse-names":false,"suffix":""},{"dropping-particle":"","family":"Wang","given":"Yang","non-dropping-particle":"","parse-names":false,"suffix":""},{"dropping-particle":"","family":"Zhang","given":"Yi","non-dropping-particle":"","parse-names":false,"suffix":""},{"dropping-particle":"","family":"Gu","given":"Xinyue","non-dropping-particle":"","parse-names":false,"suffix":""},{"dropping-particle":"","family":"Cao","given":"Xincheng","non-dropping-particle":"","parse-names":false,"suffix":""},{"dropping-particle":"","family":"Huang","given":"Yihuang","non-dropping-particle":"","parse-names":false,"suffix":""},{"dropping-particle":"","family":"Hong","given":"Luyang","non-dropping-particle":"","parse-names":false,"suffix":""},{"dropping-particle":"","family":"Zhou","given":"Qi","non-dropping-particle":"","parse-names":false,"suffix":""},{"dropping-particle":"","family":"Yang","given":"Yi","non-dropping-particle":"","parse-names":false,"suffix":""},{"dropping-particle":"","family":"Lee","given":"Shoo K.","non-dropping-particle":"","parse-names":false,"suffix":""},{"dropping-particle":"","family":"Jiang","given":"Siyuan","non-dropping-particle":"","parse-names":false,"suffix":""},{"dropping-particle":"","family":"Cao","given":"Yun","non-dropping-particle":"","parse-names":false,"suffix":""},{"dropping-particle":"","family":"Ji","given":"Yong","non-dropping-particle":"","parse-names":false,"suffix":""},{"dropping-particle":"","family":"Han","given":"Shuping","non-dropping-particle":"","parse-names":false,"suffix":""},{"dropping-particle":"","family":"Wang","given":"Sannan","non-dropping-particle":"","parse-names":false,"suffix":""},{"dropping-particle":"","family":"Li","given":"Zhankui","non-dropping-particle":"","parse-names":false,"suffix":""},{"dropping-particle":"","family":"Xia","given":"Shiwen","non-dropping-particle":"","parse-names":false,"suffix":""},{"dropping-particle":"","family":"Yang","given":"Changyi","non-dropping-particle":"","parse-names":false,"suffix":""},{"dropping-particle":"","family":"Yang","given":"Chuan Zhong","non-dropping-particle":"","parse-names":false,"suffix":""},{"dropping-particle":"","family":"Chen","given":"Ling","non-dropping-particle":"","parse-names":false,"suffix":""},{"dropping-particle":"","family":"Shan","given":"Ruobing","non-dropping-particle":"","parse-names":false,"suffix":""},{"dropping-particle":"","family":"Liu","given":"Ling","non-dropping-particle":"","parse-names":false,"suffix":""},{"dropping-particle":"","family":"Yi","given":"Bin","non-dropping-particle":"","parse-names":false,"suffix":""},{"dropping-particle":"","family":"Liu","given":"Jiangqin","non-dropping-particle":"","parse-names":false,"suffix":""},{"dropping-particle":"","family":"He","given":"Ling","non-dropping-particle":"","parse-names":false,"suffix":""},{"dropping-particle":"","family":"Li","given":"Mingxia","non-dropping-particle":"","parse-names":false,"suffix":""},{"dropping-particle":"","family":"Pan","given":"Xinnian","non-dropping-particle":"","parse-names":false,"suffix":""},{"dropping-particle":"","family":"Guo","given":"Yan","non-dropping-particle":"","parse-names":false,"suffix":""},{"dropping-particle":"","family":"Liu","given":"Cuiqing","non-dropping-particle":"","parse-names":false,"suffix":""},{"dropping-particle":"","family":"Zhou","given":"Qin","non-dropping-particle":"","parse-names":false,"suffix":""},{"dropping-particle":"","family":"Li","given":"Xiaoying","non-dropping-particle":"","parse-names":false,"suffix":""},{"dropping-particle":"","family":"Xiong","given":"Hong","non-dropping-particle":"","parse-names":false,"suffix":""},{"dropping-particle":"","family":"Qi","given":"Yujie","non-dropping-particle":"","parse-names":false,"suffix":""},{"dropping-particle":"","family":"Hei","given":"Mingyan","non-dropping-particle":"","parse-names":false,"suffix":""}],"container-title":"Pediatrics","id":"ITEM-1","issue":"5","issued":{"date-parts":[["2023","5","1"]]},"page":"2022059427","publisher":"American Academy of Pediatrics","title":"Early Antibiotic Use and Neonatal Outcomes Among Preterm Infants Without Infections","type":"article-journal","volume":"151"},"uris":["http://www.mendeley.com/documents/?uuid=49900c81-3c60-305a-86ae-ee1229068d80"]}],"mendeley":{"formattedCitation":"[21]","plainTextFormattedCitation":"[21]","previouslyFormattedCitation":"[21]"},"properties":{"noteIndex":0},"schema":"https://github.com/citation-style-language/schema/raw/master/csl-citation.json"}</w:instrText>
            </w:r>
            <w:r w:rsidR="005F06AF" w:rsidRPr="0053176A">
              <w:rPr>
                <w:rFonts w:asciiTheme="majorBidi" w:hAnsiTheme="majorBidi" w:cstheme="majorBidi"/>
                <w:sz w:val="16"/>
                <w:szCs w:val="16"/>
              </w:rPr>
              <w:fldChar w:fldCharType="separate"/>
            </w:r>
            <w:r w:rsidR="005F06AF" w:rsidRPr="0053176A">
              <w:rPr>
                <w:rFonts w:asciiTheme="majorBidi" w:hAnsiTheme="majorBidi" w:cstheme="majorBidi"/>
                <w:noProof/>
                <w:sz w:val="16"/>
                <w:szCs w:val="16"/>
              </w:rPr>
              <w:t>[21]</w:t>
            </w:r>
            <w:r w:rsidR="005F06AF" w:rsidRPr="0053176A">
              <w:rPr>
                <w:rFonts w:asciiTheme="majorBidi" w:hAnsiTheme="majorBidi" w:cstheme="majorBidi"/>
                <w:sz w:val="16"/>
                <w:szCs w:val="16"/>
              </w:rPr>
              <w:fldChar w:fldCharType="end"/>
            </w:r>
          </w:p>
        </w:tc>
        <w:tc>
          <w:tcPr>
            <w:tcW w:w="1280" w:type="dxa"/>
            <w:noWrap/>
            <w:hideMark/>
          </w:tcPr>
          <w:p w14:paraId="4001E0D0"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China (25 tertiary NICUs)</w:t>
            </w:r>
          </w:p>
        </w:tc>
        <w:tc>
          <w:tcPr>
            <w:tcW w:w="1065" w:type="dxa"/>
            <w:noWrap/>
            <w:hideMark/>
          </w:tcPr>
          <w:p w14:paraId="231A7151"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Prospective cohort </w:t>
            </w:r>
          </w:p>
        </w:tc>
        <w:tc>
          <w:tcPr>
            <w:tcW w:w="877" w:type="dxa"/>
            <w:noWrap/>
            <w:hideMark/>
          </w:tcPr>
          <w:p w14:paraId="4879FD87"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May 2015 – April 2018</w:t>
            </w:r>
          </w:p>
        </w:tc>
        <w:tc>
          <w:tcPr>
            <w:tcW w:w="946" w:type="dxa"/>
            <w:noWrap/>
            <w:hideMark/>
          </w:tcPr>
          <w:p w14:paraId="0AFFFA5D"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21,540</w:t>
            </w:r>
          </w:p>
        </w:tc>
        <w:tc>
          <w:tcPr>
            <w:tcW w:w="883" w:type="dxa"/>
            <w:noWrap/>
            <w:hideMark/>
          </w:tcPr>
          <w:p w14:paraId="19347EDB"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14,702 (5–7 days) </w:t>
            </w:r>
          </w:p>
        </w:tc>
        <w:tc>
          <w:tcPr>
            <w:tcW w:w="898" w:type="dxa"/>
            <w:noWrap/>
            <w:hideMark/>
          </w:tcPr>
          <w:p w14:paraId="0DF34C76"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3,600 </w:t>
            </w:r>
            <w:r w:rsidRPr="0053176A">
              <w:rPr>
                <w:rFonts w:asciiTheme="majorBidi" w:hAnsiTheme="majorBidi" w:cstheme="majorBidi"/>
                <w:sz w:val="16"/>
                <w:szCs w:val="16"/>
              </w:rPr>
              <w:br/>
              <w:t>(1–4 days)</w:t>
            </w:r>
            <w:r w:rsidRPr="0053176A">
              <w:rPr>
                <w:rFonts w:asciiTheme="majorBidi" w:hAnsiTheme="majorBidi" w:cstheme="majorBidi"/>
                <w:sz w:val="16"/>
                <w:szCs w:val="16"/>
              </w:rPr>
              <w:br/>
              <w:t xml:space="preserve"> </w:t>
            </w:r>
          </w:p>
        </w:tc>
        <w:tc>
          <w:tcPr>
            <w:tcW w:w="860" w:type="dxa"/>
            <w:noWrap/>
            <w:hideMark/>
          </w:tcPr>
          <w:p w14:paraId="49C9077C"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3,238 </w:t>
            </w:r>
            <w:r w:rsidRPr="0053176A">
              <w:rPr>
                <w:rFonts w:asciiTheme="majorBidi" w:hAnsiTheme="majorBidi" w:cstheme="majorBidi"/>
                <w:sz w:val="16"/>
                <w:szCs w:val="16"/>
              </w:rPr>
              <w:br/>
              <w:t>(0 days)</w:t>
            </w:r>
          </w:p>
        </w:tc>
        <w:tc>
          <w:tcPr>
            <w:tcW w:w="2305" w:type="dxa"/>
            <w:noWrap/>
            <w:hideMark/>
          </w:tcPr>
          <w:p w14:paraId="4030F7DD"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0 days 303 (9.4%)</w:t>
            </w:r>
            <w:r w:rsidRPr="0053176A">
              <w:rPr>
                <w:rFonts w:asciiTheme="majorBidi" w:hAnsiTheme="majorBidi" w:cstheme="majorBidi"/>
                <w:sz w:val="16"/>
                <w:szCs w:val="16"/>
              </w:rPr>
              <w:br/>
              <w:t>1-4 days: 295 (8.2%)</w:t>
            </w:r>
            <w:r w:rsidRPr="0053176A">
              <w:rPr>
                <w:rFonts w:asciiTheme="majorBidi" w:hAnsiTheme="majorBidi" w:cstheme="majorBidi"/>
                <w:sz w:val="16"/>
                <w:szCs w:val="16"/>
              </w:rPr>
              <w:br/>
              <w:t xml:space="preserve">5–7 days 1556 (10.6%) vs. </w:t>
            </w:r>
            <w:r w:rsidRPr="0053176A">
              <w:rPr>
                <w:rFonts w:asciiTheme="majorBidi" w:hAnsiTheme="majorBidi" w:cstheme="majorBidi"/>
                <w:sz w:val="16"/>
                <w:szCs w:val="16"/>
              </w:rPr>
              <w:br/>
            </w:r>
          </w:p>
        </w:tc>
      </w:tr>
      <w:tr w:rsidR="006C39D0" w:rsidRPr="0053176A" w14:paraId="0EF329E9" w14:textId="77777777" w:rsidTr="006C39D0">
        <w:trPr>
          <w:trHeight w:val="300"/>
        </w:trPr>
        <w:tc>
          <w:tcPr>
            <w:tcW w:w="876" w:type="dxa"/>
            <w:noWrap/>
            <w:hideMark/>
          </w:tcPr>
          <w:p w14:paraId="22B52C0F" w14:textId="3653311F" w:rsidR="006C39D0" w:rsidRPr="0053176A" w:rsidRDefault="006C39D0" w:rsidP="00DF5DFA">
            <w:pPr>
              <w:rPr>
                <w:rFonts w:asciiTheme="majorBidi" w:hAnsiTheme="majorBidi" w:cstheme="majorBidi"/>
                <w:sz w:val="16"/>
                <w:szCs w:val="16"/>
              </w:rPr>
            </w:pPr>
            <w:proofErr w:type="spellStart"/>
            <w:r w:rsidRPr="0053176A">
              <w:rPr>
                <w:rFonts w:asciiTheme="majorBidi" w:hAnsiTheme="majorBidi" w:cstheme="majorBidi"/>
                <w:sz w:val="16"/>
                <w:szCs w:val="16"/>
              </w:rPr>
              <w:t>Alsafadi</w:t>
            </w:r>
            <w:proofErr w:type="spellEnd"/>
            <w:r w:rsidR="005F06AF" w:rsidRPr="0053176A">
              <w:rPr>
                <w:rFonts w:asciiTheme="majorBidi" w:hAnsiTheme="majorBidi" w:cstheme="majorBidi"/>
                <w:sz w:val="16"/>
                <w:szCs w:val="16"/>
              </w:rPr>
              <w:t xml:space="preserve"> </w:t>
            </w:r>
            <w:r w:rsidR="005F06AF" w:rsidRPr="0053176A">
              <w:rPr>
                <w:rFonts w:asciiTheme="majorBidi" w:hAnsiTheme="majorBidi" w:cstheme="majorBidi"/>
                <w:sz w:val="16"/>
                <w:szCs w:val="16"/>
              </w:rPr>
              <w:fldChar w:fldCharType="begin" w:fldLock="1"/>
            </w:r>
            <w:r w:rsidR="005F06AF" w:rsidRPr="0053176A">
              <w:rPr>
                <w:rFonts w:asciiTheme="majorBidi" w:hAnsiTheme="majorBidi" w:cstheme="majorBidi"/>
                <w:sz w:val="16"/>
                <w:szCs w:val="16"/>
              </w:rPr>
              <w:instrText>ADDIN CSL_CITATION {"citationItems":[{"id":"ITEM-1","itemData":{"DOI":"10.4103/JCN.JCN_86_17","ISSN":"2249-4847","abstract":"Background: Antibiotics are commonly used in the early postnatal period\nin preterm infants; its overuse can affect gut colonization and\nincreased the risk of invasive infection. Aims: This study aims to\ndetermine whether the prolonged initial empirical antibiotic treatment\n(PIEAT) increased the risk of necrotizing enterocolitis (NEC),\nlate-onset sepsis (LOS), and death in preterm infants &lt;34 weeks. The\nsecondary study objective was to reveal if severity of illness and\nsepsis laboratory tests were potential causes for PIEAT. Design: The\nstudy was a retrospective study. Setting: This study was conducted at\nthree Neonatal Intensive Care Units (NICUs). Materials and Methods:\nNICUs medical records from January 2013 to March 2017. Inclusion\ncriteria: (1) preterm infants &lt; 34 weeks, (2) antibiotics started in the\n1st postnatal day, (3) negative initial blood culture, (4) patients\nsurvived &gt;= 5 days, (5) patients free of NEC in the first 4 postnatal\ndays, and (6) patients without major congenital anomalies. Statistical\nAnalysis: Logistic regression analysis. Results: Five hundred and\neighty-seven neonates were eligible. Mean gestational age +/- standard\ndeviation (SD): 31.1 +/- 2.8 weeks. Mean birth weight +/- SD: 1440 +/-\n380 g. Mean of the duration of initial empirical antibiotic treatment\n+/- SD: 7 +/- 3.6 days. PIEAT increased the risk of NEC (odds ratio\n{[}OR]: 1.11, confidence interval {[}CI]: 1.011-1.219), and LOS (OR:\n1.133 CI: 1.027-1.251). PIEAT did not significantly increase mortality\n(OR: 1.083 CI: 0.82-1.42). Sepsis laboratory tests that predicted PIEAT\nwere abnormal leukocytes counts (OR: 1.078 CI: 1.012-1.167) and positive\nC-reactive protein (CRP) (OR: 1.15 CI: 1.036-1.277). The indicators of\nseverity of illness, high-frequency oscillation ventilation (OR: 0.956\nCI. 826-1.106), and inotrope use (OR: 1.108 CI: 0.95-1.22) did not\npredict PIEAT. Conclusion: PIEAT &gt;= 4 days for suspected early-onset\nsepsis with negative initial blood culture increased the risk of NEC and\nLOS in preterm infants &lt; 34 weeks. Abnormal white blood cell count,\nthrombocytopenia, and positive CRP in the first 4 days with negative\ninitial blood culture were potential causes of PIEAT.","author":[{"dropping-particle":"","family":"Alsafadi","given":"TariqRushdi","non-dropping-particle":"","parse-names":false,"suffix":""},{"dropping-particle":"","family":"Alotaibi","given":"Basslah","non-dropping-particle":"","parse-names":false,"suffix":""},{"dropping-particle":"","family":"Banabilah","given":"Hibah","non-dropping-particle":"","parse-names":false,"suffix":""},{"dropping-particle":"","family":"Bukhary","given":"Esra","non-dropping-particle":"","parse-names":false,"suffix":""},{"dropping-particle":"","family":"Garrada","given":"Shadi","non-dropping-particle":"","parse-names":false,"suffix":""},{"dropping-particle":"","family":"Alghamdi","given":"Abdulwahid","non-dropping-particle":"","parse-names":false,"suffix":""},{"dropping-particle":"","family":"Almohammal","given":"Mohammad","non-dropping-particle":"","parse-names":false,"suffix":""},{"dropping-particle":"","family":"Alshumrani","given":"Nawaf","non-dropping-particle":"","parse-names":false,"suffix":""},{"dropping-particle":"","family":"Alqasim","given":"Mohammad","non-dropping-particle":"","parse-names":false,"suffix":""},{"dropping-particle":"","family":"Abdulkhahar","given":"ShimaAkhter","non-dropping-particle":"","parse-names":false,"suffix":""}],"container-title":"Journal of Clinical Neonatology","id":"ITEM-1","issue":"3","issued":{"date-parts":[["2018"]]},"page":"116","publisher":"Medknow","title":"Does prolonged initial empirical antibiotics treatment increase morbidity and mortality in preterm infants &lt;34 weeks?","type":"article-journal","volume":"7"},"uris":["http://www.mendeley.com/documents/?uuid=9f5b1552-ee17-3906-896d-c34b8bc921d0"]}],"mendeley":{"formattedCitation":"[19]","plainTextFormattedCitation":"[19]","previouslyFormattedCitation":"[19]"},"properties":{"noteIndex":0},"schema":"https://github.com/citation-style-language/schema/raw/master/csl-citation.json"}</w:instrText>
            </w:r>
            <w:r w:rsidR="005F06AF" w:rsidRPr="0053176A">
              <w:rPr>
                <w:rFonts w:asciiTheme="majorBidi" w:hAnsiTheme="majorBidi" w:cstheme="majorBidi"/>
                <w:sz w:val="16"/>
                <w:szCs w:val="16"/>
              </w:rPr>
              <w:fldChar w:fldCharType="separate"/>
            </w:r>
            <w:r w:rsidR="005F06AF" w:rsidRPr="0053176A">
              <w:rPr>
                <w:rFonts w:asciiTheme="majorBidi" w:hAnsiTheme="majorBidi" w:cstheme="majorBidi"/>
                <w:noProof/>
                <w:sz w:val="16"/>
                <w:szCs w:val="16"/>
              </w:rPr>
              <w:t>[19]</w:t>
            </w:r>
            <w:r w:rsidR="005F06AF" w:rsidRPr="0053176A">
              <w:rPr>
                <w:rFonts w:asciiTheme="majorBidi" w:hAnsiTheme="majorBidi" w:cstheme="majorBidi"/>
                <w:sz w:val="16"/>
                <w:szCs w:val="16"/>
              </w:rPr>
              <w:fldChar w:fldCharType="end"/>
            </w:r>
          </w:p>
        </w:tc>
        <w:tc>
          <w:tcPr>
            <w:tcW w:w="1280" w:type="dxa"/>
            <w:noWrap/>
            <w:hideMark/>
          </w:tcPr>
          <w:p w14:paraId="1B67FF90"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Saudi Arabia (Three NICUs)</w:t>
            </w:r>
          </w:p>
        </w:tc>
        <w:tc>
          <w:tcPr>
            <w:tcW w:w="1065" w:type="dxa"/>
            <w:noWrap/>
            <w:hideMark/>
          </w:tcPr>
          <w:p w14:paraId="7FC3EF0E"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 xml:space="preserve">Retrospective cohort </w:t>
            </w:r>
          </w:p>
        </w:tc>
        <w:tc>
          <w:tcPr>
            <w:tcW w:w="877" w:type="dxa"/>
            <w:noWrap/>
            <w:hideMark/>
          </w:tcPr>
          <w:p w14:paraId="1AB6F1B0"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January 2013 – March 2017</w:t>
            </w:r>
          </w:p>
        </w:tc>
        <w:tc>
          <w:tcPr>
            <w:tcW w:w="946" w:type="dxa"/>
            <w:noWrap/>
            <w:hideMark/>
          </w:tcPr>
          <w:p w14:paraId="77629B51"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587</w:t>
            </w:r>
          </w:p>
        </w:tc>
        <w:tc>
          <w:tcPr>
            <w:tcW w:w="883" w:type="dxa"/>
            <w:noWrap/>
            <w:hideMark/>
          </w:tcPr>
          <w:p w14:paraId="1CED5CFA"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Not specified</w:t>
            </w:r>
          </w:p>
        </w:tc>
        <w:tc>
          <w:tcPr>
            <w:tcW w:w="898" w:type="dxa"/>
            <w:noWrap/>
            <w:hideMark/>
          </w:tcPr>
          <w:p w14:paraId="5914A1AF"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Not specified</w:t>
            </w:r>
          </w:p>
        </w:tc>
        <w:tc>
          <w:tcPr>
            <w:tcW w:w="860" w:type="dxa"/>
            <w:noWrap/>
            <w:hideMark/>
          </w:tcPr>
          <w:p w14:paraId="078B9FA1"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NA</w:t>
            </w:r>
          </w:p>
        </w:tc>
        <w:tc>
          <w:tcPr>
            <w:tcW w:w="2305" w:type="dxa"/>
            <w:noWrap/>
            <w:hideMark/>
          </w:tcPr>
          <w:p w14:paraId="127789EE"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Total Proven LOS Cases: 85 neonates (14.4% of total participants</w:t>
            </w:r>
            <w:r w:rsidRPr="0053176A">
              <w:rPr>
                <w:rFonts w:asciiTheme="majorBidi" w:hAnsiTheme="majorBidi" w:cstheme="majorBidi"/>
                <w:sz w:val="16"/>
                <w:szCs w:val="16"/>
              </w:rPr>
              <w:br/>
              <w:t xml:space="preserve"> ≥4 days increased LOS risk (aOR: 1.13, 95% CI: 1.027–1.25)</w:t>
            </w:r>
            <w:r w:rsidRPr="0053176A">
              <w:rPr>
                <w:rFonts w:asciiTheme="majorBidi" w:hAnsiTheme="majorBidi" w:cstheme="majorBidi"/>
                <w:b/>
                <w:bCs/>
                <w:sz w:val="18"/>
                <w:szCs w:val="18"/>
                <w:vertAlign w:val="superscript"/>
              </w:rPr>
              <w:t xml:space="preserve"> α</w:t>
            </w:r>
          </w:p>
        </w:tc>
      </w:tr>
      <w:tr w:rsidR="006C39D0" w:rsidRPr="00127ADC" w14:paraId="6650A1F3" w14:textId="77777777" w:rsidTr="006C39D0">
        <w:trPr>
          <w:trHeight w:val="300"/>
        </w:trPr>
        <w:tc>
          <w:tcPr>
            <w:tcW w:w="9990" w:type="dxa"/>
            <w:gridSpan w:val="9"/>
            <w:noWrap/>
          </w:tcPr>
          <w:p w14:paraId="219B76D6"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NA: Not applicable (the study focuses solely on comparing infants with prolonged versus short antibiotic exposure).</w:t>
            </w:r>
          </w:p>
          <w:p w14:paraId="642AA324" w14:textId="77777777" w:rsidR="006C39D0" w:rsidRPr="0053176A" w:rsidRDefault="006C39D0" w:rsidP="00DF5DFA">
            <w:pPr>
              <w:rPr>
                <w:rFonts w:asciiTheme="majorBidi" w:hAnsiTheme="majorBidi" w:cstheme="majorBidi"/>
                <w:sz w:val="16"/>
                <w:szCs w:val="16"/>
              </w:rPr>
            </w:pPr>
            <w:r w:rsidRPr="0053176A">
              <w:rPr>
                <w:rFonts w:asciiTheme="majorBidi" w:hAnsiTheme="majorBidi" w:cstheme="majorBidi"/>
                <w:sz w:val="16"/>
                <w:szCs w:val="16"/>
              </w:rPr>
              <w:t>aOR: Adjusted odds ratio.</w:t>
            </w:r>
          </w:p>
          <w:p w14:paraId="52C18D25" w14:textId="77777777" w:rsidR="006C39D0" w:rsidRPr="00B7778D" w:rsidRDefault="006C39D0" w:rsidP="00DF5DFA">
            <w:pPr>
              <w:rPr>
                <w:rFonts w:asciiTheme="majorBidi" w:hAnsiTheme="majorBidi" w:cstheme="majorBidi"/>
                <w:sz w:val="16"/>
                <w:szCs w:val="16"/>
              </w:rPr>
            </w:pPr>
            <w:r w:rsidRPr="0053176A">
              <w:rPr>
                <w:rFonts w:asciiTheme="majorBidi" w:hAnsiTheme="majorBidi" w:cstheme="majorBidi"/>
                <w:sz w:val="16"/>
                <w:szCs w:val="16"/>
              </w:rPr>
              <w:t>α: The study reports adjusted odds ratios directly without specifying exact numerical values</w:t>
            </w:r>
          </w:p>
        </w:tc>
      </w:tr>
    </w:tbl>
    <w:p w14:paraId="624C5E78" w14:textId="77777777" w:rsidR="006C39D0" w:rsidRPr="00D50C50" w:rsidRDefault="006C39D0" w:rsidP="00D50C50">
      <w:pPr>
        <w:spacing w:line="480" w:lineRule="auto"/>
        <w:rPr>
          <w:rFonts w:asciiTheme="majorBidi" w:hAnsiTheme="majorBidi" w:cstheme="majorBidi"/>
        </w:rPr>
      </w:pPr>
    </w:p>
    <w:sectPr w:rsidR="006C39D0" w:rsidRPr="00D50C50" w:rsidSect="00D50C50">
      <w:footerReference w:type="default" r:id="rId8"/>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6B7BE" w14:textId="77777777" w:rsidR="002D0BC0" w:rsidRDefault="002D0BC0" w:rsidP="00DA396C">
      <w:pPr>
        <w:spacing w:after="0" w:line="240" w:lineRule="auto"/>
      </w:pPr>
      <w:r>
        <w:separator/>
      </w:r>
    </w:p>
  </w:endnote>
  <w:endnote w:type="continuationSeparator" w:id="0">
    <w:p w14:paraId="25E2F2CA" w14:textId="77777777" w:rsidR="002D0BC0" w:rsidRDefault="002D0BC0" w:rsidP="00DA3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001844"/>
      <w:docPartObj>
        <w:docPartGallery w:val="Page Numbers (Bottom of Page)"/>
        <w:docPartUnique/>
      </w:docPartObj>
    </w:sdtPr>
    <w:sdtEndPr>
      <w:rPr>
        <w:noProof/>
      </w:rPr>
    </w:sdtEndPr>
    <w:sdtContent>
      <w:p w14:paraId="1BE89D78" w14:textId="4DB26594" w:rsidR="00DA396C" w:rsidRDefault="00DA39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B82432" w14:textId="77777777" w:rsidR="00DA396C" w:rsidRDefault="00DA39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ACAE5" w14:textId="77777777" w:rsidR="002D0BC0" w:rsidRDefault="002D0BC0" w:rsidP="00DA396C">
      <w:pPr>
        <w:spacing w:after="0" w:line="240" w:lineRule="auto"/>
      </w:pPr>
      <w:r>
        <w:separator/>
      </w:r>
    </w:p>
  </w:footnote>
  <w:footnote w:type="continuationSeparator" w:id="0">
    <w:p w14:paraId="2C7F926B" w14:textId="77777777" w:rsidR="002D0BC0" w:rsidRDefault="002D0BC0" w:rsidP="00DA39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C040AF"/>
    <w:multiLevelType w:val="multilevel"/>
    <w:tmpl w:val="6DF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8171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C2F"/>
    <w:rsid w:val="00003E5F"/>
    <w:rsid w:val="00011AB8"/>
    <w:rsid w:val="00017273"/>
    <w:rsid w:val="00017DBB"/>
    <w:rsid w:val="00027F55"/>
    <w:rsid w:val="000402A4"/>
    <w:rsid w:val="00043C44"/>
    <w:rsid w:val="00044191"/>
    <w:rsid w:val="00073022"/>
    <w:rsid w:val="00073FCF"/>
    <w:rsid w:val="0008398F"/>
    <w:rsid w:val="00084554"/>
    <w:rsid w:val="000909A9"/>
    <w:rsid w:val="000946FE"/>
    <w:rsid w:val="000A1012"/>
    <w:rsid w:val="000B2A20"/>
    <w:rsid w:val="000B4760"/>
    <w:rsid w:val="000B6F0B"/>
    <w:rsid w:val="000B70E6"/>
    <w:rsid w:val="000D2551"/>
    <w:rsid w:val="000D538D"/>
    <w:rsid w:val="000D5C32"/>
    <w:rsid w:val="000E0880"/>
    <w:rsid w:val="000E0F86"/>
    <w:rsid w:val="000E38C3"/>
    <w:rsid w:val="000F32FF"/>
    <w:rsid w:val="000F6F0A"/>
    <w:rsid w:val="0011333E"/>
    <w:rsid w:val="001139CB"/>
    <w:rsid w:val="00115688"/>
    <w:rsid w:val="00117AD6"/>
    <w:rsid w:val="0014295E"/>
    <w:rsid w:val="00150061"/>
    <w:rsid w:val="00156B84"/>
    <w:rsid w:val="0017088F"/>
    <w:rsid w:val="001741DD"/>
    <w:rsid w:val="00174DAC"/>
    <w:rsid w:val="0018349E"/>
    <w:rsid w:val="0018793D"/>
    <w:rsid w:val="001900F0"/>
    <w:rsid w:val="00194F92"/>
    <w:rsid w:val="001A1B74"/>
    <w:rsid w:val="001A3BE5"/>
    <w:rsid w:val="001A3E40"/>
    <w:rsid w:val="001A6019"/>
    <w:rsid w:val="001B4232"/>
    <w:rsid w:val="001B704B"/>
    <w:rsid w:val="001C25A5"/>
    <w:rsid w:val="001C5135"/>
    <w:rsid w:val="001C5206"/>
    <w:rsid w:val="001C7D36"/>
    <w:rsid w:val="001D7315"/>
    <w:rsid w:val="00206195"/>
    <w:rsid w:val="00211992"/>
    <w:rsid w:val="00212441"/>
    <w:rsid w:val="00213507"/>
    <w:rsid w:val="002249EA"/>
    <w:rsid w:val="00236017"/>
    <w:rsid w:val="00257235"/>
    <w:rsid w:val="00261E78"/>
    <w:rsid w:val="00265191"/>
    <w:rsid w:val="00265E06"/>
    <w:rsid w:val="00271AFB"/>
    <w:rsid w:val="00281235"/>
    <w:rsid w:val="002819AA"/>
    <w:rsid w:val="0028577D"/>
    <w:rsid w:val="00287A17"/>
    <w:rsid w:val="00290874"/>
    <w:rsid w:val="002978BF"/>
    <w:rsid w:val="002B1915"/>
    <w:rsid w:val="002B7628"/>
    <w:rsid w:val="002C6D99"/>
    <w:rsid w:val="002D0BC0"/>
    <w:rsid w:val="002D5827"/>
    <w:rsid w:val="002D6A43"/>
    <w:rsid w:val="002E31E4"/>
    <w:rsid w:val="002F3153"/>
    <w:rsid w:val="002F52C9"/>
    <w:rsid w:val="002F559C"/>
    <w:rsid w:val="002F754B"/>
    <w:rsid w:val="0030345B"/>
    <w:rsid w:val="00332A2D"/>
    <w:rsid w:val="00332B46"/>
    <w:rsid w:val="00336DCD"/>
    <w:rsid w:val="00376C16"/>
    <w:rsid w:val="00384B50"/>
    <w:rsid w:val="00387F48"/>
    <w:rsid w:val="003920F0"/>
    <w:rsid w:val="00396155"/>
    <w:rsid w:val="00397F88"/>
    <w:rsid w:val="003A3FBC"/>
    <w:rsid w:val="003A76BF"/>
    <w:rsid w:val="003B38B9"/>
    <w:rsid w:val="003C2A95"/>
    <w:rsid w:val="003C34B1"/>
    <w:rsid w:val="003D31DF"/>
    <w:rsid w:val="003D5413"/>
    <w:rsid w:val="003E226C"/>
    <w:rsid w:val="003F0BD3"/>
    <w:rsid w:val="0041399E"/>
    <w:rsid w:val="00415142"/>
    <w:rsid w:val="00433840"/>
    <w:rsid w:val="004376EB"/>
    <w:rsid w:val="00440EE8"/>
    <w:rsid w:val="00444F9F"/>
    <w:rsid w:val="004463F2"/>
    <w:rsid w:val="004523B9"/>
    <w:rsid w:val="00482FDA"/>
    <w:rsid w:val="004D25BC"/>
    <w:rsid w:val="004E7B9A"/>
    <w:rsid w:val="004F378C"/>
    <w:rsid w:val="004F41FB"/>
    <w:rsid w:val="00505B93"/>
    <w:rsid w:val="00527F68"/>
    <w:rsid w:val="00530BFB"/>
    <w:rsid w:val="00530E3E"/>
    <w:rsid w:val="0053176A"/>
    <w:rsid w:val="005331F4"/>
    <w:rsid w:val="00541447"/>
    <w:rsid w:val="00546D9A"/>
    <w:rsid w:val="00551961"/>
    <w:rsid w:val="00560C7A"/>
    <w:rsid w:val="0057266E"/>
    <w:rsid w:val="005767A3"/>
    <w:rsid w:val="00580107"/>
    <w:rsid w:val="00583632"/>
    <w:rsid w:val="00587D19"/>
    <w:rsid w:val="00590239"/>
    <w:rsid w:val="00595EA5"/>
    <w:rsid w:val="005A6ADC"/>
    <w:rsid w:val="005A7DBE"/>
    <w:rsid w:val="005B350C"/>
    <w:rsid w:val="005C205D"/>
    <w:rsid w:val="005C5BFA"/>
    <w:rsid w:val="005D418F"/>
    <w:rsid w:val="005E353D"/>
    <w:rsid w:val="005E7E67"/>
    <w:rsid w:val="005F06AF"/>
    <w:rsid w:val="005F162A"/>
    <w:rsid w:val="005F500F"/>
    <w:rsid w:val="00611B59"/>
    <w:rsid w:val="006160FB"/>
    <w:rsid w:val="006247CE"/>
    <w:rsid w:val="0063464E"/>
    <w:rsid w:val="00637719"/>
    <w:rsid w:val="00642CE9"/>
    <w:rsid w:val="00643B9C"/>
    <w:rsid w:val="00646A45"/>
    <w:rsid w:val="00650DCD"/>
    <w:rsid w:val="00654E68"/>
    <w:rsid w:val="0067567D"/>
    <w:rsid w:val="006808DA"/>
    <w:rsid w:val="006A0B23"/>
    <w:rsid w:val="006A2D54"/>
    <w:rsid w:val="006B476B"/>
    <w:rsid w:val="006C15DC"/>
    <w:rsid w:val="006C39D0"/>
    <w:rsid w:val="006C60FF"/>
    <w:rsid w:val="006E267C"/>
    <w:rsid w:val="006E2C22"/>
    <w:rsid w:val="006E7A85"/>
    <w:rsid w:val="006F2B96"/>
    <w:rsid w:val="006F3CB3"/>
    <w:rsid w:val="006F7273"/>
    <w:rsid w:val="006F783D"/>
    <w:rsid w:val="00733196"/>
    <w:rsid w:val="007425AE"/>
    <w:rsid w:val="0074553B"/>
    <w:rsid w:val="0074703E"/>
    <w:rsid w:val="007476AB"/>
    <w:rsid w:val="0075342B"/>
    <w:rsid w:val="00756D04"/>
    <w:rsid w:val="007634BF"/>
    <w:rsid w:val="0076739E"/>
    <w:rsid w:val="00770430"/>
    <w:rsid w:val="00772ABD"/>
    <w:rsid w:val="0079215F"/>
    <w:rsid w:val="0079329A"/>
    <w:rsid w:val="007938B2"/>
    <w:rsid w:val="00796908"/>
    <w:rsid w:val="00797AB0"/>
    <w:rsid w:val="007C0E54"/>
    <w:rsid w:val="007C1D49"/>
    <w:rsid w:val="007D6EA0"/>
    <w:rsid w:val="007F532B"/>
    <w:rsid w:val="007F5867"/>
    <w:rsid w:val="0080378B"/>
    <w:rsid w:val="008053D0"/>
    <w:rsid w:val="00815F04"/>
    <w:rsid w:val="008168D5"/>
    <w:rsid w:val="00817A9B"/>
    <w:rsid w:val="00821050"/>
    <w:rsid w:val="008279DE"/>
    <w:rsid w:val="008336CE"/>
    <w:rsid w:val="00834576"/>
    <w:rsid w:val="00840CC1"/>
    <w:rsid w:val="00842C90"/>
    <w:rsid w:val="00844E23"/>
    <w:rsid w:val="00846C0D"/>
    <w:rsid w:val="00850D46"/>
    <w:rsid w:val="008546EA"/>
    <w:rsid w:val="008561D3"/>
    <w:rsid w:val="008719E6"/>
    <w:rsid w:val="008853F2"/>
    <w:rsid w:val="00886FB0"/>
    <w:rsid w:val="00887B26"/>
    <w:rsid w:val="0089371A"/>
    <w:rsid w:val="008948CD"/>
    <w:rsid w:val="008B17AA"/>
    <w:rsid w:val="008B4D95"/>
    <w:rsid w:val="008B62A3"/>
    <w:rsid w:val="008E0AE7"/>
    <w:rsid w:val="008E6329"/>
    <w:rsid w:val="00901CFE"/>
    <w:rsid w:val="0090292E"/>
    <w:rsid w:val="009030D2"/>
    <w:rsid w:val="0090428F"/>
    <w:rsid w:val="00915098"/>
    <w:rsid w:val="00925335"/>
    <w:rsid w:val="00926B6F"/>
    <w:rsid w:val="009310B3"/>
    <w:rsid w:val="00940C2F"/>
    <w:rsid w:val="00961C98"/>
    <w:rsid w:val="00971A5A"/>
    <w:rsid w:val="009745E1"/>
    <w:rsid w:val="00977C62"/>
    <w:rsid w:val="00980C93"/>
    <w:rsid w:val="009D0F18"/>
    <w:rsid w:val="009D6C9F"/>
    <w:rsid w:val="009E132A"/>
    <w:rsid w:val="009F4C09"/>
    <w:rsid w:val="009F7174"/>
    <w:rsid w:val="00A034C3"/>
    <w:rsid w:val="00A1596A"/>
    <w:rsid w:val="00A24BB2"/>
    <w:rsid w:val="00A25720"/>
    <w:rsid w:val="00A34235"/>
    <w:rsid w:val="00A35A81"/>
    <w:rsid w:val="00A40DF7"/>
    <w:rsid w:val="00A4285D"/>
    <w:rsid w:val="00A732F4"/>
    <w:rsid w:val="00A920C5"/>
    <w:rsid w:val="00A9616E"/>
    <w:rsid w:val="00AA312E"/>
    <w:rsid w:val="00AA6BFA"/>
    <w:rsid w:val="00AB47D5"/>
    <w:rsid w:val="00AB5E66"/>
    <w:rsid w:val="00AB6BDE"/>
    <w:rsid w:val="00AE2F3B"/>
    <w:rsid w:val="00AE5AB5"/>
    <w:rsid w:val="00AE6449"/>
    <w:rsid w:val="00AE760E"/>
    <w:rsid w:val="00AE7E22"/>
    <w:rsid w:val="00B03510"/>
    <w:rsid w:val="00B1038B"/>
    <w:rsid w:val="00B12B45"/>
    <w:rsid w:val="00B13352"/>
    <w:rsid w:val="00B37633"/>
    <w:rsid w:val="00B42919"/>
    <w:rsid w:val="00B46F25"/>
    <w:rsid w:val="00B511C8"/>
    <w:rsid w:val="00B572D7"/>
    <w:rsid w:val="00B619F2"/>
    <w:rsid w:val="00B6218C"/>
    <w:rsid w:val="00B725FE"/>
    <w:rsid w:val="00B826A9"/>
    <w:rsid w:val="00BA70D7"/>
    <w:rsid w:val="00BB1C3F"/>
    <w:rsid w:val="00BC3107"/>
    <w:rsid w:val="00BC62E3"/>
    <w:rsid w:val="00BD327F"/>
    <w:rsid w:val="00BD7046"/>
    <w:rsid w:val="00BE418B"/>
    <w:rsid w:val="00BF331A"/>
    <w:rsid w:val="00BF4856"/>
    <w:rsid w:val="00C040A7"/>
    <w:rsid w:val="00C12625"/>
    <w:rsid w:val="00C17415"/>
    <w:rsid w:val="00C20D8B"/>
    <w:rsid w:val="00C21D02"/>
    <w:rsid w:val="00C42DF8"/>
    <w:rsid w:val="00C530C3"/>
    <w:rsid w:val="00C75206"/>
    <w:rsid w:val="00C76E1C"/>
    <w:rsid w:val="00C82787"/>
    <w:rsid w:val="00C85EBD"/>
    <w:rsid w:val="00C95DEC"/>
    <w:rsid w:val="00C96953"/>
    <w:rsid w:val="00CC59D7"/>
    <w:rsid w:val="00CC61D3"/>
    <w:rsid w:val="00CD5909"/>
    <w:rsid w:val="00CE688E"/>
    <w:rsid w:val="00D021F5"/>
    <w:rsid w:val="00D03759"/>
    <w:rsid w:val="00D138E7"/>
    <w:rsid w:val="00D155E8"/>
    <w:rsid w:val="00D17A9E"/>
    <w:rsid w:val="00D20F14"/>
    <w:rsid w:val="00D210E0"/>
    <w:rsid w:val="00D25496"/>
    <w:rsid w:val="00D40D67"/>
    <w:rsid w:val="00D4429D"/>
    <w:rsid w:val="00D50C50"/>
    <w:rsid w:val="00D52A33"/>
    <w:rsid w:val="00D54201"/>
    <w:rsid w:val="00D63950"/>
    <w:rsid w:val="00D7217A"/>
    <w:rsid w:val="00D73F82"/>
    <w:rsid w:val="00D93BE8"/>
    <w:rsid w:val="00DA045E"/>
    <w:rsid w:val="00DA049E"/>
    <w:rsid w:val="00DA128B"/>
    <w:rsid w:val="00DA396C"/>
    <w:rsid w:val="00DE686F"/>
    <w:rsid w:val="00DE7403"/>
    <w:rsid w:val="00E0008A"/>
    <w:rsid w:val="00E06E11"/>
    <w:rsid w:val="00E42AD7"/>
    <w:rsid w:val="00E47587"/>
    <w:rsid w:val="00E53898"/>
    <w:rsid w:val="00E66E5E"/>
    <w:rsid w:val="00E7188F"/>
    <w:rsid w:val="00E7412C"/>
    <w:rsid w:val="00E77FB9"/>
    <w:rsid w:val="00E81C02"/>
    <w:rsid w:val="00E8271A"/>
    <w:rsid w:val="00E82ACE"/>
    <w:rsid w:val="00E90E98"/>
    <w:rsid w:val="00EA533A"/>
    <w:rsid w:val="00EA6E40"/>
    <w:rsid w:val="00EB192F"/>
    <w:rsid w:val="00EC1713"/>
    <w:rsid w:val="00EC286C"/>
    <w:rsid w:val="00EC6631"/>
    <w:rsid w:val="00EE0512"/>
    <w:rsid w:val="00EF12F3"/>
    <w:rsid w:val="00EF14F7"/>
    <w:rsid w:val="00EF58B3"/>
    <w:rsid w:val="00EF7691"/>
    <w:rsid w:val="00F031FB"/>
    <w:rsid w:val="00F06A00"/>
    <w:rsid w:val="00F17F8F"/>
    <w:rsid w:val="00F50542"/>
    <w:rsid w:val="00F5166F"/>
    <w:rsid w:val="00F56217"/>
    <w:rsid w:val="00F74996"/>
    <w:rsid w:val="00F801FA"/>
    <w:rsid w:val="00F8074C"/>
    <w:rsid w:val="00F90498"/>
    <w:rsid w:val="00F93BC7"/>
    <w:rsid w:val="00FA6312"/>
    <w:rsid w:val="00FB012D"/>
    <w:rsid w:val="00FF56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73E740"/>
  <w15:chartTrackingRefBased/>
  <w15:docId w15:val="{2FB38D09-EF7E-4633-B770-23AAD0E1C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1C8"/>
  </w:style>
  <w:style w:type="paragraph" w:styleId="Heading1">
    <w:name w:val="heading 1"/>
    <w:basedOn w:val="Normal"/>
    <w:next w:val="Normal"/>
    <w:link w:val="Heading1Char"/>
    <w:uiPriority w:val="9"/>
    <w:qFormat/>
    <w:rsid w:val="00940C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0C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0C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0C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0C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0C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0C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0C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0C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0C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0C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0C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0C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0C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0C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0C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0C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0C2F"/>
    <w:rPr>
      <w:rFonts w:eastAsiaTheme="majorEastAsia" w:cstheme="majorBidi"/>
      <w:color w:val="272727" w:themeColor="text1" w:themeTint="D8"/>
    </w:rPr>
  </w:style>
  <w:style w:type="paragraph" w:styleId="Title">
    <w:name w:val="Title"/>
    <w:basedOn w:val="Normal"/>
    <w:next w:val="Normal"/>
    <w:link w:val="TitleChar"/>
    <w:uiPriority w:val="10"/>
    <w:qFormat/>
    <w:rsid w:val="00940C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0C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0C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0C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0C2F"/>
    <w:pPr>
      <w:spacing w:before="160"/>
      <w:jc w:val="center"/>
    </w:pPr>
    <w:rPr>
      <w:i/>
      <w:iCs/>
      <w:color w:val="404040" w:themeColor="text1" w:themeTint="BF"/>
    </w:rPr>
  </w:style>
  <w:style w:type="character" w:customStyle="1" w:styleId="QuoteChar">
    <w:name w:val="Quote Char"/>
    <w:basedOn w:val="DefaultParagraphFont"/>
    <w:link w:val="Quote"/>
    <w:uiPriority w:val="29"/>
    <w:rsid w:val="00940C2F"/>
    <w:rPr>
      <w:i/>
      <w:iCs/>
      <w:color w:val="404040" w:themeColor="text1" w:themeTint="BF"/>
    </w:rPr>
  </w:style>
  <w:style w:type="paragraph" w:styleId="ListParagraph">
    <w:name w:val="List Paragraph"/>
    <w:basedOn w:val="Normal"/>
    <w:uiPriority w:val="34"/>
    <w:qFormat/>
    <w:rsid w:val="00940C2F"/>
    <w:pPr>
      <w:ind w:left="720"/>
      <w:contextualSpacing/>
    </w:pPr>
  </w:style>
  <w:style w:type="character" w:styleId="IntenseEmphasis">
    <w:name w:val="Intense Emphasis"/>
    <w:basedOn w:val="DefaultParagraphFont"/>
    <w:uiPriority w:val="21"/>
    <w:qFormat/>
    <w:rsid w:val="00940C2F"/>
    <w:rPr>
      <w:i/>
      <w:iCs/>
      <w:color w:val="0F4761" w:themeColor="accent1" w:themeShade="BF"/>
    </w:rPr>
  </w:style>
  <w:style w:type="paragraph" w:styleId="IntenseQuote">
    <w:name w:val="Intense Quote"/>
    <w:basedOn w:val="Normal"/>
    <w:next w:val="Normal"/>
    <w:link w:val="IntenseQuoteChar"/>
    <w:uiPriority w:val="30"/>
    <w:qFormat/>
    <w:rsid w:val="00940C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0C2F"/>
    <w:rPr>
      <w:i/>
      <w:iCs/>
      <w:color w:val="0F4761" w:themeColor="accent1" w:themeShade="BF"/>
    </w:rPr>
  </w:style>
  <w:style w:type="character" w:styleId="IntenseReference">
    <w:name w:val="Intense Reference"/>
    <w:basedOn w:val="DefaultParagraphFont"/>
    <w:uiPriority w:val="32"/>
    <w:qFormat/>
    <w:rsid w:val="00940C2F"/>
    <w:rPr>
      <w:b/>
      <w:bCs/>
      <w:smallCaps/>
      <w:color w:val="0F4761" w:themeColor="accent1" w:themeShade="BF"/>
      <w:spacing w:val="5"/>
    </w:rPr>
  </w:style>
  <w:style w:type="character" w:styleId="Hyperlink">
    <w:name w:val="Hyperlink"/>
    <w:basedOn w:val="DefaultParagraphFont"/>
    <w:uiPriority w:val="99"/>
    <w:unhideWhenUsed/>
    <w:rsid w:val="00940C2F"/>
    <w:rPr>
      <w:color w:val="467886" w:themeColor="hyperlink"/>
      <w:u w:val="single"/>
    </w:rPr>
  </w:style>
  <w:style w:type="table" w:styleId="TableGrid">
    <w:name w:val="Table Grid"/>
    <w:basedOn w:val="TableNormal"/>
    <w:uiPriority w:val="39"/>
    <w:rsid w:val="00940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DA396C"/>
  </w:style>
  <w:style w:type="paragraph" w:styleId="Header">
    <w:name w:val="header"/>
    <w:basedOn w:val="Normal"/>
    <w:link w:val="HeaderChar"/>
    <w:uiPriority w:val="99"/>
    <w:unhideWhenUsed/>
    <w:rsid w:val="00DA39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96C"/>
  </w:style>
  <w:style w:type="paragraph" w:styleId="Footer">
    <w:name w:val="footer"/>
    <w:basedOn w:val="Normal"/>
    <w:link w:val="FooterChar"/>
    <w:uiPriority w:val="99"/>
    <w:unhideWhenUsed/>
    <w:rsid w:val="00DA39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96C"/>
  </w:style>
  <w:style w:type="character" w:styleId="UnresolvedMention">
    <w:name w:val="Unresolved Mention"/>
    <w:basedOn w:val="DefaultParagraphFont"/>
    <w:uiPriority w:val="99"/>
    <w:semiHidden/>
    <w:unhideWhenUsed/>
    <w:rsid w:val="000D5C32"/>
    <w:rPr>
      <w:color w:val="605E5C"/>
      <w:shd w:val="clear" w:color="auto" w:fill="E1DFDD"/>
    </w:rPr>
  </w:style>
  <w:style w:type="character" w:styleId="FollowedHyperlink">
    <w:name w:val="FollowedHyperlink"/>
    <w:basedOn w:val="DefaultParagraphFont"/>
    <w:uiPriority w:val="99"/>
    <w:semiHidden/>
    <w:unhideWhenUsed/>
    <w:rsid w:val="009F7174"/>
    <w:rPr>
      <w:color w:val="96607D" w:themeColor="followedHyperlink"/>
      <w:u w:val="single"/>
    </w:rPr>
  </w:style>
  <w:style w:type="table" w:customStyle="1" w:styleId="TableGrid4">
    <w:name w:val="Table Grid4"/>
    <w:basedOn w:val="TableNormal"/>
    <w:next w:val="TableGrid"/>
    <w:uiPriority w:val="39"/>
    <w:rsid w:val="000E0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E0F86"/>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 w:type="paragraph" w:styleId="NormalWeb">
    <w:name w:val="Normal (Web)"/>
    <w:basedOn w:val="Normal"/>
    <w:uiPriority w:val="99"/>
    <w:semiHidden/>
    <w:unhideWhenUsed/>
    <w:rsid w:val="00C85EB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643079">
      <w:bodyDiv w:val="1"/>
      <w:marLeft w:val="0"/>
      <w:marRight w:val="0"/>
      <w:marTop w:val="0"/>
      <w:marBottom w:val="0"/>
      <w:divBdr>
        <w:top w:val="none" w:sz="0" w:space="0" w:color="auto"/>
        <w:left w:val="none" w:sz="0" w:space="0" w:color="auto"/>
        <w:bottom w:val="none" w:sz="0" w:space="0" w:color="auto"/>
        <w:right w:val="none" w:sz="0" w:space="0" w:color="auto"/>
      </w:divBdr>
    </w:div>
    <w:div w:id="308025692">
      <w:bodyDiv w:val="1"/>
      <w:marLeft w:val="0"/>
      <w:marRight w:val="0"/>
      <w:marTop w:val="0"/>
      <w:marBottom w:val="0"/>
      <w:divBdr>
        <w:top w:val="none" w:sz="0" w:space="0" w:color="auto"/>
        <w:left w:val="none" w:sz="0" w:space="0" w:color="auto"/>
        <w:bottom w:val="none" w:sz="0" w:space="0" w:color="auto"/>
        <w:right w:val="none" w:sz="0" w:space="0" w:color="auto"/>
      </w:divBdr>
    </w:div>
    <w:div w:id="519468154">
      <w:bodyDiv w:val="1"/>
      <w:marLeft w:val="0"/>
      <w:marRight w:val="0"/>
      <w:marTop w:val="0"/>
      <w:marBottom w:val="0"/>
      <w:divBdr>
        <w:top w:val="none" w:sz="0" w:space="0" w:color="auto"/>
        <w:left w:val="none" w:sz="0" w:space="0" w:color="auto"/>
        <w:bottom w:val="none" w:sz="0" w:space="0" w:color="auto"/>
        <w:right w:val="none" w:sz="0" w:space="0" w:color="auto"/>
      </w:divBdr>
      <w:divsChild>
        <w:div w:id="19107269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3413712">
      <w:bodyDiv w:val="1"/>
      <w:marLeft w:val="0"/>
      <w:marRight w:val="0"/>
      <w:marTop w:val="0"/>
      <w:marBottom w:val="0"/>
      <w:divBdr>
        <w:top w:val="none" w:sz="0" w:space="0" w:color="auto"/>
        <w:left w:val="none" w:sz="0" w:space="0" w:color="auto"/>
        <w:bottom w:val="none" w:sz="0" w:space="0" w:color="auto"/>
        <w:right w:val="none" w:sz="0" w:space="0" w:color="auto"/>
      </w:divBdr>
    </w:div>
    <w:div w:id="635572441">
      <w:bodyDiv w:val="1"/>
      <w:marLeft w:val="0"/>
      <w:marRight w:val="0"/>
      <w:marTop w:val="0"/>
      <w:marBottom w:val="0"/>
      <w:divBdr>
        <w:top w:val="none" w:sz="0" w:space="0" w:color="auto"/>
        <w:left w:val="none" w:sz="0" w:space="0" w:color="auto"/>
        <w:bottom w:val="none" w:sz="0" w:space="0" w:color="auto"/>
        <w:right w:val="none" w:sz="0" w:space="0" w:color="auto"/>
      </w:divBdr>
    </w:div>
    <w:div w:id="770584047">
      <w:bodyDiv w:val="1"/>
      <w:marLeft w:val="0"/>
      <w:marRight w:val="0"/>
      <w:marTop w:val="0"/>
      <w:marBottom w:val="0"/>
      <w:divBdr>
        <w:top w:val="none" w:sz="0" w:space="0" w:color="auto"/>
        <w:left w:val="none" w:sz="0" w:space="0" w:color="auto"/>
        <w:bottom w:val="none" w:sz="0" w:space="0" w:color="auto"/>
        <w:right w:val="none" w:sz="0" w:space="0" w:color="auto"/>
      </w:divBdr>
    </w:div>
    <w:div w:id="1173573886">
      <w:bodyDiv w:val="1"/>
      <w:marLeft w:val="0"/>
      <w:marRight w:val="0"/>
      <w:marTop w:val="0"/>
      <w:marBottom w:val="0"/>
      <w:divBdr>
        <w:top w:val="none" w:sz="0" w:space="0" w:color="auto"/>
        <w:left w:val="none" w:sz="0" w:space="0" w:color="auto"/>
        <w:bottom w:val="none" w:sz="0" w:space="0" w:color="auto"/>
        <w:right w:val="none" w:sz="0" w:space="0" w:color="auto"/>
      </w:divBdr>
    </w:div>
    <w:div w:id="1406798454">
      <w:bodyDiv w:val="1"/>
      <w:marLeft w:val="0"/>
      <w:marRight w:val="0"/>
      <w:marTop w:val="0"/>
      <w:marBottom w:val="0"/>
      <w:divBdr>
        <w:top w:val="none" w:sz="0" w:space="0" w:color="auto"/>
        <w:left w:val="none" w:sz="0" w:space="0" w:color="auto"/>
        <w:bottom w:val="none" w:sz="0" w:space="0" w:color="auto"/>
        <w:right w:val="none" w:sz="0" w:space="0" w:color="auto"/>
      </w:divBdr>
      <w:divsChild>
        <w:div w:id="17410954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897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4CA17-BC5B-4C4C-AC1C-857516C6E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12235</Words>
  <Characters>69745</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abdel-kareem</dc:creator>
  <cp:keywords/>
  <dc:description/>
  <cp:lastModifiedBy>Euegen Jaiseelan</cp:lastModifiedBy>
  <cp:revision>6</cp:revision>
  <cp:lastPrinted>2025-03-01T21:11:00Z</cp:lastPrinted>
  <dcterms:created xsi:type="dcterms:W3CDTF">2025-03-04T00:19:00Z</dcterms:created>
  <dcterms:modified xsi:type="dcterms:W3CDTF">2025-03-18T08:02:00Z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ec0b061f-d9fa-3ad0-af3a-4f79b9b3b028</vt:lpwstr>
  </property>
  <property fmtid="{D5CDD505-2E9C-101B-9397-08002B2CF9AE}" pid="4" name="Mendeley Citation Style_1">
    <vt:lpwstr>http://www.zotero.org/styles/bmc-infectious-diseases</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http://www.zotero.org/styles/bmc-infectious-diseases</vt:lpwstr>
  </property>
  <property fmtid="{D5CDD505-2E9C-101B-9397-08002B2CF9AE}" pid="8" name="Mendeley Recent Style Name 1_1">
    <vt:lpwstr>BMC Infectious Diseases</vt:lpwstr>
  </property>
  <property fmtid="{D5CDD505-2E9C-101B-9397-08002B2CF9AE}" pid="9" name="Mendeley Recent Style Id 2_1">
    <vt:lpwstr>http://www.zotero.org/styles/bmc-pregnancy-and-childbirth</vt:lpwstr>
  </property>
  <property fmtid="{D5CDD505-2E9C-101B-9397-08002B2CF9AE}" pid="10" name="Mendeley Recent Style Name 2_1">
    <vt:lpwstr>BMC Pregnancy and Childbirth</vt:lpwstr>
  </property>
  <property fmtid="{D5CDD505-2E9C-101B-9397-08002B2CF9AE}" pid="11" name="Mendeley Recent Style Id 3_1">
    <vt:lpwstr>http://www.zotero.org/styles/current-atherosclerosis-reports</vt:lpwstr>
  </property>
  <property fmtid="{D5CDD505-2E9C-101B-9397-08002B2CF9AE}" pid="12" name="Mendeley Recent Style Name 3_1">
    <vt:lpwstr>Current Atherosclerosis Reports</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http://www.zotero.org/styles/journal-of-thrombosis-and-thrombolysis</vt:lpwstr>
  </property>
  <property fmtid="{D5CDD505-2E9C-101B-9397-08002B2CF9AE}" pid="16" name="Mendeley Recent Style Name 5_1">
    <vt:lpwstr>Journal of Thrombosis and Thrombolysis</vt:lpwstr>
  </property>
  <property fmtid="{D5CDD505-2E9C-101B-9397-08002B2CF9AE}" pid="17" name="Mendeley Recent Style Id 6_1">
    <vt:lpwstr>http://www.zotero.org/styles/journal-of-tropical-life-science</vt:lpwstr>
  </property>
  <property fmtid="{D5CDD505-2E9C-101B-9397-08002B2CF9AE}" pid="18" name="Mendeley Recent Style Name 6_1">
    <vt:lpwstr>Journal of Tropical Life Science</vt:lpwstr>
  </property>
  <property fmtid="{D5CDD505-2E9C-101B-9397-08002B2CF9AE}" pid="19" name="Mendeley Recent Style Id 7_1">
    <vt:lpwstr>https://csl.mendeley.com/styles/667169701/journal-of-tropical-life-science</vt:lpwstr>
  </property>
  <property fmtid="{D5CDD505-2E9C-101B-9397-08002B2CF9AE}" pid="20" name="Mendeley Recent Style Name 7_1">
    <vt:lpwstr>Journal of Tropical Life Science - ahmed azzam</vt:lpwstr>
  </property>
  <property fmtid="{D5CDD505-2E9C-101B-9397-08002B2CF9AE}" pid="21" name="Mendeley Recent Style Id 8_1">
    <vt:lpwstr>http://www.zotero.org/styles/scientific-reports</vt:lpwstr>
  </property>
  <property fmtid="{D5CDD505-2E9C-101B-9397-08002B2CF9AE}" pid="22" name="Mendeley Recent Style Name 8_1">
    <vt:lpwstr>Scientific Reports</vt:lpwstr>
  </property>
  <property fmtid="{D5CDD505-2E9C-101B-9397-08002B2CF9AE}" pid="23" name="Mendeley Recent Style Id 9_1">
    <vt:lpwstr>http://www.zotero.org/styles/springer-vancouver-brackets</vt:lpwstr>
  </property>
  <property fmtid="{D5CDD505-2E9C-101B-9397-08002B2CF9AE}" pid="24" name="Mendeley Recent Style Name 9_1">
    <vt:lpwstr>Springer - Vancouver (brackets)</vt:lpwstr>
  </property>
  <property fmtid="{D5CDD505-2E9C-101B-9397-08002B2CF9AE}" pid="25" name="GrammarlyDocumentId">
    <vt:lpwstr>1e34cecd1e45de58a9e6098fa81ed2c0045fc0e377f9eadbbd8bc3a3e810da1b</vt:lpwstr>
  </property>
</Properties>
</file>