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0BB" w:rsidRPr="00B750BB" w:rsidRDefault="00B750BB" w:rsidP="00B750BB">
      <w:r w:rsidRPr="00B750BB">
        <w:rPr>
          <w:b/>
        </w:rPr>
        <w:t>Table S</w:t>
      </w:r>
      <w:r w:rsidRPr="00B750BB">
        <w:rPr>
          <w:rFonts w:hint="eastAsia"/>
          <w:b/>
        </w:rPr>
        <w:t>2</w:t>
      </w:r>
      <w:r w:rsidRPr="00B750BB">
        <w:t xml:space="preserve"> List of studies reporting non-specific biomarker for tubers intake</w:t>
      </w:r>
    </w:p>
    <w:tbl>
      <w:tblPr>
        <w:tblStyle w:val="TableGrid"/>
        <w:tblW w:w="990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1701"/>
        <w:gridCol w:w="2126"/>
        <w:gridCol w:w="1843"/>
        <w:gridCol w:w="1575"/>
      </w:tblGrid>
      <w:tr w:rsidR="00B750BB" w:rsidRPr="00B750BB" w:rsidTr="007D7CD2">
        <w:trPr>
          <w:trHeight w:val="590"/>
          <w:jc w:val="center"/>
        </w:trPr>
        <w:tc>
          <w:tcPr>
            <w:tcW w:w="2662" w:type="dxa"/>
            <w:tcBorders>
              <w:top w:val="single" w:sz="12" w:space="0" w:color="auto"/>
              <w:bottom w:val="single" w:sz="6" w:space="0" w:color="auto"/>
            </w:tcBorders>
            <w:vAlign w:val="center"/>
          </w:tcPr>
          <w:p w:rsidR="00B750BB" w:rsidRPr="00B750BB" w:rsidRDefault="00B750BB" w:rsidP="00B750BB">
            <w:pPr>
              <w:spacing w:after="200" w:line="276" w:lineRule="auto"/>
              <w:rPr>
                <w:b/>
              </w:rPr>
            </w:pPr>
            <w:r w:rsidRPr="00B750BB">
              <w:rPr>
                <w:b/>
              </w:rPr>
              <w:t>Dietary factor</w:t>
            </w:r>
          </w:p>
        </w:tc>
        <w:tc>
          <w:tcPr>
            <w:tcW w:w="1701" w:type="dxa"/>
            <w:tcBorders>
              <w:top w:val="single" w:sz="12" w:space="0" w:color="auto"/>
              <w:bottom w:val="single" w:sz="6" w:space="0" w:color="auto"/>
            </w:tcBorders>
            <w:vAlign w:val="center"/>
          </w:tcPr>
          <w:p w:rsidR="00B750BB" w:rsidRPr="00B750BB" w:rsidRDefault="00B750BB" w:rsidP="00B750BB">
            <w:pPr>
              <w:spacing w:after="200" w:line="276" w:lineRule="auto"/>
              <w:rPr>
                <w:b/>
              </w:rPr>
            </w:pPr>
            <w:r w:rsidRPr="00B750BB">
              <w:rPr>
                <w:b/>
              </w:rPr>
              <w:t>Study design</w:t>
            </w:r>
          </w:p>
        </w:tc>
        <w:tc>
          <w:tcPr>
            <w:tcW w:w="2126" w:type="dxa"/>
            <w:tcBorders>
              <w:top w:val="single" w:sz="12" w:space="0" w:color="auto"/>
              <w:bottom w:val="single" w:sz="6" w:space="0" w:color="auto"/>
            </w:tcBorders>
            <w:vAlign w:val="center"/>
          </w:tcPr>
          <w:p w:rsidR="00B750BB" w:rsidRPr="00B750BB" w:rsidRDefault="00B750BB" w:rsidP="00B750BB">
            <w:pPr>
              <w:spacing w:after="200" w:line="276" w:lineRule="auto"/>
              <w:rPr>
                <w:b/>
              </w:rPr>
            </w:pPr>
            <w:r w:rsidRPr="00B750BB">
              <w:rPr>
                <w:b/>
              </w:rPr>
              <w:t>Sample type</w:t>
            </w:r>
          </w:p>
        </w:tc>
        <w:tc>
          <w:tcPr>
            <w:tcW w:w="1843" w:type="dxa"/>
            <w:tcBorders>
              <w:top w:val="single" w:sz="12" w:space="0" w:color="auto"/>
              <w:bottom w:val="single" w:sz="6" w:space="0" w:color="auto"/>
            </w:tcBorders>
            <w:vAlign w:val="center"/>
          </w:tcPr>
          <w:p w:rsidR="00B750BB" w:rsidRPr="00B750BB" w:rsidRDefault="00B750BB" w:rsidP="00B750BB">
            <w:pPr>
              <w:spacing w:after="200" w:line="276" w:lineRule="auto"/>
              <w:rPr>
                <w:b/>
              </w:rPr>
            </w:pPr>
            <w:r w:rsidRPr="00B750BB">
              <w:rPr>
                <w:b/>
              </w:rPr>
              <w:t>Discriminating metabolites/Candidate biomarkers</w:t>
            </w:r>
          </w:p>
        </w:tc>
        <w:tc>
          <w:tcPr>
            <w:tcW w:w="1575" w:type="dxa"/>
            <w:tcBorders>
              <w:top w:val="single" w:sz="12" w:space="0" w:color="auto"/>
              <w:bottom w:val="single" w:sz="6" w:space="0" w:color="auto"/>
            </w:tcBorders>
            <w:vAlign w:val="center"/>
          </w:tcPr>
          <w:p w:rsidR="00B750BB" w:rsidRPr="00B750BB" w:rsidRDefault="00B750BB" w:rsidP="00B750BB">
            <w:pPr>
              <w:spacing w:after="200" w:line="276" w:lineRule="auto"/>
              <w:rPr>
                <w:b/>
              </w:rPr>
            </w:pPr>
            <w:r w:rsidRPr="00B750BB">
              <w:rPr>
                <w:b/>
              </w:rPr>
              <w:t>Primary reference(s)</w:t>
            </w:r>
          </w:p>
        </w:tc>
      </w:tr>
      <w:tr w:rsidR="00B750BB" w:rsidRPr="00B750BB" w:rsidTr="007D7CD2">
        <w:trPr>
          <w:trHeight w:val="154"/>
          <w:jc w:val="center"/>
        </w:trPr>
        <w:tc>
          <w:tcPr>
            <w:tcW w:w="2662" w:type="dxa"/>
            <w:vAlign w:val="center"/>
          </w:tcPr>
          <w:p w:rsidR="00B750BB" w:rsidRPr="00B750BB" w:rsidRDefault="00B750BB" w:rsidP="00B750BB">
            <w:pPr>
              <w:spacing w:after="200" w:line="276" w:lineRule="auto"/>
            </w:pPr>
            <w:r w:rsidRPr="00B750BB">
              <w:t>Potato chips</w:t>
            </w:r>
          </w:p>
        </w:tc>
        <w:tc>
          <w:tcPr>
            <w:tcW w:w="1701" w:type="dxa"/>
            <w:vAlign w:val="center"/>
          </w:tcPr>
          <w:p w:rsidR="00B750BB" w:rsidRPr="00B750BB" w:rsidRDefault="00B750BB" w:rsidP="00B750BB">
            <w:pPr>
              <w:spacing w:after="200" w:line="276" w:lineRule="auto"/>
            </w:pPr>
            <w:r w:rsidRPr="00B750BB">
              <w:t>Human meal study</w:t>
            </w:r>
          </w:p>
        </w:tc>
        <w:tc>
          <w:tcPr>
            <w:tcW w:w="2126" w:type="dxa"/>
            <w:vAlign w:val="center"/>
          </w:tcPr>
          <w:p w:rsidR="00B750BB" w:rsidRPr="00B750BB" w:rsidRDefault="00B750BB" w:rsidP="00B750BB">
            <w:pPr>
              <w:spacing w:after="200" w:line="276" w:lineRule="auto"/>
            </w:pPr>
            <w:r w:rsidRPr="00B750BB">
              <w:t>Blood (the beginning and the end of study)</w:t>
            </w:r>
          </w:p>
        </w:tc>
        <w:tc>
          <w:tcPr>
            <w:tcW w:w="1843" w:type="dxa"/>
            <w:vAlign w:val="center"/>
          </w:tcPr>
          <w:p w:rsidR="00B750BB" w:rsidRPr="00B750BB" w:rsidRDefault="00B750BB" w:rsidP="00B750BB">
            <w:pPr>
              <w:spacing w:after="200" w:line="276" w:lineRule="auto"/>
            </w:pPr>
            <w:r w:rsidRPr="00B750BB">
              <w:t>AA-</w:t>
            </w:r>
            <w:proofErr w:type="spellStart"/>
            <w:r w:rsidRPr="00B750BB">
              <w:t>Hb</w:t>
            </w:r>
            <w:proofErr w:type="spellEnd"/>
            <w:r w:rsidRPr="00B750BB">
              <w:t>;</w:t>
            </w:r>
          </w:p>
          <w:p w:rsidR="00B750BB" w:rsidRPr="00B750BB" w:rsidRDefault="00B750BB" w:rsidP="00B750BB">
            <w:pPr>
              <w:spacing w:after="200" w:line="276" w:lineRule="auto"/>
            </w:pPr>
            <w:r w:rsidRPr="00B750BB">
              <w:t>GA-</w:t>
            </w:r>
            <w:proofErr w:type="spellStart"/>
            <w:r w:rsidRPr="00B750BB">
              <w:t>Hb</w:t>
            </w:r>
            <w:proofErr w:type="spellEnd"/>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{"citationItems":[{"id":"ITEM-1","itemData":{"DOI":"10.1007/0-387-24980-X_7","author":[{"dropping-particle":"","family":"Vesper","given":"Hubert W.","non-dropping-particle":"","parse-names":false,"suffix":""},{"dropping-particle":"","family":"Licea-Perez","given":"Hermes","non-dropping-particle":"","parse-names":false,"suffix":""},{"dropping-particle":"","family":"Meyers","given":"Tunde","non-dropping-particle":"","parse-names":false,"suffix":""},{"dropping-particle":"","family":"Ospina","given":"Maria","non-dropping-particle":"","parse-names":false,"suffix":""},{"dropping-particle":"","family":"Myers","given":"Gary L.","non-dropping-particle":"","parse-names":false,"suffix":""}],"container-title":"Chemistry and Safety of Acrylamide in Food","id":"ITEM-1","issued":{"date-parts":[["2005"]]},"page":"89-96","publisher":"Springer-Verlag","publisher-place":"New York","title":"Pilot Study on the Impact of Potato Chips Consumption on Biomarkers of Acrylamide Exposure","type":"chapter"},"uris":["http://www.mendeley.com/documents/?uuid=47a1aea7-10f4-3d2b-8e96-a5abd542017f"]}],"mendeley":{"formattedCitation":"[1]","plainTextFormattedCitation":"[1]","previouslyFormattedCitation":"[24]"},"properties":{"noteIndex":0},"schema":"https://github.com/citation-style-language/schema/raw/master/csl-citation.json"}</w:instrText>
            </w:r>
            <w:r w:rsidRPr="00B750BB">
              <w:fldChar w:fldCharType="separate"/>
            </w:r>
            <w:r w:rsidRPr="00B750BB">
              <w:rPr>
                <w:noProof/>
              </w:rPr>
              <w:t>[1]</w:t>
            </w:r>
            <w:r w:rsidRPr="00B750BB">
              <w:fldChar w:fldCharType="end"/>
            </w:r>
          </w:p>
        </w:tc>
      </w:tr>
      <w:tr w:rsidR="00B750BB" w:rsidRPr="00B750BB" w:rsidTr="007D7CD2">
        <w:trPr>
          <w:trHeight w:val="1591"/>
          <w:jc w:val="center"/>
        </w:trPr>
        <w:tc>
          <w:tcPr>
            <w:tcW w:w="2662" w:type="dxa"/>
            <w:vAlign w:val="center"/>
          </w:tcPr>
          <w:p w:rsidR="00B750BB" w:rsidRPr="00B750BB" w:rsidRDefault="00B750BB" w:rsidP="00B750BB">
            <w:pPr>
              <w:spacing w:after="200" w:line="276" w:lineRule="auto"/>
            </w:pPr>
            <w:r w:rsidRPr="00B750BB">
              <w:t>Potato chips</w:t>
            </w:r>
          </w:p>
        </w:tc>
        <w:tc>
          <w:tcPr>
            <w:tcW w:w="1701" w:type="dxa"/>
            <w:vAlign w:val="center"/>
          </w:tcPr>
          <w:p w:rsidR="00B750BB" w:rsidRPr="00B750BB" w:rsidRDefault="00B750BB" w:rsidP="00B750BB">
            <w:pPr>
              <w:spacing w:after="200" w:line="276" w:lineRule="auto"/>
            </w:pPr>
            <w:r w:rsidRPr="00B750BB">
              <w:t>Crossover intervention study</w:t>
            </w:r>
          </w:p>
        </w:tc>
        <w:tc>
          <w:tcPr>
            <w:tcW w:w="2126" w:type="dxa"/>
            <w:vAlign w:val="center"/>
          </w:tcPr>
          <w:p w:rsidR="00B750BB" w:rsidRPr="00B750BB" w:rsidRDefault="00B750BB" w:rsidP="00B750BB">
            <w:pPr>
              <w:spacing w:after="200" w:line="276" w:lineRule="auto"/>
            </w:pPr>
            <w:r w:rsidRPr="00B750BB">
              <w:t xml:space="preserve">Blood (prior and 24h </w:t>
            </w:r>
            <w:proofErr w:type="spellStart"/>
            <w:r w:rsidRPr="00B750BB">
              <w:t>postdose</w:t>
            </w:r>
            <w:proofErr w:type="spellEnd"/>
            <w:r w:rsidRPr="00B750BB">
              <w:t>)</w:t>
            </w:r>
          </w:p>
        </w:tc>
        <w:tc>
          <w:tcPr>
            <w:tcW w:w="1843" w:type="dxa"/>
            <w:vAlign w:val="center"/>
          </w:tcPr>
          <w:p w:rsidR="00B750BB" w:rsidRPr="00B750BB" w:rsidRDefault="00B750BB" w:rsidP="00B750BB">
            <w:pPr>
              <w:spacing w:after="200" w:line="276" w:lineRule="auto"/>
            </w:pPr>
            <w:r w:rsidRPr="00B750BB">
              <w:t>AA-</w:t>
            </w:r>
            <w:proofErr w:type="spellStart"/>
            <w:r w:rsidRPr="00B750BB">
              <w:t>Hb</w:t>
            </w:r>
            <w:proofErr w:type="spellEnd"/>
            <w:r w:rsidRPr="00B750BB">
              <w:t>;</w:t>
            </w:r>
          </w:p>
          <w:p w:rsidR="00B750BB" w:rsidRPr="00B750BB" w:rsidRDefault="00B750BB" w:rsidP="00B750BB">
            <w:pPr>
              <w:spacing w:after="200" w:line="276" w:lineRule="auto"/>
            </w:pPr>
            <w:r w:rsidRPr="00B750BB">
              <w:t>GA-</w:t>
            </w:r>
            <w:proofErr w:type="spellStart"/>
            <w:r w:rsidRPr="00B750BB">
              <w:t>Hb</w:t>
            </w:r>
            <w:proofErr w:type="spellEnd"/>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{"citationItems":[{"id":"ITEM-1","itemData":{"DOI":"10.1158/1055-9965.epi-08-0832","ISBN":"1055-9965 (Print)\r1055-9965","PMID":"19190172","abstract":"Acrylamide, a potential food carcinogen in humans, is biotransformed to the epoxide glycidamide in vivo. Both acrylamide and glycidamide are conjugated with glutathione, possibly via glutathione-S-transferases (GST), and bind covalently to proteins and nucleic acids. We investigated acrylamide toxicokinetics in 16 healthy volunteers in a four-period change-over trial and evaluated the respective role of cytochrome P450 2E1 (CYP2E1) and GSTs. Participants ingested self-prepared potato chips containing acrylamide (1 mg) without comedication, after CYP2E1 inhibition (500 mg disulfiram, single dose) or induction (48 g/d ethanol for 1 week), and were phenotyped for CYP2E1 with chlorzoxazone (250 mg, single dose). Unchanged acrylamide and the mercapturic acids N-acetyl-S-(2-carbamoylethyl)-cysteine (AAMA) and N-acetyl-S-(2-hydroxy-2-carbamoylethyl)-cysteine (GAMA) accounted for urinary excretion [geometric mean (percent coefficient of variation)] of 2.9% (42), 65% (23), and 1.7% (65) of the acrylamide dose in the reference period. Hemoglobin adducts increased clearly following the acrylamide test-meal. The cumulative amounts of acrylamide, AAMA, and GAMA excreted and increases in AA adducts changed significantly during CYP2E1 blockade [point estimate (90% confidence interval)] to the 1.34-fold (1.14-1.58), 1.18-fold (1.02-1.36), 0.44-fold (0.31-0.61), and 1.08-fold (1.02-1.15) of the reference period, respectively, but were not changed significantly during moderate CYP2E1 induction. Individual baseline CYP2E1 activity, CYP2E1*6, GSTP1 313A&gt;G and 341T&gt;C single nucleotide polymorphisms, and GSTM1-and GSTT1-null genotypes had no major effect on acrylamide disposition. The changes in acrylamide toxicokinetics upon CYP2E1 blockade provide evidence that CYP2E1 is a major but not the only enzyme mediating acrylamide epoxidation in vivo to glycidamide in humans. No obvious genetic risks or protective factors in xenobiotic-metabolizing enzymes could be determined for exposed subjects.","author":[{"dropping-particle":"","family":"Doroshyenko","given":"O","non-dropping-particle":"","parse-names":false,"suffix":""},{"dropping-particle":"","family":"Fuhr","given":"U","non-dropping-particle":"","parse-names":false,"suffix":""},{"dropping-particle":"","family":"Kunz","given":"D","non-dropping-particle":"","parse-names":false,"suffix":""},{"dropping-particle":"","family":"Frank","given":"D","non-dropping-particle":"","parse-names":false,"suffix":""},{"dropping-particle":"","family":"Kinzig","given":"M","non-dropping-particle":"","parse-names":false,"suffix":""},{"dropping-particle":"","family":"Jetter","given":"A","non-dropping-particle":"","parse-names":false,"suffix":""},{"dropping-particle":"","family":"Reith","given":"Y","non-dropping-particle":"","parse-names":false,"suffix":""},{"dropping-particle":"","family":"Lazar","given":"A","non-dropping-particle":"","parse-names":false,"suffix":""},{"dropping-particle":"","family":"Taubert","given":"D","non-dropping-particle":"","parse-names":false,"suffix":""},{"dropping-particle":"","family":"Kirchheiner","given":"J","non-dropping-particle":"","parse-names":false,"suffix":""},{"dropping-particle":"","family":"Baum","given":"M","non-dropping-particle":"","parse-names":false,"suffix":""},{"dropping-particle":"","family":"Eisenbrand","given":"G","non-dropping-particle":"","parse-names":false,"suffix":""},{"dropping-particle":"","family":"Berger","given":"F I","non-dropping-particle":"","parse-names":false,"suffix":""},{"dropping-particle":"","family":"Bertow","given":"D","non-dropping-particle":"","parse-names":false,"suffix":""},{"dropping-particle":"","family":"Berkessel","given":"A","non-dropping-particle":"","parse-names":false,"suffix":""},{"dropping-particle":"","family":"Sorgel","given":"F","non-dropping-particle":"","parse-names":false,"suffix":""},{"dropping-particle":"","family":"Schomig","given":"E","non-dropping-particle":"","parse-names":false,"suffix":""},{"dropping-particle":"","family":"Tomalik-Scharte","given":"D","non-dropping-particle":"","parse-names":false,"suffix":""}],"container-title":"Cancer Epidemiol Biomarkers Prev","edition":"2009/02/05","id":"ITEM-1","issue":"2","issued":{"date-parts":[["2009"]]},"language":"eng","note":"Doroshyenko, Oxana\nFuhr, Uwe\nKunz, Daria\nFrank, Dorothee\nKinzig, Martina\nJetter, Alexander\nReith, Yvonne\nLazar, Andreas\nTaubert, Dirk\nKirchheiner, Julia\nBaum, Matthias\nEisenbrand, Gerhard\nBerger, Franz-Ingo\nBertow, Daniel\nBerkessel, Albrecht\nSorgel, Fritz\nSchomig, Edgar\nTomalik-Scharte, Dorota\nJournal Article\nResearch Support, Non-U.S. Gov't\nUnited States\nCancer Epidemiol Biomarkers Prev. 2009 Feb;18(2):433-43. doi: 10.1158/1055-9965.EPI-08-0832. Epub 2009 Feb 3.","page":"433-443","title":"In vivo role of cytochrome P450 2E1 and glutathione-S-transferase activity for acrylamide toxicokinetics in humans","type":"article-journal","volume":"18"},"uris":["http://www.mendeley.com/documents/?uuid=c940e302-b6ec-4b4b-ab34-781aca44b8e9"]}],"mendeley":{"formattedCitation":"[2]","plainTextFormattedCitation":"[2]","previouslyFormattedCitation":"[25]"},"properties":{"noteIndex":0},"schema":"https://github.com/citation-style-language/schema/raw/master/csl-citation.json"}</w:instrText>
            </w:r>
            <w:r w:rsidRPr="00B750BB">
              <w:fldChar w:fldCharType="separate"/>
            </w:r>
            <w:r w:rsidRPr="00B750BB">
              <w:rPr>
                <w:noProof/>
              </w:rPr>
              <w:t>[2]</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 (</w:t>
            </w:r>
            <w:proofErr w:type="spellStart"/>
            <w:r w:rsidRPr="00B750BB">
              <w:t>Gari</w:t>
            </w:r>
            <w:proofErr w:type="spellEnd"/>
            <w:r w:rsidRPr="00B750BB">
              <w:t>-based meals)</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rPr>
                <w:b/>
                <w:bCs/>
              </w:rPr>
            </w:pPr>
            <w:r w:rsidRPr="00B750BB">
              <w:t>Urine</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{"citationItems":[{"id":"ITEM-1","itemData":{"DOI":"10.3109/09637486.2013.825697","ISSN":"1465-3478","PMID":"23944969","abstract":"Exposure to cyanide is a major public health problem where highly cyanogenic cassava foods are consumed. Thiocyanate (SCN), the biomarker of exposure to cyanide is present in several foods, and produced endogenously. Concentrations of urine SCN were measured in endemic and non-endemic areas of ataxic polyneuropathy in Nigeria. Cassava food consumption in the endemic area was twice that of non-endemic areas. Geometrical mean (95% CI) urine SCN was 20μmol/l (18-24) for no consumption of cassava foods, 56μmol/l (49-64) for daily consumption, 56μmol/l (48-65) for twice daily consumption and 85μmol/l (62-117) for thrice daily consumption. 95th percentile reference limit was 125μmol/l for no consumption of cassava food, but 360μmol/l for thrice daily consumption. Urine SCN is a useful biomarker of exposure to cyanide from cassava foods. There is strong ecological association of exposure to cyanide and endemicity of ataxic polyneuropathy. © 2013 Informa UK Ltd.","author":[{"dropping-particle":"","family":"Oluwole","given":"O.S.A.a","non-dropping-particle":"","parse-names":false,"suffix":""},{"dropping-particle":"","family":"Oludiran","given":"A.O.b c","non-dropping-particle":"","parse-names":false,"suffix":""}],"container-title":"International Journal of Food Sciences and Nutrition","id":"ITEM-1","issue":"8","issued":{"date-parts":[["2013"]]},"page":"1036-1041","title":"Normative concentrations of urine thiocyanate in cassava eating communities in Nigeria","type":"article-journal","volume":"64"},"uris":["http://www.mendeley.com/documents/?uuid=3937a973-3785-40e4-bb9e-bee493afd399","http://www.mendeley.com/documents/?uuid=18238be4-aa92-494a-8117-7b11b91d1988"]}],"mendeley":{"formattedCitation":"[3]","plainTextFormattedCitation":"[3]","previouslyFormattedCitation":"[26]"},"properties":{"noteIndex":0},"schema":"https://github.com/citation-style-language/schema/raw/master/csl-citation.json"}</w:instrText>
            </w:r>
            <w:r w:rsidRPr="00B750BB">
              <w:fldChar w:fldCharType="separate"/>
            </w:r>
            <w:r w:rsidRPr="00B750BB">
              <w:rPr>
                <w:noProof/>
              </w:rPr>
              <w:t>[3]</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bookmarkStart w:id="0" w:name="OLE_LINK99"/>
            <w:bookmarkStart w:id="1" w:name="OLE_LINK100"/>
            <w:r w:rsidRPr="00B750BB">
              <w:t>Cassava consumption</w:t>
            </w:r>
            <w:bookmarkEnd w:id="0"/>
            <w:bookmarkEnd w:id="1"/>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Urine</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{"citationItems":[{"id":"ITEM-1","itemData":{"DOI":"10.1016/j.fct.2012.02.001","ISBN":"0278-6915","ISSN":"02786915","PMID":"22342647","abstract":"Fifty konzo cases were identified in four villages in Popokabaka Health Zone, DRC. One third of people had only one meal per day, mainly of cassava flour consumed as a thick porridge (fufu) and pounded, boiled cassava leaves. Retention of cyanogens in flour resulted from short soaking of cassava roots. A 1.5. years intervention was made in the largest village Kay Kalenge, where the wetting method was taught to all women of the village, who accepted it willingly. The total cyanide content of cassava flour was reduced to below 10. ppm. Fufu from treated flour tasted and stored better than fufu from untreated flour. The mean urinary thiocyanate content of 100 school children reduced from 332 to 130. μmole/L and the number of samples exceeding 350. μmole/L decreased from 26 to 0 during the intervention. No new konzo cases occurred, which included two dry seasons when konzo peaks. Konzo was first identified by Dr. Trolli in 1938 in Popokabaka Health Zone and it has now been prevented for the first time in the same area. The methodology is now in use in Boko Health Zone and we believe it is the most effective way to control konzo in tropical Africa. © 2012 Elsevier Ltd.","author":[{"dropping-particle":"","family":"Banea","given":"J. P.","non-dropping-particle":"","parse-names":false,"suffix":""},{"dropping-particle":"","family":"Nahimana","given":"G.","non-dropping-particle":"","parse-names":false,"suffix":""},{"dropping-particle":"","family":"Mandombi","given":"C.","non-dropping-particle":"","parse-names":false,"suffix":""},{"dropping-particle":"","family":"Bradbury","given":"J. Howard","non-dropping-particle":"","parse-names":false,"suffix":""},{"dropping-particle":"","family":"Denton","given":"Ian C.","non-dropping-particle":"","parse-names":false,"suffix":""},{"dropping-particle":"","family":"Kuwa","given":"N.","non-dropping-particle":"","parse-names":false,"suffix":""}],"container-title":"Food and Chemical Toxicology","id":"ITEM-1","issue":"5","issued":{"date-parts":[["2012","5","1"]]},"page":"1517-1523","publisher":"Pergamon","title":"Control of konzo in DRC using the wetting method on cassava flour","type":"article-journal","volume":"50"},"uris":["http://www.mendeley.com/documents/?uuid=e8222865-f645-3373-bd02-2b4353b76be5"]}],"mendeley":{"formattedCitation":"[4]","plainTextFormattedCitation":"[4]","previouslyFormattedCitation":"[27]"},"properties":{"noteIndex":0},"schema":"https://github.com/citation-style-language/schema/raw/master/csl-citation.json"}</w:instrText>
            </w:r>
            <w:r w:rsidRPr="00B750BB">
              <w:fldChar w:fldCharType="separate"/>
            </w:r>
            <w:r w:rsidRPr="00B750BB">
              <w:rPr>
                <w:noProof/>
              </w:rPr>
              <w:t>[4]</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Urine</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 xml:space="preserve">ADDIN CSL_CITATION {"citationItems":[{"id":"ITEM-1","itemData":{"ISSN":"16845315","abstract":"Department of Chemical Sciences (Biochemical Unit). Federal University of Agriculture, Umudike, P.M.B. 7267, Umuahia, Abia State, Nigeria. Email: pnokafor@yahoo.com. Accepted 7 July 2004 The cyanide overload of 40 cassava (gari) processing workers, 25 frequent consumers of cassava foods and 20 cigarette smokers (all Nigerians) were assessed using a new simple kit method for determination of thiocyanate (cyanide metabolite) in urine. The mean thiocyanate measured in the urine of three groups of cassava processing workers were 9.48±2.8, 8.70±2.23, and 7.46±2.57 ppm. The mean thiocyanate measured in the urine of frequent cassava consumers and cigarette smokers were </w:instrText>
            </w:r>
            <w:r>
              <w:rPr>
                <w:rFonts w:hint="eastAsia"/>
              </w:rPr>
              <w:instrText>3.57</w:instrText>
            </w:r>
            <w:r>
              <w:rPr>
                <w:rFonts w:hint="eastAsia"/>
              </w:rPr>
              <w:instrText>±</w:instrText>
            </w:r>
            <w:r>
              <w:rPr>
                <w:rFonts w:hint="eastAsia"/>
              </w:rPr>
              <w:instrText>0.6 and 13.99</w:instrText>
            </w:r>
            <w:r>
              <w:rPr>
                <w:rFonts w:hint="eastAsia"/>
              </w:rPr>
              <w:instrText>±</w:instrText>
            </w:r>
            <w:r>
              <w:rPr>
                <w:rFonts w:hint="eastAsia"/>
              </w:rPr>
              <w:instrText xml:space="preserve">13.81 ppm, respectively. The urine samples of 15% of the processing workers measured </w:instrText>
            </w:r>
            <w:r>
              <w:rPr>
                <w:rFonts w:hint="eastAsia"/>
              </w:rPr>
              <w:instrText>≥</w:instrText>
            </w:r>
            <w:r>
              <w:rPr>
                <w:rFonts w:hint="eastAsia"/>
              </w:rPr>
              <w:instrText>10 ppm SCN (172µmol/L), while two urine samples from the smokers measured 30, and 44 ppm SCN. The cyanide contents of some cassava based foods commonl</w:instrText>
            </w:r>
            <w:r>
              <w:instrText>y consumed among Nigerians were determined and ranged from 0.68± 0.31 to 0.88±0.21 for total cyanide and 0.14±0.03 to 0.52±01 mgCN- 100g-1 DM for free cyanide. The toxicological implications of these findings are discussed","author":[{"dropping-particle":"","family":"Okafor","given":"P. N.","non-dropping-particle":"","parse-names":false,"suffix":""}],"container-title":"African Journal of Biotechnology","id":"ITEM-1","issue":"7","issued":{"date-parts":[["2004"]]},"page":"358-361","title":"Assessment of cyanide overload in cassava consuming populations of Nigeria and the cyanide content of some cassava based foods","type":"article-journal","volume":"3"},"uris":["http://www.mendeley.com/documents/?uuid=fd0b652f-ec8f-4251-ac22-9f6a8fc140bf"]}],"mendeley":{"formattedCitation":"[5]","plainTextFormattedCitation":"[5]","previouslyFormattedCitation":"[28]"},"properties":{"noteIndex":0},"schema":"https://github.com/citation-style-language/schema/raw/master/csl-citation.json"}</w:instrText>
            </w:r>
            <w:r w:rsidRPr="00B750BB">
              <w:fldChar w:fldCharType="separate"/>
            </w:r>
            <w:r w:rsidRPr="00B750BB">
              <w:rPr>
                <w:noProof/>
              </w:rPr>
              <w:t>[5]</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Urine;</w:t>
            </w:r>
          </w:p>
          <w:p w:rsidR="00B750BB" w:rsidRPr="00B750BB" w:rsidRDefault="00B750BB" w:rsidP="00B750BB">
            <w:pPr>
              <w:spacing w:after="200" w:line="276" w:lineRule="auto"/>
            </w:pPr>
            <w:r w:rsidRPr="00B750BB">
              <w:t>serum</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{"citationItems":[{"id":"ITEM-1","itemData":{"DOI":"10.1016/S0278-6915(01)00109-0","ISBN":"0278-6915","ISSN":"02786915","PMID":"12065222","abstract":"The biochemical and toxicological effects of occupational and dietary exposure of humans to cyanide poisoning from large-scale cassava processing and ingestion of cassava foods were investigated using spectrophotometric and enzymatic methods. Analysis of urinary and serum thiocyanate (cyanide metabolite) from workers in cassava processing industries, who were 'frequent' [those who eat cassava food(s) at least once a day] and 'infrequent' [those who eat cassava food(s) only occasionally] consumers of cassava-based diets, was carried out with the aid of questionnaries. The mean urinary thiocyanate level of the cassava processors (mean??S.D.; 153.50??25.21 ??mo1/l) was 2.2 and 2.6 times higher than that of frequent (70.1??21.8 ??mo1/l) and infrequent (mean??S.D.; 59.30??17.0 ??mo1/l) cassava consumers, respectively. The mean serum thiocyanate levels rose to 126.73??12.4 ??mo1/l for the former and 68.4??18.3 and 54.7??13.2 ??mo1/l, respectively, for the latter. An increase in plasma activity by 10% above normal of aspartate aminotransferase (AST) was observed in 40% of the cassava processors, whereas it was within normal range in all consumers. The activities of alanine aminotransferase (ALT) and alkaline phosphatase (ALK.PHOS) were within the normal value in all cases studied. The blood glucose level of 50% of the cassava processors was 100 mg/ml or above while that of the consumers was in the range of 68-85 mg/100 ml. The total protein, serum albumin and creatinine levels were in the range for normal values for the processors and consumers. The health implications of these findings are discussed. ?? 2002 Published by Elsevier Science Ltd.","author":[{"dropping-particle":"","family":"Okafor","given":"P. N.","non-dropping-particle":"","parse-names":false,"suffix":""},{"dropping-particle":"","family":"Okorowkwo","given":"C. O.","non-dropping-particle":"","parse-names":false,"suffix":""},{"dropping-particle":"","family":"Maduagwu","given":"E. N.","non-dropping-particle":"","parse-names":false,"suffix":""}],"container-title":"Food and Chemical Toxicology","id":"ITEM-1","issue":"7","issued":{"date-parts":[["2002"]]},"page":"1001-1005","title":"Occupational and dietary exposures of humans to cyanide poisoning from large-scale cassava processing and ingestion of cassava foods","type":"article-journal","volume":"40"},"uris":["http://www.mendeley.com/documents/?uuid=580d8e04-65e8-48ad-812a-862000c15442","http://www.mendeley.com/documents/?uuid=c5a6e32c-81e7-43ca-af23-d737799d79ba"]}],"mendeley":{"formattedCitation":"[6]","plainTextFormattedCitation":"[6]","previouslyFormattedCitation":"[29]"},"properties":{"noteIndex":0},"schema":"https://github.com/citation-style-language/schema/raw/master/csl-citation.json"}</w:instrText>
            </w:r>
            <w:r w:rsidRPr="00B750BB">
              <w:fldChar w:fldCharType="separate"/>
            </w:r>
            <w:r w:rsidRPr="00B750BB">
              <w:rPr>
                <w:noProof/>
              </w:rPr>
              <w:t>[6]</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Urine</w:t>
            </w:r>
          </w:p>
        </w:tc>
        <w:tc>
          <w:tcPr>
            <w:tcW w:w="1843" w:type="dxa"/>
            <w:vAlign w:val="center"/>
          </w:tcPr>
          <w:p w:rsidR="00B750BB" w:rsidRPr="00B750BB" w:rsidRDefault="00B750BB" w:rsidP="00B750BB">
            <w:pPr>
              <w:spacing w:after="200" w:line="276" w:lineRule="auto"/>
            </w:pPr>
            <w:proofErr w:type="spellStart"/>
            <w:r w:rsidRPr="00B750BB">
              <w:t>Linamarin</w:t>
            </w:r>
            <w:proofErr w:type="spellEnd"/>
            <w:r w:rsidRPr="00B750BB">
              <w:t>;</w:t>
            </w:r>
          </w:p>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rPr>
                <w:lang w:val="da-DK"/>
              </w:rPr>
            </w:pPr>
            <w:r w:rsidRPr="00B750BB">
              <w:fldChar w:fldCharType="begin" w:fldLock="1"/>
            </w:r>
            <w:r>
              <w:rPr>
                <w:lang w:val="da-DK"/>
              </w:rPr>
              <w:instrText>ADDIN CSL_CITATION {"citationItems":[{"id":"ITEM-1","itemData":{"DOI":"10.1080/096374800100886","ISBN":"0963-7486 (Print)\\n0963-7486","ISSN":"0963-7486","PMID":"10746103","abstract":"In a cassava-growing area in Malawi, where roots are processed by soaking and water is available throughout the year, we interviewed 176 women farmers regarding their preferences for cassava cultivars and frequency of cassava consumption. Dietary cyanogen exposure was estimated from urinary levels of linamarin, the cyanogenic glycoside in cassava, and urinary thiocyanate, the main cyanide metabolite. Protection against unplanned harvest by family members, theft and animal spoilage were stated to be very important reasons for growing bitter cassava cultivars by 91%, 90% and 74% of the women, respectively. The mean (± SD) number of cultivars grown by each woman was 4.6 (± 2.4). The correlation between mean taste and mean danger scores for the 25 most grown cultivars was strong (r &gt; 0.98). The scoring indicated that cultivars belonged to two distinct groups, eight to a group referred to as 'cool' and 17 to a group termed 'bitter'. The dumpling-like porridge (kondowole) made from cassava flour from bitter roots was eaten twice daily by 51% and at least weekly by 81%. The mean (± SEM) urinary linamarin was 14 (± 1) μmol/L and thiocyanate was 50 (± 4) μmol/L, less than a tenth of levels reported from populations eating insufficiently processed bitter cassava roots, and in the same range as in a non-smoking Swedish reference population. We conclude that cyanogenesis is a preferred characteristic of cassava by the studied farmers because it enhances food security. The availability of water and their knowledge about toxicity and processing enables these women farmers to provide a safe staple food from bitter cassava roots.","author":[{"dropping-particle":"","family":"Chiwona-Karltun, T. Tylleskar, J. M","given":"L.","non-dropping-particle":"","parse-names":false,"suffix":""}],"container-title":"International Journal of Food Sciences and Nutrition","id":"ITEM-1","issue":"1","issued":{"date-parts":[["2000"]]},"page":"33-43","title":"Low dietary cyanogen exposure from frequent consumption of potentially toxic cassava in Malawi","type":"article-journal","volume":"51"},"uris":["http://www.mendeley.com/documents/?uuid=843b8481-7e00-4959-9008-913529352a94","http://www.mendeley.com/documents/?uuid=3cc0d4e8-3a8d-4951-9148-c8a27cd7f7db"]}],"mendeley":{"formattedCitation":"[7]","plainTextFormattedCitation":"[7]","previouslyFormattedCitation":"[30]"},"properties":{"noteIndex":0},"schema":"https://github.com/citation-style-language/schema/raw/master/csl-citation.json"}</w:instrText>
            </w:r>
            <w:r w:rsidRPr="00B750BB">
              <w:fldChar w:fldCharType="separate"/>
            </w:r>
            <w:r w:rsidRPr="00B750BB">
              <w:rPr>
                <w:noProof/>
                <w:lang w:val="da-DK"/>
              </w:rPr>
              <w:t>[7]</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rPr>
                <w:lang w:val="da-DK"/>
              </w:rPr>
            </w:pPr>
            <w:r w:rsidRPr="00B750BB">
              <w:t>Cassava consumption (Stiff porridge)</w:t>
            </w:r>
          </w:p>
        </w:tc>
        <w:tc>
          <w:tcPr>
            <w:tcW w:w="1701" w:type="dxa"/>
            <w:vAlign w:val="center"/>
          </w:tcPr>
          <w:p w:rsidR="00B750BB" w:rsidRPr="00B750BB" w:rsidRDefault="00B750BB" w:rsidP="00B750BB">
            <w:pPr>
              <w:spacing w:after="200" w:line="276" w:lineRule="auto"/>
              <w:rPr>
                <w:lang w:val="da-DK"/>
              </w:rPr>
            </w:pPr>
            <w:r w:rsidRPr="00B750BB">
              <w:t>Human meal study</w:t>
            </w:r>
          </w:p>
        </w:tc>
        <w:tc>
          <w:tcPr>
            <w:tcW w:w="2126" w:type="dxa"/>
            <w:vAlign w:val="center"/>
          </w:tcPr>
          <w:p w:rsidR="00B750BB" w:rsidRPr="00B750BB" w:rsidRDefault="00B750BB" w:rsidP="00B750BB">
            <w:pPr>
              <w:spacing w:after="200" w:line="276" w:lineRule="auto"/>
            </w:pPr>
            <w:r w:rsidRPr="00B750BB">
              <w:t>Urine;</w:t>
            </w:r>
          </w:p>
          <w:p w:rsidR="00B750BB" w:rsidRPr="00B750BB" w:rsidRDefault="00B750BB" w:rsidP="00B750BB">
            <w:pPr>
              <w:spacing w:after="200" w:line="276" w:lineRule="auto"/>
            </w:pPr>
            <w:r w:rsidRPr="00B750BB">
              <w:t>serum</w:t>
            </w:r>
          </w:p>
          <w:p w:rsidR="00B750BB" w:rsidRPr="00B750BB" w:rsidRDefault="00B750BB" w:rsidP="00B750BB">
            <w:pPr>
              <w:spacing w:after="200" w:line="276" w:lineRule="auto"/>
            </w:pPr>
          </w:p>
        </w:tc>
        <w:tc>
          <w:tcPr>
            <w:tcW w:w="1843" w:type="dxa"/>
            <w:vAlign w:val="center"/>
          </w:tcPr>
          <w:p w:rsidR="00B750BB" w:rsidRPr="00B750BB" w:rsidRDefault="00B750BB" w:rsidP="00B750BB">
            <w:pPr>
              <w:spacing w:after="200" w:line="276" w:lineRule="auto"/>
            </w:pPr>
            <w:r w:rsidRPr="00B750BB">
              <w:t>Thiocyanate;</w:t>
            </w:r>
          </w:p>
          <w:p w:rsidR="00B750BB" w:rsidRPr="00B750BB" w:rsidRDefault="00B750BB" w:rsidP="00B750BB">
            <w:pPr>
              <w:spacing w:after="200" w:line="276" w:lineRule="auto"/>
            </w:pPr>
            <w:proofErr w:type="spellStart"/>
            <w:r w:rsidRPr="00B750BB">
              <w:t>Linamarin</w:t>
            </w:r>
            <w:proofErr w:type="spellEnd"/>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{"citationItems":[{"id":"ITEM-1","itemData":{"DOI":"10.1016/S0278-6915(99)00015-0","ISBN":"0278-6915","ISSN":"02786915","PMID":"10418947","abstract":"Insufficiently processed products from cassava roots may contain residual amounts of cyanogenic glucosides, mainly linamarin. The fate of orally ingested linamarin was studied following a meal of cassava porridge prepared from cassava flour from southern Tanzania with 82 mg cyanide equivalents (3035 ??mol) of linamarin per kg dry weight. Following ingestion of amounts of porridge containing 243-571 ??mol linamarin by 15 healthy adults a mean (range) of 21% (1-47%) of the linamarin ingested was excreted in the urine within 24 hours and a mean of 1% in the next 24 hours. Serum thiocyanate, the main cyanide metabolite, increased in all subjects from a mean (?? SD) of 34 ?? 26 to 78 ?? 28 ??mol/litre (P &lt; 0.001). In a second group of seven subjects we found that the ingestion of porridge with a mean (range) of 431 ??mol (203-669%) of linamarin resulted in a mean linamarin excretion of 127 ??mol/litre and an excess thiocyanate excretion of 118 ??mol/litre and that 216 ??mol was unaccounted for. We conclude that less than one-half of orally ingested linamarin is converted to cyanide and hence thiocyanate, about one-quarter is excreted unchanged and another quarter is metabolized into an as yet unknown compound.","author":[{"dropping-particle":"","family":"Carlsson","given":"L.","non-dropping-particle":"","parse-names":false,"suffix":""},{"dropping-particle":"","family":"Mlingi","given":"N.","non-dropping-particle":"","parse-names":false,"suffix":""},{"dropping-particle":"","family":"Juma","given":"A.","non-dropping-particle":"","parse-names":false,"suffix":""},{"dropping-particle":"","family":"Ronquist","given":"G.","non-dropping-particle":"","parse-names":false,"suffix":""},{"dropping-particle":"","family":"Rosling","given":"H.","non-dropping-particle":"","parse-names":false,"suffix":""}],"container-title":"Food and Chemical Toxicology","id":"ITEM-1","issue":"4","issued":{"date-parts":[["1999"]]},"page":"307-312","title":"Metabolic fates in humans of linamarin in cassava flour ingested as stiff porridge","type":"article-journal","volume":"37"},"uris":["http://www.mendeley.com/documents/?uuid=7abc9387-0504-4bd5-b19b-3d3e58dd4fff","http://www.mendeley.com/documents/?uuid=7b2abfb4-b8ff-4dd4-b14d-1b9f41796269"]}],"mendeley":{"formattedCitation":"[8]","plainTextFormattedCitation":"[8]","previouslyFormattedCitation":"[31]"},"properties":{"noteIndex":0},"schema":"https://github.com/citation-style-language/schema/raw/master/csl-citation.json"}</w:instrText>
            </w:r>
            <w:r w:rsidRPr="00B750BB">
              <w:fldChar w:fldCharType="separate"/>
            </w:r>
            <w:r w:rsidRPr="00B750BB">
              <w:rPr>
                <w:noProof/>
              </w:rPr>
              <w:t>[8]</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 (Stiff porridge made from short-soaked roots of bitter cassava varieties)</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Urine</w:t>
            </w:r>
          </w:p>
        </w:tc>
        <w:tc>
          <w:tcPr>
            <w:tcW w:w="1843" w:type="dxa"/>
            <w:vAlign w:val="center"/>
          </w:tcPr>
          <w:p w:rsidR="00B750BB" w:rsidRPr="00B750BB" w:rsidRDefault="00B750BB" w:rsidP="00B750BB">
            <w:pPr>
              <w:spacing w:after="200" w:line="276" w:lineRule="auto"/>
            </w:pPr>
            <w:proofErr w:type="spellStart"/>
            <w:r w:rsidRPr="00B750BB">
              <w:t>Linamarin</w:t>
            </w:r>
            <w:proofErr w:type="spellEnd"/>
            <w:r w:rsidRPr="00B750BB">
              <w:t>;</w:t>
            </w:r>
          </w:p>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{"citationItems":[{"id":"ITEM-1","itemData":{"ISBN":"0367-0244","ISSN":"03670244","abstract":"In Kinshasa, the capital of former Zaire, cassava is the dominant staple food and it is mainly supplied from Bandundu and Bas-Zaire regions. In Bandundu, consumption of short-soaked and insufficiently dried cassava roots has caused high cyanide exposure that was associated to acute poisonings and outbreaks of the paralytic disease konzo. As no such effects have been reported from the capital, we investigated if cassava consumption resulted in cyanide exposure in Kinshasa. Food frequency interviews with 205 women showed that 85% consumed a cassava-based product daily, Mean +/- SEM urinary thiocyanate, the main cyanide metabolite, was 12 +/- 1 mu mol/l in women in Kinshasa compared to 558 +/- 47 mu mol/l among women ina rural area in Bandundu where short-processed cassava was consumed. The absence of cyanide exposure in Kinshasa may be explained by disappearance of cyanogens from roots during transport, storage, and careful drying preceding mechanical milling done by all women in Kinshasa.","author":[{"dropping-particle":"","family":"Banea-Mayambu","given":"J P","non-dropping-particle":"","parse-names":false,"suffix":""},{"dropping-particle":"","family":"Nkiabungu","given":"B","non-dropping-particle":"","parse-names":false,"suffix":""},{"dropping-particle":"","family":"Tylleskar","given":"T","non-dropping-particle":"","parse-names":false,"suffix":""},{"dropping-particle":"","family":"Rosling","given":"H","non-dropping-particle":"","parse-names":false,"suffix":""}],"container-title":"Ecology of Food and Nutrition","id":"ITEM-1","issue":"4","issued":{"date-parts":[["1998"]]},"page":"363-377","title":"High cassava consumption without cyanide exposure in Kinshasa, in former Zaire","type":"article-journal","volume":"37"},"uris":["http://www.mendeley.com/documents/?uuid=bd3dd145-4c60-4b1c-ba91-c4ab91a2459f","http://www.mendeley.com/documents/?uuid=ec295d37-27fa-4ab9-a2a3-8ff7f31a95d2"]}],"mendeley":{"formattedCitation":"[9]","plainTextFormattedCitation":"[9]","previouslyFormattedCitation":"[32]"},"properties":{"noteIndex":0},"schema":"https://github.com/citation-style-language/schema/raw/master/csl-citation.json"}</w:instrText>
            </w:r>
            <w:r w:rsidRPr="00B750BB">
              <w:fldChar w:fldCharType="separate"/>
            </w:r>
            <w:r w:rsidRPr="00B750BB">
              <w:rPr>
                <w:noProof/>
              </w:rPr>
              <w:t>[9]</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lastRenderedPageBreak/>
              <w:t>Cassava consumption</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Urine</w:t>
            </w:r>
          </w:p>
        </w:tc>
        <w:tc>
          <w:tcPr>
            <w:tcW w:w="1843" w:type="dxa"/>
            <w:vAlign w:val="center"/>
          </w:tcPr>
          <w:p w:rsidR="00B750BB" w:rsidRPr="00B750BB" w:rsidRDefault="00B750BB" w:rsidP="00B750BB">
            <w:pPr>
              <w:spacing w:after="200" w:line="276" w:lineRule="auto"/>
            </w:pPr>
            <w:r w:rsidRPr="00B750BB">
              <w:t>ATC</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{"citationItems":[{"id":"ITEM-1","itemData":{"DOI":"10.1006/abio.1995.1310","ISBN":"0003-2697","ISSN":"00032697","PMID":"8572284","abstract":"The cyanide metabolite 2-aminothiazoline-4-carboxylic acid (ATC) was converted to N-carbamylcysteine and analyzed by high-performance liquid chromatography (HPLC) and fluorometric detection. ATC was first separated from interfering substances by passing through the cation exchanger AG 50W-X8. Interfering disulfides were converted to thiols by reduction of the eluate with thiopropyl-Sepharose 6B. The thiols were then adsorbed to the organomercurial adsorbent p-acetoxymercurianiline-Sepharose 4B while ATC was obtained in the effluent. ATC was then converted to N-carbamylcysteine by ring opening at high temperature in an alkaline environment. Derivatization of N-carbamylcysteine was with N-(7-dimethylamino-4-methyl-3 coumarinyl)maleimide. The imprecision (CV) of the method was 3.6% and the analytical recovery was quantitative. The detection limit was 0.3 μM. ATC in urine was stable for at least 3 months when stored at −196 to +20°C. The ATC concentration in urine was below the limit of detection in healthy nonsmokers. The utility of the method was demonstrated by the finding of up to 10.5 μM ATC concentrations in urine samples from human subjects in Mozambique living on a high dietary intake of cyanide from the cassava root. In a metabolic study rats were exposed to acetonitrile in the drinking water. After 4 weeks very high ATC levels were found in the urine, representative values from two rats being 195 and 525 μM, respectively.","author":[{"dropping-particle":"","family":"Lundquist","given":"P.","non-dropping-particle":"","parse-names":false,"suffix":""},{"dropping-particle":"","family":"Kagedal","given":"B.","non-dropping-particle":"","parse-names":false,"suffix":""},{"dropping-particle":"","family":"Nilsson","given":"L.","non-dropping-particle":"","parse-names":false,"suffix":""},{"dropping-particle":"","family":"Rosling","given":"H.","non-dropping-particle":"","parse-names":false,"suffix":""}],"container-title":"Analytical Biochemistry","id":"ITEM-1","issue":"1","issued":{"date-parts":[["1995"]]},"page":"27-34","title":"Analysis of the Cyanide Metabolite 2-Aminothiazoline-4-Carboxylic Acid in Urine by High-Performance Liquid Chromatography","type":"article-journal","volume":"228"},"uris":["http://www.mendeley.com/documents/?uuid=977f4792-22ab-46af-b15d-0492bb04b64c"]}],"mendeley":{"formattedCitation":"[10]","plainTextFormattedCitation":"[10]","previouslyFormattedCitation":"[33]"},"properties":{"noteIndex":0},"schema":"https://github.com/citation-style-language/schema/raw/master/csl-citation.json"}</w:instrText>
            </w:r>
            <w:r w:rsidRPr="00B750BB">
              <w:fldChar w:fldCharType="separate"/>
            </w:r>
            <w:r w:rsidRPr="00B750BB">
              <w:rPr>
                <w:noProof/>
              </w:rPr>
              <w:t>[10]</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 (</w:t>
            </w:r>
            <w:proofErr w:type="spellStart"/>
            <w:r w:rsidRPr="00B750BB">
              <w:t>Gari</w:t>
            </w:r>
            <w:proofErr w:type="spellEnd"/>
            <w:r w:rsidRPr="00B750BB">
              <w:t>-based meals)</w:t>
            </w:r>
          </w:p>
        </w:tc>
        <w:tc>
          <w:tcPr>
            <w:tcW w:w="1701" w:type="dxa"/>
            <w:vAlign w:val="center"/>
          </w:tcPr>
          <w:p w:rsidR="00B750BB" w:rsidRPr="00B750BB" w:rsidRDefault="00B750BB" w:rsidP="00B750BB">
            <w:pPr>
              <w:spacing w:after="200" w:line="276" w:lineRule="auto"/>
            </w:pPr>
            <w:r w:rsidRPr="00B750BB">
              <w:t>Human meal study</w:t>
            </w:r>
          </w:p>
        </w:tc>
        <w:tc>
          <w:tcPr>
            <w:tcW w:w="2126" w:type="dxa"/>
            <w:vAlign w:val="center"/>
          </w:tcPr>
          <w:p w:rsidR="00B750BB" w:rsidRPr="00B750BB" w:rsidRDefault="00B750BB" w:rsidP="00B750BB">
            <w:pPr>
              <w:spacing w:after="200" w:line="276" w:lineRule="auto"/>
            </w:pPr>
            <w:r w:rsidRPr="00B750BB">
              <w:t>Serum;</w:t>
            </w:r>
          </w:p>
          <w:p w:rsidR="00B750BB" w:rsidRPr="00B750BB" w:rsidRDefault="00B750BB" w:rsidP="00B750BB">
            <w:pPr>
              <w:spacing w:after="200" w:line="276" w:lineRule="auto"/>
            </w:pPr>
            <w:r w:rsidRPr="00B750BB">
              <w:t>urine</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{"citationItems":[{"id":"ITEM-1","itemData":{"DOI":"10.1007/BF01088426","ISSN":"09219668","abstract":"Thiocyanate levels were determined in serum and urine samples obtained from a human population sample of healthy non-smoking volunteers (aged between 14 and 30 years) of both sexes known to eat gari-based meals at least once a day. The samples were collected before and 3-4 hours after a gari- or rice-based meal. The values obtained before the test meals showed a wide variation, ranging between 39.20 +/- 1.95 to 160.95 +/- 8.06 mumol/l of serum, and 81.92 +/- 9.78 to 294.01 +/- 14.70 mumol/l of urine. For each volunteer, the serum and urine thiocyanate were affected by the test meals. Average increases of 18 and 20% were observed for serum and urine thiocyanate, respectively, following a gari-based meal. A rice-based meal produced, on the average, 10% decrease in both serum and urine thiocyanate. No significant effect of sex or age on the thiocyanate levels was observed. The gari samples used in the study, as well as random samples from the locality of study, had no detectable thiocyanate but contained between 0.013 and 0.015 mg cyanide per kg of gari. These findings indicate that conversion to thiocyanate is a significant pathway in the metabolism of HCN and contributes significantly to thiocyanate found in body fluids and tissues of man. In addition, support is provided for the possible involvement of the sulphur-transferases in the process of cyanide detoxication.","author":[{"dropping-particle":"","family":"Eminedoki","given":"D. G.","non-dropping-particle":"","parse-names":false,"suffix":""},{"dropping-particle":"","family":"Monanu","given":"M. O.","non-dropping-particle":"","parse-names":false,"suffix":""},{"dropping-particle":"","family":"Anosike","given":"E. O.","non-dropping-particle":"","parse-names":false,"suffix":""}],"container-title":"Plant Foods for Human Nutrition","id":"ITEM-1","issue":"4","issued":{"date-parts":[["1994"]]},"page":"277-285","title":"Thiocyanate levels of mainly dietary origin in serum and urine from a human population sample in Port Harcourt, Nigeria","type":"article-journal","volume":"46"},"uris":["http://www.mendeley.com/documents/?uuid=99805cce-caae-4204-a2b9-cc775cb4ebdf","http://www.mendeley.com/documents/?uuid=9b3436e9-23e2-4e17-9369-b102e9c54824"]}],"mendeley":{"formattedCitation":"[11]","plainTextFormattedCitation":"[11]","previouslyFormattedCitation":"[34]"},"properties":{"noteIndex":0},"schema":"https://github.com/citation-style-language/schema/raw/master/csl-citation.json"}</w:instrText>
            </w:r>
            <w:r w:rsidRPr="00B750BB">
              <w:fldChar w:fldCharType="separate"/>
            </w:r>
            <w:r w:rsidRPr="00B750BB">
              <w:rPr>
                <w:noProof/>
              </w:rPr>
              <w:t>[11]</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Urine</w:t>
            </w:r>
          </w:p>
        </w:tc>
        <w:tc>
          <w:tcPr>
            <w:tcW w:w="1843" w:type="dxa"/>
            <w:vAlign w:val="center"/>
          </w:tcPr>
          <w:p w:rsidR="00B750BB" w:rsidRPr="00B750BB" w:rsidRDefault="00B750BB" w:rsidP="00B750BB">
            <w:pPr>
              <w:spacing w:after="200" w:line="276" w:lineRule="auto"/>
            </w:pPr>
            <w:r w:rsidRPr="00B750BB">
              <w:t>Thiocyanate;</w:t>
            </w:r>
          </w:p>
          <w:p w:rsidR="00B750BB" w:rsidRPr="00B750BB" w:rsidRDefault="00B750BB" w:rsidP="00B750BB">
            <w:pPr>
              <w:spacing w:after="200" w:line="276" w:lineRule="auto"/>
            </w:pPr>
            <w:proofErr w:type="spellStart"/>
            <w:r w:rsidRPr="00B750BB">
              <w:t>Linamarin</w:t>
            </w:r>
            <w:proofErr w:type="spellEnd"/>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{"citationItems":[{"id":"ITEM-1","itemData":{"DOI":"10.1016/0278-6915(93)90210-P","ISBN":"0278-6915 (Print)\\r0278-6915","ISSN":"02786915","PMID":"8349206","abstract":"A method for quantitative determination of cyanogenic glycosides in human urine is described. It is based on enzymatic cleavage of the glycosides, microdiffusion of the hydrogen cyanide formed, solid state detection by colour formation on a picrate-impregnated sheet, and subsequent rating of the coloured spot by the absorption of transmitted light at 540 nm with a thin-layer (TLC) densitometer. The method has been tested using normal as well as pathological urines containing glucose, protein, leucocytes, blood and bacteria. The method allows quantification of urinary linamarin above 70 μmol/litre, in 40 μl urine. In Mozambican subjects consuming insufficiently processed cassava the mean urinary linamarin levels were 211 μmol/litre, indicating for the first time that substantial amounts of the main cyanogenic glycoside in cassava may be absorbed from the human gut and excreted intact in the urine. © 1993.","author":[{"dropping-particle":"","family":"Brimer","given":"L.","non-dropping-particle":"","parse-names":false,"suffix":""},{"dropping-particle":"","family":"Rosling","given":"H.","non-dropping-particle":"","parse-names":false,"suffix":""}],"container-title":"Food and Chemical Toxicology","id":"ITEM-1","issue":"8","issued":{"date-parts":[["1993"]]},"page":"599-603","title":"Microdiffusion method with solid state detection of cyanogenic glycosides from cassava in human urine","type":"article-journal","volume":"31"},"uris":["http://www.mendeley.com/documents/?uuid=a736fd35-72a3-4a9b-808c-90eedad8fc28"]}],"mendeley":{"formattedCitation":"[12]","plainTextFormattedCitation":"[12]","previouslyFormattedCitation":"[35]"},"properties":{"noteIndex":0},"schema":"https://github.com/citation-style-language/schema/raw/master/csl-citation.json"}</w:instrText>
            </w:r>
            <w:r w:rsidRPr="00B750BB">
              <w:fldChar w:fldCharType="separate"/>
            </w:r>
            <w:r w:rsidRPr="00B750BB">
              <w:rPr>
                <w:noProof/>
              </w:rPr>
              <w:t>[12]</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 (</w:t>
            </w:r>
            <w:proofErr w:type="spellStart"/>
            <w:r w:rsidRPr="00B750BB">
              <w:t>Gari</w:t>
            </w:r>
            <w:proofErr w:type="spellEnd"/>
            <w:r w:rsidRPr="00B750BB">
              <w:t>-based meal)</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Serum</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{"citationItems":[{"id":"ITEM-1","itemData":{"DOI":"10.1016/0020-7292(91)90541-C","ISBN":"0020-7292 (Print)\\n0020-7292 (Linking)","ISSN":"00207292","PMID":"1671024","abstract":"Sera from pregnant and nonpregnant women were analyzed for thiocyanate. Serum thiocyanate concentration was higher in Nigerians compared with Caucasians and was significantly higher also in pregnancy. Hypoalbuminemia and dietary consumption of cyanogenic substances in pregnancy probably contributed to the higher thiocyanate levels. This may have a possible significant bearing on the fetal well-being, particularly fetal birthweight. © 1990.","author":[{"dropping-particle":"","family":"Oforofuo","given":"I. A.O.","non-dropping-particle":"","parse-names":false,"suffix":""},{"dropping-particle":"","family":"Omu","given":"A. E.","non-dropping-particle":"","parse-names":false,"suffix":""}],"container-title":"International Journal of Gynecology and Obstetrics","id":"ITEM-1","issue":"1","issued":{"date-parts":[["1991"]]},"page":"65-69","title":"Serum thiocyanate levels in a normal population and in pregnancy in Benin City, Nigeria: preliminary report","type":"article-journal","volume":"34"},"uris":["http://www.mendeley.com/documents/?uuid=f288b1e8-d75b-4945-902c-78e162299a39"]}],"mendeley":{"formattedCitation":"[13]","plainTextFormattedCitation":"[13]","previouslyFormattedCitation":"[36]"},"properties":{"noteIndex":0},"schema":"https://github.com/citation-style-language/schema/raw/master/csl-citation.json"}</w:instrText>
            </w:r>
            <w:r w:rsidRPr="00B750BB">
              <w:fldChar w:fldCharType="separate"/>
            </w:r>
            <w:r w:rsidRPr="00B750BB">
              <w:rPr>
                <w:noProof/>
              </w:rPr>
              <w:t>[13]</w:t>
            </w:r>
            <w:r w:rsidRPr="00B750BB">
              <w:fldChar w:fldCharType="end"/>
            </w:r>
          </w:p>
        </w:tc>
      </w:tr>
      <w:tr w:rsidR="00B750BB" w:rsidRPr="00B750BB" w:rsidTr="007D7CD2">
        <w:trPr>
          <w:trHeight w:val="1083"/>
          <w:jc w:val="center"/>
        </w:trPr>
        <w:tc>
          <w:tcPr>
            <w:tcW w:w="2662" w:type="dxa"/>
            <w:vAlign w:val="center"/>
          </w:tcPr>
          <w:p w:rsidR="00B750BB" w:rsidRPr="00B750BB" w:rsidRDefault="00B750BB" w:rsidP="00B750BB">
            <w:pPr>
              <w:spacing w:after="200" w:line="276" w:lineRule="auto"/>
            </w:pPr>
            <w:r w:rsidRPr="00B750BB">
              <w:t>Cassava consumption (</w:t>
            </w:r>
            <w:proofErr w:type="spellStart"/>
            <w:r w:rsidRPr="00B750BB">
              <w:t>Gari</w:t>
            </w:r>
            <w:proofErr w:type="spellEnd"/>
            <w:r w:rsidRPr="00B750BB">
              <w:t>-based meal)</w:t>
            </w:r>
          </w:p>
        </w:tc>
        <w:tc>
          <w:tcPr>
            <w:tcW w:w="1701" w:type="dxa"/>
            <w:vAlign w:val="center"/>
          </w:tcPr>
          <w:p w:rsidR="00B750BB" w:rsidRPr="00B750BB" w:rsidRDefault="00B750BB" w:rsidP="00B750BB">
            <w:pPr>
              <w:spacing w:after="200" w:line="276" w:lineRule="auto"/>
            </w:pPr>
            <w:r w:rsidRPr="00B750BB">
              <w:rPr>
                <w:rFonts w:hint="eastAsia"/>
              </w:rPr>
              <w:t>Observational</w:t>
            </w:r>
            <w:r w:rsidRPr="00B750BB">
              <w:t xml:space="preserve"> study</w:t>
            </w:r>
          </w:p>
        </w:tc>
        <w:tc>
          <w:tcPr>
            <w:tcW w:w="2126" w:type="dxa"/>
            <w:vAlign w:val="center"/>
          </w:tcPr>
          <w:p w:rsidR="00B750BB" w:rsidRPr="00B750BB" w:rsidRDefault="00B750BB" w:rsidP="00B750BB">
            <w:pPr>
              <w:spacing w:after="200" w:line="276" w:lineRule="auto"/>
            </w:pPr>
            <w:r w:rsidRPr="00B750BB">
              <w:t>Whole blood; plasm (prior and 3-4 hours</w:t>
            </w:r>
          </w:p>
          <w:p w:rsidR="00B750BB" w:rsidRPr="00B750BB" w:rsidRDefault="00B750BB" w:rsidP="00B750BB">
            <w:pPr>
              <w:spacing w:after="200" w:line="276" w:lineRule="auto"/>
            </w:pPr>
            <w:proofErr w:type="spellStart"/>
            <w:r w:rsidRPr="00B750BB">
              <w:t>postdose</w:t>
            </w:r>
            <w:proofErr w:type="spellEnd"/>
            <w:r w:rsidRPr="00B750BB">
              <w:t>)</w:t>
            </w:r>
          </w:p>
        </w:tc>
        <w:tc>
          <w:tcPr>
            <w:tcW w:w="1843" w:type="dxa"/>
            <w:vAlign w:val="center"/>
          </w:tcPr>
          <w:p w:rsidR="00B750BB" w:rsidRPr="00B750BB" w:rsidRDefault="00B750BB" w:rsidP="00B750BB">
            <w:pPr>
              <w:spacing w:after="200" w:line="276" w:lineRule="auto"/>
            </w:pPr>
            <w:r w:rsidRPr="00B750BB">
              <w:t>Cyanide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{"citationItems":[{"id":"ITEM-1","itemData":{"DOI":"10.1007/BF02194080","ISBN":"0921-9668 (Print)\\r0921-9668","ISSN":"09219668","PMID":"1852725","abstract":"Whole blood cyanide levels in a human population sample of volunteers known to each gari-based meals at least once a day were determined. The most widely eaten cassava product in the area of research is gari. The mean blood cyanide obtained for healthy normal volunteers was 0.294 +/- 0.09 mumol/L while the value for sicklers was 0.398 +/- 0.008 mumol/L, indicating the possibility of reduced rate of metabolism and excretion of cyanide by sicklers as compared to non-sicklers. Investigation of post-absorption distribution indicated that whole blood cyanide increased by 0.014 mumol/L, 3-4 hours after a gari-based meal in normal volunteers. A decrease of 0.012 mumol/L occurred after a whole-rice meal. The increase in plasma cyanide 2-3 hours after a gari-based meal was about 25% more than the increase in erythrocyte cyanide suggesting a significant contribution of plasma cyanide to whole blood cyanide levels. 0.013-0.015 mg cyanide per kg of gari was determined for samples of this staple food in the locality of research.","author":[{"dropping-particle":"","family":"Uwakwe","given":"A. A.","non-dropping-particle":"","parse-names":false,"suffix":""},{"dropping-particle":"","family":"Monanu","given":"M. O.","non-dropping-particle":"","parse-names":false,"suffix":""},{"dropping-particle":"","family":"Anosike","given":"E. O.","non-dropping-particle":"","parse-names":false,"suffix":""}],"container-title":"Plant Foods for Human Nutrition","id":"ITEM-1","issue":"2","issued":{"date-parts":[["1991"]]},"page":"117-124","title":"Whole blood cyanide levels of mainly dietary origin in a human population sample in Port Harcourt, Nigeria","type":"article-journal","volume":"41"},"uris":["http://www.mendeley.com/documents/?uuid=9d0c272a-a0b6-46db-b5f9-8e365391e9b7"]}],"mendeley":{"formattedCitation":"[14]","plainTextFormattedCitation":"[14]","previouslyFormattedCitation":"[37]"},"properties":{"noteIndex":0},"schema":"https://github.com/citation-style-language/schema/raw/master/csl-citation.json"}</w:instrText>
            </w:r>
            <w:r w:rsidRPr="00B750BB">
              <w:fldChar w:fldCharType="separate"/>
            </w:r>
            <w:r w:rsidRPr="00B750BB">
              <w:rPr>
                <w:noProof/>
              </w:rPr>
              <w:t>[14]</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 (Cooked cassava)</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Urine;</w:t>
            </w:r>
          </w:p>
          <w:p w:rsidR="00B750BB" w:rsidRPr="00B750BB" w:rsidRDefault="00B750BB" w:rsidP="00B750BB">
            <w:pPr>
              <w:spacing w:after="200" w:line="276" w:lineRule="auto"/>
            </w:pPr>
            <w:r w:rsidRPr="00B750BB">
              <w:t>plasma</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{"citationItems":[{"id":"ITEM-1","itemData":{"abstract":"Reference values of biomarkers in the general population not occupationally exposed to the toxic substances under study are important tools to compare data obtained in a population which is presumed to be exposed. The goal of this study was to establish the reference values of urinary and plasma thiocyanate, using a spectrophotometric method, in 193 healthy nonsmoking subjects of both sexes not occupationally exposed to cyanide or related compounds. The mean values ±95% confidence range were 2,04 mg/L ± 0,22 and 1,13 ± 0,11 mg/g creatinine, respectively for plasma and urine thiocyanate. The statistical analysis shows that the age, sex and alcohol ingestion, do not interfere in the values of the studied biomarkers. Therefore, the intake of cooked cassava rises significantly the levels of thiocyanate, mainly in the plasma. This is an important factor to be considered in Brazil where cassava is extensively consumed.","author":[{"dropping-particle":"","family":"Pereira Bastos De Siqueira","given":"M.E.","non-dropping-particle":"","parse-names":false,"suffix":""},{"dropping-particle":"","family":"Barros","given":"J.M.","non-dropping-particle":"","parse-names":false,"suffix":""},{"dropping-particle":"","family":"Alves Oliveira","given":"A.","non-dropping-particle":"","parse-names":false,"suffix":""},{"dropping-particle":"","family":"Costa Esteves","given":"M.T.","non-dropping-particle":"","parse-names":false,"suffix":""}],"container-title":"Revista de Farmacia e Bioquimica da Universidade de Sao Paulo","id":"ITEM-1","issue":"1","issued":{"date-parts":[["1996"]]},"page":"21-27","title":"Urinary and plasmatic reference levels for thiocyanates","type":"article-journal","volume":"32"},"uris":["http://www.mendeley.com/documents/?uuid=b7824fa8-3a9a-3c27-92a5-56f6ae2e77b6"]}],"mendeley":{"formattedCitation":"[15]","plainTextFormattedCitation":"[15]","previouslyFormattedCitation":"[38]"},"properties":{"noteIndex":0},"schema":"https://github.com/citation-style-language/schema/raw/master/csl-citation.json"}</w:instrText>
            </w:r>
            <w:r w:rsidRPr="00B750BB">
              <w:fldChar w:fldCharType="separate"/>
            </w:r>
            <w:r w:rsidRPr="00B750BB">
              <w:rPr>
                <w:noProof/>
              </w:rPr>
              <w:t>[15]</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 (</w:t>
            </w:r>
            <w:proofErr w:type="spellStart"/>
            <w:r w:rsidRPr="00B750BB">
              <w:t>Unsoaked</w:t>
            </w:r>
            <w:proofErr w:type="spellEnd"/>
            <w:r w:rsidRPr="00B750BB">
              <w:t xml:space="preserve"> cassava)</w:t>
            </w:r>
          </w:p>
        </w:tc>
        <w:tc>
          <w:tcPr>
            <w:tcW w:w="1701" w:type="dxa"/>
            <w:vAlign w:val="center"/>
          </w:tcPr>
          <w:p w:rsidR="00B750BB" w:rsidRPr="00B750BB" w:rsidRDefault="00B750BB" w:rsidP="00B750BB">
            <w:pPr>
              <w:spacing w:after="200" w:line="276" w:lineRule="auto"/>
            </w:pPr>
            <w:r w:rsidRPr="00B750BB">
              <w:t>Intervention study</w:t>
            </w:r>
          </w:p>
        </w:tc>
        <w:tc>
          <w:tcPr>
            <w:tcW w:w="2126" w:type="dxa"/>
            <w:vAlign w:val="center"/>
          </w:tcPr>
          <w:p w:rsidR="00B750BB" w:rsidRPr="00B750BB" w:rsidRDefault="00B750BB" w:rsidP="00B750BB">
            <w:pPr>
              <w:spacing w:after="200" w:line="276" w:lineRule="auto"/>
            </w:pPr>
            <w:r w:rsidRPr="00B750BB">
              <w:t>Serum;</w:t>
            </w:r>
          </w:p>
          <w:p w:rsidR="00B750BB" w:rsidRPr="00B750BB" w:rsidRDefault="00B750BB" w:rsidP="00B750BB">
            <w:pPr>
              <w:spacing w:after="200" w:line="276" w:lineRule="auto"/>
            </w:pPr>
            <w:r w:rsidRPr="00B750BB">
              <w:t>urine</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{"citationItems":[{"id":"ITEM-1","itemData":{"ISBN":"0003-4266 (Print)\\r0003-4266","ISSN":"0003-4266","PMID":"6176177","abstract":"Ingestion of unsoaked cassava is followed by an increase of the thiocyanate production in men and in rats. Even a moderate increase of serum SCN concentration induces, in chronic conditions, a clearcut goitrogenic effect characterized by the aggravation of the effects of a preexisting iodine deficiency. The mechanism of the antithyroid action of SCN at low concentrations, lies in an acceleration of the exit rate of thyroidal iodide; this effect cannot be identified by the usual clinical investigation with Iodine131.","author":[{"dropping-particle":"","family":"Ermans","given":"A M","non-dropping-particle":"","parse-names":false,"suffix":""}],"container-title":"Ann Endocrinol (Paris)","id":"ITEM-1","issue":"4-5","issued":{"date-parts":[["1981"]]},"page":"435-438","title":"Goitrogens of vegetable origin as possible aetiological factors in endemic goiter (author's transl)","type":"article-journal","volume":"42"},"uris":["http://www.mendeley.com/documents/?uuid=855a5db1-cfae-3052-ad47-22c8130632f4"]}],"mendeley":{"formattedCitation":"[16]","plainTextFormattedCitation":"[16]","previouslyFormattedCitation":"[39]"},"properties":{"noteIndex":0},"schema":"https://github.com/citation-style-language/schema/raw/master/csl-citation.json"}</w:instrText>
            </w:r>
            <w:r w:rsidRPr="00B750BB">
              <w:fldChar w:fldCharType="separate"/>
            </w:r>
            <w:r w:rsidRPr="00B750BB">
              <w:rPr>
                <w:noProof/>
              </w:rPr>
              <w:t>[16]</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 (Cassava meals)</w:t>
            </w:r>
          </w:p>
        </w:tc>
        <w:tc>
          <w:tcPr>
            <w:tcW w:w="1701" w:type="dxa"/>
            <w:vAlign w:val="center"/>
          </w:tcPr>
          <w:p w:rsidR="00B750BB" w:rsidRPr="00B750BB" w:rsidRDefault="00B750BB" w:rsidP="00B750BB">
            <w:pPr>
              <w:spacing w:after="200" w:line="276" w:lineRule="auto"/>
            </w:pPr>
            <w:r w:rsidRPr="00B750BB">
              <w:t>Human meal study</w:t>
            </w:r>
          </w:p>
        </w:tc>
        <w:tc>
          <w:tcPr>
            <w:tcW w:w="2126" w:type="dxa"/>
            <w:vAlign w:val="center"/>
          </w:tcPr>
          <w:p w:rsidR="00B750BB" w:rsidRPr="00B750BB" w:rsidRDefault="00B750BB" w:rsidP="00B750BB">
            <w:pPr>
              <w:spacing w:after="200" w:line="276" w:lineRule="auto"/>
            </w:pPr>
            <w:r w:rsidRPr="00B750BB">
              <w:t>Plasma</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{"citationItems":[{"id":"ITEM-1","itemData":{"ISSN":"0954-3007","PMID":"2354694","abstract":"We measured plasma glucose and thiocyanate levels before and up to 4 h after feeding 11 overnight fasted healthy non-diabetic volunteers randomly on three occasions each with three locally consumed cassava meals: (i) gari as eba 50 g; (ii) lafun 50 g and (iii) parboiled cassava flakes 76 g. Each of these meals contained 175 kcal (0.7 MJ) and was consumed with a sauce to a total caloric value of 300 kcal (1.26 MJ). On the fourth visit, each volunteer consumed 75 g glucose. While the peak and 2-h glucose values were greatest with oral glucose (P less than 0.01), they were similar with the three cassava meals, although tended to be lowest with lafun. Similarly, areas (incremental and total) under the glucose/time curves were highest with oral glucose (P less than 0.05), but while eba and cassava flakes were similar, lafun had the lowest values (P less than 0.05). Plasma thiocyanate levels were unchanged after ingestion of oral glucose and eba, but increased to peak values (P less than 0.05) by 14 per cent on cassava flakes and by 23 per cent on lafun. We conclude that post-prandial glycaemia and plasma thiocyanate levels after cassava meals depend on the mode of preparation of the meal and that lafun showed the least glycaemic response of the three cassava meals tested although it caused the greatest increase in plasma thiocyanate levels. These findings suggest that a cyanogenetic potential does not always reflect a tendency to hyperglycaemia.","author":[{"dropping-particle":"","family":"Akanji","given":"A O","non-dropping-particle":"","parse-names":false,"suffix":""},{"dropping-particle":"","family":"Adeyefa","given":"I","non-dropping-particle":"","parse-names":false,"suffix":""},{"dropping-particle":"","family":"Charles-Davies","given":"M","non-dropping-particle":"","parse-names":false,"suffix":""},{"dropping-particle":"","family":"Osotimehin","given":"B O","non-dropping-particle":"","parse-names":false,"suffix":""}],"container-title":"European journal of clinical nutrition","id":"ITEM-1","issue":"1","issued":{"date-parts":[["1990","1"]]},"page":"71-7","title":"Plasma glucose and thiocyanate responses to different mixed cassava meals in non-diabetic Nigerians.","type":"article-journal","volume":"44"},"uris":["http://www.mendeley.com/documents/?uuid=4de78518-076a-3044-87e7-9c16cd857e40"]}],"mendeley":{"formattedCitation":"[17]","plainTextFormattedCitation":"[17]","previouslyFormattedCitation":"[40]"},"properties":{"noteIndex":0},"schema":"https://github.com/citation-style-language/schema/raw/master/csl-citation.json"}</w:instrText>
            </w:r>
            <w:r w:rsidRPr="00B750BB">
              <w:fldChar w:fldCharType="separate"/>
            </w:r>
            <w:r w:rsidRPr="00B750BB">
              <w:rPr>
                <w:noProof/>
              </w:rPr>
              <w:t>[17]</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 xml:space="preserve">Cassava consumption (especially cassava products like </w:t>
            </w:r>
            <w:proofErr w:type="spellStart"/>
            <w:r w:rsidRPr="00B750BB">
              <w:t>gari</w:t>
            </w:r>
            <w:proofErr w:type="spellEnd"/>
            <w:r w:rsidRPr="00B750BB">
              <w:t xml:space="preserve">, </w:t>
            </w:r>
            <w:proofErr w:type="spellStart"/>
            <w:r w:rsidRPr="00B750BB">
              <w:t>fufu</w:t>
            </w:r>
            <w:proofErr w:type="spellEnd"/>
            <w:r w:rsidRPr="00B750BB">
              <w:t xml:space="preserve">, and </w:t>
            </w:r>
            <w:proofErr w:type="spellStart"/>
            <w:r w:rsidRPr="00B750BB">
              <w:t>lafun</w:t>
            </w:r>
            <w:proofErr w:type="spellEnd"/>
            <w:r w:rsidRPr="00B750BB">
              <w:t>)</w:t>
            </w:r>
          </w:p>
        </w:tc>
        <w:tc>
          <w:tcPr>
            <w:tcW w:w="1701" w:type="dxa"/>
            <w:vAlign w:val="center"/>
          </w:tcPr>
          <w:p w:rsidR="00B750BB" w:rsidRPr="00B750BB" w:rsidRDefault="00B750BB" w:rsidP="00B750BB">
            <w:pPr>
              <w:spacing w:after="200" w:line="276" w:lineRule="auto"/>
            </w:pPr>
            <w:r w:rsidRPr="00B750BB">
              <w:t>Observational study</w:t>
            </w:r>
          </w:p>
        </w:tc>
        <w:tc>
          <w:tcPr>
            <w:tcW w:w="2126" w:type="dxa"/>
            <w:vAlign w:val="center"/>
          </w:tcPr>
          <w:p w:rsidR="00B750BB" w:rsidRPr="00B750BB" w:rsidRDefault="00B750BB" w:rsidP="00B750BB">
            <w:pPr>
              <w:spacing w:after="200" w:line="276" w:lineRule="auto"/>
            </w:pPr>
            <w:r w:rsidRPr="00B750BB">
              <w:t>Urine;</w:t>
            </w:r>
          </w:p>
          <w:p w:rsidR="00B750BB" w:rsidRPr="00B750BB" w:rsidRDefault="00B750BB" w:rsidP="00B750BB">
            <w:pPr>
              <w:spacing w:after="200" w:line="276" w:lineRule="auto"/>
            </w:pPr>
            <w:r w:rsidRPr="00B750BB">
              <w:t>serum</w:t>
            </w:r>
          </w:p>
        </w:tc>
        <w:tc>
          <w:tcPr>
            <w:tcW w:w="1843" w:type="dxa"/>
            <w:vAlign w:val="center"/>
          </w:tcPr>
          <w:p w:rsidR="00B750BB" w:rsidRPr="00B750BB" w:rsidRDefault="00B750BB" w:rsidP="00B750BB">
            <w:pPr>
              <w:spacing w:after="200" w:line="276" w:lineRule="auto"/>
            </w:pPr>
            <w:r w:rsidRPr="00B750BB">
              <w:t>Thiocyanate</w:t>
            </w:r>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{"citationItems":[{"id":"ITEM-1","itemData":{"DOI":"10.1080/15287399409531900","ISBN":"0098-4108 (Print)\\r0098-4108","ISSN":"00984108","PMID":"8078089","abstract":"The frequency of cassava consumption was investigated among three groups of people representing students from traditional and nontraditional cassava-consuming environments and cassava processors. Of these, 64% of the students at Obafemi Awolowo University, Ile-Ife, 38% of those at the Federal University of Technology, Akure, and 44% of the cassava processors consumed cassava products at least once a day, while 4, 35, and 28% of the groups, respectively, were moderate consumers (4-6 times a week). The serum thiocyanate level of the processors was significantly higher (0.57 mg/dl) than those of the students (0.38 mg/dl), but there was no significant difference in the urinary thiocyanate level of the three groups. Analysis of cassava and its intermediate and final products for free cyanide, acetone cyanohydrin, and intact glucosides during the production of such cassava products as gari, fufu, and lafun revealed that while the finished products might be safe for human consumption, the workers were probably exposed at different stages of processing to nondietary sources of cyanide.","author":[{"dropping-particle":"","family":"Adewusi","given":"Steve R.A.","non-dropping-particle":"","parse-names":false,"suffix":""},{"dropping-particle":"","family":"Akindahunsi","given":"Akintunde A.","non-dropping-particle":"","parse-names":false,"suffix":""}],"container-title":"Journal of Toxicology and Environmental Health","id":"ITEM-1","issue":"1","issued":{"date-parts":[["1994","9","15"]]},"page":"13-23","publisher":"Taylor &amp; Francis Group","title":"Cassava processing, consumption, and cyanide toxicity","type":"article-journal","volume":"43"},"uris":["http://www.mendeley.com/documents/?uuid=038efdf2-0315-3c2e-96f9-a9e587697da1"]}],"mendeley":{"formattedCitation":"[18]","plainTextFormattedCitation":"[18]","previouslyFormattedCitation":"[41]"},"properties":{"noteIndex":0},"schema":"https://github.com/citation-style-language/schema/raw/master/csl-citation.json"}</w:instrText>
            </w:r>
            <w:r w:rsidRPr="00B750BB">
              <w:fldChar w:fldCharType="separate"/>
            </w:r>
            <w:r w:rsidRPr="00B750BB">
              <w:rPr>
                <w:noProof/>
              </w:rPr>
              <w:t>[18]</w:t>
            </w:r>
            <w:r w:rsidRPr="00B750BB">
              <w:fldChar w:fldCharType="end"/>
            </w:r>
          </w:p>
        </w:tc>
      </w:tr>
      <w:tr w:rsidR="00B750BB" w:rsidRPr="00B750BB" w:rsidTr="007D7CD2">
        <w:trPr>
          <w:trHeight w:val="468"/>
          <w:jc w:val="center"/>
        </w:trPr>
        <w:tc>
          <w:tcPr>
            <w:tcW w:w="2662" w:type="dxa"/>
            <w:vAlign w:val="center"/>
          </w:tcPr>
          <w:p w:rsidR="00B750BB" w:rsidRPr="00B750BB" w:rsidRDefault="00B750BB" w:rsidP="00B750BB">
            <w:pPr>
              <w:spacing w:after="200" w:line="276" w:lineRule="auto"/>
            </w:pPr>
            <w:r w:rsidRPr="00B750BB">
              <w:t>Cassava consumption (Boiled sweet cassava)</w:t>
            </w:r>
          </w:p>
        </w:tc>
        <w:tc>
          <w:tcPr>
            <w:tcW w:w="1701" w:type="dxa"/>
            <w:vAlign w:val="center"/>
          </w:tcPr>
          <w:p w:rsidR="00B750BB" w:rsidRPr="00B750BB" w:rsidRDefault="00B750BB" w:rsidP="00B750BB">
            <w:pPr>
              <w:spacing w:after="200" w:line="276" w:lineRule="auto"/>
            </w:pPr>
            <w:r w:rsidRPr="00B750BB">
              <w:t>Human meal studies</w:t>
            </w:r>
          </w:p>
        </w:tc>
        <w:tc>
          <w:tcPr>
            <w:tcW w:w="2126" w:type="dxa"/>
            <w:vAlign w:val="center"/>
          </w:tcPr>
          <w:p w:rsidR="00B750BB" w:rsidRPr="00B750BB" w:rsidRDefault="00B750BB" w:rsidP="00B750BB">
            <w:pPr>
              <w:spacing w:after="200" w:line="276" w:lineRule="auto"/>
            </w:pPr>
            <w:r w:rsidRPr="00B750BB">
              <w:t>Urine</w:t>
            </w:r>
          </w:p>
          <w:p w:rsidR="00B750BB" w:rsidRPr="00B750BB" w:rsidRDefault="00B750BB" w:rsidP="00B750BB">
            <w:pPr>
              <w:spacing w:after="200" w:line="276" w:lineRule="auto"/>
            </w:pPr>
          </w:p>
        </w:tc>
        <w:tc>
          <w:tcPr>
            <w:tcW w:w="1843" w:type="dxa"/>
            <w:vAlign w:val="center"/>
          </w:tcPr>
          <w:p w:rsidR="00B750BB" w:rsidRPr="00B750BB" w:rsidRDefault="00B750BB" w:rsidP="00B750BB">
            <w:pPr>
              <w:spacing w:after="200" w:line="276" w:lineRule="auto"/>
            </w:pPr>
            <w:r w:rsidRPr="00B750BB">
              <w:t>Thiocyanate;</w:t>
            </w:r>
          </w:p>
          <w:p w:rsidR="00B750BB" w:rsidRPr="00B750BB" w:rsidRDefault="00B750BB" w:rsidP="00B750BB">
            <w:pPr>
              <w:spacing w:after="200" w:line="276" w:lineRule="auto"/>
            </w:pPr>
            <w:proofErr w:type="spellStart"/>
            <w:r w:rsidRPr="00B750BB">
              <w:t>Linamarin</w:t>
            </w:r>
            <w:proofErr w:type="spellEnd"/>
          </w:p>
        </w:tc>
        <w:tc>
          <w:tcPr>
            <w:tcW w:w="1575" w:type="dxa"/>
            <w:vAlign w:val="center"/>
          </w:tcPr>
          <w:p w:rsidR="00B750BB" w:rsidRPr="00B750BB" w:rsidRDefault="00B750BB" w:rsidP="00B750BB">
            <w:pPr>
              <w:spacing w:after="200" w:line="276" w:lineRule="auto"/>
            </w:pPr>
            <w:r w:rsidRPr="00B750BB">
              <w:fldChar w:fldCharType="begin" w:fldLock="1"/>
            </w:r>
            <w:r>
              <w:instrText>ADDIN CSL_CITATION {"citationItems":[{"id":"ITEM-1","itemData":{"DOI":"10.1002/nt.2620030210","ISBN":"1056-9014","ISSN":"15227189","PMID":"7613736","abstract":"We studied if consumption of boiled fresh roots from sweet cassava varieties grown in Cuba resulted in exposure to cyanogenic glycosides and their final breakdown product, cyanide. When adult, nonsmoking subjects consumed 1-4 kg cassava over 2 days, their urinary levels of the main cyanide metabolite, thiocyanate, only increased from a mean +/- SEM of 12 +/- 2 to 22 +/- 2 μmol/l, indicating a negligible cyanide exposure. Their mean urinary linamarin, the main cyanogenic glucoside in cassava, increased from 2 +- 1 to 68 +- 16 mu-mol/l. In a second experiment 5 subjects consumed one meal of 0.5 kg boiled cassava that contained 105 μmol linamarin and 8 mu-mol hydrogen cyanide (HCN). Quantitative urine collections prior to and after intake showed that 28% of linamarin was excreted during the following 24 hours, whereas a modest increase of urinary thiocyanate (SCN) only corresponded to the small amount of free HCN ingested. These results indicate that the dominant cyanogen in boiled cassava is glycosides that pass through the human body without causing cyanide exposure. It remains to be studied whether humans occasionally possess intestinal or tissue beta-glucosidases that can hydrolyse cyanogenic glycosides from cassava.","author":[{"dropping-particle":"","family":"Hernández","given":"Teresa","non-dropping-particle":"","parse-names":false,"suffix":""},{"dropping-particle":"","family":"Lundquist","given":"Per","non-dropping-particle":"","parse-names":false,"suffix":""},{"dropping-particle":"","family":"Oliveira","given":"Lourdes","non-dropping-particle":"","parse-names":false,"suffix":""},{"dropping-particle":"","family":"Cristià","given":"Rafael Perez","non-dropping-particle":"","parse-names":false,"suffix":""},{"dropping-particle":"","family":"Rodriguez","given":"Elena","non-dropping-particle":"","parse-names":false,"suffix":""},{"dropping-particle":"","family":"Rosling","given":"Hans","non-dropping-particle":"","parse-names":false,"suffix":""}],"container-title":"Natural Toxins","id":"ITEM-1","issue":"2","issued":{"date-parts":[["1995"]]},"page":"114-117","title":"Fate in humans of dietary intake of cyanogenic glycosides from roots of sweet cassava consumed in Cuba","type":"article-journal","volume":"3"},"uris":["http://www.mendeley.com/documents/?uuid=6508a907-1dd5-3f04-a698-34e4c6bdd5a7"]}],"mendeley":{"formattedCitation":"[19]","plainTextFormattedCitation":"[19]","previouslyFormattedCitation":"[42]"},"properties":{"noteIndex":0},"schema":"https://github.com/citation-style-language/schema/raw/master/csl-citation.json"}</w:instrText>
            </w:r>
            <w:r w:rsidRPr="00B750BB">
              <w:fldChar w:fldCharType="separate"/>
            </w:r>
            <w:r w:rsidRPr="00B750BB">
              <w:rPr>
                <w:noProof/>
              </w:rPr>
              <w:t>[19]</w:t>
            </w:r>
            <w:r w:rsidRPr="00B750BB">
              <w:fldChar w:fldCharType="end"/>
            </w:r>
          </w:p>
        </w:tc>
      </w:tr>
    </w:tbl>
    <w:p w:rsidR="00B750BB" w:rsidRPr="00B750BB" w:rsidRDefault="00B750BB" w:rsidP="00B750BB"/>
    <w:p w:rsidR="00B96BD2" w:rsidRDefault="00B96BD2"/>
    <w:p w:rsidR="00B750BB" w:rsidRDefault="00B750BB"/>
    <w:p w:rsidR="00B750BB" w:rsidRDefault="00B750BB"/>
    <w:p w:rsidR="00B750BB" w:rsidRDefault="00B750BB">
      <w:r>
        <w:lastRenderedPageBreak/>
        <w:t>Reference</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fldChar w:fldCharType="begin" w:fldLock="1"/>
      </w:r>
      <w:r>
        <w:instrText xml:space="preserve">ADDIN Mendeley Bibliography CSL_BIBLIOGRAPHY </w:instrText>
      </w:r>
      <w:r>
        <w:fldChar w:fldCharType="separate"/>
      </w:r>
      <w:r w:rsidRPr="00B750BB">
        <w:rPr>
          <w:rFonts w:ascii="Calibri" w:hAnsi="Calibri" w:cs="Times New Roman"/>
          <w:noProof/>
          <w:szCs w:val="24"/>
        </w:rPr>
        <w:t xml:space="preserve">1. </w:t>
      </w:r>
      <w:r w:rsidRPr="00B750BB">
        <w:rPr>
          <w:rFonts w:ascii="Calibri" w:hAnsi="Calibri" w:cs="Times New Roman"/>
          <w:noProof/>
          <w:szCs w:val="24"/>
        </w:rPr>
        <w:tab/>
        <w:t>Vesper HW, Licea-Perez H, Meyers T, Ospina M, Myers GL. Pilot Study on the Impact of Potato Chips Consumption on Biomarkers of Acrylamide Exposure. In: Chemistry and Safety of Acrylamide in Food. New York: Springer-Verlag; 2005. p. 89–96. doi:10.1007/0-387-24980-X_7.</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2. </w:t>
      </w:r>
      <w:r w:rsidRPr="00B750BB">
        <w:rPr>
          <w:rFonts w:ascii="Calibri" w:hAnsi="Calibri" w:cs="Times New Roman"/>
          <w:noProof/>
          <w:szCs w:val="24"/>
        </w:rPr>
        <w:tab/>
        <w:t>Doroshyenko O, Fuhr U, Kunz D, Frank D, Kinzig M, Jetter A, et al. In vivo role of cytochrome P450 2E1 and glutathione-S-transferase activity for acrylamide toxicokinetics in humans. Cancer Epidemiol Biomarkers Prev. 2009;18:433–43.</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3. </w:t>
      </w:r>
      <w:r w:rsidRPr="00B750BB">
        <w:rPr>
          <w:rFonts w:ascii="Calibri" w:hAnsi="Calibri" w:cs="Times New Roman"/>
          <w:noProof/>
          <w:szCs w:val="24"/>
        </w:rPr>
        <w:tab/>
        <w:t>Oluwole OSA., Oludiran AO. c. Normative concentrations of urine thiocyanate in cassava eating communities in Nigeria. Int J Food Sci Nutr. 2013;64:1036–41.</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4. </w:t>
      </w:r>
      <w:r w:rsidRPr="00B750BB">
        <w:rPr>
          <w:rFonts w:ascii="Calibri" w:hAnsi="Calibri" w:cs="Times New Roman"/>
          <w:noProof/>
          <w:szCs w:val="24"/>
        </w:rPr>
        <w:tab/>
        <w:t>Banea JP, Nahimana G, Mandombi C, Bradbury JH, Denton IC, Kuwa N. Control of konzo in DRC using the wetting method on cassava flour. Food Chem Toxicol. 2012;50:1517–23.</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5. </w:t>
      </w:r>
      <w:r w:rsidRPr="00B750BB">
        <w:rPr>
          <w:rFonts w:ascii="Calibri" w:hAnsi="Calibri" w:cs="Times New Roman"/>
          <w:noProof/>
          <w:szCs w:val="24"/>
        </w:rPr>
        <w:tab/>
        <w:t>Okafor PN. Assessment of cyanide overload in cassava consuming populations of Nigeria and the cyanide content of some cassava based foods. African J Biotechnol. 2004;3:358–61.</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6. </w:t>
      </w:r>
      <w:r w:rsidRPr="00B750BB">
        <w:rPr>
          <w:rFonts w:ascii="Calibri" w:hAnsi="Calibri" w:cs="Times New Roman"/>
          <w:noProof/>
          <w:szCs w:val="24"/>
        </w:rPr>
        <w:tab/>
        <w:t>Okafor PN, Okorowkwo CO, Maduagwu EN. Occupational and dietary exposures of humans to cyanide poisoning from large-scale cassava processing and ingestion of cassava foods. Food Chem Toxicol. 2002;40:1001–5.</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7. </w:t>
      </w:r>
      <w:r w:rsidRPr="00B750BB">
        <w:rPr>
          <w:rFonts w:ascii="Calibri" w:hAnsi="Calibri" w:cs="Times New Roman"/>
          <w:noProof/>
          <w:szCs w:val="24"/>
        </w:rPr>
        <w:tab/>
        <w:t>Chiwona-Karltun, T. Tylleskar, J. M L. Low dietary cyanogen exposure from frequent consumption of potentially toxic cassava in Malawi. Int J Food Sci Nutr. 2000;51:33–43.</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8. </w:t>
      </w:r>
      <w:r w:rsidRPr="00B750BB">
        <w:rPr>
          <w:rFonts w:ascii="Calibri" w:hAnsi="Calibri" w:cs="Times New Roman"/>
          <w:noProof/>
          <w:szCs w:val="24"/>
        </w:rPr>
        <w:tab/>
        <w:t>Carlsson L, Mlingi N, Juma A, Ronquist G, Rosling H. Metabolic fates in humans of linamarin in cassava flour ingested as stiff porridge. Food Chem Toxicol. 1999;37:307–12.</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9. </w:t>
      </w:r>
      <w:r w:rsidRPr="00B750BB">
        <w:rPr>
          <w:rFonts w:ascii="Calibri" w:hAnsi="Calibri" w:cs="Times New Roman"/>
          <w:noProof/>
          <w:szCs w:val="24"/>
        </w:rPr>
        <w:tab/>
        <w:t>Banea-Mayambu JP, Nkiabungu B, Tylleskar T, Rosling H. High cassava consumption without cyanide exposure in Kinshasa, in former Zaire. Ecol Food Nutr. 1998;37:363–77.</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10. </w:t>
      </w:r>
      <w:r w:rsidRPr="00B750BB">
        <w:rPr>
          <w:rFonts w:ascii="Calibri" w:hAnsi="Calibri" w:cs="Times New Roman"/>
          <w:noProof/>
          <w:szCs w:val="24"/>
        </w:rPr>
        <w:tab/>
        <w:t>Lundquist P, Kagedal B, Nilsson L, Rosling H. Analysis of the Cyanide Metabolite 2-Aminothiazoline-4-Carboxylic Acid in Urine by High-Performance Liquid Chromatography. Anal Biochem. 1995;228:27–34.</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11. </w:t>
      </w:r>
      <w:r w:rsidRPr="00B750BB">
        <w:rPr>
          <w:rFonts w:ascii="Calibri" w:hAnsi="Calibri" w:cs="Times New Roman"/>
          <w:noProof/>
          <w:szCs w:val="24"/>
        </w:rPr>
        <w:tab/>
        <w:t>Eminedoki DG, Monanu MO, Anosike EO. Thiocyanate levels of mainly dietary origin in serum and urine from a human population sample in Port Harcourt, Nigeria. Plant Foods Hum Nutr. 1994;46:277–85.</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12. </w:t>
      </w:r>
      <w:r w:rsidRPr="00B750BB">
        <w:rPr>
          <w:rFonts w:ascii="Calibri" w:hAnsi="Calibri" w:cs="Times New Roman"/>
          <w:noProof/>
          <w:szCs w:val="24"/>
        </w:rPr>
        <w:tab/>
        <w:t>Brimer L, Rosling H. Microdiffusion method with solid state detection of cyanogenic glycosides from cassava in human urine. Food Chem Toxicol. 1993;31:599–603.</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13. </w:t>
      </w:r>
      <w:r w:rsidRPr="00B750BB">
        <w:rPr>
          <w:rFonts w:ascii="Calibri" w:hAnsi="Calibri" w:cs="Times New Roman"/>
          <w:noProof/>
          <w:szCs w:val="24"/>
        </w:rPr>
        <w:tab/>
        <w:t>Oforofuo IAO, Omu AE. Serum thiocyanate levels in a normal population and in pregnancy in Benin City, Nigeria: preliminary report. Int J Gynecol Obstet. 1991;34:65–9.</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14. </w:t>
      </w:r>
      <w:r w:rsidRPr="00B750BB">
        <w:rPr>
          <w:rFonts w:ascii="Calibri" w:hAnsi="Calibri" w:cs="Times New Roman"/>
          <w:noProof/>
          <w:szCs w:val="24"/>
        </w:rPr>
        <w:tab/>
        <w:t>Uwakwe AA, Monanu MO, Anosike EO. Whole blood cyanide levels of mainly dietary origin in a human population sample in Port Harcourt, Nigeria. Plant Foods Hum Nutr. 1991;41:117–24.</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15. </w:t>
      </w:r>
      <w:r w:rsidRPr="00B750BB">
        <w:rPr>
          <w:rFonts w:ascii="Calibri" w:hAnsi="Calibri" w:cs="Times New Roman"/>
          <w:noProof/>
          <w:szCs w:val="24"/>
        </w:rPr>
        <w:tab/>
        <w:t>Pereira Bastos De Siqueira ME, Barros JM, Alves Oliveira A, Costa Esteves MT. Urinary and plasmatic reference levels for thiocyanates. Rev Farm Bioquim Univ Sao Paulo. 1996;32:21–7.</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lastRenderedPageBreak/>
        <w:t xml:space="preserve">16. </w:t>
      </w:r>
      <w:r w:rsidRPr="00B750BB">
        <w:rPr>
          <w:rFonts w:ascii="Calibri" w:hAnsi="Calibri" w:cs="Times New Roman"/>
          <w:noProof/>
          <w:szCs w:val="24"/>
        </w:rPr>
        <w:tab/>
        <w:t>Ermans AM. Goitrogens of vegetable origin as possible aetiological factors in endemic goiter (author’s transl). Ann Endocrinol. 1981;42:435–8.</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17. </w:t>
      </w:r>
      <w:r w:rsidRPr="00B750BB">
        <w:rPr>
          <w:rFonts w:ascii="Calibri" w:hAnsi="Calibri" w:cs="Times New Roman"/>
          <w:noProof/>
          <w:szCs w:val="24"/>
        </w:rPr>
        <w:tab/>
        <w:t>Akanji AO, Adeyefa I, Charles-Davies M, Osotimehin BO. Plasma glucose and thiocyanate responses to different mixed cassava meals in non-diabetic Nigerians. Eur J Clin Nutr. 1990;44:71–7.</w:t>
      </w:r>
    </w:p>
    <w:p w:rsidR="00B750BB" w:rsidRPr="00B750BB" w:rsidRDefault="00B750BB" w:rsidP="00B750BB">
      <w:pPr>
        <w:widowControl w:val="0"/>
        <w:autoSpaceDE w:val="0"/>
        <w:autoSpaceDN w:val="0"/>
        <w:adjustRightInd w:val="0"/>
        <w:spacing w:line="240" w:lineRule="auto"/>
        <w:ind w:left="640" w:hanging="640"/>
        <w:rPr>
          <w:rFonts w:ascii="Calibri" w:hAnsi="Calibri" w:cs="Times New Roman"/>
          <w:noProof/>
          <w:szCs w:val="24"/>
        </w:rPr>
      </w:pPr>
      <w:r w:rsidRPr="00B750BB">
        <w:rPr>
          <w:rFonts w:ascii="Calibri" w:hAnsi="Calibri" w:cs="Times New Roman"/>
          <w:noProof/>
          <w:szCs w:val="24"/>
        </w:rPr>
        <w:t xml:space="preserve">18. </w:t>
      </w:r>
      <w:r w:rsidRPr="00B750BB">
        <w:rPr>
          <w:rFonts w:ascii="Calibri" w:hAnsi="Calibri" w:cs="Times New Roman"/>
          <w:noProof/>
          <w:szCs w:val="24"/>
        </w:rPr>
        <w:tab/>
        <w:t>Adewusi SRA, Akindahunsi AA. Cassava processing, consumption, and cyanide toxicity. J Toxicol Environ Health. 1994;43:13–23.</w:t>
      </w:r>
    </w:p>
    <w:p w:rsidR="00B750BB" w:rsidRPr="00B750BB" w:rsidRDefault="00B750BB" w:rsidP="00B750BB">
      <w:pPr>
        <w:widowControl w:val="0"/>
        <w:autoSpaceDE w:val="0"/>
        <w:autoSpaceDN w:val="0"/>
        <w:adjustRightInd w:val="0"/>
        <w:spacing w:line="240" w:lineRule="auto"/>
        <w:ind w:left="640" w:hanging="640"/>
        <w:rPr>
          <w:rFonts w:ascii="Calibri" w:hAnsi="Calibri"/>
          <w:noProof/>
        </w:rPr>
      </w:pPr>
      <w:r w:rsidRPr="00B750BB">
        <w:rPr>
          <w:rFonts w:ascii="Calibri" w:hAnsi="Calibri" w:cs="Times New Roman"/>
          <w:noProof/>
          <w:szCs w:val="24"/>
        </w:rPr>
        <w:t xml:space="preserve">19. </w:t>
      </w:r>
      <w:r w:rsidRPr="00B750BB">
        <w:rPr>
          <w:rFonts w:ascii="Calibri" w:hAnsi="Calibri" w:cs="Times New Roman"/>
          <w:noProof/>
          <w:szCs w:val="24"/>
        </w:rPr>
        <w:tab/>
        <w:t>Hernández T, Lundquist P, Oliveira L, Cristià RP, Rodriguez E, Rosling H. Fate in humans of dietary intake of cyanogenic glycosides from roots of sweet cassava consumed in Cuba. Nat Toxins. 1995;3:114–7.</w:t>
      </w:r>
    </w:p>
    <w:p w:rsidR="00B750BB" w:rsidRDefault="00B750BB">
      <w:r>
        <w:fldChar w:fldCharType="end"/>
      </w:r>
      <w:bookmarkStart w:id="2" w:name="_GoBack"/>
      <w:bookmarkEnd w:id="2"/>
    </w:p>
    <w:sectPr w:rsidR="00B750BB">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FBE"/>
    <w:rsid w:val="00001CE6"/>
    <w:rsid w:val="00010058"/>
    <w:rsid w:val="00011571"/>
    <w:rsid w:val="000155C0"/>
    <w:rsid w:val="00015AFF"/>
    <w:rsid w:val="0002504E"/>
    <w:rsid w:val="0003101A"/>
    <w:rsid w:val="000333D7"/>
    <w:rsid w:val="00036F4F"/>
    <w:rsid w:val="000455EA"/>
    <w:rsid w:val="00046136"/>
    <w:rsid w:val="00046A7C"/>
    <w:rsid w:val="00046C9D"/>
    <w:rsid w:val="0005388E"/>
    <w:rsid w:val="00054167"/>
    <w:rsid w:val="00054169"/>
    <w:rsid w:val="00057645"/>
    <w:rsid w:val="00060400"/>
    <w:rsid w:val="0006560B"/>
    <w:rsid w:val="00065817"/>
    <w:rsid w:val="00067F14"/>
    <w:rsid w:val="00082E2C"/>
    <w:rsid w:val="0009334C"/>
    <w:rsid w:val="00093D11"/>
    <w:rsid w:val="000A1D0C"/>
    <w:rsid w:val="000A1E56"/>
    <w:rsid w:val="000A2228"/>
    <w:rsid w:val="000B26EF"/>
    <w:rsid w:val="000B2912"/>
    <w:rsid w:val="000C0E96"/>
    <w:rsid w:val="000C52D9"/>
    <w:rsid w:val="000C58FC"/>
    <w:rsid w:val="000C67FA"/>
    <w:rsid w:val="000C6F98"/>
    <w:rsid w:val="000C7A91"/>
    <w:rsid w:val="000D0003"/>
    <w:rsid w:val="000D28C7"/>
    <w:rsid w:val="000D67FE"/>
    <w:rsid w:val="000E09FD"/>
    <w:rsid w:val="000E7A74"/>
    <w:rsid w:val="000F25D2"/>
    <w:rsid w:val="001000DE"/>
    <w:rsid w:val="00110CB5"/>
    <w:rsid w:val="00124916"/>
    <w:rsid w:val="001357E4"/>
    <w:rsid w:val="001361D7"/>
    <w:rsid w:val="001467E1"/>
    <w:rsid w:val="00146F7F"/>
    <w:rsid w:val="001508E1"/>
    <w:rsid w:val="00152EAC"/>
    <w:rsid w:val="00152F79"/>
    <w:rsid w:val="00160A34"/>
    <w:rsid w:val="00161278"/>
    <w:rsid w:val="001617E7"/>
    <w:rsid w:val="00162A4F"/>
    <w:rsid w:val="00162C92"/>
    <w:rsid w:val="00165B28"/>
    <w:rsid w:val="00170486"/>
    <w:rsid w:val="00172A68"/>
    <w:rsid w:val="00175248"/>
    <w:rsid w:val="00185B77"/>
    <w:rsid w:val="00190B1D"/>
    <w:rsid w:val="00191A95"/>
    <w:rsid w:val="00197FF6"/>
    <w:rsid w:val="001A0974"/>
    <w:rsid w:val="001A1955"/>
    <w:rsid w:val="001A1C49"/>
    <w:rsid w:val="001A49A6"/>
    <w:rsid w:val="001A6780"/>
    <w:rsid w:val="001A6C10"/>
    <w:rsid w:val="001A78A4"/>
    <w:rsid w:val="001B028A"/>
    <w:rsid w:val="001B3F87"/>
    <w:rsid w:val="001C1BE0"/>
    <w:rsid w:val="001C2AB2"/>
    <w:rsid w:val="001C309E"/>
    <w:rsid w:val="001C7505"/>
    <w:rsid w:val="001D5622"/>
    <w:rsid w:val="001D650F"/>
    <w:rsid w:val="001E6BAD"/>
    <w:rsid w:val="001F3AA0"/>
    <w:rsid w:val="001F3E24"/>
    <w:rsid w:val="001F684E"/>
    <w:rsid w:val="002021D3"/>
    <w:rsid w:val="00214BD1"/>
    <w:rsid w:val="00216094"/>
    <w:rsid w:val="00216334"/>
    <w:rsid w:val="00223DA4"/>
    <w:rsid w:val="00224579"/>
    <w:rsid w:val="00224688"/>
    <w:rsid w:val="00231D04"/>
    <w:rsid w:val="002337D4"/>
    <w:rsid w:val="002368EF"/>
    <w:rsid w:val="00236993"/>
    <w:rsid w:val="002405F1"/>
    <w:rsid w:val="0024619E"/>
    <w:rsid w:val="00247E8E"/>
    <w:rsid w:val="00252E2E"/>
    <w:rsid w:val="00255DBD"/>
    <w:rsid w:val="0026380E"/>
    <w:rsid w:val="002638EB"/>
    <w:rsid w:val="00263AAE"/>
    <w:rsid w:val="00270BC1"/>
    <w:rsid w:val="0027718F"/>
    <w:rsid w:val="002843B1"/>
    <w:rsid w:val="0029003A"/>
    <w:rsid w:val="002B077F"/>
    <w:rsid w:val="002B0E1D"/>
    <w:rsid w:val="002B2E80"/>
    <w:rsid w:val="002B56E1"/>
    <w:rsid w:val="002C3EA3"/>
    <w:rsid w:val="002C51D1"/>
    <w:rsid w:val="002C5C39"/>
    <w:rsid w:val="002D2D97"/>
    <w:rsid w:val="002D5D63"/>
    <w:rsid w:val="002F0648"/>
    <w:rsid w:val="002F415C"/>
    <w:rsid w:val="002F47F0"/>
    <w:rsid w:val="002F76B1"/>
    <w:rsid w:val="00304CA8"/>
    <w:rsid w:val="00306774"/>
    <w:rsid w:val="00327806"/>
    <w:rsid w:val="003333D0"/>
    <w:rsid w:val="003357C8"/>
    <w:rsid w:val="00341FE2"/>
    <w:rsid w:val="003452E8"/>
    <w:rsid w:val="00355D6D"/>
    <w:rsid w:val="00357AC6"/>
    <w:rsid w:val="00364838"/>
    <w:rsid w:val="003701D9"/>
    <w:rsid w:val="003708BB"/>
    <w:rsid w:val="003710B6"/>
    <w:rsid w:val="00372277"/>
    <w:rsid w:val="00373F72"/>
    <w:rsid w:val="00380EA5"/>
    <w:rsid w:val="00384005"/>
    <w:rsid w:val="0039089B"/>
    <w:rsid w:val="0039268F"/>
    <w:rsid w:val="00392F04"/>
    <w:rsid w:val="003955F1"/>
    <w:rsid w:val="00396DC7"/>
    <w:rsid w:val="003A1602"/>
    <w:rsid w:val="003A23EA"/>
    <w:rsid w:val="003A5B9B"/>
    <w:rsid w:val="003A656B"/>
    <w:rsid w:val="003B42F1"/>
    <w:rsid w:val="003B595A"/>
    <w:rsid w:val="003C717F"/>
    <w:rsid w:val="003C7FFC"/>
    <w:rsid w:val="003D2DEC"/>
    <w:rsid w:val="003E387F"/>
    <w:rsid w:val="003E3DA3"/>
    <w:rsid w:val="003F33F4"/>
    <w:rsid w:val="003F3C48"/>
    <w:rsid w:val="004071BD"/>
    <w:rsid w:val="0041457B"/>
    <w:rsid w:val="0041686D"/>
    <w:rsid w:val="0042229E"/>
    <w:rsid w:val="004224AA"/>
    <w:rsid w:val="00430AB7"/>
    <w:rsid w:val="00431F90"/>
    <w:rsid w:val="00440D00"/>
    <w:rsid w:val="004441C3"/>
    <w:rsid w:val="00444941"/>
    <w:rsid w:val="00444DC2"/>
    <w:rsid w:val="00450041"/>
    <w:rsid w:val="00457171"/>
    <w:rsid w:val="0046030E"/>
    <w:rsid w:val="00467985"/>
    <w:rsid w:val="00475A54"/>
    <w:rsid w:val="0047690A"/>
    <w:rsid w:val="00482616"/>
    <w:rsid w:val="0048464C"/>
    <w:rsid w:val="00487F97"/>
    <w:rsid w:val="004938A5"/>
    <w:rsid w:val="004A1CC6"/>
    <w:rsid w:val="004A557D"/>
    <w:rsid w:val="004B553C"/>
    <w:rsid w:val="004C6C54"/>
    <w:rsid w:val="004D2BD1"/>
    <w:rsid w:val="004D5776"/>
    <w:rsid w:val="004E0CD9"/>
    <w:rsid w:val="004E115D"/>
    <w:rsid w:val="004E2C43"/>
    <w:rsid w:val="004E2F0C"/>
    <w:rsid w:val="004E3933"/>
    <w:rsid w:val="004E501D"/>
    <w:rsid w:val="004E65EE"/>
    <w:rsid w:val="004E6C73"/>
    <w:rsid w:val="004E7109"/>
    <w:rsid w:val="005016B8"/>
    <w:rsid w:val="005022B8"/>
    <w:rsid w:val="00503617"/>
    <w:rsid w:val="00516B54"/>
    <w:rsid w:val="005175B9"/>
    <w:rsid w:val="00527635"/>
    <w:rsid w:val="005401C3"/>
    <w:rsid w:val="00545C91"/>
    <w:rsid w:val="0055123E"/>
    <w:rsid w:val="005540C1"/>
    <w:rsid w:val="005545BD"/>
    <w:rsid w:val="005550F8"/>
    <w:rsid w:val="00561CF0"/>
    <w:rsid w:val="00565186"/>
    <w:rsid w:val="0058134C"/>
    <w:rsid w:val="005849BC"/>
    <w:rsid w:val="00586CEA"/>
    <w:rsid w:val="00590183"/>
    <w:rsid w:val="00590B4A"/>
    <w:rsid w:val="00594616"/>
    <w:rsid w:val="00595B7F"/>
    <w:rsid w:val="005A532B"/>
    <w:rsid w:val="005A7C3C"/>
    <w:rsid w:val="005B219F"/>
    <w:rsid w:val="005B5DC8"/>
    <w:rsid w:val="005C3034"/>
    <w:rsid w:val="005C7DC6"/>
    <w:rsid w:val="005D0A97"/>
    <w:rsid w:val="005E1B9D"/>
    <w:rsid w:val="005F666B"/>
    <w:rsid w:val="00600288"/>
    <w:rsid w:val="00603B56"/>
    <w:rsid w:val="00605B7B"/>
    <w:rsid w:val="00605E88"/>
    <w:rsid w:val="00611DAE"/>
    <w:rsid w:val="0061244E"/>
    <w:rsid w:val="006149A9"/>
    <w:rsid w:val="00615A51"/>
    <w:rsid w:val="00616999"/>
    <w:rsid w:val="00640311"/>
    <w:rsid w:val="006527DB"/>
    <w:rsid w:val="006547DA"/>
    <w:rsid w:val="00661FBD"/>
    <w:rsid w:val="006673DE"/>
    <w:rsid w:val="00667D88"/>
    <w:rsid w:val="0067332D"/>
    <w:rsid w:val="0068025C"/>
    <w:rsid w:val="0068115B"/>
    <w:rsid w:val="00681F09"/>
    <w:rsid w:val="00684E2E"/>
    <w:rsid w:val="00694838"/>
    <w:rsid w:val="00697104"/>
    <w:rsid w:val="006A1DD7"/>
    <w:rsid w:val="006A341B"/>
    <w:rsid w:val="006A7968"/>
    <w:rsid w:val="006B1264"/>
    <w:rsid w:val="006B2EF9"/>
    <w:rsid w:val="006C094D"/>
    <w:rsid w:val="006C185E"/>
    <w:rsid w:val="006C2ECD"/>
    <w:rsid w:val="006D2BFE"/>
    <w:rsid w:val="006E0A03"/>
    <w:rsid w:val="006E2395"/>
    <w:rsid w:val="006E24D6"/>
    <w:rsid w:val="006E781F"/>
    <w:rsid w:val="006E79A0"/>
    <w:rsid w:val="006F0ADB"/>
    <w:rsid w:val="006F1B3F"/>
    <w:rsid w:val="006F69F5"/>
    <w:rsid w:val="006F74F0"/>
    <w:rsid w:val="00701469"/>
    <w:rsid w:val="007153A0"/>
    <w:rsid w:val="00717FB5"/>
    <w:rsid w:val="00721A45"/>
    <w:rsid w:val="007245CC"/>
    <w:rsid w:val="00725E88"/>
    <w:rsid w:val="0072683F"/>
    <w:rsid w:val="00727B7A"/>
    <w:rsid w:val="0073696D"/>
    <w:rsid w:val="00737266"/>
    <w:rsid w:val="007414AF"/>
    <w:rsid w:val="007425C4"/>
    <w:rsid w:val="00746314"/>
    <w:rsid w:val="00751928"/>
    <w:rsid w:val="00754EA9"/>
    <w:rsid w:val="00757FD1"/>
    <w:rsid w:val="007600ED"/>
    <w:rsid w:val="00760564"/>
    <w:rsid w:val="00762218"/>
    <w:rsid w:val="00764D97"/>
    <w:rsid w:val="00772DC2"/>
    <w:rsid w:val="007733E0"/>
    <w:rsid w:val="00774675"/>
    <w:rsid w:val="00777C09"/>
    <w:rsid w:val="00781FE2"/>
    <w:rsid w:val="007823F1"/>
    <w:rsid w:val="00782C92"/>
    <w:rsid w:val="00782FBE"/>
    <w:rsid w:val="00784E48"/>
    <w:rsid w:val="007937F2"/>
    <w:rsid w:val="007953BB"/>
    <w:rsid w:val="007A0ECF"/>
    <w:rsid w:val="007A1632"/>
    <w:rsid w:val="007A1B0B"/>
    <w:rsid w:val="007A4B25"/>
    <w:rsid w:val="007A5BD4"/>
    <w:rsid w:val="007A638F"/>
    <w:rsid w:val="007B06DE"/>
    <w:rsid w:val="007B33E8"/>
    <w:rsid w:val="007C3E3B"/>
    <w:rsid w:val="007D124F"/>
    <w:rsid w:val="007D2A24"/>
    <w:rsid w:val="007D3563"/>
    <w:rsid w:val="007D4388"/>
    <w:rsid w:val="007D4A8B"/>
    <w:rsid w:val="007D4C8A"/>
    <w:rsid w:val="007E20FA"/>
    <w:rsid w:val="007E2C95"/>
    <w:rsid w:val="007E3216"/>
    <w:rsid w:val="007F13FB"/>
    <w:rsid w:val="008007F3"/>
    <w:rsid w:val="00806E05"/>
    <w:rsid w:val="00815C07"/>
    <w:rsid w:val="00823C23"/>
    <w:rsid w:val="00834A01"/>
    <w:rsid w:val="00846905"/>
    <w:rsid w:val="00853C93"/>
    <w:rsid w:val="00862072"/>
    <w:rsid w:val="00872DA1"/>
    <w:rsid w:val="00877668"/>
    <w:rsid w:val="00882B38"/>
    <w:rsid w:val="00882BA8"/>
    <w:rsid w:val="00884637"/>
    <w:rsid w:val="00886704"/>
    <w:rsid w:val="008931D5"/>
    <w:rsid w:val="00895307"/>
    <w:rsid w:val="008A2411"/>
    <w:rsid w:val="008A4670"/>
    <w:rsid w:val="008A5856"/>
    <w:rsid w:val="008A5C04"/>
    <w:rsid w:val="008A714C"/>
    <w:rsid w:val="008B42E7"/>
    <w:rsid w:val="008C574F"/>
    <w:rsid w:val="008D244A"/>
    <w:rsid w:val="008D2B88"/>
    <w:rsid w:val="008D46C0"/>
    <w:rsid w:val="008E5D80"/>
    <w:rsid w:val="008E6371"/>
    <w:rsid w:val="008E7236"/>
    <w:rsid w:val="008F1F68"/>
    <w:rsid w:val="008F38C8"/>
    <w:rsid w:val="008F60B4"/>
    <w:rsid w:val="009000EC"/>
    <w:rsid w:val="0090027F"/>
    <w:rsid w:val="00903170"/>
    <w:rsid w:val="0090757E"/>
    <w:rsid w:val="0091023B"/>
    <w:rsid w:val="00923B14"/>
    <w:rsid w:val="00924A09"/>
    <w:rsid w:val="00925AE1"/>
    <w:rsid w:val="009301DA"/>
    <w:rsid w:val="00943ED9"/>
    <w:rsid w:val="009442C4"/>
    <w:rsid w:val="00945D5B"/>
    <w:rsid w:val="009664FB"/>
    <w:rsid w:val="009667A9"/>
    <w:rsid w:val="0097043A"/>
    <w:rsid w:val="0097279A"/>
    <w:rsid w:val="00972F5D"/>
    <w:rsid w:val="00974F79"/>
    <w:rsid w:val="00980442"/>
    <w:rsid w:val="00980C64"/>
    <w:rsid w:val="00980E27"/>
    <w:rsid w:val="009823D8"/>
    <w:rsid w:val="00982EF2"/>
    <w:rsid w:val="009834BF"/>
    <w:rsid w:val="009845B1"/>
    <w:rsid w:val="00992DC3"/>
    <w:rsid w:val="00994692"/>
    <w:rsid w:val="009A1665"/>
    <w:rsid w:val="009A5DCE"/>
    <w:rsid w:val="009B6A46"/>
    <w:rsid w:val="009B79B5"/>
    <w:rsid w:val="009D0942"/>
    <w:rsid w:val="009D1F80"/>
    <w:rsid w:val="009D2488"/>
    <w:rsid w:val="009D37BB"/>
    <w:rsid w:val="009D6CD0"/>
    <w:rsid w:val="009D7F1F"/>
    <w:rsid w:val="009E1220"/>
    <w:rsid w:val="009E164D"/>
    <w:rsid w:val="009E3162"/>
    <w:rsid w:val="009E5A39"/>
    <w:rsid w:val="009E781A"/>
    <w:rsid w:val="009F5F5B"/>
    <w:rsid w:val="00A018E7"/>
    <w:rsid w:val="00A02631"/>
    <w:rsid w:val="00A13985"/>
    <w:rsid w:val="00A160D4"/>
    <w:rsid w:val="00A1774C"/>
    <w:rsid w:val="00A248D1"/>
    <w:rsid w:val="00A27A81"/>
    <w:rsid w:val="00A3246B"/>
    <w:rsid w:val="00A32599"/>
    <w:rsid w:val="00A406CD"/>
    <w:rsid w:val="00A417E9"/>
    <w:rsid w:val="00A474A3"/>
    <w:rsid w:val="00A500F2"/>
    <w:rsid w:val="00A56037"/>
    <w:rsid w:val="00A613B0"/>
    <w:rsid w:val="00A62731"/>
    <w:rsid w:val="00A636FC"/>
    <w:rsid w:val="00A66DF6"/>
    <w:rsid w:val="00A6735A"/>
    <w:rsid w:val="00A730BA"/>
    <w:rsid w:val="00A735A5"/>
    <w:rsid w:val="00A74074"/>
    <w:rsid w:val="00A80858"/>
    <w:rsid w:val="00A80A72"/>
    <w:rsid w:val="00A94E5C"/>
    <w:rsid w:val="00A96BB8"/>
    <w:rsid w:val="00AA3491"/>
    <w:rsid w:val="00AA65D1"/>
    <w:rsid w:val="00AA796E"/>
    <w:rsid w:val="00AB1350"/>
    <w:rsid w:val="00AB2F1F"/>
    <w:rsid w:val="00AB3C3F"/>
    <w:rsid w:val="00AC54E4"/>
    <w:rsid w:val="00AC5A3B"/>
    <w:rsid w:val="00AE03A8"/>
    <w:rsid w:val="00AE2D90"/>
    <w:rsid w:val="00AE33CD"/>
    <w:rsid w:val="00AE3578"/>
    <w:rsid w:val="00AF5AEA"/>
    <w:rsid w:val="00AF7408"/>
    <w:rsid w:val="00B074BE"/>
    <w:rsid w:val="00B11E96"/>
    <w:rsid w:val="00B125AE"/>
    <w:rsid w:val="00B13FFB"/>
    <w:rsid w:val="00B2172E"/>
    <w:rsid w:val="00B2200B"/>
    <w:rsid w:val="00B24D3D"/>
    <w:rsid w:val="00B33740"/>
    <w:rsid w:val="00B33838"/>
    <w:rsid w:val="00B43FE6"/>
    <w:rsid w:val="00B474F8"/>
    <w:rsid w:val="00B47CB4"/>
    <w:rsid w:val="00B53D31"/>
    <w:rsid w:val="00B61BDF"/>
    <w:rsid w:val="00B7502C"/>
    <w:rsid w:val="00B750BB"/>
    <w:rsid w:val="00B75E8C"/>
    <w:rsid w:val="00B80DC8"/>
    <w:rsid w:val="00B85D3B"/>
    <w:rsid w:val="00B90FA2"/>
    <w:rsid w:val="00B91587"/>
    <w:rsid w:val="00B92EC9"/>
    <w:rsid w:val="00B962D0"/>
    <w:rsid w:val="00B96BD2"/>
    <w:rsid w:val="00BA0996"/>
    <w:rsid w:val="00BB147F"/>
    <w:rsid w:val="00BC22B7"/>
    <w:rsid w:val="00BD049B"/>
    <w:rsid w:val="00BD0B27"/>
    <w:rsid w:val="00BD150E"/>
    <w:rsid w:val="00BD63C8"/>
    <w:rsid w:val="00BD71E8"/>
    <w:rsid w:val="00BF0E2D"/>
    <w:rsid w:val="00BF338D"/>
    <w:rsid w:val="00C0650E"/>
    <w:rsid w:val="00C220F0"/>
    <w:rsid w:val="00C248FA"/>
    <w:rsid w:val="00C25582"/>
    <w:rsid w:val="00C337F7"/>
    <w:rsid w:val="00C34A2B"/>
    <w:rsid w:val="00C3752F"/>
    <w:rsid w:val="00C42C72"/>
    <w:rsid w:val="00C45E2D"/>
    <w:rsid w:val="00C46339"/>
    <w:rsid w:val="00C4692F"/>
    <w:rsid w:val="00C535D4"/>
    <w:rsid w:val="00C620B3"/>
    <w:rsid w:val="00C65432"/>
    <w:rsid w:val="00C71103"/>
    <w:rsid w:val="00C72EB9"/>
    <w:rsid w:val="00C80CA3"/>
    <w:rsid w:val="00C86EA8"/>
    <w:rsid w:val="00C913E1"/>
    <w:rsid w:val="00C91DB1"/>
    <w:rsid w:val="00C94418"/>
    <w:rsid w:val="00C95152"/>
    <w:rsid w:val="00CA6EE6"/>
    <w:rsid w:val="00CB0454"/>
    <w:rsid w:val="00CB1D0B"/>
    <w:rsid w:val="00CC3334"/>
    <w:rsid w:val="00CC4085"/>
    <w:rsid w:val="00CC4183"/>
    <w:rsid w:val="00CC50FE"/>
    <w:rsid w:val="00CD7060"/>
    <w:rsid w:val="00CE1355"/>
    <w:rsid w:val="00CE1578"/>
    <w:rsid w:val="00CE5A41"/>
    <w:rsid w:val="00CF2BFA"/>
    <w:rsid w:val="00CF7AB4"/>
    <w:rsid w:val="00D04999"/>
    <w:rsid w:val="00D06A2F"/>
    <w:rsid w:val="00D076D9"/>
    <w:rsid w:val="00D079D3"/>
    <w:rsid w:val="00D104A4"/>
    <w:rsid w:val="00D1433F"/>
    <w:rsid w:val="00D3027F"/>
    <w:rsid w:val="00D30D91"/>
    <w:rsid w:val="00D31523"/>
    <w:rsid w:val="00D342CF"/>
    <w:rsid w:val="00D40C01"/>
    <w:rsid w:val="00D41A5E"/>
    <w:rsid w:val="00D53924"/>
    <w:rsid w:val="00D56C3E"/>
    <w:rsid w:val="00D6510B"/>
    <w:rsid w:val="00D70382"/>
    <w:rsid w:val="00D73505"/>
    <w:rsid w:val="00D8171F"/>
    <w:rsid w:val="00D82D54"/>
    <w:rsid w:val="00D855A4"/>
    <w:rsid w:val="00D86EF9"/>
    <w:rsid w:val="00D90730"/>
    <w:rsid w:val="00D9150E"/>
    <w:rsid w:val="00D9648A"/>
    <w:rsid w:val="00DB23C5"/>
    <w:rsid w:val="00DB326F"/>
    <w:rsid w:val="00DB3AD1"/>
    <w:rsid w:val="00DB4F44"/>
    <w:rsid w:val="00DB7844"/>
    <w:rsid w:val="00DB7E87"/>
    <w:rsid w:val="00DC1222"/>
    <w:rsid w:val="00DC2455"/>
    <w:rsid w:val="00DC4317"/>
    <w:rsid w:val="00DC76F7"/>
    <w:rsid w:val="00DD4F2D"/>
    <w:rsid w:val="00DE060F"/>
    <w:rsid w:val="00DF1280"/>
    <w:rsid w:val="00DF1BCC"/>
    <w:rsid w:val="00E006CB"/>
    <w:rsid w:val="00E00B7F"/>
    <w:rsid w:val="00E212F8"/>
    <w:rsid w:val="00E22AA7"/>
    <w:rsid w:val="00E256E7"/>
    <w:rsid w:val="00E331A4"/>
    <w:rsid w:val="00E344FE"/>
    <w:rsid w:val="00E36019"/>
    <w:rsid w:val="00E51FD0"/>
    <w:rsid w:val="00E551F6"/>
    <w:rsid w:val="00E55BBF"/>
    <w:rsid w:val="00E57CAD"/>
    <w:rsid w:val="00E762EF"/>
    <w:rsid w:val="00E77F01"/>
    <w:rsid w:val="00E81868"/>
    <w:rsid w:val="00E860AB"/>
    <w:rsid w:val="00E872F8"/>
    <w:rsid w:val="00E90F53"/>
    <w:rsid w:val="00E96EE0"/>
    <w:rsid w:val="00EA41C0"/>
    <w:rsid w:val="00EB0F3E"/>
    <w:rsid w:val="00EC03AB"/>
    <w:rsid w:val="00EC200F"/>
    <w:rsid w:val="00EC2E7D"/>
    <w:rsid w:val="00EC47F2"/>
    <w:rsid w:val="00ED687A"/>
    <w:rsid w:val="00EE2CA2"/>
    <w:rsid w:val="00EE6C4D"/>
    <w:rsid w:val="00F00E1B"/>
    <w:rsid w:val="00F010D6"/>
    <w:rsid w:val="00F046D3"/>
    <w:rsid w:val="00F04CEB"/>
    <w:rsid w:val="00F10FDA"/>
    <w:rsid w:val="00F17F38"/>
    <w:rsid w:val="00F239DE"/>
    <w:rsid w:val="00F31642"/>
    <w:rsid w:val="00F33E96"/>
    <w:rsid w:val="00F3415E"/>
    <w:rsid w:val="00F37826"/>
    <w:rsid w:val="00F400C0"/>
    <w:rsid w:val="00F4541C"/>
    <w:rsid w:val="00F53FBE"/>
    <w:rsid w:val="00F61434"/>
    <w:rsid w:val="00F64002"/>
    <w:rsid w:val="00F6407E"/>
    <w:rsid w:val="00F667C9"/>
    <w:rsid w:val="00F707DA"/>
    <w:rsid w:val="00F768F2"/>
    <w:rsid w:val="00F82110"/>
    <w:rsid w:val="00F8258E"/>
    <w:rsid w:val="00F87C4C"/>
    <w:rsid w:val="00F93D32"/>
    <w:rsid w:val="00F940FB"/>
    <w:rsid w:val="00FA1BD5"/>
    <w:rsid w:val="00FA424B"/>
    <w:rsid w:val="00FB010C"/>
    <w:rsid w:val="00FB6759"/>
    <w:rsid w:val="00FB6BAD"/>
    <w:rsid w:val="00FC1DFF"/>
    <w:rsid w:val="00FD0990"/>
    <w:rsid w:val="00FD1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5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5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72327-90F3-4967-9388-80190F023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7685</Words>
  <Characters>43808</Characters>
  <Application>Microsoft Office Word</Application>
  <DocSecurity>0</DocSecurity>
  <Lines>365</Lines>
  <Paragraphs>102</Paragraphs>
  <ScaleCrop>false</ScaleCrop>
  <Company>Faculty of Science, University of Copenhagen</Company>
  <LinksUpToDate>false</LinksUpToDate>
  <CharactersWithSpaces>51391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Xiaomin Zhou</dc:creator>
  <cp:keywords/>
  <dc:description/>
  <cp:lastModifiedBy>Xiaomin Zhou</cp:lastModifiedBy>
  <cp:revision>2</cp:revision>
  <dcterms:created xsi:type="dcterms:W3CDTF">2019-03-13T12:39:00Z</dcterms:created>
  <dcterms:modified xsi:type="dcterms:W3CDTF">2019-03-13T12:40:00Z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http://www.zotero.org/styles/american-journal-of-botany</vt:lpwstr>
  </property>
  <property fmtid="{D5CDD505-2E9C-101B-9397-08002B2CF9AE}" pid="3" name="Mendeley Recent Style Name 0_1">
    <vt:lpwstr>American Journal of Botany</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http://csl.mendeley.com/styles/462621121/biomed-central</vt:lpwstr>
  </property>
  <property fmtid="{D5CDD505-2E9C-101B-9397-08002B2CF9AE}" pid="11" name="Mendeley Recent Style Name 4_1">
    <vt:lpwstr>BioMed Central - Qian Gao</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http://www.zotero.org/styles/environnement-risques-et-sante</vt:lpwstr>
  </property>
  <property fmtid="{D5CDD505-2E9C-101B-9397-08002B2CF9AE}" pid="15" name="Mendeley Recent Style Name 6_1">
    <vt:lpwstr>Environnement, Risques &amp; Santé</vt:lpwstr>
  </property>
  <property fmtid="{D5CDD505-2E9C-101B-9397-08002B2CF9AE}" pid="16" name="Mendeley Recent Style Id 7_1">
    <vt:lpwstr>http://www.zotero.org/styles/genes-and-nutrition</vt:lpwstr>
  </property>
  <property fmtid="{D5CDD505-2E9C-101B-9397-08002B2CF9AE}" pid="17" name="Mendeley Recent Style Name 7_1">
    <vt:lpwstr>Genes &amp; Nutrition</vt:lpwstr>
  </property>
  <property fmtid="{D5CDD505-2E9C-101B-9397-08002B2CF9AE}" pid="18" name="Mendeley Recent Style Id 8_1">
    <vt:lpwstr>http://www.zotero.org/styles/harvard1</vt:lpwstr>
  </property>
  <property fmtid="{D5CDD505-2E9C-101B-9397-08002B2CF9AE}" pid="19" name="Mendeley Recent Style Name 8_1">
    <vt:lpwstr>Harvard reference format 1 (deprecated)</vt:lpwstr>
  </property>
  <property fmtid="{D5CDD505-2E9C-101B-9397-08002B2CF9AE}" pid="20" name="Mendeley Recent Style Id 9_1">
    <vt:lpwstr>http://www.zotero.org/styles/ieee</vt:lpwstr>
  </property>
  <property fmtid="{D5CDD505-2E9C-101B-9397-08002B2CF9AE}" pid="21" name="Mendeley Recent Style Name 9_1">
    <vt:lpwstr>IEEE</vt:lpwstr>
  </property>
  <property fmtid="{D5CDD505-2E9C-101B-9397-08002B2CF9AE}" pid="22" name="Mendeley Document_1">
    <vt:lpwstr>True</vt:lpwstr>
  </property>
  <property fmtid="{D5CDD505-2E9C-101B-9397-08002B2CF9AE}" pid="23" name="Mendeley Unique User Id_1">
    <vt:lpwstr>cce96af2-194d-31cc-bbb2-758c3ccae34e</vt:lpwstr>
  </property>
  <property fmtid="{D5CDD505-2E9C-101B-9397-08002B2CF9AE}" pid="24" name="Mendeley Citation Style_1">
    <vt:lpwstr>http://csl.mendeley.com/styles/462621121/biomed-central</vt:lpwstr>
  </property>
</Properties>
</file>