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489EF8" w14:textId="77777777" w:rsidR="00791805" w:rsidRDefault="006C3E4E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t>Supplementary material</w:t>
      </w:r>
    </w:p>
    <w:p w14:paraId="1807752D" w14:textId="77777777" w:rsidR="00791805" w:rsidRDefault="00791805">
      <w:pPr>
        <w:rPr>
          <w:rFonts w:ascii="Calibri" w:eastAsia="Calibri" w:hAnsi="Calibri" w:cs="Calibri"/>
          <w:b/>
          <w:color w:val="000000"/>
        </w:rPr>
      </w:pPr>
    </w:p>
    <w:p w14:paraId="7126F418" w14:textId="77777777" w:rsidR="00791805" w:rsidRDefault="006C3E4E">
      <w:pPr>
        <w:jc w:val="center"/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</w:rPr>
        <w:t xml:space="preserve">DNA methylation during human </w:t>
      </w:r>
      <w:proofErr w:type="spellStart"/>
      <w:r>
        <w:rPr>
          <w:rFonts w:ascii="Calibri" w:eastAsia="Calibri" w:hAnsi="Calibri" w:cs="Calibri"/>
          <w:b/>
        </w:rPr>
        <w:t>adipogenesis</w:t>
      </w:r>
      <w:proofErr w:type="spellEnd"/>
      <w:r>
        <w:rPr>
          <w:rFonts w:ascii="Calibri" w:eastAsia="Calibri" w:hAnsi="Calibri" w:cs="Calibri"/>
          <w:b/>
        </w:rPr>
        <w:t xml:space="preserve"> and the impact of fructose</w:t>
      </w:r>
    </w:p>
    <w:p w14:paraId="7E6F381F" w14:textId="77777777" w:rsidR="00791805" w:rsidRDefault="006C3E4E">
      <w:pPr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  <w:color w:val="000000"/>
        </w:rPr>
        <w:t xml:space="preserve"> </w:t>
      </w:r>
    </w:p>
    <w:p w14:paraId="0BC903C3" w14:textId="77777777" w:rsidR="00791805" w:rsidRDefault="00791805">
      <w:pPr>
        <w:rPr>
          <w:rFonts w:ascii="Calibri" w:eastAsia="Calibri" w:hAnsi="Calibri" w:cs="Calibri"/>
          <w:b/>
        </w:rPr>
      </w:pPr>
    </w:p>
    <w:p w14:paraId="39A2051D" w14:textId="77777777" w:rsidR="00791805" w:rsidRDefault="006C3E4E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color w:val="000000"/>
        </w:rPr>
        <w:t>Giulia Tini</w:t>
      </w:r>
      <w:r>
        <w:rPr>
          <w:rFonts w:ascii="Calibri" w:eastAsia="Calibri" w:hAnsi="Calibri" w:cs="Calibri"/>
          <w:color w:val="000000"/>
          <w:vertAlign w:val="superscript"/>
        </w:rPr>
        <w:t>1,2</w:t>
      </w:r>
      <w:r>
        <w:rPr>
          <w:rFonts w:ascii="Calibri" w:eastAsia="Calibri" w:hAnsi="Calibri" w:cs="Calibri"/>
          <w:color w:val="00000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</w:rPr>
        <w:t>Vijayalakshmi</w:t>
      </w:r>
      <w:proofErr w:type="spellEnd"/>
      <w:r>
        <w:rPr>
          <w:rFonts w:ascii="Calibri" w:eastAsia="Calibri" w:hAnsi="Calibri" w:cs="Calibri"/>
          <w:color w:val="000000"/>
        </w:rPr>
        <w:t xml:space="preserve"> Varma</w:t>
      </w:r>
      <w:r>
        <w:rPr>
          <w:rFonts w:ascii="Calibri" w:eastAsia="Calibri" w:hAnsi="Calibri" w:cs="Calibri"/>
          <w:color w:val="000000"/>
          <w:vertAlign w:val="superscript"/>
        </w:rPr>
        <w:t>3</w:t>
      </w:r>
      <w:r>
        <w:rPr>
          <w:rFonts w:ascii="Calibri" w:eastAsia="Calibri" w:hAnsi="Calibri" w:cs="Calibri"/>
          <w:color w:val="000000"/>
        </w:rPr>
        <w:t>, Rosario Lombardo</w:t>
      </w:r>
      <w:r>
        <w:rPr>
          <w:rFonts w:ascii="Calibri" w:eastAsia="Calibri" w:hAnsi="Calibri" w:cs="Calibri"/>
          <w:color w:val="000000"/>
          <w:vertAlign w:val="superscript"/>
        </w:rPr>
        <w:t>1</w:t>
      </w:r>
      <w:r>
        <w:rPr>
          <w:rFonts w:ascii="Calibri" w:eastAsia="Calibri" w:hAnsi="Calibri" w:cs="Calibri"/>
          <w:color w:val="000000"/>
        </w:rPr>
        <w:t>, Greg T. Nolen</w:t>
      </w:r>
      <w:proofErr w:type="gramStart"/>
      <w:r>
        <w:rPr>
          <w:rFonts w:ascii="Calibri" w:eastAsia="Calibri" w:hAnsi="Calibri" w:cs="Calibri"/>
          <w:color w:val="000000"/>
          <w:vertAlign w:val="superscript"/>
        </w:rPr>
        <w:t>3</w:t>
      </w:r>
      <w:r>
        <w:rPr>
          <w:rFonts w:ascii="Calibri" w:eastAsia="Calibri" w:hAnsi="Calibri" w:cs="Calibri"/>
          <w:color w:val="000000"/>
        </w:rPr>
        <w:t xml:space="preserve"> ,Gregory</w:t>
      </w:r>
      <w:proofErr w:type="gramEnd"/>
      <w:r>
        <w:rPr>
          <w:rFonts w:ascii="Calibri" w:eastAsia="Calibri" w:hAnsi="Calibri" w:cs="Calibri"/>
          <w:color w:val="000000"/>
        </w:rPr>
        <w:t xml:space="preserve"> Lefebvre</w:t>
      </w:r>
      <w:r>
        <w:rPr>
          <w:rFonts w:ascii="Calibri" w:eastAsia="Calibri" w:hAnsi="Calibri" w:cs="Calibri"/>
          <w:color w:val="000000"/>
          <w:vertAlign w:val="superscript"/>
        </w:rPr>
        <w:t>4</w:t>
      </w:r>
      <w:r>
        <w:rPr>
          <w:rFonts w:ascii="Calibri" w:eastAsia="Calibri" w:hAnsi="Calibri" w:cs="Calibri"/>
          <w:color w:val="000000"/>
        </w:rPr>
        <w:t>, Patrick Descombes</w:t>
      </w:r>
      <w:r>
        <w:rPr>
          <w:rFonts w:ascii="Calibri" w:eastAsia="Calibri" w:hAnsi="Calibri" w:cs="Calibri"/>
          <w:color w:val="000000"/>
          <w:vertAlign w:val="superscript"/>
        </w:rPr>
        <w:t>4</w:t>
      </w:r>
      <w:r>
        <w:rPr>
          <w:rFonts w:ascii="Calibri" w:eastAsia="Calibri" w:hAnsi="Calibri" w:cs="Calibri"/>
          <w:color w:val="00000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</w:rPr>
        <w:t>Sylviane</w:t>
      </w:r>
      <w:proofErr w:type="spellEnd"/>
      <w:r>
        <w:rPr>
          <w:rFonts w:ascii="Calibri" w:eastAsia="Calibri" w:hAnsi="Calibri" w:cs="Calibri"/>
          <w:color w:val="000000"/>
        </w:rPr>
        <w:t xml:space="preserve"> Métairon</w:t>
      </w:r>
      <w:r>
        <w:rPr>
          <w:rFonts w:ascii="Calibri" w:eastAsia="Calibri" w:hAnsi="Calibri" w:cs="Calibri"/>
          <w:color w:val="000000"/>
          <w:vertAlign w:val="superscript"/>
        </w:rPr>
        <w:t>4</w:t>
      </w:r>
      <w:r>
        <w:rPr>
          <w:rFonts w:ascii="Calibri" w:eastAsia="Calibri" w:hAnsi="Calibri" w:cs="Calibri"/>
          <w:color w:val="000000"/>
        </w:rPr>
        <w:t xml:space="preserve">, </w:t>
      </w:r>
      <w:proofErr w:type="spellStart"/>
      <w:r>
        <w:rPr>
          <w:rFonts w:ascii="Calibri" w:eastAsia="Calibri" w:hAnsi="Calibri" w:cs="Calibri"/>
          <w:color w:val="000000"/>
        </w:rPr>
        <w:t>Corrado</w:t>
      </w:r>
      <w:proofErr w:type="spellEnd"/>
      <w:r>
        <w:rPr>
          <w:rFonts w:ascii="Calibri" w:eastAsia="Calibri" w:hAnsi="Calibri" w:cs="Calibri"/>
          <w:color w:val="000000"/>
        </w:rPr>
        <w:t xml:space="preserve"> Priami</w:t>
      </w:r>
      <w:r>
        <w:rPr>
          <w:rFonts w:ascii="Calibri" w:eastAsia="Calibri" w:hAnsi="Calibri" w:cs="Calibri"/>
          <w:color w:val="000000"/>
          <w:vertAlign w:val="superscript"/>
        </w:rPr>
        <w:t>1,</w:t>
      </w:r>
      <w:r w:rsidR="0031517F">
        <w:rPr>
          <w:rFonts w:ascii="Calibri" w:eastAsia="Calibri" w:hAnsi="Calibri" w:cs="Calibri"/>
          <w:color w:val="000000"/>
          <w:vertAlign w:val="superscript"/>
        </w:rPr>
        <w:t>5</w:t>
      </w:r>
      <w:r>
        <w:rPr>
          <w:rFonts w:ascii="Calibri" w:eastAsia="Calibri" w:hAnsi="Calibri" w:cs="Calibri"/>
          <w:color w:val="000000"/>
        </w:rPr>
        <w:t>, Jim Kaput</w:t>
      </w:r>
      <w:r>
        <w:rPr>
          <w:rFonts w:ascii="Calibri" w:eastAsia="Calibri" w:hAnsi="Calibri" w:cs="Calibri"/>
          <w:color w:val="000000"/>
          <w:vertAlign w:val="superscript"/>
        </w:rPr>
        <w:t>4</w:t>
      </w:r>
      <w:r>
        <w:rPr>
          <w:rFonts w:ascii="Calibri" w:eastAsia="Calibri" w:hAnsi="Calibri" w:cs="Calibri"/>
          <w:color w:val="000000"/>
        </w:rPr>
        <w:t>, Marie-Pier Scott-Boyer</w:t>
      </w:r>
      <w:r>
        <w:rPr>
          <w:rFonts w:ascii="Calibri" w:eastAsia="Calibri" w:hAnsi="Calibri" w:cs="Calibri"/>
          <w:color w:val="000000"/>
          <w:vertAlign w:val="superscript"/>
        </w:rPr>
        <w:t>1</w:t>
      </w:r>
    </w:p>
    <w:p w14:paraId="17AB08FF" w14:textId="77777777" w:rsidR="00791805" w:rsidRDefault="00791805"/>
    <w:p w14:paraId="1784E1DA" w14:textId="77777777" w:rsidR="00791805" w:rsidRDefault="00791805"/>
    <w:p w14:paraId="5FD9190C" w14:textId="77777777" w:rsidR="00791805" w:rsidRDefault="00791805">
      <w:pPr>
        <w:rPr>
          <w:rFonts w:ascii="Calibri" w:eastAsia="Calibri" w:hAnsi="Calibri" w:cs="Calibri"/>
        </w:rPr>
      </w:pPr>
    </w:p>
    <w:p w14:paraId="26A2CBAF" w14:textId="77777777" w:rsidR="00791805" w:rsidRDefault="006C3E4E">
      <w:pPr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Supplementary figures</w:t>
      </w:r>
    </w:p>
    <w:p w14:paraId="4E6CC8BF" w14:textId="77777777" w:rsidR="00791805" w:rsidRDefault="00791805">
      <w:pPr>
        <w:rPr>
          <w:rFonts w:ascii="Calibri" w:eastAsia="Calibri" w:hAnsi="Calibri" w:cs="Calibri"/>
          <w:b/>
        </w:rPr>
      </w:pPr>
    </w:p>
    <w:p w14:paraId="3E5E2EDD" w14:textId="77777777" w:rsidR="00791805" w:rsidRDefault="00791805">
      <w:pPr>
        <w:rPr>
          <w:rFonts w:ascii="Calibri" w:eastAsia="Calibri" w:hAnsi="Calibri" w:cs="Calibri"/>
          <w:b/>
        </w:rPr>
      </w:pPr>
    </w:p>
    <w:p w14:paraId="3E38A835" w14:textId="77777777" w:rsidR="00791805" w:rsidRDefault="006C3E4E">
      <w:r>
        <w:rPr>
          <w:noProof/>
        </w:rPr>
        <w:drawing>
          <wp:inline distT="0" distB="0" distL="0" distR="0" wp14:anchorId="6129A452" wp14:editId="1591C63E">
            <wp:extent cx="5943600" cy="4203700"/>
            <wp:effectExtent l="0" t="0" r="0" b="0"/>
            <wp:docPr id="1" name="image2.png" descr="../../../../../../../Desktop/Adipocyte/Adipocytes/supplementary_figure_1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../../../../../../../Desktop/Adipocyte/Adipocytes/supplementary_figure_1.pdf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E99BD84" w14:textId="77777777" w:rsidR="00791805" w:rsidRDefault="00791805"/>
    <w:p w14:paraId="0B0836A4" w14:textId="77777777" w:rsidR="00791805" w:rsidRDefault="00791805"/>
    <w:p w14:paraId="5524E235" w14:textId="77777777" w:rsidR="00791805" w:rsidRDefault="00791805"/>
    <w:p w14:paraId="0306E0AD" w14:textId="77777777" w:rsidR="00791805" w:rsidRDefault="00791805"/>
    <w:p w14:paraId="39E60306" w14:textId="77777777" w:rsidR="00791805" w:rsidRDefault="00791805"/>
    <w:p w14:paraId="480EBD2C" w14:textId="77777777" w:rsidR="00791805" w:rsidRDefault="00791805"/>
    <w:p w14:paraId="787C101B" w14:textId="77777777" w:rsidR="00791805" w:rsidRDefault="006C3E4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Supplementary Figure S1</w:t>
      </w:r>
      <w:r>
        <w:rPr>
          <w:rFonts w:ascii="Calibri" w:eastAsia="Calibri" w:hAnsi="Calibri" w:cs="Calibri"/>
        </w:rPr>
        <w:t xml:space="preserve">: Methylation patterns during differentiation for the 20 genes showing significant methylation changes both at 192 and 384 hours. To better inspect the patterns, </w:t>
      </w:r>
      <w:r>
        <w:rPr>
          <w:rFonts w:ascii="Calibri" w:eastAsia="Calibri" w:hAnsi="Calibri" w:cs="Calibri"/>
        </w:rPr>
        <w:lastRenderedPageBreak/>
        <w:t>genes are separated in four panels. Dots define averaged β-values for each time-point, while d</w:t>
      </w:r>
      <w:r>
        <w:rPr>
          <w:rFonts w:ascii="Calibri" w:eastAsia="Calibri" w:hAnsi="Calibri" w:cs="Calibri"/>
        </w:rPr>
        <w:t>ifferent colors represent different genes.</w:t>
      </w:r>
    </w:p>
    <w:p w14:paraId="4A82D4D1" w14:textId="77777777" w:rsidR="00791805" w:rsidRDefault="00791805"/>
    <w:p w14:paraId="182B3D41" w14:textId="77777777" w:rsidR="00791805" w:rsidRDefault="006C3E4E">
      <w:r>
        <w:rPr>
          <w:noProof/>
        </w:rPr>
        <w:drawing>
          <wp:inline distT="0" distB="0" distL="0" distR="0" wp14:anchorId="146EF3F2" wp14:editId="7F913FF6">
            <wp:extent cx="5943600" cy="4203700"/>
            <wp:effectExtent l="0" t="0" r="0" b="0"/>
            <wp:docPr id="3" name="image1.png" descr="../../../../../../../Desktop/Adipocyte/Adipocytes/supplementary_figure_2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../../../../../../../Desktop/Adipocyte/Adipocytes/supplementary_figure_2.pdf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03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DD9AC99" w14:textId="77777777" w:rsidR="00791805" w:rsidRDefault="00791805"/>
    <w:p w14:paraId="32BF3616" w14:textId="77777777" w:rsidR="00791805" w:rsidRDefault="00791805"/>
    <w:p w14:paraId="6C8AAEEC" w14:textId="77777777" w:rsidR="00791805" w:rsidRDefault="00791805"/>
    <w:p w14:paraId="1F659823" w14:textId="77777777" w:rsidR="00791805" w:rsidRDefault="006C3E4E">
      <w:pPr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>Supplementary Figure S2</w:t>
      </w:r>
      <w:r>
        <w:rPr>
          <w:rFonts w:ascii="Calibri" w:eastAsia="Calibri" w:hAnsi="Calibri" w:cs="Calibri"/>
        </w:rPr>
        <w:t>: methylation patterns during differentiation for the 20 genes significantly methylated/expressed at 192 hours (but not at 384 hours) which methylation levels return to the baseline at 384 hours. For each panel, mean β-values at each time point are represe</w:t>
      </w:r>
      <w:r>
        <w:rPr>
          <w:rFonts w:ascii="Calibri" w:eastAsia="Calibri" w:hAnsi="Calibri" w:cs="Calibri"/>
        </w:rPr>
        <w:t>nted by dots. Different colors represent different genes.</w:t>
      </w:r>
    </w:p>
    <w:p w14:paraId="178A28B2" w14:textId="77777777" w:rsidR="00791805" w:rsidRDefault="00791805"/>
    <w:p w14:paraId="2A47EE10" w14:textId="77777777" w:rsidR="00791805" w:rsidRDefault="00791805"/>
    <w:p w14:paraId="24849489" w14:textId="77777777" w:rsidR="00791805" w:rsidRDefault="006C3E4E">
      <w:r>
        <w:rPr>
          <w:noProof/>
        </w:rPr>
        <w:lastRenderedPageBreak/>
        <w:drawing>
          <wp:inline distT="114300" distB="114300" distL="114300" distR="114300" wp14:anchorId="024FB14A" wp14:editId="46510D2B">
            <wp:extent cx="6076950" cy="2943225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6"/>
                    <a:srcRect l="11353" t="18146" r="10978" b="8986"/>
                    <a:stretch>
                      <a:fillRect/>
                    </a:stretch>
                  </pic:blipFill>
                  <pic:spPr>
                    <a:xfrm>
                      <a:off x="0" y="0"/>
                      <a:ext cx="6076950" cy="2943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D431281" w14:textId="77777777" w:rsidR="00791805" w:rsidRDefault="006C3E4E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  <w:u w:val="single"/>
        </w:rPr>
        <w:t xml:space="preserve">Supplementary Figure S3: </w:t>
      </w:r>
      <w:r w:rsidR="0031517F">
        <w:rPr>
          <w:rFonts w:ascii="Calibri" w:eastAsia="Calibri" w:hAnsi="Calibri" w:cs="Calibri"/>
        </w:rPr>
        <w:t>D</w:t>
      </w:r>
      <w:bookmarkStart w:id="1" w:name="_GoBack"/>
      <w:bookmarkEnd w:id="1"/>
      <w:r>
        <w:rPr>
          <w:rFonts w:ascii="Calibri" w:eastAsia="Calibri" w:hAnsi="Calibri" w:cs="Calibri"/>
        </w:rPr>
        <w:t>istribution of the average beta-values for the DMRs on DEGs at 384 hours. β-values of DMRs that show anti-correlated changes in methylation and gene expression are depi</w:t>
      </w:r>
      <w:r>
        <w:rPr>
          <w:rFonts w:ascii="Calibri" w:eastAsia="Calibri" w:hAnsi="Calibri" w:cs="Calibri"/>
        </w:rPr>
        <w:t>cted in pink. The blue curve describes instead the distribution of β-values for DMRs showing the same direction of regulation in methylation and gene expression levels.</w:t>
      </w:r>
    </w:p>
    <w:sectPr w:rsidR="00791805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791805"/>
    <w:rsid w:val="0031517F"/>
    <w:rsid w:val="006C3E4E"/>
    <w:rsid w:val="00791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BE6D1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201</Words>
  <Characters>1149</Characters>
  <Application>Microsoft Macintosh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Marie Pier Scott-Boyer</cp:lastModifiedBy>
  <cp:revision>3</cp:revision>
  <cp:lastPrinted>2019-02-21T22:37:00Z</cp:lastPrinted>
  <dcterms:created xsi:type="dcterms:W3CDTF">2019-02-21T22:37:00Z</dcterms:created>
  <dcterms:modified xsi:type="dcterms:W3CDTF">2019-02-21T22:38:00Z</dcterms:modified>
</cp:coreProperties>
</file>