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476"/>
        <w:tblW w:w="142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3"/>
        <w:gridCol w:w="2310"/>
        <w:gridCol w:w="4568"/>
        <w:gridCol w:w="5186"/>
      </w:tblGrid>
      <w:tr w:rsidR="008259EA" w:rsidRPr="008259EA" w14:paraId="523225D6" w14:textId="77777777" w:rsidTr="008259EA">
        <w:trPr>
          <w:trHeight w:val="437"/>
        </w:trPr>
        <w:tc>
          <w:tcPr>
            <w:tcW w:w="44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758C9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Determinations</w:t>
            </w:r>
          </w:p>
        </w:tc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03E4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OA induction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18BE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Treatments</w:t>
            </w:r>
          </w:p>
        </w:tc>
      </w:tr>
      <w:tr w:rsidR="008259EA" w:rsidRPr="008259EA" w14:paraId="04AE6600" w14:textId="77777777" w:rsidTr="008259EA">
        <w:trPr>
          <w:trHeight w:val="1169"/>
        </w:trPr>
        <w:tc>
          <w:tcPr>
            <w:tcW w:w="21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6366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Histologic evaluation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C2608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Macroscopic evaluation</w:t>
            </w:r>
          </w:p>
        </w:tc>
        <w:tc>
          <w:tcPr>
            <w:tcW w:w="45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E2E9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Presence of osteophytosis, ulcerations and cartilage eburnation.</w:t>
            </w:r>
          </w:p>
        </w:tc>
        <w:tc>
          <w:tcPr>
            <w:tcW w:w="51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CF4F7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CGH-NC lead to better macroscopic score values and lower osteophyte stage, showing a cartilage appearance closer to the healthy one.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br/>
              <w:t>No differences were reported between CGH and CTR animals.</w:t>
            </w:r>
          </w:p>
        </w:tc>
      </w:tr>
      <w:tr w:rsidR="008259EA" w:rsidRPr="008259EA" w14:paraId="6A4CF399" w14:textId="77777777" w:rsidTr="008259EA">
        <w:trPr>
          <w:trHeight w:val="2531"/>
        </w:trPr>
        <w:tc>
          <w:tcPr>
            <w:tcW w:w="21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BF4E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6DABE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Microscopic evaluation</w:t>
            </w:r>
          </w:p>
        </w:tc>
        <w:tc>
          <w:tcPr>
            <w:tcW w:w="4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88D6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Articular cartilage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: Matrix strain, cartilage structure and chondrocyte density showed a significant worsening.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br/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br/>
            </w: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 xml:space="preserve">Subchondral bone: 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structure of subchondral bone was worsened.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br/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br/>
            </w: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Synovial membrane: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 xml:space="preserve"> higher inflammatory stage.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83D1A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Articular cartilage: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 xml:space="preserve"> CGH-NC lead to less degenerative changes in chondrocytes when compared to CGH and CTR animals.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br/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br/>
            </w: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 xml:space="preserve">Subchondral bone: 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No effects were reported in both treatments.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br/>
            </w: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br/>
              <w:t xml:space="preserve">Synovial membrane: </w:t>
            </w: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 xml:space="preserve">CGH-NC rabbits showed better values regarding the disposition of cells in the synovial membrane, exhibiting a lower inflammatory stage in this tissue. </w:t>
            </w:r>
          </w:p>
        </w:tc>
      </w:tr>
      <w:tr w:rsidR="008259EA" w:rsidRPr="008259EA" w14:paraId="49125A03" w14:textId="77777777" w:rsidTr="008259EA">
        <w:trPr>
          <w:trHeight w:val="598"/>
        </w:trPr>
        <w:tc>
          <w:tcPr>
            <w:tcW w:w="448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2A16AA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Synovial Fluid Hyaluronic Acid Measurements</w:t>
            </w:r>
          </w:p>
        </w:tc>
        <w:tc>
          <w:tcPr>
            <w:tcW w:w="45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48AE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 xml:space="preserve">Hyaluronic acid levels were significantly diminished. </w:t>
            </w:r>
          </w:p>
        </w:tc>
        <w:tc>
          <w:tcPr>
            <w:tcW w:w="51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51BA5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CGH-NC showed higher values of hyaluronic acid in comparison with CGH and CTR animals.</w:t>
            </w:r>
          </w:p>
        </w:tc>
      </w:tr>
      <w:tr w:rsidR="008259EA" w:rsidRPr="008259EA" w14:paraId="592293FA" w14:textId="77777777" w:rsidTr="008259EA">
        <w:trPr>
          <w:trHeight w:val="1463"/>
        </w:trPr>
        <w:tc>
          <w:tcPr>
            <w:tcW w:w="21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1375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MRI Quantitative Biomarkers Analysis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B5EB2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Articular cartilage biomarkers</w:t>
            </w:r>
          </w:p>
        </w:tc>
        <w:tc>
          <w:tcPr>
            <w:tcW w:w="45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C1C8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Higher longitudinal (T1) and transversal (T2) relaxation times, which are associated with reduced proteoglycan content and increased water content and alterations in collagen network, respectively.</w:t>
            </w:r>
          </w:p>
        </w:tc>
        <w:tc>
          <w:tcPr>
            <w:tcW w:w="51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2FDE2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CGH-NC induced lower T2 femoral lateral posterior region values and a trend towards lower T2 tibial medial anterior region values when compared to CTR group.</w:t>
            </w:r>
          </w:p>
        </w:tc>
      </w:tr>
      <w:tr w:rsidR="008259EA" w:rsidRPr="008259EA" w14:paraId="784EB94D" w14:textId="77777777" w:rsidTr="008259EA">
        <w:trPr>
          <w:trHeight w:val="598"/>
        </w:trPr>
        <w:tc>
          <w:tcPr>
            <w:tcW w:w="21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3C599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04803" w14:textId="77777777" w:rsidR="008259EA" w:rsidRPr="008259EA" w:rsidRDefault="008259EA" w:rsidP="008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s-ES"/>
                <w14:ligatures w14:val="none"/>
              </w:rPr>
              <w:t>Subchondral bone biomarkers</w:t>
            </w:r>
          </w:p>
        </w:tc>
        <w:tc>
          <w:tcPr>
            <w:tcW w:w="4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753A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Alterations in two-dimensional fractal dimension (D2D) femoral lateral and D2D tibial lateral.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91F9F" w14:textId="77777777" w:rsidR="008259EA" w:rsidRPr="008259EA" w:rsidRDefault="008259EA" w:rsidP="008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8259EA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CGH-NC induced lower D2D femoral lateral values and a trend towards lower D2D tibial lateral values when compared to CTR group.</w:t>
            </w:r>
          </w:p>
        </w:tc>
      </w:tr>
    </w:tbl>
    <w:p w14:paraId="5E7BDBAF" w14:textId="609F090A" w:rsidR="009C5AFA" w:rsidRPr="008259EA" w:rsidRDefault="008259EA" w:rsidP="008259E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259E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1. Summary of the main results obtained by Sifre </w:t>
      </w:r>
      <w:r w:rsidRPr="008259EA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et al</w:t>
      </w:r>
      <w:r w:rsidRPr="008259E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regarding the administration of CGH and CGH-NC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supplements in an OA-</w:t>
      </w:r>
      <w:r w:rsidRPr="008259EA">
        <w:rPr>
          <w:rFonts w:ascii="Times New Roman" w:hAnsi="Times New Roman" w:cs="Times New Roman"/>
          <w:b/>
          <w:bCs/>
          <w:sz w:val="20"/>
          <w:szCs w:val="20"/>
          <w:lang w:val="en-US"/>
        </w:rPr>
        <w:t>induced model by cranial cruciate ligament transection in rabbits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</w:p>
    <w:sectPr w:rsidR="009C5AFA" w:rsidRPr="008259EA" w:rsidSect="008259E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EA"/>
    <w:rsid w:val="00647EC3"/>
    <w:rsid w:val="008259EA"/>
    <w:rsid w:val="00917275"/>
    <w:rsid w:val="009C5AFA"/>
    <w:rsid w:val="00A9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AA25"/>
  <w15:chartTrackingRefBased/>
  <w15:docId w15:val="{86736D64-9D5F-4FEF-ACD9-7A825758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5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5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59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5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59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5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5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5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5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5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5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5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59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59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59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59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59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59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5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5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5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5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5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59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59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59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5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59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59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6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Marine Casado</dc:creator>
  <cp:keywords/>
  <dc:description/>
  <cp:lastModifiedBy>Roger Marine Casado</cp:lastModifiedBy>
  <cp:revision>1</cp:revision>
  <dcterms:created xsi:type="dcterms:W3CDTF">2024-06-28T13:03:00Z</dcterms:created>
  <dcterms:modified xsi:type="dcterms:W3CDTF">2024-06-28T13:14:00Z</dcterms:modified>
</cp:coreProperties>
</file>