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58D67" w14:textId="63FFA101" w:rsidR="002C5E2F" w:rsidRPr="002C5E2F" w:rsidRDefault="002C5E2F" w:rsidP="00C56FC5">
      <w:pPr>
        <w:rPr>
          <w:rFonts w:ascii="Times New Roman" w:hAnsi="Times New Roman" w:cs="Times New Roman"/>
          <w:b/>
          <w:bCs/>
        </w:rPr>
      </w:pPr>
      <w:bookmarkStart w:id="0" w:name="_Hlk212899275"/>
      <w:r w:rsidRPr="00BD5D95">
        <w:rPr>
          <w:rFonts w:ascii="Times New Roman" w:hAnsi="Times New Roman" w:cs="Times New Roman"/>
          <w:b/>
          <w:bCs/>
        </w:rPr>
        <w:t>Supplementary Materials</w:t>
      </w:r>
      <w:r>
        <w:rPr>
          <w:rFonts w:ascii="Times New Roman" w:hAnsi="Times New Roman" w:cs="Times New Roman"/>
          <w:b/>
          <w:bCs/>
        </w:rPr>
        <w:t xml:space="preserve">: </w:t>
      </w:r>
      <w:r w:rsidRPr="002C5E2F">
        <w:rPr>
          <w:rFonts w:ascii="Times New Roman" w:hAnsi="Times New Roman" w:cs="Times New Roman"/>
          <w:bCs/>
          <w:i/>
          <w:iCs/>
        </w:rPr>
        <w:t xml:space="preserve">Short-Term Caloric Restriction Partially </w:t>
      </w:r>
      <w:bookmarkEnd w:id="0"/>
      <w:r w:rsidRPr="002C5E2F">
        <w:rPr>
          <w:rFonts w:ascii="Times New Roman" w:hAnsi="Times New Roman" w:cs="Times New Roman"/>
          <w:bCs/>
          <w:i/>
          <w:iCs/>
          <w:lang w:val="en-US"/>
        </w:rPr>
        <w:t>Reprograms Immune and Microbial Networks During Acute DSS-Induced Colitis</w:t>
      </w:r>
      <w:r w:rsidRPr="002C5E2F">
        <w:rPr>
          <w:rFonts w:ascii="Times New Roman" w:hAnsi="Times New Roman" w:cs="Times New Roman"/>
          <w:b/>
          <w:bCs/>
          <w:i/>
          <w:iCs/>
        </w:rPr>
        <w:t xml:space="preserve"> </w:t>
      </w:r>
    </w:p>
    <w:p w14:paraId="6705ADB7" w14:textId="566B5B04" w:rsidR="000A23CF" w:rsidRPr="00C56FC5" w:rsidRDefault="00A51F38">
      <w:pPr>
        <w:rPr>
          <w:rFonts w:ascii="Times New Roman" w:hAnsi="Times New Roman" w:cs="Times New Roman"/>
          <w:b/>
          <w:bCs/>
        </w:rPr>
      </w:pPr>
      <w:r w:rsidRPr="00C56FC5">
        <w:rPr>
          <w:rFonts w:ascii="Times New Roman" w:hAnsi="Times New Roman" w:cs="Times New Roman"/>
          <w:b/>
          <w:bCs/>
        </w:rPr>
        <w:t>Supplementary Methods</w:t>
      </w:r>
    </w:p>
    <w:p w14:paraId="169A1FEB" w14:textId="77777777" w:rsidR="000A23CF" w:rsidRPr="00A51F38" w:rsidRDefault="000A23CF" w:rsidP="000A23CF">
      <w:pPr>
        <w:autoSpaceDE w:val="0"/>
        <w:autoSpaceDN w:val="0"/>
        <w:adjustRightInd w:val="0"/>
        <w:spacing w:after="0" w:line="480" w:lineRule="auto"/>
        <w:ind w:firstLine="360"/>
        <w:jc w:val="both"/>
        <w:rPr>
          <w:rFonts w:ascii="Times New Roman" w:hAnsi="Times New Roman" w:cs="Times New Roman"/>
          <w:i/>
          <w:iCs/>
        </w:rPr>
      </w:pPr>
      <w:r w:rsidRPr="00A51F38">
        <w:rPr>
          <w:rFonts w:ascii="Times New Roman" w:hAnsi="Times New Roman" w:cs="Times New Roman"/>
          <w:i/>
          <w:iCs/>
        </w:rPr>
        <w:t>Colorectal Propulsion Test</w:t>
      </w:r>
    </w:p>
    <w:p w14:paraId="31C731BF" w14:textId="2B31D243" w:rsidR="000A23CF" w:rsidRPr="00A51F38" w:rsidRDefault="000A23CF" w:rsidP="000A23CF">
      <w:pPr>
        <w:autoSpaceDE w:val="0"/>
        <w:autoSpaceDN w:val="0"/>
        <w:adjustRightInd w:val="0"/>
        <w:spacing w:line="480" w:lineRule="auto"/>
        <w:ind w:firstLine="360"/>
        <w:rPr>
          <w:rStyle w:val="fadeinm1hgl8"/>
          <w:rFonts w:ascii="Times New Roman" w:hAnsi="Times New Roman" w:cs="Times New Roman"/>
        </w:rPr>
      </w:pPr>
      <w:r w:rsidRPr="00A51F38">
        <w:rPr>
          <w:rStyle w:val="fadeinm1hgl8"/>
          <w:rFonts w:ascii="Times New Roman" w:hAnsi="Times New Roman" w:cs="Times New Roman"/>
        </w:rPr>
        <w:t>To assess colorectal propulsion, a bead expulsion test was performed on day 7. Mice were anesthetized using 2% isoflurane (v/v) in 1 L/min oxygen following induction with 4% isoflurane in 1 L/min oxygen. Once fully anesthetized, a 2.8 mm diameter round bead was inserted 2 cm into the distal colon using a flexible plastic feeding tube. Mice were then placed individually in clean cages for recovery, and the time to bead expulsion (in seconds) was recorded as a measure of colonic motility.</w:t>
      </w:r>
      <w:r w:rsidRPr="00A51F38">
        <w:rPr>
          <w:rFonts w:ascii="Times New Roman" w:hAnsi="Times New Roman" w:cs="Times New Roman"/>
        </w:rPr>
        <w:fldChar w:fldCharType="begin"/>
      </w:r>
      <w:r w:rsidR="00C56FC5">
        <w:rPr>
          <w:rFonts w:ascii="Times New Roman" w:hAnsi="Times New Roman" w:cs="Times New Roman"/>
        </w:rPr>
        <w:instrText xml:space="preserve"> ADDIN ZOTERO_ITEM CSL_CITATION {"citationID":"OFz6EVeW","properties":{"formattedCitation":"\\super 1\\uc0\\u8211{}5\\nosupersub{}","plainCitation":"1–5","noteIndex":0},"citationItems":[{"id":857,"uris":["http://zotero.org/users/local/OgQ4w9Qn/items/MGX8BF38"],"itemData":{"id":857,"type":"article-journal","abstract":"Background: Insulin-like peptide 5 (INSL5) is a hormone stored in colonic enteroendocrine cells that also contain the unrelated hormones, GLP-1 and PYY. It acts at the relaxin family peptide 4, RXFP4, receptor. RXFP4 is expressed by enteric neurons in the colon, and it has been speculated that INSL5, through its action on enteric neurons, might be involved in the control of colonic contractions. Similar to insulin and relaxin, INSL5 consists of A and B peptide chains linked by three disulfide bonds, two between the chains and one intrinsic to the A chain. Because of its complex structure, it is difficult to synthesize and to prepare peptide analogues to investigate its roles. We have recently developed a potent simplified peptide analogue, INSL5-A13 (INSL5 analogue 13).\nMethods: In the present work, we have investigated the actions of INSL5-A13 in mice. We investigated the ability of INSL5-A13 to increase the speed of emptying of a bead from the colon, after expulsion had been slowed by the peripherally restricted opioid agonist, loperamide (1 mg/kg). Key Results: INSL5-A13 was a full agonist at the mouse RXFP4 expressed in HEK cells, with an EC50 of ~9 nmol/L. INSL5-A13 caused an acceleration of colorectal bead propulsion in mice constipated by loperamide in the dose range 0.2 to 60 µg/ kg, with an EC50 of ~6 µg/kg in vivo. It also accelerated bead propulsion in untreated mice. Bead expulsion was not accelerated in RXFP4−/− mice.\nConclusion and Inferences: Our data suggest that RXFP4 agonists could be useful in the treatment of constipation.","container-title":"Neurogastroenterology &amp; Motility","DOI":"10.1111/nmo.13796","ISSN":"1350-1925, 1365-2982","issue":"5","journalAbbreviation":"Neurogastroenterology &amp; Motility","language":"en","source":"DOI.org (Crossref)","title":"Colokinetic effect of an insulin‐like peptide 5‐related agonist of the RXFP4 receptor","URL":"https://onlinelibrary.wiley.com/doi/10.1111/nmo.13796","volume":"32","author":[{"family":"Diwakarla","given":"Shanti"},{"family":"Bathgate","given":"Ross A. D."},{"family":"Zhang","given":"Xiaozhou"},{"family":"Hossain","given":"Mohammed Akhter"},{"family":"Furness","given":"John B."}],"accessed":{"date-parts":[["2021",12,13]]},"issued":{"date-parts":[["2020",5]]}}},{"id":1937,"uris":["http://zotero.org/users/local/OgQ4w9Qn/items/QHWXEVR8"],"itemData":{"id":1937,"type":"article-journal","abstract":"Abstract\n            RXFP4 is a G protein–coupled receptor (GPCR) in the relaxin family. It has recently been recognised that this receptor and its cognate ligand INSL5 may have a role in the regulation of food intake, gut motility, and other functions relevant to metabolic health and disease. Recent data from reporter-mice showed co-location of Rxfp4 and serotonin (5-HT) in the lower gut. We used human single-cell RNA sequence data (scRNASeq) to show that RXFP4 is in a subset of gut enterochromaffin cells that produce 5-HT in humans. We also used RNAScope to show co-location of Rxfp4 mRNA and 5-HT in mouse colon, confirming prior findings. To understand whether RXFP4 might regulate serotonin production, we developed a cell model using Colo320, a human gut-derived immortalised cell line that produces and releases serotonin. Overexpression of RXFP4 in these cells resulted in a constitutive decrease in cAMP levels in both the basal state and in cells treated with forskolin. Treatment of cells with two RXFP4 agonists, INSL5 derived peptide INSL5-A13 and small molecule compound-4, further reduced cAMP levels. This was paralleled by a reduction in expression of mRNA for TPH1, the enzyme controlling the rate limiting step in the production of serotonin. Overexpression of RXFP4 also attenuated the cAMP-induced release of serotonin from Colo320 cells. Together this demonstrates that serotonin producing enterochromaffin cells are the major site of RXFP4 expression in the gut and that RXFP4 can have inhibitory functional impacts on cAMP production as well as TPH1 expression and serotonin release.","container-title":"Bioscience Reports","DOI":"10.1042/BSR20221956","ISSN":"0144-8463, 1573-4935","issue":"4","language":"en","page":"BSR20221956","source":"DOI.org (Crossref)","title":"Evidence that RXFP4 is located in enterochromaffin cells and can regulate production and release of serotonin","URL":"https://portlandpress.com/bioscirep/article/43/4/BSR20221956/232789/Evidence-that-RXFP4-is-located-in-enterochromaffin","volume":"43","author":[{"family":"Fernando","given":"Shalinda J.A."},{"family":"Wang","given":"Qian"},{"family":"Hay","given":"Debbie L."},{"family":"Bathgate","given":"Ross A.D."},{"family":"Shepherd","given":"Peter R."},{"family":"Lee","given":"Kate L."}],"accessed":{"date-parts":[["2024",11,21]]},"issued":{"date-parts":[["2023",4,26]]}}},{"id":1934,"uris":["http://zotero.org/users/local/OgQ4w9Qn/items/XSYI6G8K"],"itemData":{"id":1934,"type":"article-journal","abstract":"&lt;b&gt;&lt;i&gt;Introduction:&lt;/i&gt;&lt;/b&gt; Colonic motility disorders are a frequent clinical problem caused by various drugs and diseases. However, the etiology of colonic dysmotility is often unclear due to the lack of in vivo methods, including rapid dynamic assessment. &lt;b&gt;&lt;i&gt;Objectives:&lt;/i&gt;&lt;/b&gt; The aim of this study was to establish a novel quantitative method to objectively assess colonic motility using ultrasonography. &lt;b&gt;&lt;i&gt;Methods:&lt;/i&gt;&lt;/b&gt; We applied echocardiographic speckle tracking-based strain imaging to analyze murine colonic motility. A trace line was placed on the boundary between the proximal wall of the colon and the inner cavity to analyze colonic wall displacement and strain rate. Locomotion activities of the colonic wall were used to quantify colonic motility via ultrasonography. &lt;b&gt;&lt;i&gt;Results:&lt;/i&gt;&lt;/b&gt; We found that ultrasonography can quantitatively detect a decrease in colonic motility induced by loperamide, an antidiarrheal drug. These quantitative data were consistent with the imaging findings of colonic peristalsis and colon transit time. Additionally, ultrasonography also revealed changes in colonic motility over short intervals. Furthermore, we have shown that ultrasonography can quantitatively and noninvasively detect colonic dysmotility and hypervascularity of the colonic wall in colitis mice. &lt;b&gt;&lt;i&gt;Conclusions:&lt;/i&gt;&lt;/b&gt; These findings suggest that ultrasonography is a useful in vivo method for objectively monitoring changes in colonic motility caused by drugs and diseases.","container-title":"Digestion","DOI":"10.1159/000511851","ISSN":"0012-2823, 1421-9867","issue":"5","journalAbbreviation":"Digestion","language":"en","license":"https://creativecommons.org/licenses/by-nc/4.0/","page":"731-741","source":"DOI.org (Crossref)","title":"A Novel Noninvasive Method for Quantitative Detection of Colonic Dysmotility Using Real-Time Ultrasonography","URL":"https://karger.com/DIG/article/doi/10.1159/000511851","volume":"102","author":[{"family":"Kishi","given":"Kazuhisa"},{"family":"Kaji","given":"Noriyuki"},{"family":"Tsuru","given":"Yoshiharu"},{"family":"Hori","given":"Masatoshi"}],"accessed":{"date-parts":[["2024",11,21]]},"issued":{"date-parts":[["2021"]]}}},{"id":929,"uris":["http://zotero.org/users/local/OgQ4w9Qn/items/HVW4YYRY"],"itemData":{"id":929,"type":"article-journal","abstract":"The gastrointestinal hormone, insulin-like peptide 5 (INSL5), is found in large intestinal enteroendocrine cells (EEC). One of its functions is to stimulate nerve circuits that increase propulsive activity of the colon through its receptor, the relaxin family peptide 4 receptor (RXFP4). To investigate the mechanisms that link INSL5 to stimulation of propulsion, we have determined the localisation of cells expressing Rxfp4 in the mouse colon, using a reporter mouse to locate cells expressing the gene. The ﬂuorescent signal indicating the location of Rxfp4 expression was in EEC, the greatest overlap of Rxfp4-dependent labelling being with cells containing 5-HT. In fact, &gt; 90% of 5-HT cells were positive for Rxfp4 labelling. A small proportion of cells with Rxfp4-dependent labelling was 5-HT-negative, 11–15% in the distal colon and rectum, and 35% in the proximal colon. Of these, some were identiﬁed as L-cells by immunoreactivity for oxyntomodulin. Rxfp4-dependent ﬂuorescence was also found in a sparse population of nerve endings, where it was colocalised with CGRP. We used the RXFP4 agonist, INSL5-A13, to activate the receptor and probe the role of the 5-HT cells in which it is expressed. INSL5-A13 administered by i.p. injection to conscious mice caused an increase in colorectal propulsion that was antagonised by the 5-HT3 receptor blocker, alosetron, also given i.p. We conclude that stimuli that excite INSL5-containing colonic L-cells release INSL5 that, through RXFP4, excites 5-HT release from neighbouring endocrine cells, which in turn acts on 5-HT3 receptors of enteric sensory neurons to elicit propulsive reﬂexes.","container-title":"Cell and Tissue Research","DOI":"10.1007/s00441-022-03635-8","ISSN":"0302-766X, 1432-0878","issue":"1","journalAbbreviation":"Cell Tissue Res","language":"en","page":"1-9","source":"DOI.org (Crossref)","title":"Expression of the relaxin family peptide 4 receptor by enterochromaffin cells of the mouse large intestine","URL":"https://link.springer.com/10.1007/s00441-022-03635-8","volume":"389","author":[{"family":"Koo","given":"Ada"},{"family":"Pustovit","given":"Ruslan V."},{"family":"Woodward","given":"Orla R. M."},{"family":"Lewis","given":"Jo E."},{"family":"Gribble","given":"Fiona M."},{"family":"Hossain","given":"Mohammed Akhter"},{"family":"Reimann","given":"Frank"},{"family":"Furness","given":"John B."}],"accessed":{"date-parts":[["2022",9,23]]},"issued":{"date-parts":[["2022",7]]}}},{"id":859,"uris":["http://zotero.org/users/local/OgQ4w9Qn/items/8HTK9FIU"],"itemData":{"id":859,"type":"article-journal","abstract":"Insulin-like peptide 5 (INSL5), the natural ligand for the relaxin family peptide receptor 4 (RXFP4), is a gut hormone that is exclusively produced by colonic L-cells. We have recently developed an analogue of INSL5, INSL5-A13, that acts as an RXFP4 agonist in vitro and stimulates colorectal propulsion in wildtype mice but not in RXFP4-knockout mice. These results suggest that INSL5 may have a physiological role in the control of colorectal motility. To investigate this possibility, in this study we designed and developed a novel INSL5 analogue, INSL5-A13NR. This compound is a potent antagonist, without signiﬁcant agonist activity, in two in vitro assays. We report here for the ﬁrst time that this novel antagonist peptide blocks agonist-induced increase in colon motility in mice that express RXFP4. Our data also show that colorectal propulsion induced by intracolonic administration of bacterial products (short-chain fatty acids, SCFAs) is antagonized by INSL5-A13NR. Therefore, INSL5-A13NR is an important research tool and potential drug lead for the treatment of colon motility disorders, such as bacterial diarrheas.","container-title":"ACS Pharmacology &amp; Translational Science","DOI":"10.1021/acsptsci.1c00171","ISSN":"2575-9108, 2575-9108","issue":"5","journalAbbreviation":"ACS Pharmacol. Transl. Sci.","language":"en","page":"1665-1674","source":"DOI.org (Crossref)","title":"A Novel Antagonist Peptide Reveals a Physiological Role of Insulin-Like Peptide 5 in Control of Colorectal Function","URL":"https://pubs.acs.org/doi/10.1021/acsptsci.1c00171","volume":"4","author":[{"family":"Pustovit","given":"Ruslan V"},{"family":"Zhang","given":"Xiaozhou"},{"family":"Liew","given":"Jamie JM"},{"family":"Praveen","given":"Praveen"},{"family":"Liu","given":"Mengjie"},{"family":"Koo","given":"Ada"},{"family":"Oparija-Rogenmozere","given":"Lalita"},{"family":"Ou","given":"Qinghao"},{"family":"Kocan","given":"Martina"},{"family":"Nie","given":"Shuai"},{"family":"Bathgate","given":"Ross AD"},{"family":"Furness","given":"John B"},{"family":"Hossain","given":"Mohammed Akhter"}],"accessed":{"date-parts":[["2021",12,13]]},"issued":{"date-parts":[["2021",10,8]]}}}],"schema":"https://github.com/citation-style-language/schema/raw/master/csl-citation.json"} </w:instrText>
      </w:r>
      <w:r w:rsidRPr="00A51F38">
        <w:rPr>
          <w:rFonts w:ascii="Times New Roman" w:hAnsi="Times New Roman" w:cs="Times New Roman"/>
        </w:rPr>
        <w:fldChar w:fldCharType="separate"/>
      </w:r>
      <w:r w:rsidR="00C56FC5" w:rsidRPr="00C56FC5">
        <w:rPr>
          <w:rFonts w:ascii="Times New Roman" w:hAnsi="Times New Roman" w:cs="Times New Roman"/>
          <w:color w:val="000000"/>
          <w:kern w:val="0"/>
          <w:vertAlign w:val="superscript"/>
          <w:lang w:val="en-US"/>
        </w:rPr>
        <w:t>1–5</w:t>
      </w:r>
      <w:r w:rsidRPr="00A51F38">
        <w:rPr>
          <w:rFonts w:ascii="Times New Roman" w:hAnsi="Times New Roman" w:cs="Times New Roman"/>
        </w:rPr>
        <w:fldChar w:fldCharType="end"/>
      </w:r>
      <w:r w:rsidRPr="00A51F38">
        <w:rPr>
          <w:rStyle w:val="fadeinm1hgl8"/>
          <w:rFonts w:ascii="Times New Roman" w:hAnsi="Times New Roman" w:cs="Times New Roman"/>
        </w:rPr>
        <w:t xml:space="preserve"> </w:t>
      </w:r>
    </w:p>
    <w:p w14:paraId="227CB057" w14:textId="5EC986E0" w:rsidR="000A23CF" w:rsidRPr="00A51F38" w:rsidRDefault="000A23CF" w:rsidP="000A23CF">
      <w:pPr>
        <w:autoSpaceDE w:val="0"/>
        <w:autoSpaceDN w:val="0"/>
        <w:adjustRightInd w:val="0"/>
        <w:spacing w:after="0" w:line="480" w:lineRule="auto"/>
        <w:ind w:firstLine="360"/>
        <w:jc w:val="both"/>
        <w:rPr>
          <w:rFonts w:ascii="Times New Roman" w:hAnsi="Times New Roman" w:cs="Times New Roman"/>
          <w:i/>
          <w:iCs/>
        </w:rPr>
      </w:pPr>
      <w:r w:rsidRPr="00A51F38">
        <w:rPr>
          <w:rFonts w:ascii="Times New Roman" w:hAnsi="Times New Roman" w:cs="Times New Roman"/>
          <w:i/>
          <w:iCs/>
        </w:rPr>
        <w:t>Elevated plus maze (EPM) Behavioral Test</w:t>
      </w:r>
    </w:p>
    <w:p w14:paraId="64A48348" w14:textId="176EED41" w:rsidR="005A63B6" w:rsidRPr="00A51F38" w:rsidRDefault="000A23CF" w:rsidP="00A51F38">
      <w:pPr>
        <w:autoSpaceDE w:val="0"/>
        <w:autoSpaceDN w:val="0"/>
        <w:adjustRightInd w:val="0"/>
        <w:spacing w:line="480" w:lineRule="auto"/>
        <w:ind w:firstLine="360"/>
        <w:rPr>
          <w:rFonts w:ascii="Times New Roman" w:hAnsi="Times New Roman" w:cs="Times New Roman"/>
        </w:rPr>
      </w:pPr>
      <w:r w:rsidRPr="00A51F38">
        <w:rPr>
          <w:rFonts w:ascii="Times New Roman" w:hAnsi="Times New Roman" w:cs="Times New Roman"/>
        </w:rPr>
        <w:t xml:space="preserve">An EPM test was conducted on day 9 to assess anxiety-like behavior. The maze consisted of two opposing open arms (30 × 8 cm), two opposing closed arms (30 × 8 × 16 cm), and a central area (8 × 8 cm). Mice were placed in the center of the maze facing an open arm and allowed to explore for 5 minutes. The number of entries into the open and closed arms, dwell time in each arm, total distance traveled, and average velocity were recorded as previously described </w:t>
      </w:r>
      <w:r w:rsidRPr="00A51F38">
        <w:rPr>
          <w:rFonts w:ascii="Times New Roman" w:hAnsi="Times New Roman" w:cs="Times New Roman"/>
        </w:rPr>
        <w:fldChar w:fldCharType="begin"/>
      </w:r>
      <w:r w:rsidR="00C56FC5">
        <w:rPr>
          <w:rFonts w:ascii="Times New Roman" w:hAnsi="Times New Roman" w:cs="Times New Roman"/>
        </w:rPr>
        <w:instrText xml:space="preserve"> ADDIN ZOTERO_ITEM CSL_CITATION {"citationID":"nASH82Zi","properties":{"formattedCitation":"\\super 6,7\\nosupersub{}","plainCitation":"6,7","noteIndex":0},"citationItems":[{"id":879,"uris":["http://zotero.org/users/local/OgQ4w9Qn/items/FALC6AXU"],"itemData":{"id":879,"type":"article-journal","abstract":"Crohn’s disease (CD) and ulcerative colitis (UC) are incurable lifelong inﬂammatory bowel diseases (IBD) with a rising worldwide incidence. IBD is characterized by diarrhea, rectal bleeding, severe cramping and weight loss. However, there is a growing evidence that IBD is also associated with anxiety- and depression-related disorders, which further increase the societal burden of these diseases. Given the limited knowledge of central nervous system (CNS) changes in IBD, we investigated CNS-related comorbidities in a mouse model of experimental colitis induced by dextran sulfate sodium (DSS) administration in drinking water for 5 days. In male and female C57BL6J mice, DSS treatment caused increased brain excitability, revealed by a decrease in seizure onset times after intraperitoneal administration of kainic acid. Moreover, both sexes showed increased anxiety-related behavior in the elevated plus-maze (EPM) and open ﬁeld (OF) paradigms. We assessed somatic pain levels, because they may inﬂuence behavioral responses. Only male mice were hyperalgesic when tested with calibrated von Frey hairs and on the hotplate for mechanical and thermal pain sensitivity respectively. Administration of diazepam (DZP; ip, 1 mg/kg) 30 min before EPM rescued the anxious phenotype and improved locomotion, even though it signiﬁcantly increased thermal sensitivity in both sexes. This indicates that the altered behavioral response is unlikely attributable to an interference with movement due to somatic pain in females. We show that experimental colitis increases CNS excitability in response to administration of kainic acid, and increases anxiety-related behavior as revealed using the EPM and OF tests.","container-title":"Frontiers in Behavioral Neuroscience","DOI":"10.3389/fnbeh.2018.00058","ISSN":"1662-5153","journalAbbreviation":"Front. Behav. Neurosci.","language":"en","page":"58","source":"DOI.org (Crossref)","title":"Altered Brain Excitability and Increased Anxiety in Mice With Experimental Colitis: Consideration of Hyperalgesia and Sex Differences","title-short":"Altered Brain Excitability and Increased Anxiety in Mice With Experimental Colitis","URL":"http://journal.frontiersin.org/article/10.3389/fnbeh.2018.00058/full","volume":"12","author":[{"family":"Nyuyki","given":"Kewir D."},{"family":"Cluny","given":"Nina L."},{"family":"Swain","given":"Mark G."},{"family":"Sharkey","given":"Keith A."},{"family":"Pittman","given":"Quentin J."}],"accessed":{"date-parts":[["2022",4,21]]},"issued":{"date-parts":[["2018",4,3]]}}},{"id":162,"uris":["http://zotero.org/users/local/OgQ4w9Qn/items/5B6SUBYE"],"itemData":{"id":162,"type":"article-journal","abstract":"Intermittent fasting (IF) has been reported to have beneﬁcial eﬀects on improving gut function via lowering gut inﬂammation and altering the gut microbiome diversity. In this study, we aimed to investigate the diﬀerential eﬀects of three diﬀerent common IF treatments, alternate day fasting (ADF), time-restricted fasting (TRF), and intermittent energy restriction (IER), on a dextran sodium sulfate (DSS)-induced colitis mouse model. The results indicated that TRF and IER, but not ADF improved the survival rates of the colitis mice. TRF and IER, but not ADF, reversed the colitis pathological development by improving the gut barrier integrity and colon length. Importantly, TRF and IER suppressed the inﬂammatory responses and oxidative stress in colon tissues. Interestingly, TRF and IER also attenuated colitis-related anxiety-like and obsessive-compulsive disorder behavior and alleviated the neuroinﬂammation and oxidative stress. TRF and IER also altered the gut microbiota composition, including the decrease of the enrichments of colitis-related microbes such as Shigella and Escherichia Coli, and increase of the enrichments of anti-inﬂammatory-related microbes. TRF and IER also improved the short chain fatty acid formation in colitis mice. In conclusion, the TRF and IER but not ADF exhibited the protective eﬀects against colitis and related behavioral disorders, which could be partly explained by improving the gut microbiome compositions and preventing gut leak, and consequently suppressing the inﬂammation and oxidative damages in both colon and brain. The current research indicates that proper IF regimens could be eﬀective strategies for nutritional intervention for the prevention and treatment of colitis.","container-title":"Redox Biology","DOI":"10.1016/j.redox.2020.101535","ISSN":"22132317","journalAbbreviation":"Redox Biology","language":"en","page":"101535","source":"DOI.org (Crossref)","title":"Effects of alternate-day fasting, time-restricted fasting and intermittent energy restriction DSS-induced on colitis and behavioral disorders","URL":"https://linkinghub.elsevier.com/retrieve/pii/S2213231720303840","volume":"32","author":[{"family":"Zhang","given":"Xin"},{"family":"Zou","given":"Qianhui"},{"family":"Zhao","given":"Beita"},{"family":"Zhang","given":"Jingwen"},{"family":"Zhao","given":"Weiyang"},{"family":"Li","given":"Yitong"},{"family":"Liu","given":"Ruihai"},{"family":"Liu","given":"Xuebo"},{"family":"Liu","given":"Zhigang"}],"accessed":{"date-parts":[["2021",5,26]]},"issued":{"date-parts":[["2020",5]]}}}],"schema":"https://github.com/citation-style-language/schema/raw/master/csl-citation.json"} </w:instrText>
      </w:r>
      <w:r w:rsidRPr="00A51F38">
        <w:rPr>
          <w:rFonts w:ascii="Times New Roman" w:hAnsi="Times New Roman" w:cs="Times New Roman"/>
        </w:rPr>
        <w:fldChar w:fldCharType="separate"/>
      </w:r>
      <w:r w:rsidR="00C56FC5" w:rsidRPr="00C56FC5">
        <w:rPr>
          <w:rFonts w:ascii="Times New Roman" w:hAnsi="Times New Roman" w:cs="Times New Roman"/>
          <w:kern w:val="0"/>
          <w:vertAlign w:val="superscript"/>
          <w:lang w:val="en-US"/>
        </w:rPr>
        <w:t>6,7</w:t>
      </w:r>
      <w:r w:rsidRPr="00A51F38">
        <w:rPr>
          <w:rFonts w:ascii="Times New Roman" w:hAnsi="Times New Roman" w:cs="Times New Roman"/>
        </w:rPr>
        <w:fldChar w:fldCharType="end"/>
      </w:r>
      <w:r w:rsidRPr="00A51F38">
        <w:rPr>
          <w:rFonts w:ascii="Times New Roman" w:hAnsi="Times New Roman" w:cs="Times New Roman"/>
        </w:rPr>
        <w:t>. The maze was cleaned between trials to prevent olfactory interference.</w:t>
      </w:r>
      <w:r w:rsidRPr="00A51F38">
        <w:rPr>
          <w:rFonts w:ascii="Times New Roman" w:hAnsi="Times New Roman" w:cs="Times New Roman"/>
          <w:i/>
          <w:iCs/>
        </w:rPr>
        <w:t xml:space="preserve"> </w:t>
      </w:r>
      <w:r w:rsidRPr="00A51F38">
        <w:rPr>
          <w:rFonts w:ascii="Times New Roman" w:hAnsi="Times New Roman" w:cs="Times New Roman"/>
        </w:rPr>
        <w:t xml:space="preserve">Mouse behavior was recorded using a </w:t>
      </w:r>
      <w:proofErr w:type="spellStart"/>
      <w:r w:rsidRPr="00A51F38">
        <w:rPr>
          <w:rFonts w:ascii="Times New Roman" w:hAnsi="Times New Roman" w:cs="Times New Roman"/>
        </w:rPr>
        <w:t>CamPark</w:t>
      </w:r>
      <w:proofErr w:type="spellEnd"/>
      <w:r w:rsidRPr="00A51F38">
        <w:rPr>
          <w:rFonts w:ascii="Times New Roman" w:hAnsi="Times New Roman" w:cs="Times New Roman"/>
        </w:rPr>
        <w:t xml:space="preserve"> X30 Native 4K camera mounted 1.2 m above the apparatus. Video data were automatically analyzed using </w:t>
      </w:r>
      <w:proofErr w:type="spellStart"/>
      <w:r w:rsidRPr="00A51F38">
        <w:rPr>
          <w:rFonts w:ascii="Times New Roman" w:hAnsi="Times New Roman" w:cs="Times New Roman"/>
        </w:rPr>
        <w:t>EthoVision</w:t>
      </w:r>
      <w:proofErr w:type="spellEnd"/>
      <w:r w:rsidRPr="00A51F38">
        <w:rPr>
          <w:rFonts w:ascii="Times New Roman" w:hAnsi="Times New Roman" w:cs="Times New Roman"/>
        </w:rPr>
        <w:t xml:space="preserve"> XT (Noldus Information Technology, Wageningen, Netherlands), which extracted all behavioral parameters.</w:t>
      </w:r>
    </w:p>
    <w:p w14:paraId="0F42FDC0" w14:textId="77777777" w:rsidR="005A63B6" w:rsidRPr="00A51F38" w:rsidRDefault="005A63B6" w:rsidP="005A63B6">
      <w:pPr>
        <w:autoSpaceDE w:val="0"/>
        <w:autoSpaceDN w:val="0"/>
        <w:adjustRightInd w:val="0"/>
        <w:spacing w:line="480" w:lineRule="auto"/>
        <w:ind w:left="360"/>
        <w:jc w:val="both"/>
        <w:rPr>
          <w:rFonts w:ascii="Times New Roman" w:hAnsi="Times New Roman" w:cs="Times New Roman"/>
          <w:i/>
          <w:iCs/>
        </w:rPr>
      </w:pPr>
      <w:r w:rsidRPr="00A51F38">
        <w:rPr>
          <w:rFonts w:ascii="Times New Roman" w:hAnsi="Times New Roman" w:cs="Times New Roman"/>
          <w:i/>
          <w:iCs/>
        </w:rPr>
        <w:t>Meta-Analyses of Human Ulcerative Colitis Microarray Data</w:t>
      </w:r>
    </w:p>
    <w:p w14:paraId="180D6AC5" w14:textId="155B44F0" w:rsidR="005A63B6" w:rsidRPr="00A51F38" w:rsidRDefault="005A63B6" w:rsidP="005A63B6">
      <w:pPr>
        <w:autoSpaceDE w:val="0"/>
        <w:autoSpaceDN w:val="0"/>
        <w:adjustRightInd w:val="0"/>
        <w:spacing w:line="480" w:lineRule="auto"/>
        <w:ind w:firstLine="360"/>
        <w:rPr>
          <w:rFonts w:ascii="Times New Roman" w:hAnsi="Times New Roman" w:cs="Times New Roman"/>
        </w:rPr>
      </w:pPr>
      <w:r w:rsidRPr="00A51F38">
        <w:rPr>
          <w:rFonts w:ascii="Times New Roman" w:hAnsi="Times New Roman" w:cs="Times New Roman"/>
        </w:rPr>
        <w:t xml:space="preserve">Microarray datasets </w:t>
      </w:r>
      <w:r w:rsidRPr="00A51F38">
        <w:rPr>
          <w:rFonts w:ascii="Times New Roman" w:hAnsi="Times New Roman" w:cs="Times New Roman"/>
          <w:color w:val="000000" w:themeColor="text1"/>
        </w:rPr>
        <w:t xml:space="preserve">of human UC datasets were </w:t>
      </w:r>
      <w:r w:rsidRPr="00A51F38">
        <w:rPr>
          <w:rFonts w:ascii="Times New Roman" w:hAnsi="Times New Roman" w:cs="Times New Roman"/>
        </w:rPr>
        <w:t xml:space="preserve">obtained from the National Center for Biotechnology Information (NCBI) Gene Expression Omnibus (GEO) using the </w:t>
      </w:r>
      <w:proofErr w:type="spellStart"/>
      <w:r w:rsidRPr="00A51F38">
        <w:rPr>
          <w:rFonts w:ascii="Times New Roman" w:hAnsi="Times New Roman" w:cs="Times New Roman"/>
        </w:rPr>
        <w:t>GEOquery</w:t>
      </w:r>
      <w:proofErr w:type="spellEnd"/>
      <w:r w:rsidRPr="00A51F38">
        <w:rPr>
          <w:rFonts w:ascii="Times New Roman" w:hAnsi="Times New Roman" w:cs="Times New Roman"/>
        </w:rPr>
        <w:t xml:space="preserve"> </w:t>
      </w:r>
      <w:r w:rsidRPr="00A51F38">
        <w:rPr>
          <w:rFonts w:ascii="Times New Roman" w:hAnsi="Times New Roman" w:cs="Times New Roman"/>
        </w:rPr>
        <w:lastRenderedPageBreak/>
        <w:t>package. Datasets were included if they met the following criteria: (1) clearly defined UC disease states (active or inactive), (2) inclusion of a non-IBD control group, (3) ≥ 10 individuals per group, and (4) inclusion of </w:t>
      </w:r>
      <w:r w:rsidRPr="00A51F38">
        <w:rPr>
          <w:rFonts w:ascii="Times New Roman" w:hAnsi="Times New Roman" w:cs="Times New Roman"/>
          <w:i/>
          <w:iCs/>
        </w:rPr>
        <w:t>INSL5</w:t>
      </w:r>
      <w:r w:rsidRPr="00A51F38">
        <w:rPr>
          <w:rFonts w:ascii="Times New Roman" w:hAnsi="Times New Roman" w:cs="Times New Roman"/>
        </w:rPr>
        <w:t> and </w:t>
      </w:r>
      <w:r w:rsidRPr="00A51F38">
        <w:rPr>
          <w:rFonts w:ascii="Times New Roman" w:hAnsi="Times New Roman" w:cs="Times New Roman"/>
          <w:i/>
          <w:iCs/>
        </w:rPr>
        <w:t>RXFP4</w:t>
      </w:r>
      <w:r w:rsidRPr="00A51F38">
        <w:rPr>
          <w:rFonts w:ascii="Times New Roman" w:hAnsi="Times New Roman" w:cs="Times New Roman"/>
        </w:rPr>
        <w:t> in the microarray platform. The fourth criterion was based on our prior hypothesis that the INSL5–RXFP4 axis mediates protective effects of CR in colitis, as suggested by Skok et al</w:t>
      </w:r>
      <w:r w:rsidRPr="00A51F38">
        <w:rPr>
          <w:rFonts w:ascii="Times New Roman" w:hAnsi="Times New Roman" w:cs="Times New Roman"/>
          <w:i/>
          <w:iCs/>
        </w:rPr>
        <w:t>.</w:t>
      </w:r>
      <w:r w:rsidRPr="00A51F38">
        <w:rPr>
          <w:rFonts w:ascii="Times New Roman" w:hAnsi="Times New Roman" w:cs="Times New Roman"/>
        </w:rPr>
        <w:fldChar w:fldCharType="begin"/>
      </w:r>
      <w:r w:rsidR="00C56FC5">
        <w:rPr>
          <w:rFonts w:ascii="Times New Roman" w:hAnsi="Times New Roman" w:cs="Times New Roman"/>
        </w:rPr>
        <w:instrText xml:space="preserve"> ADDIN ZOTERO_ITEM CSL_CITATION {"citationID":"MefK6zNl","properties":{"formattedCitation":"\\super 8\\nosupersub{}","plainCitation":"8","noteIndex":0},"citationItems":[{"id":867,"uris":["http://zotero.org/users/local/OgQ4w9Qn/items/CH949TWY"],"itemData":{"id":867,"type":"article-journal","abstract":"Ulcerative colitis (UC) and Crohn’s disease (CD) are characterized by an imbalance between pro-inﬂammatory and anti-inﬂammatory cytokines, interfering with the resolution of inﬂammation. Due to the crucial role of cytokines, new insights into their proﬁles in UC and CD would help to improve our understanding of pathogenesis and enable the development of new treatment modalities. We provide an expression proﬁle of cytokines in UC and CD, using bioinformatics approach, and experimental validation of expression of the selected genes. We retrieved data and analyzed the cytokine gene expression proﬁles of UC and CD. From ten genes with inverse expression, common to CD and UC, BMP8B, LEFTY1 and INSL5 were selected for gene expression experimental validation. Experimentally, BMP8B and INSL5 were down-regulated in both CD and UC but followed the bioinformatics trend. The expression of genes LEFTY1 and BMP8B was statistically signiﬁcant when comparing UC and CD in colon and the expression of gene LEFTY1 showed statistical signiﬁcance when CD in ileum and colon were compared. Using the bioinformatics approach and experimental validation, we found differences in expression proﬁles between UC and CD for INSL5, LEFTY1 and BMP8B. These three promising candidate genes need to be further explored at different levels, such as DNA methylation and protein expression, to provide more evidence on their potential diagnostic role in CD and UC.","container-title":"Genes","DOI":"10.3390/genes12101477","ISSN":"2073-4425","issue":"10","journalAbbreviation":"Genes","language":"en","page":"1477","source":"DOI.org (Crossref)","title":"Expression of Cytokine-Coding Genes BMP8B, LEFTY1 and INSL5 Could Distinguish between Ulcerative Colitis and Crohn’s Disease","URL":"https://www.mdpi.com/2073-4425/12/10/1477","volume":"12","author":[{"family":"Skok","given":"Daša Jevšinek"},{"family":"Hauptman","given":"Nina"},{"family":"Jerala","given":"Miha"},{"family":"Zidar","given":"Nina"}],"accessed":{"date-parts":[["2022",2,16]]},"issued":{"date-parts":[["2021",9,23]]}}}],"schema":"https://github.com/citation-style-language/schema/raw/master/csl-citation.json"} </w:instrText>
      </w:r>
      <w:r w:rsidRPr="00A51F38">
        <w:rPr>
          <w:rFonts w:ascii="Times New Roman" w:hAnsi="Times New Roman" w:cs="Times New Roman"/>
        </w:rPr>
        <w:fldChar w:fldCharType="separate"/>
      </w:r>
      <w:r w:rsidR="00C56FC5" w:rsidRPr="00C56FC5">
        <w:rPr>
          <w:rFonts w:ascii="Times New Roman" w:hAnsi="Times New Roman" w:cs="Times New Roman"/>
          <w:kern w:val="0"/>
          <w:vertAlign w:val="superscript"/>
          <w:lang w:val="en-US"/>
        </w:rPr>
        <w:t>8</w:t>
      </w:r>
      <w:r w:rsidRPr="00A51F38">
        <w:rPr>
          <w:rFonts w:ascii="Times New Roman" w:hAnsi="Times New Roman" w:cs="Times New Roman"/>
        </w:rPr>
        <w:fldChar w:fldCharType="end"/>
      </w:r>
      <w:r w:rsidRPr="00A51F38">
        <w:rPr>
          <w:rFonts w:ascii="Times New Roman" w:hAnsi="Times New Roman" w:cs="Times New Roman"/>
        </w:rPr>
        <w:t xml:space="preserve"> Covariates such as age and sex were not adjusted for due to lack of availability of patient-level metadata across datasets.</w:t>
      </w:r>
    </w:p>
    <w:p w14:paraId="55C5CDFF" w14:textId="1427F4D3" w:rsidR="005A63B6" w:rsidRPr="00A51F38" w:rsidRDefault="005A63B6" w:rsidP="005A63B6">
      <w:pPr>
        <w:autoSpaceDE w:val="0"/>
        <w:autoSpaceDN w:val="0"/>
        <w:adjustRightInd w:val="0"/>
        <w:spacing w:line="480" w:lineRule="auto"/>
        <w:ind w:firstLine="360"/>
        <w:rPr>
          <w:rFonts w:ascii="Times New Roman" w:hAnsi="Times New Roman" w:cs="Times New Roman"/>
        </w:rPr>
      </w:pPr>
      <w:r w:rsidRPr="00A51F38">
        <w:rPr>
          <w:rFonts w:ascii="Times New Roman" w:hAnsi="Times New Roman" w:cs="Times New Roman"/>
        </w:rPr>
        <w:t xml:space="preserve">Microarray probe IDs were annotated to gene symbols using the </w:t>
      </w:r>
      <w:proofErr w:type="spellStart"/>
      <w:r w:rsidRPr="00A51F38">
        <w:rPr>
          <w:rFonts w:ascii="Times New Roman" w:hAnsi="Times New Roman" w:cs="Times New Roman"/>
        </w:rPr>
        <w:t>AnnotationDbi</w:t>
      </w:r>
      <w:proofErr w:type="spellEnd"/>
      <w:r w:rsidRPr="00A51F38">
        <w:rPr>
          <w:rFonts w:ascii="Times New Roman" w:hAnsi="Times New Roman" w:cs="Times New Roman"/>
        </w:rPr>
        <w:t xml:space="preserve"> package.</w:t>
      </w:r>
      <w:r w:rsidRPr="00A51F38">
        <w:rPr>
          <w:rFonts w:ascii="Times New Roman" w:hAnsi="Times New Roman" w:cs="Times New Roman"/>
        </w:rPr>
        <w:fldChar w:fldCharType="begin"/>
      </w:r>
      <w:r w:rsidR="00C56FC5">
        <w:rPr>
          <w:rFonts w:ascii="Times New Roman" w:hAnsi="Times New Roman" w:cs="Times New Roman"/>
        </w:rPr>
        <w:instrText xml:space="preserve"> ADDIN ZOTERO_ITEM CSL_CITATION {"citationID":"RHUFnfbK","properties":{"formattedCitation":"\\super 9\\nosupersub{}","plainCitation":"9","noteIndex":0},"citationItems":[{"id":2260,"uris":["http://zotero.org/users/local/OgQ4w9Qn/items/QL7UG2HE"],"itemData":{"id":2260,"type":"book","title":"org.Hs.eg.db: Genome wide annotation for Human","author":[{"family":"Carlson","given":"Marc"}],"issued":{"date-parts":[["2024"]]}}}],"schema":"https://github.com/citation-style-language/schema/raw/master/csl-citation.json"} </w:instrText>
      </w:r>
      <w:r w:rsidRPr="00A51F38">
        <w:rPr>
          <w:rFonts w:ascii="Times New Roman" w:hAnsi="Times New Roman" w:cs="Times New Roman"/>
        </w:rPr>
        <w:fldChar w:fldCharType="separate"/>
      </w:r>
      <w:r w:rsidR="00C56FC5" w:rsidRPr="00C56FC5">
        <w:rPr>
          <w:rFonts w:ascii="Times New Roman" w:hAnsi="Times New Roman" w:cs="Times New Roman"/>
          <w:kern w:val="0"/>
          <w:vertAlign w:val="superscript"/>
          <w:lang w:val="en-US"/>
        </w:rPr>
        <w:t>9</w:t>
      </w:r>
      <w:r w:rsidRPr="00A51F38">
        <w:rPr>
          <w:rFonts w:ascii="Times New Roman" w:hAnsi="Times New Roman" w:cs="Times New Roman"/>
        </w:rPr>
        <w:fldChar w:fldCharType="end"/>
      </w:r>
      <w:r w:rsidRPr="00A51F38">
        <w:rPr>
          <w:rFonts w:ascii="Times New Roman" w:hAnsi="Times New Roman" w:cs="Times New Roman"/>
        </w:rPr>
        <w:t xml:space="preserve"> When multiple probes targeted the same gene, expression values were averaged. Probes without gene symbol annotations were excluded. Datasets requiring log2 transformation were processed accordingly. DEGs were identified using the empirical Bayes moderation method implemented in the </w:t>
      </w:r>
      <w:proofErr w:type="spellStart"/>
      <w:r w:rsidRPr="00A51F38">
        <w:rPr>
          <w:rFonts w:ascii="Times New Roman" w:hAnsi="Times New Roman" w:cs="Times New Roman"/>
        </w:rPr>
        <w:t>limma</w:t>
      </w:r>
      <w:proofErr w:type="spellEnd"/>
      <w:r w:rsidRPr="00A51F38">
        <w:rPr>
          <w:rFonts w:ascii="Times New Roman" w:hAnsi="Times New Roman" w:cs="Times New Roman"/>
        </w:rPr>
        <w:t xml:space="preserve"> package, as recommended for microarray data.</w:t>
      </w:r>
      <w:r w:rsidRPr="00A51F38">
        <w:rPr>
          <w:rFonts w:ascii="Times New Roman" w:hAnsi="Times New Roman" w:cs="Times New Roman"/>
        </w:rPr>
        <w:fldChar w:fldCharType="begin"/>
      </w:r>
      <w:r w:rsidR="00C56FC5">
        <w:rPr>
          <w:rFonts w:ascii="Times New Roman" w:hAnsi="Times New Roman" w:cs="Times New Roman"/>
        </w:rPr>
        <w:instrText xml:space="preserve"> ADDIN ZOTERO_ITEM CSL_CITATION {"citationID":"PzeUdeDV","properties":{"formattedCitation":"\\super 10,11\\nosupersub{}","plainCitation":"10,11","noteIndex":0},"citationItems":[{"id":2121,"uris":["http://zotero.org/users/local/OgQ4w9Qn/items/IYDBQU5J"],"itemData":{"id":2121,"type":"article-journal","abstract":"limma is an R/Bioconductor software package that provides an integrated solution for analysing data from gene expression experiments. It contains rich features for handling complex experimental designs and for information borrowing to overcome the problem of small sample sizes. Over the past decade, limma has been a popular choice for gene discovery through differential expression analyses of microarray and high-throughput PCR data. The package contains particularly strong facilities for reading, normalizing and exploring such data. Recently, the capabilities of limma have been significantly expanded in two important directions. First, the package can now perform both differential expression and differential splicing analyses of RNA sequencing (RNA-seq) data. All the downstream analysis tools previously restricted to microarray data are now available for RNA-seq as well. These capabilities allow users to analyse both RNA-seq and microarray data with very similar pipelines. Second, the package is now able to go past the traditional gene-wise expression analyses in a variety of ways, analysing expression profiles in terms of co-regulated sets of genes or in terms of higher-order expression signatures. This provides enhanced possibilities for biological interpretation of gene expression differences. This article reviews the philosophy and design of the limma package, summarizing both new and historical features, with an emphasis on recent enhancements and features that have not been previously described.","container-title":"Nucleic Acids Research","DOI":"10.1093/nar/gkv007","ISSN":"0305-1048","issue":"7","journalAbbreviation":"Nucleic Acids Research","page":"e47-e47","title":"limma powers differential expression analyses for RNA-sequencing and microarray studies","URL":"https://doi.org/10.1093/nar/gkv007","volume":"43","author":[{"family":"Ritchie","given":"Matthew E."},{"family":"Phipson","given":"Belinda"},{"family":"Wu","given":"Di"},{"family":"Hu","given":"Yifang"},{"family":"Law","given":"Charity W."},{"family":"Shi","given":"Wei"},{"family":"Smyth","given":"Gordon K."}],"accessed":{"date-parts":[["2024",4,12]]},"issued":{"date-parts":[["2015",4,20]]}}},{"id":3117,"uris":["http://zotero.org/users/local/OgQ4w9Qn/items/F3TV392V"],"itemData":{"id":3117,"type":"article-journal","collection-title":"Statistical Applications in Genetics and Molecular Biology","DOI":"10.2202/1544-6115.1027","issue":"1","title":"Linear Models and Empirical Bayes Methods for Assessing Differential Expression in Microarray Experiments","URL":"https://doi.org/10.2202/1544-6115.1027","volume":"3","author":[{"family":"Smyth","given":"Gordon K"}],"accessed":{"date-parts":[["2025",8,30]]},"issued":{"date-parts":[["2004"]]}}}],"schema":"https://github.com/citation-style-language/schema/raw/master/csl-citation.json"} </w:instrText>
      </w:r>
      <w:r w:rsidRPr="00A51F38">
        <w:rPr>
          <w:rFonts w:ascii="Times New Roman" w:hAnsi="Times New Roman" w:cs="Times New Roman"/>
        </w:rPr>
        <w:fldChar w:fldCharType="separate"/>
      </w:r>
      <w:r w:rsidR="00C56FC5" w:rsidRPr="00C56FC5">
        <w:rPr>
          <w:rFonts w:ascii="Times New Roman" w:hAnsi="Times New Roman" w:cs="Times New Roman"/>
          <w:kern w:val="0"/>
          <w:vertAlign w:val="superscript"/>
          <w:lang w:val="en-US"/>
        </w:rPr>
        <w:t>10,11</w:t>
      </w:r>
      <w:r w:rsidRPr="00A51F38">
        <w:rPr>
          <w:rFonts w:ascii="Times New Roman" w:hAnsi="Times New Roman" w:cs="Times New Roman"/>
        </w:rPr>
        <w:fldChar w:fldCharType="end"/>
      </w:r>
    </w:p>
    <w:p w14:paraId="207CA5F3" w14:textId="77777777" w:rsidR="005A63B6" w:rsidRPr="00A51F38" w:rsidRDefault="005A63B6" w:rsidP="005A63B6">
      <w:pPr>
        <w:autoSpaceDE w:val="0"/>
        <w:autoSpaceDN w:val="0"/>
        <w:adjustRightInd w:val="0"/>
        <w:spacing w:line="480" w:lineRule="auto"/>
        <w:ind w:left="360"/>
        <w:jc w:val="both"/>
        <w:rPr>
          <w:rFonts w:ascii="Times New Roman" w:hAnsi="Times New Roman" w:cs="Times New Roman"/>
          <w:i/>
          <w:iCs/>
        </w:rPr>
      </w:pPr>
      <w:r w:rsidRPr="00A51F38">
        <w:rPr>
          <w:rFonts w:ascii="Times New Roman" w:hAnsi="Times New Roman" w:cs="Times New Roman"/>
          <w:i/>
          <w:iCs/>
        </w:rPr>
        <w:t>Meta-Analyses</w:t>
      </w:r>
    </w:p>
    <w:p w14:paraId="2DF3C241" w14:textId="41F0A253" w:rsidR="005A63B6" w:rsidRPr="00A51F38" w:rsidRDefault="005A63B6" w:rsidP="00C56FC5">
      <w:pPr>
        <w:autoSpaceDE w:val="0"/>
        <w:autoSpaceDN w:val="0"/>
        <w:adjustRightInd w:val="0"/>
        <w:spacing w:line="480" w:lineRule="auto"/>
        <w:ind w:firstLine="360"/>
        <w:rPr>
          <w:rFonts w:ascii="Times New Roman" w:hAnsi="Times New Roman" w:cs="Times New Roman"/>
        </w:rPr>
      </w:pPr>
      <w:r w:rsidRPr="00A51F38">
        <w:rPr>
          <w:rFonts w:ascii="Times New Roman" w:hAnsi="Times New Roman" w:cs="Times New Roman"/>
        </w:rPr>
        <w:t xml:space="preserve">A subset of samples was selected from each dataset to conduct three independent meta-analyses: (1) active UC vs non-IBD controls, (2) inactive UC vs non-IBD controls, and (3) active UC vs inactive UC. Meta-analyses were performed using the </w:t>
      </w:r>
      <w:proofErr w:type="spellStart"/>
      <w:r w:rsidRPr="00A51F38">
        <w:rPr>
          <w:rFonts w:ascii="Times New Roman" w:hAnsi="Times New Roman" w:cs="Times New Roman"/>
        </w:rPr>
        <w:t>MetaVolcanoR</w:t>
      </w:r>
      <w:proofErr w:type="spellEnd"/>
      <w:r w:rsidRPr="00A51F38">
        <w:rPr>
          <w:rFonts w:ascii="Times New Roman" w:hAnsi="Times New Roman" w:cs="Times New Roman"/>
        </w:rPr>
        <w:t xml:space="preserve"> package,</w:t>
      </w:r>
      <w:r w:rsidRPr="00A51F38">
        <w:rPr>
          <w:rFonts w:ascii="Times New Roman" w:hAnsi="Times New Roman" w:cs="Times New Roman"/>
        </w:rPr>
        <w:fldChar w:fldCharType="begin"/>
      </w:r>
      <w:r w:rsidR="00C56FC5">
        <w:rPr>
          <w:rFonts w:ascii="Times New Roman" w:hAnsi="Times New Roman" w:cs="Times New Roman"/>
        </w:rPr>
        <w:instrText xml:space="preserve"> ADDIN ZOTERO_ITEM CSL_CITATION {"citationID":"U5n267vq","properties":{"formattedCitation":"\\super 12\\nosupersub{}","plainCitation":"12","noteIndex":0},"citationItems":[{"id":2270,"uris":["http://zotero.org/users/local/OgQ4w9Qn/items/E6FSPNDG"],"itemData":{"id":2270,"type":"book","title":"MetaVolcanoR: Gene Expression Meta-analysis Visualization Tool","URL":"https://github.com/MetaVolcanoR/MetaVolcanoR","author":[{"family":"Prada","given":"C"},{"family":"Lima","given":"D"},{"family":"Nakaya","given":"H"}],"issued":{"date-parts":[["2023"]]}}}],"schema":"https://github.com/citation-style-language/schema/raw/master/csl-citation.json"} </w:instrText>
      </w:r>
      <w:r w:rsidRPr="00A51F38">
        <w:rPr>
          <w:rFonts w:ascii="Times New Roman" w:hAnsi="Times New Roman" w:cs="Times New Roman"/>
        </w:rPr>
        <w:fldChar w:fldCharType="separate"/>
      </w:r>
      <w:r w:rsidR="00C56FC5" w:rsidRPr="00C56FC5">
        <w:rPr>
          <w:rFonts w:ascii="Times New Roman" w:hAnsi="Times New Roman" w:cs="Times New Roman"/>
          <w:kern w:val="0"/>
          <w:vertAlign w:val="superscript"/>
          <w:lang w:val="en-US"/>
        </w:rPr>
        <w:t>12</w:t>
      </w:r>
      <w:r w:rsidRPr="00A51F38">
        <w:rPr>
          <w:rFonts w:ascii="Times New Roman" w:hAnsi="Times New Roman" w:cs="Times New Roman"/>
        </w:rPr>
        <w:fldChar w:fldCharType="end"/>
      </w:r>
      <w:r w:rsidRPr="00A51F38">
        <w:rPr>
          <w:rFonts w:ascii="Times New Roman" w:hAnsi="Times New Roman" w:cs="Times New Roman"/>
        </w:rPr>
        <w:t xml:space="preserve"> following a modified workflow based on </w:t>
      </w:r>
      <w:proofErr w:type="spellStart"/>
      <w:r w:rsidRPr="00A51F38">
        <w:rPr>
          <w:rFonts w:ascii="Times New Roman" w:hAnsi="Times New Roman" w:cs="Times New Roman"/>
        </w:rPr>
        <w:t>Linggi</w:t>
      </w:r>
      <w:proofErr w:type="spellEnd"/>
      <w:r w:rsidRPr="00A51F38">
        <w:rPr>
          <w:rFonts w:ascii="Times New Roman" w:hAnsi="Times New Roman" w:cs="Times New Roman"/>
        </w:rPr>
        <w:t xml:space="preserve"> </w:t>
      </w:r>
      <w:r w:rsidRPr="00A51F38">
        <w:rPr>
          <w:rFonts w:ascii="Times New Roman" w:hAnsi="Times New Roman" w:cs="Times New Roman"/>
          <w:i/>
          <w:iCs/>
        </w:rPr>
        <w:t>et al</w:t>
      </w:r>
      <w:r w:rsidRPr="00A51F38">
        <w:rPr>
          <w:rFonts w:ascii="Times New Roman" w:hAnsi="Times New Roman" w:cs="Times New Roman"/>
        </w:rPr>
        <w:t xml:space="preserve">.. </w:t>
      </w:r>
      <w:r w:rsidRPr="00A51F38">
        <w:rPr>
          <w:rFonts w:ascii="Times New Roman" w:hAnsi="Times New Roman" w:cs="Times New Roman"/>
        </w:rPr>
        <w:fldChar w:fldCharType="begin"/>
      </w:r>
      <w:r w:rsidR="00C56FC5">
        <w:rPr>
          <w:rFonts w:ascii="Times New Roman" w:hAnsi="Times New Roman" w:cs="Times New Roman"/>
        </w:rPr>
        <w:instrText xml:space="preserve"> ADDIN ZOTERO_ITEM CSL_CITATION {"citationID":"6lnqEC4V","properties":{"formattedCitation":"\\super 13\\nosupersub{}","plainCitation":"13","noteIndex":0},"citationItems":[{"id":911,"uris":["http://zotero.org/users/local/OgQ4w9Qn/items/RJDI27CR"],"itemData":{"id":911,"type":"article-journal","abstract":"Abstract\n            \n              Publicly available ulcerative colitis (UC) gene expression datasets from observational studies and clinical trials include inherently heterogeneous disease characteristics and methodology. We used meta-analysis to identify a robust UC gene signature from inflamed biopsies. Eight gene expression datasets derived from biopsy tissue samples from noninflammatory bowel disease (IBD) controls and areas of active inflammation from patients with UC were publicly available. Expression- and meta-data were downloaded with GEOquery. Differentially expressed genes (DEG) in individual datasets were defined as those with fold change &gt; 1.5 and a Benjamini–Hochberg adjusted\n              P\n              value &lt; .05. Meta-analysis of all DEG used a random effects model. Reactome pathway enrichment analysis was conducted. Meta-analysis identified 946 up- and 543 down-regulated genes in patients with UC compared to non-IBD controls (1.2 and 1.7 times fewer up- and down-regulated genes than the median of the individual datasets). Top-ranked up- and down-regulated DEG were\n              LCN2\n              and\n              AQP8\n              . Multiple immune-related pathways (e.g., ‘Chemokine receptors bind chemokine’ and ‘Interleukin-10 signaling’) were significantly up-regulated in UC, while ‘Biological oxidations’ and ‘Fatty acid metabolism’ were downregulated. A web-based data-mining tool with the meta-analysis results was made available (\n              https://premedibd.com/genes.html\n              ). A UC inflamed biopsy disease gene signature was derived. This signature may be an unbiased reference for comparison and improve the efficiency of UC biomarker studies by increasing confidence for identification of disease-related genes and pathways.","container-title":"Scientific Reports","DOI":"10.1038/s41598-021-97366-5","ISSN":"2045-2322","issue":"1","journalAbbreviation":"Sci Rep","language":"en","page":"18243","source":"DOI.org (Crossref)","title":"Meta-analysis of gene expression disease signatures in colonic biopsy tissue from patients with ulcerative colitis","URL":"https://www.nature.com/articles/s41598-021-97366-5","volume":"11","author":[{"family":"Linggi","given":"Bryan"},{"family":"Jairath","given":"Vipul"},{"family":"Zou","given":"Guangyong"},{"family":"Shackelton","given":"Lisa M."},{"family":"McGovern","given":"Dermot P. B."},{"family":"Salas","given":"Azucena"},{"family":"Verstockt","given":"Bram"},{"family":"Silverberg","given":"Mark S."},{"family":"Nayeri","given":"Shadi"},{"family":"Feagan","given":"Brian G."},{"family":"Vande Casteele","given":"Niels"}],"accessed":{"date-parts":[["2022",9,10]]},"issued":{"date-parts":[["2021",12]]}}}],"schema":"https://github.com/citation-style-language/schema/raw/master/csl-citation.json"} </w:instrText>
      </w:r>
      <w:r w:rsidRPr="00A51F38">
        <w:rPr>
          <w:rFonts w:ascii="Times New Roman" w:hAnsi="Times New Roman" w:cs="Times New Roman"/>
        </w:rPr>
        <w:fldChar w:fldCharType="separate"/>
      </w:r>
      <w:r w:rsidR="00C56FC5" w:rsidRPr="00C56FC5">
        <w:rPr>
          <w:rFonts w:ascii="Times New Roman" w:hAnsi="Times New Roman" w:cs="Times New Roman"/>
          <w:kern w:val="0"/>
          <w:vertAlign w:val="superscript"/>
          <w:lang w:val="en-US"/>
        </w:rPr>
        <w:t>13</w:t>
      </w:r>
      <w:r w:rsidRPr="00A51F38">
        <w:rPr>
          <w:rFonts w:ascii="Times New Roman" w:hAnsi="Times New Roman" w:cs="Times New Roman"/>
        </w:rPr>
        <w:fldChar w:fldCharType="end"/>
      </w:r>
      <w:r w:rsidRPr="00A51F38">
        <w:rPr>
          <w:rFonts w:ascii="Times New Roman" w:hAnsi="Times New Roman" w:cs="Times New Roman"/>
        </w:rPr>
        <w:t xml:space="preserve"> </w:t>
      </w:r>
      <w:proofErr w:type="spellStart"/>
      <w:r w:rsidRPr="00A51F38">
        <w:rPr>
          <w:rFonts w:ascii="Times New Roman" w:hAnsi="Times New Roman" w:cs="Times New Roman"/>
        </w:rPr>
        <w:t>TopTable</w:t>
      </w:r>
      <w:proofErr w:type="spellEnd"/>
      <w:r w:rsidRPr="00A51F38">
        <w:rPr>
          <w:rFonts w:ascii="Times New Roman" w:hAnsi="Times New Roman" w:cs="Times New Roman"/>
        </w:rPr>
        <w:t xml:space="preserve"> outputs from </w:t>
      </w:r>
      <w:proofErr w:type="spellStart"/>
      <w:r w:rsidRPr="00A51F38">
        <w:rPr>
          <w:rFonts w:ascii="Times New Roman" w:hAnsi="Times New Roman" w:cs="Times New Roman"/>
        </w:rPr>
        <w:t>limma</w:t>
      </w:r>
      <w:proofErr w:type="spellEnd"/>
      <w:r w:rsidRPr="00A51F38">
        <w:rPr>
          <w:rFonts w:ascii="Times New Roman" w:hAnsi="Times New Roman" w:cs="Times New Roman"/>
        </w:rPr>
        <w:t xml:space="preserve">, including confidence intervals, were used as the input. Meta-analysis was performed using the parameters </w:t>
      </w:r>
      <w:proofErr w:type="spellStart"/>
      <w:r w:rsidRPr="00A51F38">
        <w:rPr>
          <w:rFonts w:ascii="Times New Roman" w:hAnsi="Times New Roman" w:cs="Times New Roman"/>
        </w:rPr>
        <w:t>cvar</w:t>
      </w:r>
      <w:proofErr w:type="spellEnd"/>
      <w:r w:rsidRPr="00A51F38">
        <w:rPr>
          <w:rFonts w:ascii="Times New Roman" w:hAnsi="Times New Roman" w:cs="Times New Roman"/>
        </w:rPr>
        <w:t xml:space="preserve"> = TRUE, </w:t>
      </w:r>
      <w:proofErr w:type="spellStart"/>
      <w:r w:rsidRPr="00A51F38">
        <w:rPr>
          <w:rFonts w:ascii="Times New Roman" w:hAnsi="Times New Roman" w:cs="Times New Roman"/>
        </w:rPr>
        <w:t>collaps</w:t>
      </w:r>
      <w:proofErr w:type="spellEnd"/>
      <w:r w:rsidRPr="00A51F38">
        <w:rPr>
          <w:rFonts w:ascii="Times New Roman" w:hAnsi="Times New Roman" w:cs="Times New Roman"/>
        </w:rPr>
        <w:t xml:space="preserve"> = TRUE, and </w:t>
      </w:r>
      <w:proofErr w:type="spellStart"/>
      <w:r w:rsidRPr="00A51F38">
        <w:rPr>
          <w:rFonts w:ascii="Times New Roman" w:hAnsi="Times New Roman" w:cs="Times New Roman"/>
        </w:rPr>
        <w:t>metathr</w:t>
      </w:r>
      <w:proofErr w:type="spellEnd"/>
      <w:r w:rsidRPr="00A51F38">
        <w:rPr>
          <w:rFonts w:ascii="Times New Roman" w:hAnsi="Times New Roman" w:cs="Times New Roman"/>
        </w:rPr>
        <w:t xml:space="preserve"> = 0.01, with Benjamini–Hochberg correction applied to meta </w:t>
      </w:r>
      <w:r w:rsidRPr="00A51F38">
        <w:rPr>
          <w:rFonts w:ascii="Times New Roman" w:hAnsi="Times New Roman" w:cs="Times New Roman"/>
          <w:i/>
          <w:iCs/>
        </w:rPr>
        <w:t>p-values</w:t>
      </w:r>
      <w:r w:rsidRPr="00A51F38">
        <w:rPr>
          <w:rFonts w:ascii="Times New Roman" w:hAnsi="Times New Roman" w:cs="Times New Roman"/>
        </w:rPr>
        <w:t xml:space="preserve">. Unlike </w:t>
      </w:r>
      <w:proofErr w:type="spellStart"/>
      <w:r w:rsidRPr="00A51F38">
        <w:rPr>
          <w:rFonts w:ascii="Times New Roman" w:hAnsi="Times New Roman" w:cs="Times New Roman"/>
        </w:rPr>
        <w:t>Linggi</w:t>
      </w:r>
      <w:proofErr w:type="spellEnd"/>
      <w:r w:rsidRPr="00A51F38">
        <w:rPr>
          <w:rFonts w:ascii="Times New Roman" w:hAnsi="Times New Roman" w:cs="Times New Roman"/>
        </w:rPr>
        <w:t xml:space="preserve"> et al., we required </w:t>
      </w:r>
      <w:r w:rsidRPr="00A51F38">
        <w:rPr>
          <w:rStyle w:val="Strong"/>
          <w:rFonts w:ascii="Times New Roman" w:hAnsi="Times New Roman" w:cs="Times New Roman"/>
          <w:b w:val="0"/>
          <w:bCs w:val="0"/>
        </w:rPr>
        <w:t>directional consistency across all included datasets</w:t>
      </w:r>
      <w:r w:rsidRPr="00A51F38">
        <w:rPr>
          <w:rFonts w:ascii="Times New Roman" w:hAnsi="Times New Roman" w:cs="Times New Roman"/>
        </w:rPr>
        <w:t xml:space="preserve"> and used more stringent cutoffs. DEGs were defined as genes consistently up- or down-regulated across all datasets with </w:t>
      </w:r>
      <w:r w:rsidRPr="00A51F38">
        <w:rPr>
          <w:rStyle w:val="Strong"/>
          <w:rFonts w:ascii="Times New Roman" w:hAnsi="Times New Roman" w:cs="Times New Roman"/>
          <w:b w:val="0"/>
          <w:bCs w:val="0"/>
        </w:rPr>
        <w:t>|log2 fold-change| &gt; 1</w:t>
      </w:r>
      <w:r w:rsidRPr="00A51F38">
        <w:rPr>
          <w:rFonts w:ascii="Times New Roman" w:hAnsi="Times New Roman" w:cs="Times New Roman"/>
        </w:rPr>
        <w:t xml:space="preserve"> and FDR-adjusted </w:t>
      </w:r>
      <w:r w:rsidRPr="00A51F38">
        <w:rPr>
          <w:rFonts w:ascii="Times New Roman" w:hAnsi="Times New Roman" w:cs="Times New Roman"/>
          <w:i/>
          <w:iCs/>
        </w:rPr>
        <w:t>p</w:t>
      </w:r>
      <w:r w:rsidRPr="00A51F38">
        <w:rPr>
          <w:rFonts w:ascii="Times New Roman" w:hAnsi="Times New Roman" w:cs="Times New Roman"/>
        </w:rPr>
        <w:t>-value &lt; 0.05.</w:t>
      </w:r>
    </w:p>
    <w:p w14:paraId="28A45AC7" w14:textId="68FEC9FF" w:rsidR="007D0D29" w:rsidRPr="00C56FC5" w:rsidRDefault="00A51F38" w:rsidP="000A23CF">
      <w:pPr>
        <w:autoSpaceDE w:val="0"/>
        <w:autoSpaceDN w:val="0"/>
        <w:adjustRightInd w:val="0"/>
        <w:spacing w:line="480" w:lineRule="auto"/>
        <w:ind w:firstLine="360"/>
        <w:rPr>
          <w:rFonts w:ascii="Times New Roman" w:hAnsi="Times New Roman" w:cs="Times New Roman"/>
          <w:b/>
          <w:bCs/>
        </w:rPr>
      </w:pPr>
      <w:r w:rsidRPr="00C56FC5">
        <w:rPr>
          <w:rFonts w:ascii="Times New Roman" w:hAnsi="Times New Roman" w:cs="Times New Roman"/>
          <w:b/>
          <w:bCs/>
        </w:rPr>
        <w:lastRenderedPageBreak/>
        <w:t xml:space="preserve">Supplementary Results </w:t>
      </w:r>
    </w:p>
    <w:p w14:paraId="20BC1505" w14:textId="56A7BA7E" w:rsidR="00A51F38" w:rsidRPr="00A51F38" w:rsidRDefault="00A51F38" w:rsidP="00A51F38">
      <w:pPr>
        <w:spacing w:line="480" w:lineRule="auto"/>
        <w:ind w:firstLine="720"/>
        <w:jc w:val="both"/>
        <w:rPr>
          <w:rFonts w:ascii="Times New Roman" w:hAnsi="Times New Roman" w:cs="Times New Roman"/>
          <w:i/>
          <w:iCs/>
        </w:rPr>
      </w:pPr>
      <w:r w:rsidRPr="00A51F38">
        <w:rPr>
          <w:rFonts w:ascii="Times New Roman" w:hAnsi="Times New Roman" w:cs="Times New Roman"/>
          <w:i/>
          <w:iCs/>
        </w:rPr>
        <w:t xml:space="preserve">Human Meta-Analysis Disease state signatures </w:t>
      </w:r>
    </w:p>
    <w:p w14:paraId="6A7F2659" w14:textId="77777777" w:rsidR="00A51F38" w:rsidRPr="00A51F38" w:rsidRDefault="00A51F38" w:rsidP="00A51F38">
      <w:pPr>
        <w:spacing w:line="480" w:lineRule="auto"/>
        <w:ind w:firstLine="720"/>
        <w:rPr>
          <w:rFonts w:ascii="Times New Roman" w:hAnsi="Times New Roman" w:cs="Times New Roman"/>
          <w:i/>
          <w:iCs/>
        </w:rPr>
      </w:pPr>
      <w:r w:rsidRPr="00A51F38">
        <w:rPr>
          <w:rFonts w:ascii="Times New Roman" w:hAnsi="Times New Roman" w:cs="Times New Roman"/>
        </w:rPr>
        <w:t>Comparison of disease-specific gene signatures across meta-analyses (Table 2) revealed distinct transcriptional shifts between disease states. In the active UC vs non-IBD control comparison, canonical epithelial stress and inflammatory genes (</w:t>
      </w:r>
      <w:r w:rsidRPr="00A51F38">
        <w:rPr>
          <w:rFonts w:ascii="Times New Roman" w:hAnsi="Times New Roman" w:cs="Times New Roman"/>
          <w:i/>
          <w:iCs/>
        </w:rPr>
        <w:t>REG1A, REG1B, LCN2, DUOXA2, PI3, MMP3, MMP7, IL1B, NOS2, UBD</w:t>
      </w:r>
      <w:r w:rsidRPr="00A51F38">
        <w:rPr>
          <w:rFonts w:ascii="Times New Roman" w:hAnsi="Times New Roman" w:cs="Times New Roman"/>
        </w:rPr>
        <w:t>) were strongly up-regulated, while barrier-associated and metabolic genes (</w:t>
      </w:r>
      <w:r w:rsidRPr="00A51F38">
        <w:rPr>
          <w:rFonts w:ascii="Times New Roman" w:hAnsi="Times New Roman" w:cs="Times New Roman"/>
          <w:i/>
          <w:iCs/>
        </w:rPr>
        <w:t>AQP8, CLDN8, GUCA2B, TRPM6, CAPN13, SLC51A, CHP2, TUBA3, HMGCS2</w:t>
      </w:r>
      <w:r w:rsidRPr="00A51F38">
        <w:rPr>
          <w:rFonts w:ascii="Times New Roman" w:hAnsi="Times New Roman" w:cs="Times New Roman"/>
        </w:rPr>
        <w:t>) were down-regulated. These findings highlight the marked induction of neutrophilic inflammation and tissue remodeling alongside impaired epithelial and metabolic functions in active UC.</w:t>
      </w:r>
    </w:p>
    <w:p w14:paraId="2AEF13C1" w14:textId="77777777" w:rsidR="00A51F38" w:rsidRPr="00A51F38" w:rsidRDefault="00A51F38" w:rsidP="00A51F38">
      <w:pPr>
        <w:spacing w:line="480" w:lineRule="auto"/>
        <w:ind w:firstLine="720"/>
        <w:rPr>
          <w:rFonts w:ascii="Times New Roman" w:hAnsi="Times New Roman" w:cs="Times New Roman"/>
          <w:i/>
          <w:iCs/>
        </w:rPr>
      </w:pPr>
      <w:r w:rsidRPr="00A51F38">
        <w:rPr>
          <w:rFonts w:ascii="Times New Roman" w:hAnsi="Times New Roman" w:cs="Times New Roman"/>
        </w:rPr>
        <w:t>In the inactive UC vs non-IBD control comparison, transcriptional changes were more modest. Upregulated genes included immune and epithelial markers (</w:t>
      </w:r>
      <w:r w:rsidRPr="00A51F38">
        <w:rPr>
          <w:rFonts w:ascii="Times New Roman" w:hAnsi="Times New Roman" w:cs="Times New Roman"/>
          <w:i/>
          <w:iCs/>
        </w:rPr>
        <w:t>CCL20, S100P, OLF4, REG4, UBD, REG3A, CXCL1</w:t>
      </w:r>
      <w:r w:rsidRPr="00A51F38">
        <w:rPr>
          <w:rFonts w:ascii="Times New Roman" w:hAnsi="Times New Roman" w:cs="Times New Roman"/>
        </w:rPr>
        <w:t>), whereas downregulated genes (</w:t>
      </w:r>
      <w:r w:rsidRPr="00A51F38">
        <w:rPr>
          <w:rFonts w:ascii="Times New Roman" w:hAnsi="Times New Roman" w:cs="Times New Roman"/>
          <w:i/>
          <w:iCs/>
        </w:rPr>
        <w:t>PDE6A, BRINP3, CLDN8</w:t>
      </w:r>
      <w:r w:rsidRPr="00A51F38">
        <w:rPr>
          <w:rFonts w:ascii="Times New Roman" w:hAnsi="Times New Roman" w:cs="Times New Roman"/>
        </w:rPr>
        <w:t>) suggested suppression of regulatory or metabolic pathways that may distinguish inactive UC from full remission.</w:t>
      </w:r>
    </w:p>
    <w:p w14:paraId="30D58A69" w14:textId="77777777" w:rsidR="00A51F38" w:rsidRPr="00A51F38" w:rsidRDefault="00A51F38" w:rsidP="00A51F38">
      <w:pPr>
        <w:spacing w:line="480" w:lineRule="auto"/>
        <w:ind w:firstLine="720"/>
        <w:rPr>
          <w:rFonts w:ascii="Times New Roman" w:hAnsi="Times New Roman" w:cs="Times New Roman"/>
          <w:i/>
          <w:iCs/>
        </w:rPr>
      </w:pPr>
      <w:r w:rsidRPr="00A51F38">
        <w:rPr>
          <w:rFonts w:ascii="Times New Roman" w:hAnsi="Times New Roman" w:cs="Times New Roman"/>
        </w:rPr>
        <w:t>The active UC vs inactive UC comparison revealed heightened inflammatory and tissue-remodeling signals in active disease, with upregulation of (</w:t>
      </w:r>
      <w:r w:rsidRPr="00A51F38">
        <w:rPr>
          <w:rFonts w:ascii="Times New Roman" w:hAnsi="Times New Roman" w:cs="Times New Roman"/>
          <w:i/>
          <w:iCs/>
        </w:rPr>
        <w:t>MMP1, G0S2, NNMT, LAMP3, FSTL1, S100A9, IL1B, MMP3, PROK2, MMP7</w:t>
      </w:r>
      <w:r w:rsidRPr="00A51F38">
        <w:rPr>
          <w:rFonts w:ascii="Times New Roman" w:hAnsi="Times New Roman" w:cs="Times New Roman"/>
        </w:rPr>
        <w:t>) and concomitant downregulation of epithelial transport and metabolic genes (</w:t>
      </w:r>
      <w:r w:rsidRPr="00A51F38">
        <w:rPr>
          <w:rFonts w:ascii="Times New Roman" w:hAnsi="Times New Roman" w:cs="Times New Roman"/>
          <w:i/>
          <w:iCs/>
        </w:rPr>
        <w:t>AQP8, PHLPP2, ABCG2, BMP3, FGFR2, SLC4A4, MEP1A, CHP2, PIGZ, ADH1C</w:t>
      </w:r>
      <w:r w:rsidRPr="00A51F38">
        <w:rPr>
          <w:rFonts w:ascii="Times New Roman" w:hAnsi="Times New Roman" w:cs="Times New Roman"/>
        </w:rPr>
        <w:t>).</w:t>
      </w:r>
    </w:p>
    <w:p w14:paraId="0B2BB9EF" w14:textId="77777777" w:rsidR="00A51F38" w:rsidRPr="00A51F38" w:rsidRDefault="00A51F38" w:rsidP="00A51F38">
      <w:pPr>
        <w:spacing w:line="480" w:lineRule="auto"/>
        <w:ind w:firstLine="720"/>
        <w:rPr>
          <w:rFonts w:ascii="Times New Roman" w:hAnsi="Times New Roman" w:cs="Times New Roman"/>
        </w:rPr>
      </w:pPr>
      <w:r w:rsidRPr="00A51F38">
        <w:rPr>
          <w:rFonts w:ascii="Times New Roman" w:hAnsi="Times New Roman" w:cs="Times New Roman"/>
        </w:rPr>
        <w:t xml:space="preserve">Taken together, these analyses underscore a core set of epithelial and inflammatory responses shared across active UC, while also identifying disease-state–specific signatures. </w:t>
      </w:r>
      <w:r w:rsidRPr="00A51F38">
        <w:rPr>
          <w:rFonts w:ascii="Times New Roman" w:hAnsi="Times New Roman" w:cs="Times New Roman"/>
        </w:rPr>
        <w:lastRenderedPageBreak/>
        <w:t>Notably, several genes (</w:t>
      </w:r>
      <w:r w:rsidRPr="00A51F38">
        <w:rPr>
          <w:rFonts w:ascii="Times New Roman" w:hAnsi="Times New Roman" w:cs="Times New Roman"/>
          <w:i/>
          <w:iCs/>
        </w:rPr>
        <w:t>REG1A, REG1B, NOS2, RHOU, CAPN13, CLDN8)</w:t>
      </w:r>
      <w:r w:rsidRPr="00A51F38">
        <w:rPr>
          <w:rFonts w:ascii="Times New Roman" w:hAnsi="Times New Roman" w:cs="Times New Roman"/>
        </w:rPr>
        <w:t xml:space="preserve"> were uniquely differentially expressed in active UC versus non-IBD but not in active versus inactive UC, suggesting strong association with active inflammation but limited discriminatory power between disease activity states. Conversely, genes such as </w:t>
      </w:r>
      <w:r w:rsidRPr="00A51F38">
        <w:rPr>
          <w:rFonts w:ascii="Times New Roman" w:hAnsi="Times New Roman" w:cs="Times New Roman"/>
          <w:i/>
          <w:iCs/>
        </w:rPr>
        <w:t>FGFR2</w:t>
      </w:r>
      <w:r w:rsidRPr="00A51F38">
        <w:rPr>
          <w:rFonts w:ascii="Times New Roman" w:hAnsi="Times New Roman" w:cs="Times New Roman"/>
        </w:rPr>
        <w:t xml:space="preserve"> and </w:t>
      </w:r>
      <w:r w:rsidRPr="00A51F38">
        <w:rPr>
          <w:rFonts w:ascii="Times New Roman" w:hAnsi="Times New Roman" w:cs="Times New Roman"/>
          <w:i/>
          <w:iCs/>
        </w:rPr>
        <w:t>SCIN</w:t>
      </w:r>
      <w:r w:rsidRPr="00A51F38">
        <w:rPr>
          <w:rFonts w:ascii="Times New Roman" w:hAnsi="Times New Roman" w:cs="Times New Roman"/>
        </w:rPr>
        <w:t xml:space="preserve"> were uniquely altered in the active versus inactive UC comparison, pointing to potential roles in distinguishing persistent inflammatory activity from partial remission.</w:t>
      </w:r>
    </w:p>
    <w:p w14:paraId="6EBB9715" w14:textId="77777777" w:rsidR="00C56FC5" w:rsidRDefault="00C56FC5" w:rsidP="00C56FC5">
      <w:pPr>
        <w:autoSpaceDE w:val="0"/>
        <w:autoSpaceDN w:val="0"/>
        <w:adjustRightInd w:val="0"/>
        <w:spacing w:line="480" w:lineRule="auto"/>
        <w:rPr>
          <w:rFonts w:ascii="Times New Roman" w:hAnsi="Times New Roman" w:cs="Times New Roman"/>
        </w:rPr>
      </w:pPr>
    </w:p>
    <w:p w14:paraId="4C22EDBE" w14:textId="77777777" w:rsidR="00C56FC5" w:rsidRDefault="00C56FC5" w:rsidP="00C56FC5">
      <w:pPr>
        <w:autoSpaceDE w:val="0"/>
        <w:autoSpaceDN w:val="0"/>
        <w:adjustRightInd w:val="0"/>
        <w:spacing w:line="480" w:lineRule="auto"/>
        <w:rPr>
          <w:rFonts w:ascii="Times New Roman" w:hAnsi="Times New Roman" w:cs="Times New Roman"/>
        </w:rPr>
      </w:pPr>
    </w:p>
    <w:p w14:paraId="7FB903D5" w14:textId="77777777" w:rsidR="00C56FC5" w:rsidRDefault="00C56FC5" w:rsidP="00C56FC5">
      <w:pPr>
        <w:autoSpaceDE w:val="0"/>
        <w:autoSpaceDN w:val="0"/>
        <w:adjustRightInd w:val="0"/>
        <w:spacing w:line="480" w:lineRule="auto"/>
        <w:rPr>
          <w:rFonts w:ascii="Times New Roman" w:hAnsi="Times New Roman" w:cs="Times New Roman"/>
        </w:rPr>
      </w:pPr>
    </w:p>
    <w:p w14:paraId="4060F06E" w14:textId="77777777" w:rsidR="00C56FC5" w:rsidRDefault="00C56FC5" w:rsidP="00C56FC5">
      <w:pPr>
        <w:autoSpaceDE w:val="0"/>
        <w:autoSpaceDN w:val="0"/>
        <w:adjustRightInd w:val="0"/>
        <w:spacing w:line="480" w:lineRule="auto"/>
        <w:rPr>
          <w:rFonts w:ascii="Times New Roman" w:hAnsi="Times New Roman" w:cs="Times New Roman"/>
        </w:rPr>
      </w:pPr>
    </w:p>
    <w:p w14:paraId="7C4AE050" w14:textId="77777777" w:rsidR="00C56FC5" w:rsidRDefault="00C56FC5" w:rsidP="00C56FC5">
      <w:pPr>
        <w:autoSpaceDE w:val="0"/>
        <w:autoSpaceDN w:val="0"/>
        <w:adjustRightInd w:val="0"/>
        <w:spacing w:line="480" w:lineRule="auto"/>
        <w:rPr>
          <w:rFonts w:ascii="Times New Roman" w:hAnsi="Times New Roman" w:cs="Times New Roman"/>
        </w:rPr>
      </w:pPr>
    </w:p>
    <w:p w14:paraId="28867892" w14:textId="77777777" w:rsidR="00C56FC5" w:rsidRDefault="00C56FC5" w:rsidP="00C56FC5">
      <w:pPr>
        <w:autoSpaceDE w:val="0"/>
        <w:autoSpaceDN w:val="0"/>
        <w:adjustRightInd w:val="0"/>
        <w:spacing w:line="480" w:lineRule="auto"/>
        <w:rPr>
          <w:rFonts w:ascii="Times New Roman" w:hAnsi="Times New Roman" w:cs="Times New Roman"/>
        </w:rPr>
      </w:pPr>
    </w:p>
    <w:p w14:paraId="3BA0556C" w14:textId="77777777" w:rsidR="00C56FC5" w:rsidRDefault="00C56FC5" w:rsidP="00C56FC5">
      <w:pPr>
        <w:autoSpaceDE w:val="0"/>
        <w:autoSpaceDN w:val="0"/>
        <w:adjustRightInd w:val="0"/>
        <w:spacing w:line="480" w:lineRule="auto"/>
        <w:rPr>
          <w:rFonts w:ascii="Times New Roman" w:hAnsi="Times New Roman" w:cs="Times New Roman"/>
        </w:rPr>
      </w:pPr>
    </w:p>
    <w:p w14:paraId="5FF73CAA" w14:textId="77777777" w:rsidR="00C56FC5" w:rsidRDefault="00C56FC5" w:rsidP="00C56FC5">
      <w:pPr>
        <w:autoSpaceDE w:val="0"/>
        <w:autoSpaceDN w:val="0"/>
        <w:adjustRightInd w:val="0"/>
        <w:spacing w:line="480" w:lineRule="auto"/>
        <w:rPr>
          <w:rFonts w:ascii="Times New Roman" w:hAnsi="Times New Roman" w:cs="Times New Roman"/>
        </w:rPr>
      </w:pPr>
    </w:p>
    <w:p w14:paraId="51412EE9" w14:textId="77777777" w:rsidR="00C56FC5" w:rsidRDefault="00C56FC5" w:rsidP="00C56FC5">
      <w:pPr>
        <w:autoSpaceDE w:val="0"/>
        <w:autoSpaceDN w:val="0"/>
        <w:adjustRightInd w:val="0"/>
        <w:spacing w:line="480" w:lineRule="auto"/>
        <w:rPr>
          <w:rFonts w:ascii="Times New Roman" w:hAnsi="Times New Roman" w:cs="Times New Roman"/>
        </w:rPr>
      </w:pPr>
    </w:p>
    <w:p w14:paraId="51ABC216" w14:textId="77777777" w:rsidR="00C56FC5" w:rsidRDefault="00C56FC5" w:rsidP="00C56FC5">
      <w:pPr>
        <w:autoSpaceDE w:val="0"/>
        <w:autoSpaceDN w:val="0"/>
        <w:adjustRightInd w:val="0"/>
        <w:spacing w:line="480" w:lineRule="auto"/>
        <w:rPr>
          <w:rFonts w:ascii="Times New Roman" w:hAnsi="Times New Roman" w:cs="Times New Roman"/>
        </w:rPr>
      </w:pPr>
    </w:p>
    <w:p w14:paraId="02B45383" w14:textId="77777777" w:rsidR="00C56FC5" w:rsidRDefault="00C56FC5" w:rsidP="00C56FC5">
      <w:pPr>
        <w:autoSpaceDE w:val="0"/>
        <w:autoSpaceDN w:val="0"/>
        <w:adjustRightInd w:val="0"/>
        <w:spacing w:line="480" w:lineRule="auto"/>
        <w:rPr>
          <w:rFonts w:ascii="Times New Roman" w:hAnsi="Times New Roman" w:cs="Times New Roman"/>
        </w:rPr>
      </w:pPr>
    </w:p>
    <w:p w14:paraId="6DCD266E" w14:textId="77777777" w:rsidR="00C56FC5" w:rsidRDefault="00C56FC5" w:rsidP="00C56FC5">
      <w:pPr>
        <w:autoSpaceDE w:val="0"/>
        <w:autoSpaceDN w:val="0"/>
        <w:adjustRightInd w:val="0"/>
        <w:spacing w:line="480" w:lineRule="auto"/>
        <w:rPr>
          <w:rFonts w:ascii="Times New Roman" w:hAnsi="Times New Roman" w:cs="Times New Roman"/>
        </w:rPr>
      </w:pPr>
    </w:p>
    <w:p w14:paraId="3B936C37" w14:textId="77777777" w:rsidR="002C5E2F" w:rsidRDefault="002C5E2F" w:rsidP="00C56FC5">
      <w:pPr>
        <w:autoSpaceDE w:val="0"/>
        <w:autoSpaceDN w:val="0"/>
        <w:adjustRightInd w:val="0"/>
        <w:spacing w:line="480" w:lineRule="auto"/>
        <w:rPr>
          <w:rFonts w:ascii="Times New Roman" w:hAnsi="Times New Roman" w:cs="Times New Roman"/>
        </w:rPr>
      </w:pPr>
    </w:p>
    <w:p w14:paraId="304F4940" w14:textId="5AF46B81" w:rsidR="00C56FC5" w:rsidRPr="00C56FC5" w:rsidRDefault="00C56FC5" w:rsidP="00C56FC5">
      <w:pPr>
        <w:autoSpaceDE w:val="0"/>
        <w:autoSpaceDN w:val="0"/>
        <w:adjustRightInd w:val="0"/>
        <w:spacing w:line="480" w:lineRule="auto"/>
        <w:rPr>
          <w:rFonts w:ascii="Times New Roman" w:hAnsi="Times New Roman" w:cs="Times New Roman"/>
          <w:b/>
          <w:bCs/>
        </w:rPr>
      </w:pPr>
      <w:r w:rsidRPr="00C56FC5">
        <w:rPr>
          <w:rFonts w:ascii="Times New Roman" w:hAnsi="Times New Roman" w:cs="Times New Roman"/>
          <w:b/>
          <w:bCs/>
        </w:rPr>
        <w:lastRenderedPageBreak/>
        <w:t>References</w:t>
      </w:r>
    </w:p>
    <w:p w14:paraId="312C2F19" w14:textId="77777777" w:rsidR="00C56FC5" w:rsidRPr="00C56FC5" w:rsidRDefault="00C56FC5" w:rsidP="00C56FC5">
      <w:pPr>
        <w:pStyle w:val="Bibliography"/>
        <w:rPr>
          <w:rFonts w:ascii="Times New Roman" w:hAnsi="Times New Roman" w:cs="Times New Roman"/>
          <w:lang w:val="en-US"/>
        </w:rPr>
      </w:pPr>
      <w:r>
        <w:fldChar w:fldCharType="begin"/>
      </w:r>
      <w:r>
        <w:instrText xml:space="preserve"> ADDIN ZOTERO_BIBL {"uncited":[],"omitted":[],"custom":[]} CSL_BIBLIOGRAPHY </w:instrText>
      </w:r>
      <w:r>
        <w:fldChar w:fldCharType="separate"/>
      </w:r>
      <w:r w:rsidRPr="00C56FC5">
        <w:rPr>
          <w:rFonts w:ascii="Times New Roman" w:hAnsi="Times New Roman" w:cs="Times New Roman"/>
          <w:lang w:val="en-US"/>
        </w:rPr>
        <w:t>1.</w:t>
      </w:r>
      <w:r w:rsidRPr="00C56FC5">
        <w:rPr>
          <w:rFonts w:ascii="Times New Roman" w:hAnsi="Times New Roman" w:cs="Times New Roman"/>
          <w:lang w:val="en-US"/>
        </w:rPr>
        <w:tab/>
        <w:t xml:space="preserve">Diwakarla S., Bathgate RAD., Zhang X., Hossain MA., Furness JB. Colokinetic effect of an insulin‐like peptide 5‐related agonist of the RXFP4 receptor. </w:t>
      </w:r>
      <w:r w:rsidRPr="00C56FC5">
        <w:rPr>
          <w:rFonts w:ascii="Times New Roman" w:hAnsi="Times New Roman" w:cs="Times New Roman"/>
          <w:i/>
          <w:iCs/>
          <w:lang w:val="en-US"/>
        </w:rPr>
        <w:t>Neurogastroenterology &amp; Motility</w:t>
      </w:r>
      <w:r w:rsidRPr="00C56FC5">
        <w:rPr>
          <w:rFonts w:ascii="Times New Roman" w:hAnsi="Times New Roman" w:cs="Times New Roman"/>
          <w:lang w:val="en-US"/>
        </w:rPr>
        <w:t xml:space="preserve"> 2020;</w:t>
      </w:r>
      <w:r w:rsidRPr="00C56FC5">
        <w:rPr>
          <w:rFonts w:ascii="Times New Roman" w:hAnsi="Times New Roman" w:cs="Times New Roman"/>
          <w:b/>
          <w:bCs/>
          <w:lang w:val="en-US"/>
        </w:rPr>
        <w:t>32</w:t>
      </w:r>
      <w:r w:rsidRPr="00C56FC5">
        <w:rPr>
          <w:rFonts w:ascii="Times New Roman" w:hAnsi="Times New Roman" w:cs="Times New Roman"/>
          <w:lang w:val="en-US"/>
        </w:rPr>
        <w:t>(5). Doi: 10.1111/nmo.13796.</w:t>
      </w:r>
    </w:p>
    <w:p w14:paraId="07178F01" w14:textId="77777777" w:rsidR="00C56FC5" w:rsidRPr="00C56FC5" w:rsidRDefault="00C56FC5" w:rsidP="00C56FC5">
      <w:pPr>
        <w:pStyle w:val="Bibliography"/>
        <w:rPr>
          <w:rFonts w:ascii="Times New Roman" w:hAnsi="Times New Roman" w:cs="Times New Roman"/>
          <w:lang w:val="en-US"/>
        </w:rPr>
      </w:pPr>
      <w:r w:rsidRPr="00C56FC5">
        <w:rPr>
          <w:rFonts w:ascii="Times New Roman" w:hAnsi="Times New Roman" w:cs="Times New Roman"/>
          <w:lang w:val="en-US"/>
        </w:rPr>
        <w:t>2.</w:t>
      </w:r>
      <w:r w:rsidRPr="00C56FC5">
        <w:rPr>
          <w:rFonts w:ascii="Times New Roman" w:hAnsi="Times New Roman" w:cs="Times New Roman"/>
          <w:lang w:val="en-US"/>
        </w:rPr>
        <w:tab/>
        <w:t xml:space="preserve">Fernando SJA., Wang Q., Hay DL., Bathgate RAD., Shepherd PR., Lee KL. Evidence that RXFP4 is located in enterochromaffin cells and can regulate production and release of serotonin. </w:t>
      </w:r>
      <w:r w:rsidRPr="00C56FC5">
        <w:rPr>
          <w:rFonts w:ascii="Times New Roman" w:hAnsi="Times New Roman" w:cs="Times New Roman"/>
          <w:i/>
          <w:iCs/>
          <w:lang w:val="en-US"/>
        </w:rPr>
        <w:t>Bioscience Reports</w:t>
      </w:r>
      <w:r w:rsidRPr="00C56FC5">
        <w:rPr>
          <w:rFonts w:ascii="Times New Roman" w:hAnsi="Times New Roman" w:cs="Times New Roman"/>
          <w:lang w:val="en-US"/>
        </w:rPr>
        <w:t xml:space="preserve"> 2023;</w:t>
      </w:r>
      <w:r w:rsidRPr="00C56FC5">
        <w:rPr>
          <w:rFonts w:ascii="Times New Roman" w:hAnsi="Times New Roman" w:cs="Times New Roman"/>
          <w:b/>
          <w:bCs/>
          <w:lang w:val="en-US"/>
        </w:rPr>
        <w:t>43</w:t>
      </w:r>
      <w:r w:rsidRPr="00C56FC5">
        <w:rPr>
          <w:rFonts w:ascii="Times New Roman" w:hAnsi="Times New Roman" w:cs="Times New Roman"/>
          <w:lang w:val="en-US"/>
        </w:rPr>
        <w:t>(4):BSR20221956. Doi: 10.1042/BSR20221956.</w:t>
      </w:r>
    </w:p>
    <w:p w14:paraId="2DD5CBD4" w14:textId="77777777" w:rsidR="00C56FC5" w:rsidRPr="00C56FC5" w:rsidRDefault="00C56FC5" w:rsidP="00C56FC5">
      <w:pPr>
        <w:pStyle w:val="Bibliography"/>
        <w:rPr>
          <w:rFonts w:ascii="Times New Roman" w:hAnsi="Times New Roman" w:cs="Times New Roman"/>
          <w:lang w:val="en-US"/>
        </w:rPr>
      </w:pPr>
      <w:r w:rsidRPr="00C56FC5">
        <w:rPr>
          <w:rFonts w:ascii="Times New Roman" w:hAnsi="Times New Roman" w:cs="Times New Roman"/>
          <w:lang w:val="en-US"/>
        </w:rPr>
        <w:t>3.</w:t>
      </w:r>
      <w:r w:rsidRPr="00C56FC5">
        <w:rPr>
          <w:rFonts w:ascii="Times New Roman" w:hAnsi="Times New Roman" w:cs="Times New Roman"/>
          <w:lang w:val="en-US"/>
        </w:rPr>
        <w:tab/>
        <w:t xml:space="preserve">Kishi K., Kaji N., Tsuru Y., Hori M. A Novel Noninvasive Method for Quantitative Detection of Colonic Dysmotility Using Real-Time Ultrasonography. </w:t>
      </w:r>
      <w:r w:rsidRPr="00C56FC5">
        <w:rPr>
          <w:rFonts w:ascii="Times New Roman" w:hAnsi="Times New Roman" w:cs="Times New Roman"/>
          <w:i/>
          <w:iCs/>
          <w:lang w:val="en-US"/>
        </w:rPr>
        <w:t>Digestion</w:t>
      </w:r>
      <w:r w:rsidRPr="00C56FC5">
        <w:rPr>
          <w:rFonts w:ascii="Times New Roman" w:hAnsi="Times New Roman" w:cs="Times New Roman"/>
          <w:lang w:val="en-US"/>
        </w:rPr>
        <w:t xml:space="preserve"> 2021;</w:t>
      </w:r>
      <w:r w:rsidRPr="00C56FC5">
        <w:rPr>
          <w:rFonts w:ascii="Times New Roman" w:hAnsi="Times New Roman" w:cs="Times New Roman"/>
          <w:b/>
          <w:bCs/>
          <w:lang w:val="en-US"/>
        </w:rPr>
        <w:t>102</w:t>
      </w:r>
      <w:r w:rsidRPr="00C56FC5">
        <w:rPr>
          <w:rFonts w:ascii="Times New Roman" w:hAnsi="Times New Roman" w:cs="Times New Roman"/>
          <w:lang w:val="en-US"/>
        </w:rPr>
        <w:t>(5):731–41. Doi: 10.1159/000511851.</w:t>
      </w:r>
    </w:p>
    <w:p w14:paraId="7DF95785" w14:textId="77777777" w:rsidR="00C56FC5" w:rsidRPr="00C56FC5" w:rsidRDefault="00C56FC5" w:rsidP="00C56FC5">
      <w:pPr>
        <w:pStyle w:val="Bibliography"/>
        <w:rPr>
          <w:rFonts w:ascii="Times New Roman" w:hAnsi="Times New Roman" w:cs="Times New Roman"/>
          <w:lang w:val="en-US"/>
        </w:rPr>
      </w:pPr>
      <w:r w:rsidRPr="00C56FC5">
        <w:rPr>
          <w:rFonts w:ascii="Times New Roman" w:hAnsi="Times New Roman" w:cs="Times New Roman"/>
          <w:lang w:val="en-US"/>
        </w:rPr>
        <w:t>4.</w:t>
      </w:r>
      <w:r w:rsidRPr="00C56FC5">
        <w:rPr>
          <w:rFonts w:ascii="Times New Roman" w:hAnsi="Times New Roman" w:cs="Times New Roman"/>
          <w:lang w:val="en-US"/>
        </w:rPr>
        <w:tab/>
        <w:t xml:space="preserve">Koo A., Pustovit RV., Woodward ORM., Lewis JE., Gribble FM., Hossain MA., et al. Expression of the relaxin family peptide 4 receptor by enterochromaffin cells of the mouse large intestine. </w:t>
      </w:r>
      <w:r w:rsidRPr="00C56FC5">
        <w:rPr>
          <w:rFonts w:ascii="Times New Roman" w:hAnsi="Times New Roman" w:cs="Times New Roman"/>
          <w:i/>
          <w:iCs/>
          <w:lang w:val="en-US"/>
        </w:rPr>
        <w:t>Cell Tissue Res</w:t>
      </w:r>
      <w:r w:rsidRPr="00C56FC5">
        <w:rPr>
          <w:rFonts w:ascii="Times New Roman" w:hAnsi="Times New Roman" w:cs="Times New Roman"/>
          <w:lang w:val="en-US"/>
        </w:rPr>
        <w:t xml:space="preserve"> 2022;</w:t>
      </w:r>
      <w:r w:rsidRPr="00C56FC5">
        <w:rPr>
          <w:rFonts w:ascii="Times New Roman" w:hAnsi="Times New Roman" w:cs="Times New Roman"/>
          <w:b/>
          <w:bCs/>
          <w:lang w:val="en-US"/>
        </w:rPr>
        <w:t>389</w:t>
      </w:r>
      <w:r w:rsidRPr="00C56FC5">
        <w:rPr>
          <w:rFonts w:ascii="Times New Roman" w:hAnsi="Times New Roman" w:cs="Times New Roman"/>
          <w:lang w:val="en-US"/>
        </w:rPr>
        <w:t>(1):1–9. Doi: 10.1007/s00441-022-03635-8.</w:t>
      </w:r>
    </w:p>
    <w:p w14:paraId="619F8728" w14:textId="77777777" w:rsidR="00C56FC5" w:rsidRPr="00C56FC5" w:rsidRDefault="00C56FC5" w:rsidP="00C56FC5">
      <w:pPr>
        <w:pStyle w:val="Bibliography"/>
        <w:rPr>
          <w:rFonts w:ascii="Times New Roman" w:hAnsi="Times New Roman" w:cs="Times New Roman"/>
          <w:lang w:val="en-US"/>
        </w:rPr>
      </w:pPr>
      <w:r w:rsidRPr="00C56FC5">
        <w:rPr>
          <w:rFonts w:ascii="Times New Roman" w:hAnsi="Times New Roman" w:cs="Times New Roman"/>
          <w:lang w:val="en-US"/>
        </w:rPr>
        <w:t>5.</w:t>
      </w:r>
      <w:r w:rsidRPr="00C56FC5">
        <w:rPr>
          <w:rFonts w:ascii="Times New Roman" w:hAnsi="Times New Roman" w:cs="Times New Roman"/>
          <w:lang w:val="en-US"/>
        </w:rPr>
        <w:tab/>
        <w:t xml:space="preserve">Pustovit RV., Zhang X., Liew JJ., Praveen P., Liu M., Koo A., et al. A Novel Antagonist Peptide Reveals a Physiological Role of Insulin-Like Peptide 5 in Control of Colorectal Function. </w:t>
      </w:r>
      <w:r w:rsidRPr="00C56FC5">
        <w:rPr>
          <w:rFonts w:ascii="Times New Roman" w:hAnsi="Times New Roman" w:cs="Times New Roman"/>
          <w:i/>
          <w:iCs/>
          <w:lang w:val="en-US"/>
        </w:rPr>
        <w:t>ACS Pharmacol Transl Sci</w:t>
      </w:r>
      <w:r w:rsidRPr="00C56FC5">
        <w:rPr>
          <w:rFonts w:ascii="Times New Roman" w:hAnsi="Times New Roman" w:cs="Times New Roman"/>
          <w:lang w:val="en-US"/>
        </w:rPr>
        <w:t xml:space="preserve"> 2021;</w:t>
      </w:r>
      <w:r w:rsidRPr="00C56FC5">
        <w:rPr>
          <w:rFonts w:ascii="Times New Roman" w:hAnsi="Times New Roman" w:cs="Times New Roman"/>
          <w:b/>
          <w:bCs/>
          <w:lang w:val="en-US"/>
        </w:rPr>
        <w:t>4</w:t>
      </w:r>
      <w:r w:rsidRPr="00C56FC5">
        <w:rPr>
          <w:rFonts w:ascii="Times New Roman" w:hAnsi="Times New Roman" w:cs="Times New Roman"/>
          <w:lang w:val="en-US"/>
        </w:rPr>
        <w:t>(5):1665–74. Doi: 10.1021/acsptsci.1c00171.</w:t>
      </w:r>
    </w:p>
    <w:p w14:paraId="4010F91A" w14:textId="77777777" w:rsidR="00C56FC5" w:rsidRPr="00C56FC5" w:rsidRDefault="00C56FC5" w:rsidP="00C56FC5">
      <w:pPr>
        <w:pStyle w:val="Bibliography"/>
        <w:rPr>
          <w:rFonts w:ascii="Times New Roman" w:hAnsi="Times New Roman" w:cs="Times New Roman"/>
          <w:lang w:val="en-US"/>
        </w:rPr>
      </w:pPr>
      <w:r w:rsidRPr="00C56FC5">
        <w:rPr>
          <w:rFonts w:ascii="Times New Roman" w:hAnsi="Times New Roman" w:cs="Times New Roman"/>
          <w:lang w:val="en-US"/>
        </w:rPr>
        <w:t>6.</w:t>
      </w:r>
      <w:r w:rsidRPr="00C56FC5">
        <w:rPr>
          <w:rFonts w:ascii="Times New Roman" w:hAnsi="Times New Roman" w:cs="Times New Roman"/>
          <w:lang w:val="en-US"/>
        </w:rPr>
        <w:tab/>
        <w:t xml:space="preserve">Nyuyki KD., Cluny NL., Swain MG., Sharkey KA., Pittman QJ. Altered Brain Excitability and Increased Anxiety in Mice With Experimental Colitis: Consideration of Hyperalgesia and Sex Differences. </w:t>
      </w:r>
      <w:r w:rsidRPr="00C56FC5">
        <w:rPr>
          <w:rFonts w:ascii="Times New Roman" w:hAnsi="Times New Roman" w:cs="Times New Roman"/>
          <w:i/>
          <w:iCs/>
          <w:lang w:val="en-US"/>
        </w:rPr>
        <w:t>Front Behav Neurosci</w:t>
      </w:r>
      <w:r w:rsidRPr="00C56FC5">
        <w:rPr>
          <w:rFonts w:ascii="Times New Roman" w:hAnsi="Times New Roman" w:cs="Times New Roman"/>
          <w:lang w:val="en-US"/>
        </w:rPr>
        <w:t xml:space="preserve"> 2018;</w:t>
      </w:r>
      <w:r w:rsidRPr="00C56FC5">
        <w:rPr>
          <w:rFonts w:ascii="Times New Roman" w:hAnsi="Times New Roman" w:cs="Times New Roman"/>
          <w:b/>
          <w:bCs/>
          <w:lang w:val="en-US"/>
        </w:rPr>
        <w:t>12</w:t>
      </w:r>
      <w:r w:rsidRPr="00C56FC5">
        <w:rPr>
          <w:rFonts w:ascii="Times New Roman" w:hAnsi="Times New Roman" w:cs="Times New Roman"/>
          <w:lang w:val="en-US"/>
        </w:rPr>
        <w:t>:58. Doi: 10.3389/fnbeh.2018.00058.</w:t>
      </w:r>
    </w:p>
    <w:p w14:paraId="66311FAD" w14:textId="77777777" w:rsidR="00C56FC5" w:rsidRPr="00C56FC5" w:rsidRDefault="00C56FC5" w:rsidP="00C56FC5">
      <w:pPr>
        <w:pStyle w:val="Bibliography"/>
        <w:rPr>
          <w:rFonts w:ascii="Times New Roman" w:hAnsi="Times New Roman" w:cs="Times New Roman"/>
          <w:lang w:val="en-US"/>
        </w:rPr>
      </w:pPr>
      <w:r w:rsidRPr="00C56FC5">
        <w:rPr>
          <w:rFonts w:ascii="Times New Roman" w:hAnsi="Times New Roman" w:cs="Times New Roman"/>
          <w:lang w:val="en-US"/>
        </w:rPr>
        <w:t>7.</w:t>
      </w:r>
      <w:r w:rsidRPr="00C56FC5">
        <w:rPr>
          <w:rFonts w:ascii="Times New Roman" w:hAnsi="Times New Roman" w:cs="Times New Roman"/>
          <w:lang w:val="en-US"/>
        </w:rPr>
        <w:tab/>
        <w:t xml:space="preserve">Zhang X., Zou Q., Zhao B., Zhang J., Zhao W., Li Y., et al. Effects of alternate-day fasting, time-restricted fasting and intermittent energy restriction DSS-induced on colitis and behavioral disorders. </w:t>
      </w:r>
      <w:r w:rsidRPr="00C56FC5">
        <w:rPr>
          <w:rFonts w:ascii="Times New Roman" w:hAnsi="Times New Roman" w:cs="Times New Roman"/>
          <w:i/>
          <w:iCs/>
          <w:lang w:val="en-US"/>
        </w:rPr>
        <w:t>Redox Biology</w:t>
      </w:r>
      <w:r w:rsidRPr="00C56FC5">
        <w:rPr>
          <w:rFonts w:ascii="Times New Roman" w:hAnsi="Times New Roman" w:cs="Times New Roman"/>
          <w:lang w:val="en-US"/>
        </w:rPr>
        <w:t xml:space="preserve"> 2020;</w:t>
      </w:r>
      <w:r w:rsidRPr="00C56FC5">
        <w:rPr>
          <w:rFonts w:ascii="Times New Roman" w:hAnsi="Times New Roman" w:cs="Times New Roman"/>
          <w:b/>
          <w:bCs/>
          <w:lang w:val="en-US"/>
        </w:rPr>
        <w:t>32</w:t>
      </w:r>
      <w:r w:rsidRPr="00C56FC5">
        <w:rPr>
          <w:rFonts w:ascii="Times New Roman" w:hAnsi="Times New Roman" w:cs="Times New Roman"/>
          <w:lang w:val="en-US"/>
        </w:rPr>
        <w:t>:101535. Doi: 10.1016/j.redox.2020.101535.</w:t>
      </w:r>
    </w:p>
    <w:p w14:paraId="059929C3" w14:textId="77777777" w:rsidR="00C56FC5" w:rsidRPr="00C56FC5" w:rsidRDefault="00C56FC5" w:rsidP="00C56FC5">
      <w:pPr>
        <w:pStyle w:val="Bibliography"/>
        <w:rPr>
          <w:rFonts w:ascii="Times New Roman" w:hAnsi="Times New Roman" w:cs="Times New Roman"/>
          <w:lang w:val="en-US"/>
        </w:rPr>
      </w:pPr>
      <w:r w:rsidRPr="00C56FC5">
        <w:rPr>
          <w:rFonts w:ascii="Times New Roman" w:hAnsi="Times New Roman" w:cs="Times New Roman"/>
          <w:lang w:val="en-US"/>
        </w:rPr>
        <w:t>8.</w:t>
      </w:r>
      <w:r w:rsidRPr="00C56FC5">
        <w:rPr>
          <w:rFonts w:ascii="Times New Roman" w:hAnsi="Times New Roman" w:cs="Times New Roman"/>
          <w:lang w:val="en-US"/>
        </w:rPr>
        <w:tab/>
        <w:t xml:space="preserve">Skok DJ., Hauptman N., Jerala M., Zidar N. Expression of Cytokine-Coding Genes BMP8B, LEFTY1 and INSL5 Could Distinguish between Ulcerative Colitis and Crohn’s Disease. </w:t>
      </w:r>
      <w:r w:rsidRPr="00C56FC5">
        <w:rPr>
          <w:rFonts w:ascii="Times New Roman" w:hAnsi="Times New Roman" w:cs="Times New Roman"/>
          <w:i/>
          <w:iCs/>
          <w:lang w:val="en-US"/>
        </w:rPr>
        <w:t>Genes</w:t>
      </w:r>
      <w:r w:rsidRPr="00C56FC5">
        <w:rPr>
          <w:rFonts w:ascii="Times New Roman" w:hAnsi="Times New Roman" w:cs="Times New Roman"/>
          <w:lang w:val="en-US"/>
        </w:rPr>
        <w:t xml:space="preserve"> 2021;</w:t>
      </w:r>
      <w:r w:rsidRPr="00C56FC5">
        <w:rPr>
          <w:rFonts w:ascii="Times New Roman" w:hAnsi="Times New Roman" w:cs="Times New Roman"/>
          <w:b/>
          <w:bCs/>
          <w:lang w:val="en-US"/>
        </w:rPr>
        <w:t>12</w:t>
      </w:r>
      <w:r w:rsidRPr="00C56FC5">
        <w:rPr>
          <w:rFonts w:ascii="Times New Roman" w:hAnsi="Times New Roman" w:cs="Times New Roman"/>
          <w:lang w:val="en-US"/>
        </w:rPr>
        <w:t>(10):1477. Doi: 10.3390/genes12101477.</w:t>
      </w:r>
    </w:p>
    <w:p w14:paraId="5FE3BF42" w14:textId="77777777" w:rsidR="00C56FC5" w:rsidRPr="00C56FC5" w:rsidRDefault="00C56FC5" w:rsidP="00C56FC5">
      <w:pPr>
        <w:pStyle w:val="Bibliography"/>
        <w:rPr>
          <w:rFonts w:ascii="Times New Roman" w:hAnsi="Times New Roman" w:cs="Times New Roman"/>
          <w:lang w:val="en-US"/>
        </w:rPr>
      </w:pPr>
      <w:r w:rsidRPr="00C56FC5">
        <w:rPr>
          <w:rFonts w:ascii="Times New Roman" w:hAnsi="Times New Roman" w:cs="Times New Roman"/>
          <w:lang w:val="en-US"/>
        </w:rPr>
        <w:t>9.</w:t>
      </w:r>
      <w:r w:rsidRPr="00C56FC5">
        <w:rPr>
          <w:rFonts w:ascii="Times New Roman" w:hAnsi="Times New Roman" w:cs="Times New Roman"/>
          <w:lang w:val="en-US"/>
        </w:rPr>
        <w:tab/>
        <w:t xml:space="preserve">Carlson M. </w:t>
      </w:r>
      <w:r w:rsidRPr="00C56FC5">
        <w:rPr>
          <w:rFonts w:ascii="Times New Roman" w:hAnsi="Times New Roman" w:cs="Times New Roman"/>
          <w:i/>
          <w:iCs/>
          <w:lang w:val="en-US"/>
        </w:rPr>
        <w:t>org.Hs.eg.db: Genome wide annotation for Human</w:t>
      </w:r>
      <w:r w:rsidRPr="00C56FC5">
        <w:rPr>
          <w:rFonts w:ascii="Times New Roman" w:hAnsi="Times New Roman" w:cs="Times New Roman"/>
          <w:lang w:val="en-US"/>
        </w:rPr>
        <w:t>. 2024.</w:t>
      </w:r>
    </w:p>
    <w:p w14:paraId="3F2D2144" w14:textId="77777777" w:rsidR="00C56FC5" w:rsidRPr="00C56FC5" w:rsidRDefault="00C56FC5" w:rsidP="00C56FC5">
      <w:pPr>
        <w:pStyle w:val="Bibliography"/>
        <w:rPr>
          <w:rFonts w:ascii="Times New Roman" w:hAnsi="Times New Roman" w:cs="Times New Roman"/>
          <w:lang w:val="en-US"/>
        </w:rPr>
      </w:pPr>
      <w:r w:rsidRPr="00C56FC5">
        <w:rPr>
          <w:rFonts w:ascii="Times New Roman" w:hAnsi="Times New Roman" w:cs="Times New Roman"/>
          <w:lang w:val="en-US"/>
        </w:rPr>
        <w:t>10.</w:t>
      </w:r>
      <w:r w:rsidRPr="00C56FC5">
        <w:rPr>
          <w:rFonts w:ascii="Times New Roman" w:hAnsi="Times New Roman" w:cs="Times New Roman"/>
          <w:lang w:val="en-US"/>
        </w:rPr>
        <w:tab/>
        <w:t xml:space="preserve">Ritchie ME., Phipson B., Wu D., Hu Y., Law CW., Shi W., et al. limma powers differential expression analyses for RNA-sequencing and microarray studies. </w:t>
      </w:r>
      <w:r w:rsidRPr="00C56FC5">
        <w:rPr>
          <w:rFonts w:ascii="Times New Roman" w:hAnsi="Times New Roman" w:cs="Times New Roman"/>
          <w:i/>
          <w:iCs/>
          <w:lang w:val="en-US"/>
        </w:rPr>
        <w:t>Nucleic Acids Research</w:t>
      </w:r>
      <w:r w:rsidRPr="00C56FC5">
        <w:rPr>
          <w:rFonts w:ascii="Times New Roman" w:hAnsi="Times New Roman" w:cs="Times New Roman"/>
          <w:lang w:val="en-US"/>
        </w:rPr>
        <w:t xml:space="preserve"> 2015;</w:t>
      </w:r>
      <w:r w:rsidRPr="00C56FC5">
        <w:rPr>
          <w:rFonts w:ascii="Times New Roman" w:hAnsi="Times New Roman" w:cs="Times New Roman"/>
          <w:b/>
          <w:bCs/>
          <w:lang w:val="en-US"/>
        </w:rPr>
        <w:t>43</w:t>
      </w:r>
      <w:r w:rsidRPr="00C56FC5">
        <w:rPr>
          <w:rFonts w:ascii="Times New Roman" w:hAnsi="Times New Roman" w:cs="Times New Roman"/>
          <w:lang w:val="en-US"/>
        </w:rPr>
        <w:t>(7):e47–e47. Doi: 10.1093/nar/gkv007.</w:t>
      </w:r>
    </w:p>
    <w:p w14:paraId="416202D2" w14:textId="77777777" w:rsidR="00C56FC5" w:rsidRPr="00C56FC5" w:rsidRDefault="00C56FC5" w:rsidP="00C56FC5">
      <w:pPr>
        <w:pStyle w:val="Bibliography"/>
        <w:rPr>
          <w:rFonts w:ascii="Times New Roman" w:hAnsi="Times New Roman" w:cs="Times New Roman"/>
          <w:lang w:val="en-US"/>
        </w:rPr>
      </w:pPr>
      <w:r w:rsidRPr="00C56FC5">
        <w:rPr>
          <w:rFonts w:ascii="Times New Roman" w:hAnsi="Times New Roman" w:cs="Times New Roman"/>
          <w:lang w:val="en-US"/>
        </w:rPr>
        <w:t>11.</w:t>
      </w:r>
      <w:r w:rsidRPr="00C56FC5">
        <w:rPr>
          <w:rFonts w:ascii="Times New Roman" w:hAnsi="Times New Roman" w:cs="Times New Roman"/>
          <w:lang w:val="en-US"/>
        </w:rPr>
        <w:tab/>
        <w:t>Smyth GK. Linear Models and Empirical Bayes Methods for Assessing Differential Expression in Microarray Experiments 2004;</w:t>
      </w:r>
      <w:r w:rsidRPr="00C56FC5">
        <w:rPr>
          <w:rFonts w:ascii="Times New Roman" w:hAnsi="Times New Roman" w:cs="Times New Roman"/>
          <w:b/>
          <w:bCs/>
          <w:lang w:val="en-US"/>
        </w:rPr>
        <w:t>3</w:t>
      </w:r>
      <w:r w:rsidRPr="00C56FC5">
        <w:rPr>
          <w:rFonts w:ascii="Times New Roman" w:hAnsi="Times New Roman" w:cs="Times New Roman"/>
          <w:lang w:val="en-US"/>
        </w:rPr>
        <w:t>(1). Doi: 10.2202/1544-6115.1027.</w:t>
      </w:r>
    </w:p>
    <w:p w14:paraId="68131950" w14:textId="77777777" w:rsidR="00C56FC5" w:rsidRPr="00C56FC5" w:rsidRDefault="00C56FC5" w:rsidP="00C56FC5">
      <w:pPr>
        <w:pStyle w:val="Bibliography"/>
        <w:rPr>
          <w:rFonts w:ascii="Times New Roman" w:hAnsi="Times New Roman" w:cs="Times New Roman"/>
          <w:lang w:val="en-US"/>
        </w:rPr>
      </w:pPr>
      <w:r w:rsidRPr="00C56FC5">
        <w:rPr>
          <w:rFonts w:ascii="Times New Roman" w:hAnsi="Times New Roman" w:cs="Times New Roman"/>
          <w:lang w:val="en-US"/>
        </w:rPr>
        <w:t>12.</w:t>
      </w:r>
      <w:r w:rsidRPr="00C56FC5">
        <w:rPr>
          <w:rFonts w:ascii="Times New Roman" w:hAnsi="Times New Roman" w:cs="Times New Roman"/>
          <w:lang w:val="en-US"/>
        </w:rPr>
        <w:tab/>
        <w:t xml:space="preserve">Prada C., Lima D., Nakaya H. </w:t>
      </w:r>
      <w:r w:rsidRPr="00C56FC5">
        <w:rPr>
          <w:rFonts w:ascii="Times New Roman" w:hAnsi="Times New Roman" w:cs="Times New Roman"/>
          <w:i/>
          <w:iCs/>
          <w:lang w:val="en-US"/>
        </w:rPr>
        <w:t>MetaVolcanoR: Gene Expression Meta-analysis Visualization Tool</w:t>
      </w:r>
      <w:r w:rsidRPr="00C56FC5">
        <w:rPr>
          <w:rFonts w:ascii="Times New Roman" w:hAnsi="Times New Roman" w:cs="Times New Roman"/>
          <w:lang w:val="en-US"/>
        </w:rPr>
        <w:t>. 2023.</w:t>
      </w:r>
    </w:p>
    <w:p w14:paraId="3FBF08E6" w14:textId="77777777" w:rsidR="00C56FC5" w:rsidRPr="00C56FC5" w:rsidRDefault="00C56FC5" w:rsidP="00C56FC5">
      <w:pPr>
        <w:pStyle w:val="Bibliography"/>
        <w:rPr>
          <w:rFonts w:ascii="Times New Roman" w:hAnsi="Times New Roman" w:cs="Times New Roman"/>
          <w:lang w:val="en-US"/>
        </w:rPr>
      </w:pPr>
      <w:r w:rsidRPr="00C56FC5">
        <w:rPr>
          <w:rFonts w:ascii="Times New Roman" w:hAnsi="Times New Roman" w:cs="Times New Roman"/>
          <w:lang w:val="en-US"/>
        </w:rPr>
        <w:t>13.</w:t>
      </w:r>
      <w:r w:rsidRPr="00C56FC5">
        <w:rPr>
          <w:rFonts w:ascii="Times New Roman" w:hAnsi="Times New Roman" w:cs="Times New Roman"/>
          <w:lang w:val="en-US"/>
        </w:rPr>
        <w:tab/>
        <w:t xml:space="preserve">Linggi B., Jairath V., Zou G., Shackelton LM., McGovern DPB., Salas A., et al. Meta-analysis of gene expression disease signatures in colonic biopsy tissue from patients with ulcerative colitis. </w:t>
      </w:r>
      <w:r w:rsidRPr="00C56FC5">
        <w:rPr>
          <w:rFonts w:ascii="Times New Roman" w:hAnsi="Times New Roman" w:cs="Times New Roman"/>
          <w:i/>
          <w:iCs/>
          <w:lang w:val="en-US"/>
        </w:rPr>
        <w:t>Sci Rep</w:t>
      </w:r>
      <w:r w:rsidRPr="00C56FC5">
        <w:rPr>
          <w:rFonts w:ascii="Times New Roman" w:hAnsi="Times New Roman" w:cs="Times New Roman"/>
          <w:lang w:val="en-US"/>
        </w:rPr>
        <w:t xml:space="preserve"> 2021;</w:t>
      </w:r>
      <w:r w:rsidRPr="00C56FC5">
        <w:rPr>
          <w:rFonts w:ascii="Times New Roman" w:hAnsi="Times New Roman" w:cs="Times New Roman"/>
          <w:b/>
          <w:bCs/>
          <w:lang w:val="en-US"/>
        </w:rPr>
        <w:t>11</w:t>
      </w:r>
      <w:r w:rsidRPr="00C56FC5">
        <w:rPr>
          <w:rFonts w:ascii="Times New Roman" w:hAnsi="Times New Roman" w:cs="Times New Roman"/>
          <w:lang w:val="en-US"/>
        </w:rPr>
        <w:t>(1):18243. Doi: 10.1038/s41598-021-97366-5.</w:t>
      </w:r>
    </w:p>
    <w:p w14:paraId="3499EFE5" w14:textId="1EC53C8B" w:rsidR="007D0D29" w:rsidRPr="00A51F38" w:rsidRDefault="00C56FC5" w:rsidP="000A23CF">
      <w:pPr>
        <w:autoSpaceDE w:val="0"/>
        <w:autoSpaceDN w:val="0"/>
        <w:adjustRightInd w:val="0"/>
        <w:spacing w:line="480" w:lineRule="auto"/>
        <w:ind w:firstLine="360"/>
        <w:rPr>
          <w:rFonts w:ascii="Times New Roman" w:hAnsi="Times New Roman" w:cs="Times New Roman"/>
        </w:rPr>
      </w:pPr>
      <w:r>
        <w:rPr>
          <w:rFonts w:ascii="Times New Roman" w:hAnsi="Times New Roman" w:cs="Times New Roman"/>
        </w:rPr>
        <w:fldChar w:fldCharType="end"/>
      </w:r>
    </w:p>
    <w:p w14:paraId="12EB111F" w14:textId="77777777" w:rsidR="007D0D29" w:rsidRPr="00A51F38" w:rsidRDefault="007D0D29" w:rsidP="000A23CF">
      <w:pPr>
        <w:autoSpaceDE w:val="0"/>
        <w:autoSpaceDN w:val="0"/>
        <w:adjustRightInd w:val="0"/>
        <w:spacing w:line="480" w:lineRule="auto"/>
        <w:ind w:firstLine="360"/>
        <w:rPr>
          <w:rFonts w:ascii="Times New Roman" w:hAnsi="Times New Roman" w:cs="Times New Roman"/>
          <w:i/>
          <w:iCs/>
        </w:rPr>
      </w:pPr>
    </w:p>
    <w:p w14:paraId="28D2FA10" w14:textId="77777777" w:rsidR="000A23CF" w:rsidRPr="00A51F38" w:rsidRDefault="000A23CF">
      <w:pPr>
        <w:rPr>
          <w:rFonts w:ascii="Times New Roman" w:hAnsi="Times New Roman" w:cs="Times New Roman"/>
        </w:rPr>
      </w:pPr>
    </w:p>
    <w:sectPr w:rsidR="000A23CF" w:rsidRPr="00A51F38" w:rsidSect="004859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3CF"/>
    <w:rsid w:val="000A23CF"/>
    <w:rsid w:val="001422C9"/>
    <w:rsid w:val="001E3A12"/>
    <w:rsid w:val="002019ED"/>
    <w:rsid w:val="0021620B"/>
    <w:rsid w:val="002C5E2F"/>
    <w:rsid w:val="002F767C"/>
    <w:rsid w:val="0035546D"/>
    <w:rsid w:val="0043151F"/>
    <w:rsid w:val="00485921"/>
    <w:rsid w:val="005A63B6"/>
    <w:rsid w:val="005F148C"/>
    <w:rsid w:val="007D0D29"/>
    <w:rsid w:val="00A51F38"/>
    <w:rsid w:val="00BD5D95"/>
    <w:rsid w:val="00C56FC5"/>
    <w:rsid w:val="00D647D3"/>
    <w:rsid w:val="00E001AB"/>
    <w:rsid w:val="00E261E7"/>
    <w:rsid w:val="00E267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D38EB"/>
  <w15:chartTrackingRefBased/>
  <w15:docId w15:val="{F55D567E-FF16-1E40-A6EC-D9B261CF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2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2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2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2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2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2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3CF"/>
    <w:rPr>
      <w:rFonts w:eastAsiaTheme="majorEastAsia" w:cstheme="majorBidi"/>
      <w:color w:val="272727" w:themeColor="text1" w:themeTint="D8"/>
    </w:rPr>
  </w:style>
  <w:style w:type="paragraph" w:styleId="Title">
    <w:name w:val="Title"/>
    <w:basedOn w:val="Normal"/>
    <w:next w:val="Normal"/>
    <w:link w:val="TitleChar"/>
    <w:uiPriority w:val="10"/>
    <w:qFormat/>
    <w:rsid w:val="000A2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3CF"/>
    <w:pPr>
      <w:spacing w:before="160"/>
      <w:jc w:val="center"/>
    </w:pPr>
    <w:rPr>
      <w:i/>
      <w:iCs/>
      <w:color w:val="404040" w:themeColor="text1" w:themeTint="BF"/>
    </w:rPr>
  </w:style>
  <w:style w:type="character" w:customStyle="1" w:styleId="QuoteChar">
    <w:name w:val="Quote Char"/>
    <w:basedOn w:val="DefaultParagraphFont"/>
    <w:link w:val="Quote"/>
    <w:uiPriority w:val="29"/>
    <w:rsid w:val="000A23CF"/>
    <w:rPr>
      <w:i/>
      <w:iCs/>
      <w:color w:val="404040" w:themeColor="text1" w:themeTint="BF"/>
    </w:rPr>
  </w:style>
  <w:style w:type="paragraph" w:styleId="ListParagraph">
    <w:name w:val="List Paragraph"/>
    <w:basedOn w:val="Normal"/>
    <w:uiPriority w:val="34"/>
    <w:qFormat/>
    <w:rsid w:val="000A23CF"/>
    <w:pPr>
      <w:ind w:left="720"/>
      <w:contextualSpacing/>
    </w:pPr>
  </w:style>
  <w:style w:type="character" w:styleId="IntenseEmphasis">
    <w:name w:val="Intense Emphasis"/>
    <w:basedOn w:val="DefaultParagraphFont"/>
    <w:uiPriority w:val="21"/>
    <w:qFormat/>
    <w:rsid w:val="000A23CF"/>
    <w:rPr>
      <w:i/>
      <w:iCs/>
      <w:color w:val="0F4761" w:themeColor="accent1" w:themeShade="BF"/>
    </w:rPr>
  </w:style>
  <w:style w:type="paragraph" w:styleId="IntenseQuote">
    <w:name w:val="Intense Quote"/>
    <w:basedOn w:val="Normal"/>
    <w:next w:val="Normal"/>
    <w:link w:val="IntenseQuoteChar"/>
    <w:uiPriority w:val="30"/>
    <w:qFormat/>
    <w:rsid w:val="000A2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23CF"/>
    <w:rPr>
      <w:i/>
      <w:iCs/>
      <w:color w:val="0F4761" w:themeColor="accent1" w:themeShade="BF"/>
    </w:rPr>
  </w:style>
  <w:style w:type="character" w:styleId="IntenseReference">
    <w:name w:val="Intense Reference"/>
    <w:basedOn w:val="DefaultParagraphFont"/>
    <w:uiPriority w:val="32"/>
    <w:qFormat/>
    <w:rsid w:val="000A23CF"/>
    <w:rPr>
      <w:b/>
      <w:bCs/>
      <w:smallCaps/>
      <w:color w:val="0F4761" w:themeColor="accent1" w:themeShade="BF"/>
      <w:spacing w:val="5"/>
    </w:rPr>
  </w:style>
  <w:style w:type="character" w:customStyle="1" w:styleId="fadeinm1hgl8">
    <w:name w:val="_fadein_m1hgl_8"/>
    <w:basedOn w:val="DefaultParagraphFont"/>
    <w:rsid w:val="000A23CF"/>
  </w:style>
  <w:style w:type="character" w:styleId="Strong">
    <w:name w:val="Strong"/>
    <w:basedOn w:val="DefaultParagraphFont"/>
    <w:uiPriority w:val="22"/>
    <w:qFormat/>
    <w:rsid w:val="005A63B6"/>
    <w:rPr>
      <w:b/>
      <w:bCs/>
    </w:rPr>
  </w:style>
  <w:style w:type="character" w:styleId="CommentReference">
    <w:name w:val="annotation reference"/>
    <w:basedOn w:val="DefaultParagraphFont"/>
    <w:uiPriority w:val="99"/>
    <w:semiHidden/>
    <w:unhideWhenUsed/>
    <w:rsid w:val="00C56FC5"/>
    <w:rPr>
      <w:sz w:val="16"/>
      <w:szCs w:val="16"/>
    </w:rPr>
  </w:style>
  <w:style w:type="paragraph" w:styleId="Bibliography">
    <w:name w:val="Bibliography"/>
    <w:basedOn w:val="Normal"/>
    <w:next w:val="Normal"/>
    <w:uiPriority w:val="37"/>
    <w:unhideWhenUsed/>
    <w:rsid w:val="00C56FC5"/>
    <w:pPr>
      <w:tabs>
        <w:tab w:val="left" w:pos="380"/>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5151</Words>
  <Characters>31375</Characters>
  <Application>Microsoft Office Word</Application>
  <DocSecurity>0</DocSecurity>
  <Lines>591</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Drake Hechter</dc:creator>
  <cp:keywords/>
  <dc:description/>
  <cp:lastModifiedBy>Drake Hechter</cp:lastModifiedBy>
  <cp:revision>4</cp:revision>
  <dcterms:created xsi:type="dcterms:W3CDTF">2025-10-31T04:07:00Z</dcterms:created>
  <dcterms:modified xsi:type="dcterms:W3CDTF">2025-11-11T16:51:00Z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id="qNgF7VN9"/&gt;&lt;style id="http://www.zotero.org/styles/journal-of-crohns-and-colitis" hasBibliography="1" bibliographyStyleHasBeenSet="1"/&gt;&lt;prefs&gt;&lt;pref name="fieldType" value="Field"/&gt;&lt;/prefs&gt;&lt;/data&gt;</vt:lpwstr>
  </property>
</Properties>
</file>