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65" w:type="dxa"/>
        <w:tblLook w:val="04A0" w:firstRow="1" w:lastRow="0" w:firstColumn="1" w:lastColumn="0" w:noHBand="0" w:noVBand="1"/>
      </w:tblPr>
      <w:tblGrid>
        <w:gridCol w:w="1075"/>
        <w:gridCol w:w="3931"/>
        <w:gridCol w:w="1109"/>
        <w:gridCol w:w="3150"/>
      </w:tblGrid>
      <w:tr w:rsidR="005F6AFE" w:rsidRPr="003545F7" w14:paraId="709C8160" w14:textId="77777777" w:rsidTr="00E71A15">
        <w:trPr>
          <w:trHeight w:val="119"/>
        </w:trPr>
        <w:tc>
          <w:tcPr>
            <w:tcW w:w="9265" w:type="dxa"/>
            <w:gridSpan w:val="4"/>
          </w:tcPr>
          <w:p w14:paraId="12AF7808" w14:textId="77777777" w:rsidR="005F6AFE" w:rsidRPr="002052F2" w:rsidRDefault="005F6AFE" w:rsidP="00E71A15">
            <w:pPr>
              <w:jc w:val="center"/>
              <w:rPr>
                <w:rFonts w:ascii="Arial" w:eastAsia="Aptos" w:hAnsi="Arial" w:cs="Arial"/>
                <w:b/>
                <w:bCs/>
                <w:color w:val="000000" w:themeColor="text1"/>
                <w:kern w:val="24"/>
                <w:sz w:val="20"/>
                <w:szCs w:val="20"/>
              </w:rPr>
            </w:pPr>
            <w:r>
              <w:rPr>
                <w:rFonts w:ascii="Arial" w:eastAsia="Aptos" w:hAnsi="Arial" w:cs="Arial"/>
                <w:b/>
                <w:bCs/>
                <w:color w:val="000000" w:themeColor="text1"/>
                <w:kern w:val="24"/>
                <w:sz w:val="20"/>
                <w:szCs w:val="20"/>
              </w:rPr>
              <w:t>BMI</w:t>
            </w:r>
          </w:p>
        </w:tc>
      </w:tr>
      <w:tr w:rsidR="005F6AFE" w:rsidRPr="003545F7" w14:paraId="2A3C0265" w14:textId="77777777" w:rsidTr="00E71A15">
        <w:trPr>
          <w:trHeight w:val="119"/>
        </w:trPr>
        <w:tc>
          <w:tcPr>
            <w:tcW w:w="1075" w:type="dxa"/>
          </w:tcPr>
          <w:p w14:paraId="3F1C421A" w14:textId="77777777" w:rsidR="005F6AFE" w:rsidRPr="003545F7" w:rsidRDefault="005F6AFE" w:rsidP="00E71A15">
            <w:pPr>
              <w:jc w:val="center"/>
              <w:rPr>
                <w:rFonts w:ascii="Arial" w:hAnsi="Arial" w:cs="Arial"/>
                <w:sz w:val="20"/>
                <w:szCs w:val="20"/>
              </w:rPr>
            </w:pPr>
            <w:r>
              <w:rPr>
                <w:rFonts w:ascii="Arial" w:hAnsi="Arial" w:cs="Arial"/>
                <w:b/>
                <w:bCs/>
                <w:color w:val="000000" w:themeColor="text1"/>
                <w:kern w:val="24"/>
                <w:sz w:val="20"/>
                <w:szCs w:val="20"/>
              </w:rPr>
              <w:t>Ancestry</w:t>
            </w:r>
          </w:p>
        </w:tc>
        <w:tc>
          <w:tcPr>
            <w:tcW w:w="3931" w:type="dxa"/>
          </w:tcPr>
          <w:p w14:paraId="3A20AD99" w14:textId="77777777" w:rsidR="005F6AFE" w:rsidRPr="003545F7" w:rsidRDefault="005F6AFE" w:rsidP="00E71A15">
            <w:pPr>
              <w:jc w:val="center"/>
              <w:rPr>
                <w:rFonts w:ascii="Arial" w:hAnsi="Arial" w:cs="Arial"/>
                <w:sz w:val="20"/>
                <w:szCs w:val="20"/>
              </w:rPr>
            </w:pPr>
            <w:r>
              <w:rPr>
                <w:rFonts w:ascii="Arial" w:eastAsia="Aptos" w:hAnsi="Arial" w:cs="Arial"/>
                <w:b/>
                <w:bCs/>
                <w:color w:val="000000" w:themeColor="text1"/>
                <w:kern w:val="24"/>
                <w:sz w:val="20"/>
                <w:szCs w:val="20"/>
              </w:rPr>
              <w:t>GWAS Dataset Composition</w:t>
            </w:r>
          </w:p>
        </w:tc>
        <w:tc>
          <w:tcPr>
            <w:tcW w:w="1109" w:type="dxa"/>
          </w:tcPr>
          <w:p w14:paraId="12B08B5F" w14:textId="77777777" w:rsidR="005F6AFE" w:rsidRPr="003545F7" w:rsidRDefault="005F6AFE" w:rsidP="00E71A15">
            <w:pPr>
              <w:jc w:val="center"/>
              <w:rPr>
                <w:rFonts w:ascii="Arial" w:hAnsi="Arial" w:cs="Arial"/>
                <w:sz w:val="20"/>
                <w:szCs w:val="20"/>
              </w:rPr>
            </w:pPr>
            <w:r>
              <w:rPr>
                <w:rFonts w:ascii="Arial" w:hAnsi="Arial" w:cs="Arial"/>
                <w:b/>
                <w:bCs/>
                <w:color w:val="000000" w:themeColor="text1"/>
                <w:kern w:val="24"/>
                <w:sz w:val="20"/>
                <w:szCs w:val="20"/>
              </w:rPr>
              <w:t>N</w:t>
            </w:r>
          </w:p>
        </w:tc>
        <w:tc>
          <w:tcPr>
            <w:tcW w:w="3150" w:type="dxa"/>
          </w:tcPr>
          <w:p w14:paraId="19DF6540" w14:textId="77777777" w:rsidR="005F6AFE" w:rsidRPr="003545F7" w:rsidRDefault="005F6AFE" w:rsidP="00E71A15">
            <w:pPr>
              <w:jc w:val="center"/>
              <w:rPr>
                <w:rFonts w:ascii="Arial" w:hAnsi="Arial" w:cs="Arial"/>
                <w:sz w:val="20"/>
                <w:szCs w:val="20"/>
              </w:rPr>
            </w:pPr>
            <w:r>
              <w:rPr>
                <w:rFonts w:ascii="Arial" w:eastAsia="Aptos" w:hAnsi="Arial" w:cs="Arial"/>
                <w:b/>
                <w:bCs/>
                <w:color w:val="000000" w:themeColor="text1"/>
                <w:kern w:val="24"/>
                <w:sz w:val="20"/>
                <w:szCs w:val="20"/>
              </w:rPr>
              <w:t>Source</w:t>
            </w:r>
          </w:p>
        </w:tc>
      </w:tr>
      <w:tr w:rsidR="005F6AFE" w:rsidRPr="003545F7" w14:paraId="01B9DAE1" w14:textId="77777777" w:rsidTr="00E71A15">
        <w:trPr>
          <w:trHeight w:val="241"/>
        </w:trPr>
        <w:tc>
          <w:tcPr>
            <w:tcW w:w="1075" w:type="dxa"/>
          </w:tcPr>
          <w:p w14:paraId="5B34B4BB"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EAS-like</w:t>
            </w:r>
          </w:p>
        </w:tc>
        <w:tc>
          <w:tcPr>
            <w:tcW w:w="3931" w:type="dxa"/>
          </w:tcPr>
          <w:p w14:paraId="1006542F"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Taiwan Biobank + Biobank Japan</w:t>
            </w:r>
          </w:p>
        </w:tc>
        <w:tc>
          <w:tcPr>
            <w:tcW w:w="1109" w:type="dxa"/>
          </w:tcPr>
          <w:p w14:paraId="5DD85847"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256,450</w:t>
            </w:r>
          </w:p>
        </w:tc>
        <w:tc>
          <w:tcPr>
            <w:tcW w:w="3150" w:type="dxa"/>
          </w:tcPr>
          <w:p w14:paraId="4FBF8764"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Chen et al, 2023</w:t>
            </w:r>
          </w:p>
        </w:tc>
      </w:tr>
      <w:tr w:rsidR="005F6AFE" w:rsidRPr="003545F7" w14:paraId="6AEA061A" w14:textId="77777777" w:rsidTr="00E71A15">
        <w:trPr>
          <w:trHeight w:val="241"/>
        </w:trPr>
        <w:tc>
          <w:tcPr>
            <w:tcW w:w="1075" w:type="dxa"/>
          </w:tcPr>
          <w:p w14:paraId="520E8B28" w14:textId="77777777" w:rsidR="005F6AFE" w:rsidRPr="003545F7" w:rsidRDefault="005F6AFE" w:rsidP="00E71A15">
            <w:pPr>
              <w:jc w:val="center"/>
              <w:rPr>
                <w:rFonts w:ascii="Arial" w:hAnsi="Arial" w:cs="Arial"/>
                <w:sz w:val="20"/>
                <w:szCs w:val="20"/>
              </w:rPr>
            </w:pPr>
            <w:r>
              <w:rPr>
                <w:rFonts w:ascii="Arial" w:hAnsi="Arial" w:cs="Arial"/>
                <w:color w:val="000000" w:themeColor="text1"/>
                <w:kern w:val="24"/>
                <w:sz w:val="20"/>
                <w:szCs w:val="20"/>
              </w:rPr>
              <w:t>EUR-like</w:t>
            </w:r>
          </w:p>
        </w:tc>
        <w:tc>
          <w:tcPr>
            <w:tcW w:w="3931" w:type="dxa"/>
          </w:tcPr>
          <w:p w14:paraId="12FD57D3" w14:textId="77777777" w:rsidR="005F6AFE" w:rsidRPr="003545F7" w:rsidRDefault="005F6AFE" w:rsidP="00E71A15">
            <w:pPr>
              <w:jc w:val="center"/>
              <w:rPr>
                <w:rFonts w:ascii="Arial" w:hAnsi="Arial" w:cs="Arial"/>
                <w:sz w:val="20"/>
                <w:szCs w:val="20"/>
              </w:rPr>
            </w:pPr>
            <w:r>
              <w:rPr>
                <w:rFonts w:ascii="Arial" w:hAnsi="Arial" w:cs="Arial"/>
                <w:color w:val="000000" w:themeColor="text1"/>
                <w:kern w:val="24"/>
                <w:sz w:val="20"/>
                <w:szCs w:val="20"/>
              </w:rPr>
              <w:t>GIANT + UKBB</w:t>
            </w:r>
          </w:p>
        </w:tc>
        <w:tc>
          <w:tcPr>
            <w:tcW w:w="1109" w:type="dxa"/>
          </w:tcPr>
          <w:p w14:paraId="1C1EFF6A"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~700,000</w:t>
            </w:r>
          </w:p>
        </w:tc>
        <w:tc>
          <w:tcPr>
            <w:tcW w:w="3150" w:type="dxa"/>
          </w:tcPr>
          <w:p w14:paraId="6C393D1A"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Yengo et al, 2018</w:t>
            </w:r>
          </w:p>
        </w:tc>
      </w:tr>
      <w:tr w:rsidR="005F6AFE" w:rsidRPr="003545F7" w14:paraId="2204C8ED" w14:textId="77777777" w:rsidTr="00E71A15">
        <w:trPr>
          <w:trHeight w:val="61"/>
        </w:trPr>
        <w:tc>
          <w:tcPr>
            <w:tcW w:w="1075" w:type="dxa"/>
          </w:tcPr>
          <w:p w14:paraId="2EF916CC"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PNS-like</w:t>
            </w:r>
          </w:p>
        </w:tc>
        <w:tc>
          <w:tcPr>
            <w:tcW w:w="3931" w:type="dxa"/>
          </w:tcPr>
          <w:p w14:paraId="24EC539F"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Native Hawaiians</w:t>
            </w:r>
          </w:p>
        </w:tc>
        <w:tc>
          <w:tcPr>
            <w:tcW w:w="1109" w:type="dxa"/>
          </w:tcPr>
          <w:p w14:paraId="1950C77E"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4,148</w:t>
            </w:r>
          </w:p>
        </w:tc>
        <w:tc>
          <w:tcPr>
            <w:tcW w:w="3150" w:type="dxa"/>
          </w:tcPr>
          <w:p w14:paraId="4B01E040"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Multi-Ethnic Cohort Study (MEC)</w:t>
            </w:r>
          </w:p>
        </w:tc>
      </w:tr>
      <w:tr w:rsidR="005F6AFE" w:rsidRPr="003545F7" w14:paraId="19289CDA" w14:textId="77777777" w:rsidTr="00E71A15">
        <w:trPr>
          <w:trHeight w:val="119"/>
        </w:trPr>
        <w:tc>
          <w:tcPr>
            <w:tcW w:w="9265" w:type="dxa"/>
            <w:gridSpan w:val="4"/>
          </w:tcPr>
          <w:p w14:paraId="2C9CDF20" w14:textId="77777777" w:rsidR="005F6AFE" w:rsidRPr="002052F2" w:rsidRDefault="005F6AFE" w:rsidP="00E71A15">
            <w:pPr>
              <w:jc w:val="center"/>
              <w:rPr>
                <w:rFonts w:ascii="Arial" w:eastAsia="Aptos" w:hAnsi="Arial" w:cs="Arial"/>
                <w:b/>
                <w:bCs/>
                <w:color w:val="000000" w:themeColor="text1"/>
                <w:kern w:val="24"/>
                <w:sz w:val="20"/>
                <w:szCs w:val="20"/>
              </w:rPr>
            </w:pPr>
            <w:r>
              <w:rPr>
                <w:rFonts w:ascii="Arial" w:eastAsia="Aptos" w:hAnsi="Arial" w:cs="Arial"/>
                <w:b/>
                <w:bCs/>
                <w:color w:val="000000" w:themeColor="text1"/>
                <w:kern w:val="24"/>
                <w:sz w:val="20"/>
                <w:szCs w:val="20"/>
              </w:rPr>
              <w:t>T2D</w:t>
            </w:r>
          </w:p>
        </w:tc>
      </w:tr>
      <w:tr w:rsidR="005F6AFE" w:rsidRPr="003545F7" w14:paraId="65AECCAC" w14:textId="77777777" w:rsidTr="00E71A15">
        <w:trPr>
          <w:trHeight w:val="119"/>
        </w:trPr>
        <w:tc>
          <w:tcPr>
            <w:tcW w:w="1075" w:type="dxa"/>
          </w:tcPr>
          <w:p w14:paraId="461622F3" w14:textId="77777777" w:rsidR="005F6AFE" w:rsidRPr="003545F7" w:rsidRDefault="005F6AFE" w:rsidP="00E71A15">
            <w:pPr>
              <w:jc w:val="center"/>
              <w:rPr>
                <w:rFonts w:ascii="Arial" w:hAnsi="Arial" w:cs="Arial"/>
                <w:sz w:val="20"/>
                <w:szCs w:val="20"/>
              </w:rPr>
            </w:pPr>
            <w:r>
              <w:rPr>
                <w:rFonts w:ascii="Arial" w:hAnsi="Arial" w:cs="Arial"/>
                <w:b/>
                <w:bCs/>
                <w:color w:val="000000" w:themeColor="text1"/>
                <w:kern w:val="24"/>
                <w:sz w:val="20"/>
                <w:szCs w:val="20"/>
              </w:rPr>
              <w:t>Ancestry</w:t>
            </w:r>
          </w:p>
        </w:tc>
        <w:tc>
          <w:tcPr>
            <w:tcW w:w="3931" w:type="dxa"/>
          </w:tcPr>
          <w:p w14:paraId="5A479041" w14:textId="77777777" w:rsidR="005F6AFE" w:rsidRPr="003545F7" w:rsidRDefault="005F6AFE" w:rsidP="00E71A15">
            <w:pPr>
              <w:jc w:val="center"/>
              <w:rPr>
                <w:rFonts w:ascii="Arial" w:hAnsi="Arial" w:cs="Arial"/>
                <w:sz w:val="20"/>
                <w:szCs w:val="20"/>
              </w:rPr>
            </w:pPr>
            <w:r>
              <w:rPr>
                <w:rFonts w:ascii="Arial" w:eastAsia="Aptos" w:hAnsi="Arial" w:cs="Arial"/>
                <w:b/>
                <w:bCs/>
                <w:color w:val="000000" w:themeColor="text1"/>
                <w:kern w:val="24"/>
                <w:sz w:val="20"/>
                <w:szCs w:val="20"/>
              </w:rPr>
              <w:t>GWAS Dataset Composition</w:t>
            </w:r>
          </w:p>
        </w:tc>
        <w:tc>
          <w:tcPr>
            <w:tcW w:w="1109" w:type="dxa"/>
          </w:tcPr>
          <w:p w14:paraId="0675EE80" w14:textId="77777777" w:rsidR="005F6AFE" w:rsidRPr="003545F7" w:rsidRDefault="005F6AFE" w:rsidP="00E71A15">
            <w:pPr>
              <w:jc w:val="center"/>
              <w:rPr>
                <w:rFonts w:ascii="Arial" w:hAnsi="Arial" w:cs="Arial"/>
                <w:sz w:val="20"/>
                <w:szCs w:val="20"/>
              </w:rPr>
            </w:pPr>
            <w:r>
              <w:rPr>
                <w:rFonts w:ascii="Arial" w:hAnsi="Arial" w:cs="Arial"/>
                <w:b/>
                <w:bCs/>
                <w:color w:val="000000" w:themeColor="text1"/>
                <w:kern w:val="24"/>
                <w:sz w:val="20"/>
                <w:szCs w:val="20"/>
              </w:rPr>
              <w:t>N</w:t>
            </w:r>
          </w:p>
        </w:tc>
        <w:tc>
          <w:tcPr>
            <w:tcW w:w="3150" w:type="dxa"/>
          </w:tcPr>
          <w:p w14:paraId="754B52A7" w14:textId="77777777" w:rsidR="005F6AFE" w:rsidRPr="003545F7" w:rsidRDefault="005F6AFE" w:rsidP="00E71A15">
            <w:pPr>
              <w:jc w:val="center"/>
              <w:rPr>
                <w:rFonts w:ascii="Arial" w:hAnsi="Arial" w:cs="Arial"/>
                <w:sz w:val="20"/>
                <w:szCs w:val="20"/>
              </w:rPr>
            </w:pPr>
            <w:r>
              <w:rPr>
                <w:rFonts w:ascii="Arial" w:eastAsia="Aptos" w:hAnsi="Arial" w:cs="Arial"/>
                <w:b/>
                <w:bCs/>
                <w:color w:val="000000" w:themeColor="text1"/>
                <w:kern w:val="24"/>
                <w:sz w:val="20"/>
                <w:szCs w:val="20"/>
              </w:rPr>
              <w:t>Source</w:t>
            </w:r>
          </w:p>
        </w:tc>
      </w:tr>
      <w:tr w:rsidR="005F6AFE" w:rsidRPr="003545F7" w14:paraId="04F81FD9" w14:textId="77777777" w:rsidTr="00E71A15">
        <w:trPr>
          <w:trHeight w:val="241"/>
        </w:trPr>
        <w:tc>
          <w:tcPr>
            <w:tcW w:w="1075" w:type="dxa"/>
          </w:tcPr>
          <w:p w14:paraId="7DEED3FF"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EAS-like</w:t>
            </w:r>
          </w:p>
        </w:tc>
        <w:tc>
          <w:tcPr>
            <w:tcW w:w="3931" w:type="dxa"/>
          </w:tcPr>
          <w:p w14:paraId="4E47E4F5"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40 GWAS encompassing China, Hong Kong, Japan, Korea, Philippines, Singapore, Taiwan, USA</w:t>
            </w:r>
          </w:p>
        </w:tc>
        <w:tc>
          <w:tcPr>
            <w:tcW w:w="1109" w:type="dxa"/>
          </w:tcPr>
          <w:p w14:paraId="372766A4"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427,504</w:t>
            </w:r>
          </w:p>
        </w:tc>
        <w:tc>
          <w:tcPr>
            <w:tcW w:w="3150" w:type="dxa"/>
          </w:tcPr>
          <w:p w14:paraId="7D998109"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Suzuki et al, 2024</w:t>
            </w:r>
          </w:p>
        </w:tc>
      </w:tr>
      <w:tr w:rsidR="005F6AFE" w:rsidRPr="003545F7" w14:paraId="1C6328CD" w14:textId="77777777" w:rsidTr="00E71A15">
        <w:trPr>
          <w:trHeight w:val="241"/>
        </w:trPr>
        <w:tc>
          <w:tcPr>
            <w:tcW w:w="1075" w:type="dxa"/>
          </w:tcPr>
          <w:p w14:paraId="3DEA78C3" w14:textId="77777777" w:rsidR="005F6AFE" w:rsidRPr="003545F7" w:rsidRDefault="005F6AFE" w:rsidP="00E71A15">
            <w:pPr>
              <w:jc w:val="center"/>
              <w:rPr>
                <w:rFonts w:ascii="Arial" w:hAnsi="Arial" w:cs="Arial"/>
                <w:sz w:val="20"/>
                <w:szCs w:val="20"/>
              </w:rPr>
            </w:pPr>
            <w:r>
              <w:rPr>
                <w:rFonts w:ascii="Arial" w:hAnsi="Arial" w:cs="Arial"/>
                <w:color w:val="000000" w:themeColor="text1"/>
                <w:kern w:val="24"/>
                <w:sz w:val="20"/>
                <w:szCs w:val="20"/>
              </w:rPr>
              <w:t>EUR-like</w:t>
            </w:r>
          </w:p>
        </w:tc>
        <w:tc>
          <w:tcPr>
            <w:tcW w:w="3931" w:type="dxa"/>
          </w:tcPr>
          <w:p w14:paraId="67279BC4" w14:textId="77777777" w:rsidR="005F6AFE" w:rsidRPr="003545F7" w:rsidRDefault="005F6AFE" w:rsidP="00E71A15">
            <w:pPr>
              <w:jc w:val="center"/>
              <w:rPr>
                <w:rFonts w:ascii="Arial" w:hAnsi="Arial" w:cs="Arial"/>
                <w:sz w:val="20"/>
                <w:szCs w:val="20"/>
              </w:rPr>
            </w:pPr>
            <w:r>
              <w:rPr>
                <w:rFonts w:ascii="Arial" w:hAnsi="Arial" w:cs="Arial"/>
                <w:color w:val="000000" w:themeColor="text1"/>
                <w:kern w:val="24"/>
                <w:sz w:val="20"/>
                <w:szCs w:val="20"/>
              </w:rPr>
              <w:t>36 GWAS encompassing Denmark, Estonia, Finland, France, Germany, Greece, Iceland, Netherlands, Sweden, UK, USA, Various European countries</w:t>
            </w:r>
          </w:p>
        </w:tc>
        <w:tc>
          <w:tcPr>
            <w:tcW w:w="1109" w:type="dxa"/>
          </w:tcPr>
          <w:p w14:paraId="758FA09E"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1,812,017</w:t>
            </w:r>
          </w:p>
        </w:tc>
        <w:tc>
          <w:tcPr>
            <w:tcW w:w="3150" w:type="dxa"/>
          </w:tcPr>
          <w:p w14:paraId="2211B540"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Suzuki et al, 2024</w:t>
            </w:r>
          </w:p>
        </w:tc>
      </w:tr>
      <w:tr w:rsidR="005F6AFE" w:rsidRPr="003545F7" w14:paraId="4F13CFE6" w14:textId="77777777" w:rsidTr="00E71A15">
        <w:trPr>
          <w:trHeight w:val="61"/>
        </w:trPr>
        <w:tc>
          <w:tcPr>
            <w:tcW w:w="1075" w:type="dxa"/>
          </w:tcPr>
          <w:p w14:paraId="2320FE11" w14:textId="77777777" w:rsidR="005F6AFE" w:rsidRPr="003545F7" w:rsidRDefault="005F6AFE" w:rsidP="00E71A15">
            <w:pPr>
              <w:jc w:val="center"/>
              <w:rPr>
                <w:rFonts w:ascii="Arial" w:hAnsi="Arial" w:cs="Arial"/>
                <w:sz w:val="20"/>
                <w:szCs w:val="20"/>
              </w:rPr>
            </w:pPr>
            <w:r>
              <w:rPr>
                <w:rFonts w:ascii="Arial" w:hAnsi="Arial" w:cs="Arial"/>
                <w:sz w:val="20"/>
                <w:szCs w:val="20"/>
              </w:rPr>
              <w:t>PNS-like</w:t>
            </w:r>
          </w:p>
        </w:tc>
        <w:tc>
          <w:tcPr>
            <w:tcW w:w="3931" w:type="dxa"/>
          </w:tcPr>
          <w:p w14:paraId="43BF917E"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Native Hawaiians</w:t>
            </w:r>
          </w:p>
        </w:tc>
        <w:tc>
          <w:tcPr>
            <w:tcW w:w="1109" w:type="dxa"/>
          </w:tcPr>
          <w:p w14:paraId="273D54E8"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4,131</w:t>
            </w:r>
          </w:p>
        </w:tc>
        <w:tc>
          <w:tcPr>
            <w:tcW w:w="3150" w:type="dxa"/>
          </w:tcPr>
          <w:p w14:paraId="76EF22B7" w14:textId="77777777" w:rsidR="005F6AFE" w:rsidRPr="003545F7" w:rsidRDefault="005F6AFE" w:rsidP="00E71A15">
            <w:pPr>
              <w:jc w:val="center"/>
              <w:rPr>
                <w:rFonts w:ascii="Arial" w:hAnsi="Arial" w:cs="Arial"/>
                <w:sz w:val="20"/>
                <w:szCs w:val="20"/>
              </w:rPr>
            </w:pPr>
            <w:r>
              <w:rPr>
                <w:rFonts w:ascii="Arial" w:eastAsia="Aptos" w:hAnsi="Arial" w:cs="Arial"/>
                <w:color w:val="000000" w:themeColor="text1"/>
                <w:kern w:val="24"/>
                <w:sz w:val="20"/>
                <w:szCs w:val="20"/>
              </w:rPr>
              <w:t>Multi-Ethnic Cohort Study (MEC)</w:t>
            </w:r>
          </w:p>
        </w:tc>
      </w:tr>
    </w:tbl>
    <w:p w14:paraId="00C12325" w14:textId="65A479DF" w:rsidR="00BC0350" w:rsidRDefault="00BC0350" w:rsidP="00BC0350"/>
    <w:p w14:paraId="07A5C5D6" w14:textId="24E2F18B" w:rsidR="00BC0350" w:rsidRDefault="005F6AFE" w:rsidP="00BC0350">
      <w:pPr>
        <w:spacing w:line="360" w:lineRule="auto"/>
        <w:contextualSpacing/>
        <w:jc w:val="both"/>
        <w:rPr>
          <w:rFonts w:ascii="Arial" w:hAnsi="Arial" w:cs="Arial"/>
        </w:rPr>
      </w:pPr>
      <w:r>
        <w:rPr>
          <w:rFonts w:ascii="Arial" w:hAnsi="Arial" w:cs="Arial"/>
          <w:noProof/>
        </w:rPr>
        <w:drawing>
          <wp:inline distT="0" distB="0" distL="0" distR="0" wp14:anchorId="3DC28DD3" wp14:editId="1A4F36EE">
            <wp:extent cx="5943600" cy="3526155"/>
            <wp:effectExtent l="0" t="0" r="0" b="0"/>
            <wp:docPr id="266479460" name="Picture 5" descr="A graph of different colored squar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926932" name="Picture 5" descr="A graph of different colored squares  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5943600" cy="3526155"/>
                    </a:xfrm>
                    <a:prstGeom prst="rect">
                      <a:avLst/>
                    </a:prstGeom>
                  </pic:spPr>
                </pic:pic>
              </a:graphicData>
            </a:graphic>
          </wp:inline>
        </w:drawing>
      </w:r>
    </w:p>
    <w:p w14:paraId="4D36038E" w14:textId="77777777" w:rsidR="005F6AFE" w:rsidRDefault="005F6AFE" w:rsidP="005F6AFE">
      <w:pPr>
        <w:spacing w:line="360" w:lineRule="auto"/>
        <w:contextualSpacing/>
        <w:jc w:val="both"/>
        <w:rPr>
          <w:rFonts w:ascii="Arial" w:hAnsi="Arial" w:cs="Arial"/>
        </w:rPr>
      </w:pPr>
    </w:p>
    <w:p w14:paraId="15C3E3DF" w14:textId="2684F4F0" w:rsidR="00E52D3E" w:rsidRDefault="005F6AFE" w:rsidP="00BC0350">
      <w:pPr>
        <w:spacing w:line="360" w:lineRule="auto"/>
        <w:contextualSpacing/>
        <w:jc w:val="both"/>
        <w:rPr>
          <w:rFonts w:ascii="Arial" w:hAnsi="Arial" w:cs="Arial"/>
        </w:rPr>
      </w:pPr>
      <w:r>
        <w:rPr>
          <w:rFonts w:ascii="Arial" w:hAnsi="Arial" w:cs="Arial"/>
          <w:b/>
          <w:bCs/>
        </w:rPr>
        <w:t>Figure S1. Summary of GWAS datasets.</w:t>
      </w:r>
      <w:r>
        <w:rPr>
          <w:rFonts w:ascii="Arial" w:hAnsi="Arial" w:cs="Arial"/>
        </w:rPr>
        <w:t xml:space="preserve"> GWAS summary statistics that were used to train PGS models for BMI (top) and T2D (bottom) for Native Hawaiians are visualized through Manhattan plots.</w:t>
      </w:r>
    </w:p>
    <w:p w14:paraId="04920A47" w14:textId="2F058C5A" w:rsidR="00E52D3E" w:rsidRDefault="00E52D3E" w:rsidP="00BC0350">
      <w:pPr>
        <w:spacing w:line="360" w:lineRule="auto"/>
        <w:contextualSpacing/>
        <w:jc w:val="both"/>
        <w:rPr>
          <w:rFonts w:ascii="Arial" w:hAnsi="Arial" w:cs="Arial"/>
        </w:rPr>
      </w:pPr>
    </w:p>
    <w:p w14:paraId="31B8396A" w14:textId="77777777" w:rsidR="00E52D3E" w:rsidRDefault="00E52D3E" w:rsidP="00BC0350">
      <w:pPr>
        <w:spacing w:line="360" w:lineRule="auto"/>
        <w:contextualSpacing/>
        <w:jc w:val="both"/>
        <w:rPr>
          <w:rFonts w:ascii="Arial" w:hAnsi="Arial" w:cs="Arial"/>
        </w:rPr>
      </w:pPr>
    </w:p>
    <w:p w14:paraId="607B275C" w14:textId="77777777" w:rsidR="00E52D3E" w:rsidRDefault="00E52D3E" w:rsidP="00BC0350">
      <w:pPr>
        <w:spacing w:line="360" w:lineRule="auto"/>
        <w:contextualSpacing/>
        <w:jc w:val="both"/>
        <w:rPr>
          <w:rFonts w:ascii="Arial" w:hAnsi="Arial" w:cs="Arial"/>
        </w:rPr>
      </w:pPr>
    </w:p>
    <w:p w14:paraId="2927034E" w14:textId="77777777" w:rsidR="00E52D3E" w:rsidRDefault="00E52D3E" w:rsidP="00BC0350">
      <w:pPr>
        <w:spacing w:line="360" w:lineRule="auto"/>
        <w:contextualSpacing/>
        <w:jc w:val="both"/>
        <w:rPr>
          <w:rFonts w:ascii="Arial" w:hAnsi="Arial" w:cs="Arial"/>
        </w:rPr>
      </w:pPr>
    </w:p>
    <w:p w14:paraId="7DC2D2B8" w14:textId="107B9170" w:rsidR="00F32275" w:rsidRDefault="00F32275" w:rsidP="008C144C">
      <w:pPr>
        <w:spacing w:line="360" w:lineRule="auto"/>
        <w:contextualSpacing/>
        <w:jc w:val="both"/>
        <w:rPr>
          <w:rFonts w:ascii="Arial" w:hAnsi="Arial" w:cs="Arial"/>
        </w:rPr>
      </w:pPr>
    </w:p>
    <w:p w14:paraId="294A315B" w14:textId="77777777" w:rsidR="00F32275" w:rsidRDefault="00F32275" w:rsidP="00BC0350">
      <w:pPr>
        <w:spacing w:line="360" w:lineRule="auto"/>
        <w:contextualSpacing/>
        <w:jc w:val="both"/>
        <w:rPr>
          <w:rFonts w:ascii="Arial" w:hAnsi="Arial" w:cs="Arial"/>
        </w:rPr>
      </w:pPr>
      <w:r>
        <w:rPr>
          <w:rFonts w:ascii="Arial" w:hAnsi="Arial" w:cs="Arial"/>
          <w:noProof/>
          <w14:ligatures w14:val="standardContextual"/>
        </w:rPr>
        <w:drawing>
          <wp:inline distT="0" distB="0" distL="0" distR="0" wp14:anchorId="60E7FF30" wp14:editId="217304D7">
            <wp:extent cx="5943600" cy="3343275"/>
            <wp:effectExtent l="0" t="0" r="0" b="0"/>
            <wp:docPr id="1248709721" name="Picture 2" descr="A group of purple dot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709721" name="Picture 2" descr="A group of purple dots  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6B31D9C0" w14:textId="77777777" w:rsidR="00F32275" w:rsidRDefault="00F32275" w:rsidP="00F32275">
      <w:pPr>
        <w:spacing w:line="360" w:lineRule="auto"/>
        <w:contextualSpacing/>
        <w:jc w:val="both"/>
        <w:rPr>
          <w:rFonts w:ascii="Arial" w:hAnsi="Arial" w:cs="Arial"/>
        </w:rPr>
      </w:pPr>
    </w:p>
    <w:p w14:paraId="727B7FD3" w14:textId="6F8727F6" w:rsidR="00F32275" w:rsidRPr="008C144C" w:rsidRDefault="00F32275" w:rsidP="00F32275">
      <w:pPr>
        <w:spacing w:line="360" w:lineRule="auto"/>
        <w:contextualSpacing/>
        <w:jc w:val="both"/>
        <w:rPr>
          <w:rFonts w:ascii="Arial" w:hAnsi="Arial" w:cs="Arial"/>
          <w:shd w:val="clear" w:color="auto" w:fill="FFFFFF"/>
        </w:rPr>
      </w:pPr>
      <w:r w:rsidRPr="008C144C">
        <w:rPr>
          <w:rFonts w:ascii="Arial" w:hAnsi="Arial" w:cs="Arial"/>
          <w:b/>
          <w:bCs/>
        </w:rPr>
        <w:t>Figure S</w:t>
      </w:r>
      <w:r>
        <w:rPr>
          <w:rFonts w:ascii="Arial" w:hAnsi="Arial" w:cs="Arial"/>
          <w:b/>
          <w:bCs/>
        </w:rPr>
        <w:t>2</w:t>
      </w:r>
      <w:r w:rsidRPr="008C144C">
        <w:rPr>
          <w:rFonts w:ascii="Arial" w:hAnsi="Arial" w:cs="Arial"/>
          <w:b/>
          <w:bCs/>
        </w:rPr>
        <w:t>. Performance of the cross-ancestry PGS-CSx models for BMI among the Native Hawaiian and Samoan genetic validation sets.</w:t>
      </w:r>
      <w:r w:rsidRPr="008C144C">
        <w:rPr>
          <w:rFonts w:ascii="Arial" w:hAnsi="Arial" w:cs="Arial"/>
        </w:rPr>
        <w:t xml:space="preserve"> Different approaches to combine GWAS summary statistics from multiple ethnic populations using PRS-CSx was evaluated and compared across strata by PNS-like ancestries</w:t>
      </w:r>
      <w:r>
        <w:rPr>
          <w:rFonts w:ascii="Arial" w:hAnsi="Arial" w:cs="Arial"/>
        </w:rPr>
        <w:t>: &lt; 30%, between 30% to 60%, and &gt; 60%</w:t>
      </w:r>
      <w:r w:rsidRPr="008C144C">
        <w:rPr>
          <w:rFonts w:ascii="Arial" w:hAnsi="Arial" w:cs="Arial"/>
        </w:rPr>
        <w:t>.</w:t>
      </w:r>
      <w:r>
        <w:rPr>
          <w:rFonts w:ascii="Arial" w:hAnsi="Arial" w:cs="Arial"/>
        </w:rPr>
        <w:t xml:space="preserve"> </w:t>
      </w:r>
      <w:r>
        <w:rPr>
          <w:rFonts w:ascii="Arial" w:hAnsi="Arial" w:cs="Arial"/>
          <w:shd w:val="clear" w:color="auto" w:fill="FFFFFF"/>
        </w:rPr>
        <w:t xml:space="preserve">Global ancestry estimates were previously calculated (16) using ADMIXTURE (v.1.3.0) in unsupervised mode, in combination with other MEC ethnic groups and the 1000 Genome Project reference populations. We found MEC-NH individuals at k = 4 exhibited known components of European (EUR)-like, East-Asian (EAS)-like, and African (AFR)-like ancestries (interpreted based on 1000 Genomes reference samples), as well as a component of ancestry that is unique to the MEC-NH, presumed to be Polynesian (PNS)-like in origin. </w:t>
      </w:r>
      <w:r>
        <w:rPr>
          <w:rFonts w:ascii="Arial" w:hAnsi="Arial" w:cs="Arial"/>
        </w:rPr>
        <w:t>Each PGS model was also validated in Samoans, who are taken as a largely-unadmixed representative of Western Polynesian ancestry.</w:t>
      </w:r>
      <w:r w:rsidRPr="008C144C">
        <w:rPr>
          <w:rFonts w:ascii="Arial" w:hAnsi="Arial" w:cs="Arial"/>
        </w:rPr>
        <w:t xml:space="preserve"> The PGS accuracy as measured by partial R</w:t>
      </w:r>
      <w:r w:rsidRPr="008C144C">
        <w:rPr>
          <w:rFonts w:ascii="Arial" w:hAnsi="Arial" w:cs="Arial"/>
          <w:vertAlign w:val="superscript"/>
        </w:rPr>
        <w:t>2</w:t>
      </w:r>
      <w:r>
        <w:rPr>
          <w:rFonts w:ascii="Arial" w:hAnsi="Arial" w:cs="Arial"/>
        </w:rPr>
        <w:t>.</w:t>
      </w:r>
    </w:p>
    <w:p w14:paraId="7E9189B7" w14:textId="4127A74E" w:rsidR="00BC0350" w:rsidRDefault="00BC0350" w:rsidP="00BC0350">
      <w:pPr>
        <w:spacing w:line="360" w:lineRule="auto"/>
        <w:contextualSpacing/>
        <w:jc w:val="both"/>
        <w:rPr>
          <w:rFonts w:ascii="Arial" w:hAnsi="Arial" w:cs="Arial"/>
        </w:rPr>
      </w:pPr>
      <w:r>
        <w:rPr>
          <w:rFonts w:ascii="Arial" w:hAnsi="Arial" w:cs="Arial"/>
        </w:rPr>
        <w:t xml:space="preserve"> </w:t>
      </w:r>
    </w:p>
    <w:p w14:paraId="0DAC084D" w14:textId="305D30B6" w:rsidR="00BC0350" w:rsidRDefault="00BC0350"/>
    <w:p w14:paraId="16D3533C" w14:textId="08435142" w:rsidR="00BC0350" w:rsidRDefault="00BC0350"/>
    <w:p w14:paraId="01E81414" w14:textId="77777777" w:rsidR="00BC0350" w:rsidRDefault="00BC0350"/>
    <w:p w14:paraId="57506825" w14:textId="77777777" w:rsidR="00BC0350" w:rsidRDefault="00BC0350"/>
    <w:tbl>
      <w:tblPr>
        <w:tblStyle w:val="TableGrid"/>
        <w:tblW w:w="9715" w:type="dxa"/>
        <w:tblLook w:val="04A0" w:firstRow="1" w:lastRow="0" w:firstColumn="1" w:lastColumn="0" w:noHBand="0" w:noVBand="1"/>
      </w:tblPr>
      <w:tblGrid>
        <w:gridCol w:w="2823"/>
        <w:gridCol w:w="1133"/>
        <w:gridCol w:w="1331"/>
        <w:gridCol w:w="2185"/>
        <w:gridCol w:w="2243"/>
      </w:tblGrid>
      <w:tr w:rsidR="00B9704C" w14:paraId="48464D3A" w14:textId="77777777" w:rsidTr="0012715B">
        <w:trPr>
          <w:trHeight w:val="77"/>
        </w:trPr>
        <w:tc>
          <w:tcPr>
            <w:tcW w:w="9715" w:type="dxa"/>
            <w:gridSpan w:val="5"/>
          </w:tcPr>
          <w:p w14:paraId="10592DFF" w14:textId="77777777" w:rsidR="00B9704C" w:rsidRPr="00834B05" w:rsidRDefault="00B9704C" w:rsidP="0012715B">
            <w:pPr>
              <w:jc w:val="center"/>
              <w:rPr>
                <w:rFonts w:ascii="Arial" w:hAnsi="Arial" w:cs="Arial"/>
                <w:b/>
                <w:bCs/>
                <w:i/>
                <w:iCs/>
                <w:sz w:val="20"/>
                <w:szCs w:val="20"/>
              </w:rPr>
            </w:pPr>
            <w:r>
              <w:rPr>
                <w:rFonts w:ascii="Arial" w:hAnsi="Arial" w:cs="Arial"/>
                <w:b/>
                <w:bCs/>
                <w:sz w:val="20"/>
                <w:szCs w:val="20"/>
              </w:rPr>
              <w:lastRenderedPageBreak/>
              <w:t>BMI (n</w:t>
            </w:r>
            <w:r>
              <w:rPr>
                <w:rFonts w:ascii="Arial" w:hAnsi="Arial" w:cs="Arial"/>
                <w:b/>
                <w:bCs/>
                <w:sz w:val="20"/>
                <w:szCs w:val="20"/>
                <w:vertAlign w:val="subscript"/>
              </w:rPr>
              <w:t>test</w:t>
            </w:r>
            <w:r>
              <w:rPr>
                <w:rFonts w:ascii="Arial" w:hAnsi="Arial" w:cs="Arial"/>
                <w:b/>
                <w:bCs/>
                <w:sz w:val="20"/>
                <w:szCs w:val="20"/>
              </w:rPr>
              <w:t xml:space="preserve"> =1,226 )</w:t>
            </w:r>
          </w:p>
        </w:tc>
      </w:tr>
      <w:tr w:rsidR="00B9704C" w14:paraId="33397AEE" w14:textId="77777777" w:rsidTr="0012715B">
        <w:trPr>
          <w:trHeight w:val="79"/>
        </w:trPr>
        <w:tc>
          <w:tcPr>
            <w:tcW w:w="2823" w:type="dxa"/>
          </w:tcPr>
          <w:p w14:paraId="4C0D8FBF" w14:textId="77777777" w:rsidR="00B9704C" w:rsidRDefault="00B9704C" w:rsidP="0012715B">
            <w:pPr>
              <w:rPr>
                <w:rFonts w:ascii="Arial" w:hAnsi="Arial" w:cs="Arial"/>
              </w:rPr>
            </w:pPr>
            <w:r>
              <w:rPr>
                <w:rFonts w:ascii="Arial" w:hAnsi="Arial" w:cs="Arial"/>
                <w:b/>
                <w:bCs/>
                <w:sz w:val="20"/>
                <w:szCs w:val="20"/>
              </w:rPr>
              <w:t>Model</w:t>
            </w:r>
          </w:p>
        </w:tc>
        <w:tc>
          <w:tcPr>
            <w:tcW w:w="1133" w:type="dxa"/>
          </w:tcPr>
          <w:p w14:paraId="3F507EE2" w14:textId="77777777" w:rsidR="00B9704C" w:rsidRDefault="00B9704C" w:rsidP="0012715B">
            <w:pPr>
              <w:rPr>
                <w:rFonts w:ascii="Arial" w:hAnsi="Arial" w:cs="Arial"/>
              </w:rPr>
            </w:pPr>
            <w:r>
              <w:rPr>
                <w:rFonts w:ascii="Arial" w:hAnsi="Arial" w:cs="Arial"/>
                <w:b/>
                <w:bCs/>
                <w:color w:val="000000" w:themeColor="text1"/>
                <w:kern w:val="24"/>
                <w:sz w:val="20"/>
                <w:szCs w:val="20"/>
              </w:rPr>
              <w:t>P-value</w:t>
            </w:r>
          </w:p>
        </w:tc>
        <w:tc>
          <w:tcPr>
            <w:tcW w:w="1331" w:type="dxa"/>
          </w:tcPr>
          <w:p w14:paraId="0E207E8B" w14:textId="77777777" w:rsidR="00B9704C" w:rsidRDefault="00B9704C" w:rsidP="0012715B">
            <w:pPr>
              <w:rPr>
                <w:rFonts w:ascii="Arial" w:hAnsi="Arial" w:cs="Arial"/>
              </w:rPr>
            </w:pPr>
            <w:r>
              <w:rPr>
                <w:rFonts w:ascii="Arial" w:hAnsi="Arial" w:cs="Arial"/>
                <w:b/>
                <w:bCs/>
                <w:i/>
                <w:iCs/>
                <w:sz w:val="20"/>
                <w:szCs w:val="20"/>
              </w:rPr>
              <w:t>Beta ± SE</w:t>
            </w:r>
          </w:p>
        </w:tc>
        <w:tc>
          <w:tcPr>
            <w:tcW w:w="2185" w:type="dxa"/>
          </w:tcPr>
          <w:p w14:paraId="0FA35731" w14:textId="77777777" w:rsidR="00B9704C" w:rsidRDefault="00B9704C" w:rsidP="0012715B">
            <w:pPr>
              <w:rPr>
                <w:rFonts w:ascii="Arial" w:hAnsi="Arial" w:cs="Arial"/>
              </w:rPr>
            </w:pPr>
            <w:r>
              <w:rPr>
                <w:rFonts w:ascii="Arial" w:hAnsi="Arial" w:cs="Arial"/>
                <w:b/>
                <w:bCs/>
                <w:i/>
                <w:iCs/>
                <w:sz w:val="20"/>
                <w:szCs w:val="20"/>
              </w:rPr>
              <w:t>R</w:t>
            </w:r>
            <w:r>
              <w:rPr>
                <w:rFonts w:ascii="Arial" w:hAnsi="Arial" w:cs="Arial"/>
                <w:b/>
                <w:bCs/>
                <w:i/>
                <w:iCs/>
                <w:sz w:val="20"/>
                <w:szCs w:val="20"/>
                <w:vertAlign w:val="superscript"/>
              </w:rPr>
              <w:t xml:space="preserve">2 </w:t>
            </w:r>
            <w:r>
              <w:rPr>
                <w:rFonts w:ascii="Arial" w:hAnsi="Arial" w:cs="Arial"/>
                <w:b/>
                <w:bCs/>
                <w:i/>
                <w:iCs/>
                <w:sz w:val="20"/>
                <w:szCs w:val="20"/>
              </w:rPr>
              <w:t>[95% CI]</w:t>
            </w:r>
          </w:p>
        </w:tc>
        <w:tc>
          <w:tcPr>
            <w:tcW w:w="2243" w:type="dxa"/>
          </w:tcPr>
          <w:p w14:paraId="0854AB3A" w14:textId="77777777" w:rsidR="00B9704C" w:rsidRDefault="00B9704C" w:rsidP="0012715B">
            <w:pPr>
              <w:rPr>
                <w:rFonts w:ascii="Arial" w:hAnsi="Arial" w:cs="Arial"/>
              </w:rPr>
            </w:pPr>
            <w:r>
              <w:rPr>
                <w:rFonts w:ascii="Arial" w:hAnsi="Arial" w:cs="Arial"/>
                <w:b/>
                <w:bCs/>
                <w:i/>
                <w:iCs/>
                <w:sz w:val="20"/>
                <w:szCs w:val="20"/>
              </w:rPr>
              <w:t>Partial-R</w:t>
            </w:r>
            <w:r>
              <w:rPr>
                <w:rFonts w:ascii="Arial" w:hAnsi="Arial" w:cs="Arial"/>
                <w:b/>
                <w:bCs/>
                <w:i/>
                <w:iCs/>
                <w:sz w:val="20"/>
                <w:szCs w:val="20"/>
                <w:vertAlign w:val="superscript"/>
              </w:rPr>
              <w:t xml:space="preserve">2 </w:t>
            </w:r>
            <w:r>
              <w:rPr>
                <w:rFonts w:ascii="Arial" w:hAnsi="Arial" w:cs="Arial"/>
                <w:b/>
                <w:bCs/>
                <w:i/>
                <w:iCs/>
                <w:sz w:val="20"/>
                <w:szCs w:val="20"/>
              </w:rPr>
              <w:t>[95% CI]</w:t>
            </w:r>
          </w:p>
        </w:tc>
      </w:tr>
      <w:tr w:rsidR="00B9704C" w14:paraId="04BC4F3C" w14:textId="77777777" w:rsidTr="0012715B">
        <w:trPr>
          <w:trHeight w:val="86"/>
        </w:trPr>
        <w:tc>
          <w:tcPr>
            <w:tcW w:w="2823" w:type="dxa"/>
          </w:tcPr>
          <w:p w14:paraId="3F2DD267" w14:textId="77777777" w:rsidR="00B9704C" w:rsidRDefault="00B9704C" w:rsidP="0012715B">
            <w:pPr>
              <w:rPr>
                <w:rFonts w:ascii="Arial" w:hAnsi="Arial" w:cs="Arial"/>
              </w:rPr>
            </w:pPr>
            <w:r>
              <w:rPr>
                <w:rFonts w:ascii="Arial" w:hAnsi="Arial" w:cs="Arial"/>
              </w:rPr>
              <w:t>EAS + EUR</w:t>
            </w:r>
          </w:p>
        </w:tc>
        <w:tc>
          <w:tcPr>
            <w:tcW w:w="1133" w:type="dxa"/>
          </w:tcPr>
          <w:p w14:paraId="5BEDA05E" w14:textId="77777777" w:rsidR="00B9704C" w:rsidRDefault="00B9704C" w:rsidP="0012715B">
            <w:pPr>
              <w:rPr>
                <w:rFonts w:ascii="Arial" w:hAnsi="Arial" w:cs="Arial"/>
              </w:rPr>
            </w:pPr>
            <w:r>
              <w:rPr>
                <w:rFonts w:ascii="Arial" w:hAnsi="Arial" w:cs="Arial"/>
                <w:sz w:val="20"/>
                <w:szCs w:val="20"/>
              </w:rPr>
              <w:t>4.13×10</w:t>
            </w:r>
            <w:r>
              <w:rPr>
                <w:rFonts w:ascii="Arial" w:hAnsi="Arial" w:cs="Arial"/>
                <w:sz w:val="20"/>
                <w:szCs w:val="20"/>
                <w:vertAlign w:val="superscript"/>
              </w:rPr>
              <w:t>-35</w:t>
            </w:r>
          </w:p>
        </w:tc>
        <w:tc>
          <w:tcPr>
            <w:tcW w:w="1331" w:type="dxa"/>
          </w:tcPr>
          <w:p w14:paraId="462E2604" w14:textId="77777777" w:rsidR="00B9704C" w:rsidRPr="00A66490" w:rsidRDefault="00B9704C" w:rsidP="0012715B">
            <w:pPr>
              <w:rPr>
                <w:rFonts w:ascii="Arial" w:hAnsi="Arial" w:cs="Arial"/>
              </w:rPr>
            </w:pPr>
            <w:r>
              <w:rPr>
                <w:rFonts w:ascii="Arial" w:hAnsi="Arial" w:cs="Arial"/>
                <w:sz w:val="20"/>
                <w:szCs w:val="20"/>
              </w:rPr>
              <w:t>0.39 ± 0.03</w:t>
            </w:r>
          </w:p>
        </w:tc>
        <w:tc>
          <w:tcPr>
            <w:tcW w:w="2185" w:type="dxa"/>
          </w:tcPr>
          <w:p w14:paraId="7375488F" w14:textId="77777777" w:rsidR="00B9704C" w:rsidRDefault="00B9704C" w:rsidP="0012715B">
            <w:pPr>
              <w:rPr>
                <w:rFonts w:ascii="Arial" w:hAnsi="Arial" w:cs="Arial"/>
              </w:rPr>
            </w:pPr>
            <w:r>
              <w:rPr>
                <w:rFonts w:ascii="Arial" w:hAnsi="Arial" w:cs="Arial"/>
                <w:sz w:val="20"/>
                <w:szCs w:val="20"/>
              </w:rPr>
              <w:t>0.190 [0.160 to 0.240]</w:t>
            </w:r>
          </w:p>
        </w:tc>
        <w:tc>
          <w:tcPr>
            <w:tcW w:w="2243" w:type="dxa"/>
          </w:tcPr>
          <w:p w14:paraId="756D7F5F" w14:textId="77777777" w:rsidR="00B9704C" w:rsidRDefault="00B9704C" w:rsidP="0012715B">
            <w:pPr>
              <w:rPr>
                <w:rFonts w:ascii="Arial" w:hAnsi="Arial" w:cs="Arial"/>
              </w:rPr>
            </w:pPr>
            <w:r>
              <w:rPr>
                <w:rFonts w:ascii="Arial" w:hAnsi="Arial" w:cs="Arial"/>
                <w:sz w:val="20"/>
                <w:szCs w:val="20"/>
              </w:rPr>
              <w:t>0.119 [0.084 to 0.155]</w:t>
            </w:r>
          </w:p>
        </w:tc>
      </w:tr>
      <w:tr w:rsidR="00B9704C" w14:paraId="40A1320B" w14:textId="77777777" w:rsidTr="0012715B">
        <w:trPr>
          <w:trHeight w:val="86"/>
        </w:trPr>
        <w:tc>
          <w:tcPr>
            <w:tcW w:w="2823" w:type="dxa"/>
          </w:tcPr>
          <w:p w14:paraId="47385DAE" w14:textId="77777777" w:rsidR="00B9704C" w:rsidRDefault="00B9704C" w:rsidP="0012715B">
            <w:pPr>
              <w:rPr>
                <w:rFonts w:ascii="Arial" w:hAnsi="Arial" w:cs="Arial"/>
              </w:rPr>
            </w:pPr>
            <w:r>
              <w:rPr>
                <w:rFonts w:ascii="Arial" w:hAnsi="Arial" w:cs="Arial"/>
              </w:rPr>
              <w:t>Meta (EAS+EUR)</w:t>
            </w:r>
          </w:p>
        </w:tc>
        <w:tc>
          <w:tcPr>
            <w:tcW w:w="1133" w:type="dxa"/>
          </w:tcPr>
          <w:p w14:paraId="586EAE7B" w14:textId="77777777" w:rsidR="00B9704C" w:rsidRDefault="00B9704C" w:rsidP="0012715B">
            <w:pPr>
              <w:rPr>
                <w:rFonts w:ascii="Arial" w:hAnsi="Arial" w:cs="Arial"/>
                <w:sz w:val="20"/>
                <w:szCs w:val="20"/>
              </w:rPr>
            </w:pPr>
            <w:r>
              <w:rPr>
                <w:rFonts w:ascii="Arial" w:hAnsi="Arial" w:cs="Arial"/>
                <w:sz w:val="20"/>
                <w:szCs w:val="20"/>
              </w:rPr>
              <w:t>3.40×10</w:t>
            </w:r>
            <w:r>
              <w:rPr>
                <w:rFonts w:ascii="Arial" w:hAnsi="Arial" w:cs="Arial"/>
                <w:sz w:val="20"/>
                <w:szCs w:val="20"/>
                <w:vertAlign w:val="superscript"/>
              </w:rPr>
              <w:t>-20</w:t>
            </w:r>
          </w:p>
        </w:tc>
        <w:tc>
          <w:tcPr>
            <w:tcW w:w="1331" w:type="dxa"/>
          </w:tcPr>
          <w:p w14:paraId="29288F75" w14:textId="77777777" w:rsidR="00B9704C" w:rsidRPr="00A66490" w:rsidRDefault="00B9704C" w:rsidP="0012715B">
            <w:pPr>
              <w:rPr>
                <w:rFonts w:ascii="Arial" w:hAnsi="Arial" w:cs="Arial"/>
                <w:sz w:val="20"/>
                <w:szCs w:val="20"/>
              </w:rPr>
            </w:pPr>
            <w:r>
              <w:rPr>
                <w:rFonts w:ascii="Arial" w:hAnsi="Arial" w:cs="Arial"/>
                <w:sz w:val="20"/>
                <w:szCs w:val="20"/>
              </w:rPr>
              <w:t>0.33 ± 0.03</w:t>
            </w:r>
          </w:p>
        </w:tc>
        <w:tc>
          <w:tcPr>
            <w:tcW w:w="2185" w:type="dxa"/>
          </w:tcPr>
          <w:p w14:paraId="14144F20" w14:textId="77777777" w:rsidR="00B9704C" w:rsidRDefault="00B9704C" w:rsidP="0012715B">
            <w:pPr>
              <w:rPr>
                <w:rFonts w:ascii="Arial" w:hAnsi="Arial" w:cs="Arial"/>
                <w:sz w:val="20"/>
                <w:szCs w:val="20"/>
              </w:rPr>
            </w:pPr>
            <w:r>
              <w:rPr>
                <w:rFonts w:ascii="Arial" w:hAnsi="Arial" w:cs="Arial"/>
                <w:sz w:val="20"/>
                <w:szCs w:val="20"/>
              </w:rPr>
              <w:t>0.141 [0.114 to 0.188]</w:t>
            </w:r>
          </w:p>
        </w:tc>
        <w:tc>
          <w:tcPr>
            <w:tcW w:w="2243" w:type="dxa"/>
          </w:tcPr>
          <w:p w14:paraId="6A2C4D5F" w14:textId="77777777" w:rsidR="00B9704C" w:rsidRDefault="00B9704C" w:rsidP="0012715B">
            <w:pPr>
              <w:rPr>
                <w:rFonts w:ascii="Arial" w:hAnsi="Arial" w:cs="Arial"/>
                <w:sz w:val="20"/>
                <w:szCs w:val="20"/>
              </w:rPr>
            </w:pPr>
            <w:r>
              <w:rPr>
                <w:rFonts w:ascii="Arial" w:hAnsi="Arial" w:cs="Arial"/>
                <w:sz w:val="20"/>
                <w:szCs w:val="20"/>
              </w:rPr>
              <w:t>0.067 [0.067 to 0.098]</w:t>
            </w:r>
          </w:p>
        </w:tc>
      </w:tr>
      <w:tr w:rsidR="00B9704C" w14:paraId="62C12BFB" w14:textId="77777777" w:rsidTr="0012715B">
        <w:trPr>
          <w:trHeight w:val="86"/>
        </w:trPr>
        <w:tc>
          <w:tcPr>
            <w:tcW w:w="2823" w:type="dxa"/>
          </w:tcPr>
          <w:p w14:paraId="0309A57E" w14:textId="569ADB2B" w:rsidR="00B9704C" w:rsidRDefault="00B9704C" w:rsidP="0012715B">
            <w:pPr>
              <w:rPr>
                <w:rFonts w:ascii="Arial" w:hAnsi="Arial" w:cs="Arial"/>
              </w:rPr>
            </w:pPr>
            <w:r>
              <w:rPr>
                <w:rFonts w:ascii="Arial" w:hAnsi="Arial" w:cs="Arial"/>
              </w:rPr>
              <w:t>Meta (EAS+EUR) + NH</w:t>
            </w:r>
          </w:p>
        </w:tc>
        <w:tc>
          <w:tcPr>
            <w:tcW w:w="1133" w:type="dxa"/>
          </w:tcPr>
          <w:p w14:paraId="241E8FEB" w14:textId="77777777" w:rsidR="00B9704C" w:rsidRPr="00B17E11" w:rsidRDefault="00B9704C" w:rsidP="0012715B">
            <w:pPr>
              <w:rPr>
                <w:rFonts w:ascii="Arial" w:hAnsi="Arial" w:cs="Arial"/>
                <w:sz w:val="20"/>
                <w:szCs w:val="20"/>
              </w:rPr>
            </w:pPr>
            <w:r>
              <w:rPr>
                <w:rFonts w:ascii="Arial" w:hAnsi="Arial" w:cs="Arial"/>
                <w:sz w:val="20"/>
                <w:szCs w:val="20"/>
              </w:rPr>
              <w:t>8.03×10</w:t>
            </w:r>
            <w:r>
              <w:rPr>
                <w:rFonts w:ascii="Arial" w:hAnsi="Arial" w:cs="Arial"/>
                <w:sz w:val="20"/>
                <w:szCs w:val="20"/>
                <w:vertAlign w:val="superscript"/>
              </w:rPr>
              <w:t>-9</w:t>
            </w:r>
          </w:p>
        </w:tc>
        <w:tc>
          <w:tcPr>
            <w:tcW w:w="1331" w:type="dxa"/>
          </w:tcPr>
          <w:p w14:paraId="4383E63E" w14:textId="77777777" w:rsidR="00B9704C" w:rsidRPr="00B17E11" w:rsidRDefault="00B9704C" w:rsidP="0012715B">
            <w:pPr>
              <w:rPr>
                <w:rFonts w:ascii="Arial" w:hAnsi="Arial" w:cs="Arial"/>
                <w:sz w:val="20"/>
                <w:szCs w:val="20"/>
              </w:rPr>
            </w:pPr>
            <w:r>
              <w:rPr>
                <w:rFonts w:ascii="Arial" w:hAnsi="Arial" w:cs="Arial"/>
                <w:sz w:val="20"/>
                <w:szCs w:val="20"/>
              </w:rPr>
              <w:t>0.29 ± 0.05</w:t>
            </w:r>
          </w:p>
        </w:tc>
        <w:tc>
          <w:tcPr>
            <w:tcW w:w="2185" w:type="dxa"/>
          </w:tcPr>
          <w:p w14:paraId="3624A806" w14:textId="77777777" w:rsidR="00B9704C" w:rsidRPr="00697BA3" w:rsidRDefault="00B9704C" w:rsidP="0012715B">
            <w:pPr>
              <w:rPr>
                <w:rFonts w:ascii="Arial" w:hAnsi="Arial" w:cs="Arial"/>
                <w:sz w:val="20"/>
                <w:szCs w:val="20"/>
              </w:rPr>
            </w:pPr>
            <w:r>
              <w:rPr>
                <w:rFonts w:ascii="Arial" w:hAnsi="Arial" w:cs="Arial"/>
                <w:sz w:val="20"/>
                <w:szCs w:val="20"/>
              </w:rPr>
              <w:t>0.104 [0.081 to 0.149]</w:t>
            </w:r>
          </w:p>
        </w:tc>
        <w:tc>
          <w:tcPr>
            <w:tcW w:w="2243" w:type="dxa"/>
          </w:tcPr>
          <w:p w14:paraId="374EBD4E" w14:textId="77777777" w:rsidR="00B9704C" w:rsidRPr="00697BA3" w:rsidRDefault="00B9704C" w:rsidP="0012715B">
            <w:pPr>
              <w:rPr>
                <w:rFonts w:ascii="Arial" w:hAnsi="Arial" w:cs="Arial"/>
                <w:sz w:val="20"/>
                <w:szCs w:val="20"/>
              </w:rPr>
            </w:pPr>
            <w:r>
              <w:rPr>
                <w:rFonts w:ascii="Arial" w:hAnsi="Arial" w:cs="Arial"/>
                <w:sz w:val="20"/>
                <w:szCs w:val="20"/>
              </w:rPr>
              <w:t>0.027 [0.027 to 0.049]</w:t>
            </w:r>
          </w:p>
        </w:tc>
      </w:tr>
      <w:tr w:rsidR="00B9704C" w14:paraId="14DE88D1" w14:textId="77777777" w:rsidTr="0012715B">
        <w:trPr>
          <w:trHeight w:val="86"/>
        </w:trPr>
        <w:tc>
          <w:tcPr>
            <w:tcW w:w="2823" w:type="dxa"/>
          </w:tcPr>
          <w:p w14:paraId="27C12370" w14:textId="03C641AF" w:rsidR="00B9704C" w:rsidRDefault="00B9704C" w:rsidP="0012715B">
            <w:pPr>
              <w:rPr>
                <w:rFonts w:ascii="Arial" w:hAnsi="Arial" w:cs="Arial"/>
              </w:rPr>
            </w:pPr>
            <w:r>
              <w:rPr>
                <w:rFonts w:ascii="Arial" w:hAnsi="Arial" w:cs="Arial"/>
              </w:rPr>
              <w:t>EAS + EUR + NH</w:t>
            </w:r>
          </w:p>
        </w:tc>
        <w:tc>
          <w:tcPr>
            <w:tcW w:w="1133" w:type="dxa"/>
          </w:tcPr>
          <w:p w14:paraId="37793EB4" w14:textId="77777777" w:rsidR="00B9704C" w:rsidRPr="00B17E11" w:rsidRDefault="00B9704C" w:rsidP="0012715B">
            <w:pPr>
              <w:rPr>
                <w:rFonts w:ascii="Arial" w:hAnsi="Arial" w:cs="Arial"/>
                <w:sz w:val="20"/>
                <w:szCs w:val="20"/>
              </w:rPr>
            </w:pPr>
            <w:r>
              <w:rPr>
                <w:rFonts w:ascii="Arial" w:hAnsi="Arial" w:cs="Arial"/>
                <w:sz w:val="20"/>
                <w:szCs w:val="20"/>
              </w:rPr>
              <w:t>9.51×10</w:t>
            </w:r>
            <w:r>
              <w:rPr>
                <w:rFonts w:ascii="Arial" w:hAnsi="Arial" w:cs="Arial"/>
                <w:sz w:val="20"/>
                <w:szCs w:val="20"/>
                <w:vertAlign w:val="superscript"/>
              </w:rPr>
              <w:t>-11</w:t>
            </w:r>
          </w:p>
        </w:tc>
        <w:tc>
          <w:tcPr>
            <w:tcW w:w="1331" w:type="dxa"/>
          </w:tcPr>
          <w:p w14:paraId="41675004" w14:textId="77777777" w:rsidR="00B9704C" w:rsidRPr="00B17E11" w:rsidRDefault="00B9704C" w:rsidP="0012715B">
            <w:pPr>
              <w:rPr>
                <w:rFonts w:ascii="Arial" w:hAnsi="Arial" w:cs="Arial"/>
                <w:sz w:val="20"/>
                <w:szCs w:val="20"/>
              </w:rPr>
            </w:pPr>
            <w:r>
              <w:rPr>
                <w:rFonts w:ascii="Arial" w:hAnsi="Arial" w:cs="Arial"/>
                <w:sz w:val="20"/>
                <w:szCs w:val="20"/>
              </w:rPr>
              <w:t>0.38 ± 0.06</w:t>
            </w:r>
          </w:p>
        </w:tc>
        <w:tc>
          <w:tcPr>
            <w:tcW w:w="2185" w:type="dxa"/>
          </w:tcPr>
          <w:p w14:paraId="33756E03" w14:textId="77777777" w:rsidR="00B9704C" w:rsidRPr="00697BA3" w:rsidRDefault="00B9704C" w:rsidP="0012715B">
            <w:pPr>
              <w:rPr>
                <w:rFonts w:ascii="Arial" w:hAnsi="Arial" w:cs="Arial"/>
                <w:sz w:val="20"/>
                <w:szCs w:val="20"/>
              </w:rPr>
            </w:pPr>
            <w:r>
              <w:rPr>
                <w:rFonts w:ascii="Arial" w:hAnsi="Arial" w:cs="Arial"/>
                <w:sz w:val="20"/>
                <w:szCs w:val="20"/>
              </w:rPr>
              <w:t>0.113 [0.089 to 0.158]</w:t>
            </w:r>
          </w:p>
        </w:tc>
        <w:tc>
          <w:tcPr>
            <w:tcW w:w="2243" w:type="dxa"/>
          </w:tcPr>
          <w:p w14:paraId="3B0A4AA6" w14:textId="77777777" w:rsidR="00B9704C" w:rsidRPr="00697BA3" w:rsidRDefault="00B9704C" w:rsidP="0012715B">
            <w:pPr>
              <w:rPr>
                <w:rFonts w:ascii="Arial" w:hAnsi="Arial" w:cs="Arial"/>
                <w:sz w:val="20"/>
                <w:szCs w:val="20"/>
              </w:rPr>
            </w:pPr>
            <w:r>
              <w:rPr>
                <w:rFonts w:ascii="Arial" w:hAnsi="Arial" w:cs="Arial"/>
                <w:sz w:val="20"/>
                <w:szCs w:val="20"/>
              </w:rPr>
              <w:t>0.034 [0.016 to 0.057]</w:t>
            </w:r>
          </w:p>
        </w:tc>
      </w:tr>
    </w:tbl>
    <w:p w14:paraId="543201C3" w14:textId="2F150400" w:rsidR="003920F0" w:rsidRDefault="00BC0350" w:rsidP="007C3306">
      <w:pPr>
        <w:spacing w:line="360" w:lineRule="auto"/>
        <w:contextualSpacing/>
        <w:jc w:val="both"/>
        <w:rPr>
          <w:rFonts w:ascii="Arial" w:hAnsi="Arial" w:cs="Arial"/>
        </w:rPr>
      </w:pPr>
      <w:r>
        <w:rPr>
          <w:noProof/>
        </w:rPr>
        <w:drawing>
          <wp:inline distT="0" distB="0" distL="0" distR="0" wp14:anchorId="7D6D5977" wp14:editId="628A123A">
            <wp:extent cx="5717930" cy="4271962"/>
            <wp:effectExtent l="0" t="0" r="0" b="0"/>
            <wp:docPr id="1901068911" name="Picture 1" descr="A graph of different colored bar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68911" name="Picture 1" descr="A graph of different colored bars  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2369" cy="4282750"/>
                    </a:xfrm>
                    <a:prstGeom prst="rect">
                      <a:avLst/>
                    </a:prstGeom>
                  </pic:spPr>
                </pic:pic>
              </a:graphicData>
            </a:graphic>
          </wp:inline>
        </w:drawing>
      </w:r>
      <w:r>
        <w:rPr>
          <w:rFonts w:ascii="Arial" w:hAnsi="Arial" w:cs="Arial"/>
          <w:b/>
          <w:bCs/>
        </w:rPr>
        <w:t xml:space="preserve"> </w:t>
      </w:r>
      <w:r w:rsidRPr="008C144C">
        <w:rPr>
          <w:rFonts w:ascii="Arial" w:hAnsi="Arial" w:cs="Arial"/>
          <w:b/>
          <w:bCs/>
        </w:rPr>
        <w:t>Figure S</w:t>
      </w:r>
      <w:r>
        <w:rPr>
          <w:rFonts w:ascii="Arial" w:hAnsi="Arial" w:cs="Arial"/>
          <w:b/>
          <w:bCs/>
        </w:rPr>
        <w:t>3</w:t>
      </w:r>
      <w:r w:rsidRPr="008C144C">
        <w:rPr>
          <w:rFonts w:ascii="Arial" w:hAnsi="Arial" w:cs="Arial"/>
          <w:b/>
          <w:bCs/>
        </w:rPr>
        <w:t>. Comparison of cross-ancestry PGS models integrating GWAS information from two and three population groups using PRS-CSx.</w:t>
      </w:r>
      <w:r>
        <w:rPr>
          <w:rFonts w:ascii="Arial" w:hAnsi="Arial" w:cs="Arial"/>
        </w:rPr>
        <w:t xml:space="preserve"> We applied PRS-CSx using GWAS summary statistics from two continental populations (EAS+EUR), or three populations (EAS+EUR+NH). We compared two additional approaches for constructing PGS prediction models for BMI: (1) Meta (EAS+EUR), which performs GWAS meta-analysis and then apply PRS-CS on the single GWAS summary statistics, and (2) Meta (EAS+EUR) + NH, which we combined the meta-analyzed summary statistics from (1) with that from NH-only for a cross-ancestry PGS model using PRS-CSx. The latter approach also incorporates information from three separate populations via meta-analysis. P-value and Beta denotes the effect size and associated p-value in a linear model where the PGS is the predicator. The linear model is: BMI ~ PGS + PC1+ ….+PC10, where partial R² represents the incremental variance explained by the PGS after adjusting for the first 10 genetic principal components.</w:t>
      </w:r>
    </w:p>
    <w:p w14:paraId="1DF45833" w14:textId="76FB2BB0" w:rsidR="009B240A" w:rsidRDefault="008C144C" w:rsidP="007C3306">
      <w:pPr>
        <w:spacing w:line="360" w:lineRule="auto"/>
        <w:contextualSpacing/>
        <w:jc w:val="both"/>
        <w:rPr>
          <w:rFonts w:ascii="Arial" w:hAnsi="Arial" w:cs="Arial"/>
        </w:rPr>
      </w:pPr>
      <w:r>
        <w:rPr>
          <w:rFonts w:ascii="Arial" w:hAnsi="Arial" w:cs="Arial"/>
          <w:b/>
          <w:bCs/>
          <w:i/>
          <w:iCs/>
          <w:noProof/>
          <w14:ligatures w14:val="standardContextual"/>
        </w:rPr>
        <w:lastRenderedPageBreak/>
        <w:drawing>
          <wp:inline distT="0" distB="0" distL="0" distR="0" wp14:anchorId="31C38AAA" wp14:editId="26F9B903">
            <wp:extent cx="5943600" cy="3343275"/>
            <wp:effectExtent l="0" t="0" r="0" b="9525"/>
            <wp:docPr id="19060745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074546" name="Picture 1906074546"/>
                    <pic:cNvPicPr/>
                  </pic:nvPicPr>
                  <pic:blipFill>
                    <a:blip r:embed="rId7">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6CA70B11" w14:textId="2BFC2DDE" w:rsidR="009B240A" w:rsidRDefault="009B240A" w:rsidP="009B240A">
      <w:pPr>
        <w:spacing w:line="360" w:lineRule="auto"/>
        <w:contextualSpacing/>
        <w:jc w:val="both"/>
        <w:rPr>
          <w:rFonts w:ascii="Arial" w:hAnsi="Arial" w:cs="Arial"/>
        </w:rPr>
      </w:pPr>
      <w:r w:rsidRPr="008C144C">
        <w:rPr>
          <w:rFonts w:ascii="Arial" w:hAnsi="Arial" w:cs="Arial"/>
          <w:b/>
          <w:bCs/>
        </w:rPr>
        <w:t>Figure S4.</w:t>
      </w:r>
      <w:r w:rsidRPr="008C144C">
        <w:rPr>
          <w:rFonts w:ascii="Arial" w:hAnsi="Arial" w:cs="Arial"/>
        </w:rPr>
        <w:t xml:space="preserve"> </w:t>
      </w:r>
      <w:r w:rsidRPr="008C144C">
        <w:rPr>
          <w:rFonts w:ascii="Arial" w:hAnsi="Arial" w:cs="Arial"/>
          <w:b/>
          <w:bCs/>
        </w:rPr>
        <w:t xml:space="preserve">Dietary patterns/behaviors across MEC participants by geographical location and race/ethnicity. </w:t>
      </w:r>
      <w:r>
        <w:rPr>
          <w:rFonts w:ascii="Arial" w:hAnsi="Arial" w:cs="Arial"/>
        </w:rPr>
        <w:t>We first applied principal components analysis (PCA) to the data after pruning the data for related variables (</w:t>
      </w:r>
      <w:r>
        <w:rPr>
          <w:rFonts w:ascii="Arial" w:hAnsi="Arial" w:cs="Arial"/>
          <w:b/>
          <w:bCs/>
        </w:rPr>
        <w:t xml:space="preserve">Supplementary Figure </w:t>
      </w:r>
      <w:commentRangeStart w:id="0"/>
      <w:r>
        <w:rPr>
          <w:rFonts w:ascii="Arial" w:hAnsi="Arial" w:cs="Arial"/>
          <w:b/>
          <w:bCs/>
        </w:rPr>
        <w:t>S6</w:t>
      </w:r>
      <w:commentRangeEnd w:id="0"/>
      <w:r>
        <w:rPr>
          <w:rStyle w:val="CommentReference"/>
          <w:rFonts w:ascii="Arial" w:hAnsi="Arial" w:cs="Arial"/>
          <w:b/>
          <w:bCs/>
          <w:sz w:val="22"/>
          <w:szCs w:val="22"/>
        </w:rPr>
        <w:commentReference w:id="0"/>
      </w:r>
      <w:r>
        <w:rPr>
          <w:rFonts w:ascii="Arial" w:hAnsi="Arial" w:cs="Arial"/>
          <w:b/>
          <w:bCs/>
        </w:rPr>
        <w:t>, bottom</w:t>
      </w:r>
      <w:r>
        <w:rPr>
          <w:rFonts w:ascii="Arial" w:hAnsi="Arial" w:cs="Arial"/>
        </w:rPr>
        <w:t>), and then projected the top 10 PCs down to two-dimensions with uniform manifold approximation and projection (UMAP). UMAP dimensionality reduction was implemented using the umap R package with default hyperparameters: 15 neighbors for local structure, Euclidean distance metric, minimum distance of 0.1 between embedded points, and effective scale of 1.0. We performed this procedure across all five ethnic groups of MEC individuals (n = 191,183), colored by recruitment area (Hawai‘i vs Los Angeles). Nearly all Native Hawaiians in MEC were recruited from Hawai‘i and most of African-American and Latinos participants in MEC were recruited in Los Angeles. Japanese and Whites are represented in both recruitment locations. There may be shared food consumption behaviors among those recruited in Los Angeles (African Americans, Latinos, and some of the Whites), as well as those recruited in Hawai‘i (Native Hawaiians, Japanese, and some of the Whites), indicating a pattern perhaps driven by food type accessibility that differed by geographical regions. A notable exception may be the Japanese in the MEC, who were more similar to each other regardless of the area they were recruited from, in contrast to, say, the Whites, consistent with a stronger influence of consistent cultural practices in food choices.</w:t>
      </w:r>
    </w:p>
    <w:p w14:paraId="2097AEC5" w14:textId="5F607F17" w:rsidR="009B240A" w:rsidRDefault="009B240A" w:rsidP="009B240A">
      <w:pPr>
        <w:spacing w:line="360" w:lineRule="auto"/>
        <w:contextualSpacing/>
        <w:jc w:val="both"/>
        <w:rPr>
          <w:rFonts w:ascii="Arial" w:hAnsi="Arial" w:cs="Arial"/>
        </w:rPr>
      </w:pPr>
    </w:p>
    <w:p w14:paraId="198F87BC" w14:textId="77777777" w:rsidR="009B240A" w:rsidRPr="002A454F" w:rsidRDefault="009B240A" w:rsidP="007C3306">
      <w:pPr>
        <w:spacing w:line="360" w:lineRule="auto"/>
        <w:contextualSpacing/>
        <w:jc w:val="both"/>
        <w:rPr>
          <w:rFonts w:ascii="Arial" w:hAnsi="Arial" w:cs="Arial"/>
        </w:rPr>
      </w:pPr>
    </w:p>
    <w:p w14:paraId="4F394FF8" w14:textId="6D7A2F0B" w:rsidR="00BC0350" w:rsidRPr="00FE73F8" w:rsidRDefault="00BC0350" w:rsidP="00BC0350">
      <w:pPr>
        <w:spacing w:line="360" w:lineRule="auto"/>
        <w:contextualSpacing/>
        <w:jc w:val="both"/>
        <w:rPr>
          <w:rFonts w:ascii="Arial" w:hAnsi="Arial" w:cs="Arial"/>
        </w:rPr>
      </w:pPr>
    </w:p>
    <w:p w14:paraId="0FFFF29B" w14:textId="77777777" w:rsidR="00BC0350" w:rsidRDefault="00BC0350" w:rsidP="00BC0350">
      <w:pPr>
        <w:spacing w:line="360" w:lineRule="auto"/>
        <w:contextualSpacing/>
        <w:jc w:val="both"/>
        <w:rPr>
          <w:rFonts w:ascii="Arial" w:hAnsi="Arial" w:cs="Arial"/>
          <w:b/>
          <w:bCs/>
        </w:rPr>
      </w:pPr>
      <w:r>
        <w:rPr>
          <w:noProof/>
        </w:rPr>
        <w:lastRenderedPageBreak/>
        <w:drawing>
          <wp:inline distT="0" distB="0" distL="0" distR="0" wp14:anchorId="032ACCDF" wp14:editId="1C023E16">
            <wp:extent cx="4340180" cy="3316827"/>
            <wp:effectExtent l="0" t="0" r="3810" b="0"/>
            <wp:docPr id="1191275843" name="Picture 8" descr="A red and blue grid with black tex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88607" name="Picture 8" descr="A red and blue grid with black text  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6357"/>
                    <a:stretch/>
                  </pic:blipFill>
                  <pic:spPr bwMode="auto">
                    <a:xfrm>
                      <a:off x="0" y="0"/>
                      <a:ext cx="4530637" cy="346237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noProof/>
        </w:rPr>
        <w:drawing>
          <wp:inline distT="0" distB="0" distL="0" distR="0" wp14:anchorId="539DDCA6" wp14:editId="6A26B474">
            <wp:extent cx="4385256" cy="3255377"/>
            <wp:effectExtent l="0" t="0" r="0" b="0"/>
            <wp:docPr id="1029274093" name="Picture 12" descr="A red line on a white background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274093" name="Picture 12" descr="A red line on a white background  AI-generated content may be incorrec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5518" b="1633"/>
                    <a:stretch/>
                  </pic:blipFill>
                  <pic:spPr bwMode="auto">
                    <a:xfrm>
                      <a:off x="0" y="0"/>
                      <a:ext cx="4530912" cy="336350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bCs/>
        </w:rPr>
        <w:t xml:space="preserve"> </w:t>
      </w:r>
    </w:p>
    <w:p w14:paraId="625810EB" w14:textId="77777777" w:rsidR="00BC0350" w:rsidRDefault="00BC0350" w:rsidP="00BC0350">
      <w:pPr>
        <w:spacing w:line="360" w:lineRule="auto"/>
        <w:contextualSpacing/>
        <w:jc w:val="both"/>
        <w:rPr>
          <w:rFonts w:ascii="Arial" w:hAnsi="Arial" w:cs="Arial"/>
          <w:b/>
          <w:bCs/>
        </w:rPr>
      </w:pPr>
    </w:p>
    <w:p w14:paraId="12CD39E6" w14:textId="648C3AE4" w:rsidR="00BC0350" w:rsidRDefault="00BC0350" w:rsidP="00BC0350">
      <w:pPr>
        <w:spacing w:line="360" w:lineRule="auto"/>
        <w:contextualSpacing/>
        <w:jc w:val="both"/>
        <w:rPr>
          <w:rFonts w:ascii="Arial" w:hAnsi="Arial" w:cs="Arial"/>
        </w:rPr>
      </w:pPr>
      <w:r w:rsidRPr="008C144C">
        <w:rPr>
          <w:rFonts w:ascii="Arial" w:hAnsi="Arial" w:cs="Arial"/>
          <w:b/>
          <w:bCs/>
        </w:rPr>
        <w:t>Figure S</w:t>
      </w:r>
      <w:r>
        <w:rPr>
          <w:rFonts w:ascii="Arial" w:hAnsi="Arial" w:cs="Arial"/>
          <w:b/>
          <w:bCs/>
        </w:rPr>
        <w:t>5</w:t>
      </w:r>
      <w:r w:rsidRPr="008C144C">
        <w:rPr>
          <w:rFonts w:ascii="Arial" w:hAnsi="Arial" w:cs="Arial"/>
          <w:b/>
          <w:bCs/>
        </w:rPr>
        <w:t>. Correlation among dietary variables available in the Multi-Ethnic Cohort.</w:t>
      </w:r>
      <w:r>
        <w:rPr>
          <w:rFonts w:ascii="Arial" w:hAnsi="Arial" w:cs="Arial"/>
        </w:rPr>
        <w:t xml:space="preserve"> The correlations among (top) all 520 diet variables and (bottom) pruned (n=220) diet variables in Native Hawaiians (N = 14,346). The pruned dataset removes randomly one variable among all pairs of variables correlated with R</w:t>
      </w:r>
      <w:r>
        <w:rPr>
          <w:rFonts w:ascii="Arial" w:hAnsi="Arial" w:cs="Arial"/>
          <w:vertAlign w:val="superscript"/>
        </w:rPr>
        <w:t xml:space="preserve">2 </w:t>
      </w:r>
      <w:r>
        <w:rPr>
          <w:rFonts w:ascii="Arial" w:hAnsi="Arial" w:cs="Arial"/>
        </w:rPr>
        <w:t>&gt; 0.5.</w:t>
      </w:r>
    </w:p>
    <w:p w14:paraId="57FAE8C9" w14:textId="77777777" w:rsidR="007F7C15" w:rsidRDefault="007F7C15" w:rsidP="008C144C">
      <w:pPr>
        <w:spacing w:line="360" w:lineRule="auto"/>
        <w:contextualSpacing/>
        <w:jc w:val="both"/>
      </w:pPr>
    </w:p>
    <w:p w14:paraId="27E2359F" w14:textId="63E20A6C" w:rsidR="007F7C15" w:rsidRDefault="007F7C15">
      <w:r>
        <w:rPr>
          <w:noProof/>
          <w14:ligatures w14:val="standardContextual"/>
        </w:rPr>
        <w:lastRenderedPageBreak/>
        <w:drawing>
          <wp:inline distT="0" distB="0" distL="0" distR="0" wp14:anchorId="71B6B543" wp14:editId="7C2E733A">
            <wp:extent cx="5915770" cy="5915770"/>
            <wp:effectExtent l="0" t="0" r="8890" b="8890"/>
            <wp:docPr id="752628453" name="Picture 9" descr="A screenshot of a tab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628453" name="Picture 9" descr="A screenshot of a table  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5920426" cy="5920426"/>
                    </a:xfrm>
                    <a:prstGeom prst="rect">
                      <a:avLst/>
                    </a:prstGeom>
                  </pic:spPr>
                </pic:pic>
              </a:graphicData>
            </a:graphic>
          </wp:inline>
        </w:drawing>
      </w:r>
    </w:p>
    <w:p w14:paraId="0CE17737" w14:textId="626ADB29" w:rsidR="00B9704C" w:rsidRDefault="0085682E" w:rsidP="00B9704C">
      <w:pPr>
        <w:spacing w:line="360" w:lineRule="auto"/>
        <w:contextualSpacing/>
        <w:jc w:val="both"/>
        <w:rPr>
          <w:rFonts w:ascii="Arial" w:hAnsi="Arial" w:cs="Arial"/>
        </w:rPr>
      </w:pPr>
      <w:r w:rsidRPr="008C144C">
        <w:rPr>
          <w:rFonts w:ascii="Arial" w:hAnsi="Arial" w:cs="Arial"/>
          <w:b/>
          <w:bCs/>
        </w:rPr>
        <w:t>Figure S</w:t>
      </w:r>
      <w:r>
        <w:rPr>
          <w:rFonts w:ascii="Arial" w:hAnsi="Arial" w:cs="Arial"/>
          <w:b/>
          <w:bCs/>
        </w:rPr>
        <w:t>6</w:t>
      </w:r>
      <w:r w:rsidRPr="008C144C">
        <w:rPr>
          <w:rFonts w:ascii="Arial" w:hAnsi="Arial" w:cs="Arial"/>
          <w:b/>
          <w:bCs/>
        </w:rPr>
        <w:t xml:space="preserve">. Association of </w:t>
      </w:r>
      <w:r>
        <w:rPr>
          <w:rFonts w:ascii="Arial" w:hAnsi="Arial" w:cs="Arial"/>
        </w:rPr>
        <w:t>BMI DDS with other binary disease outcome in Native Hawaiians. For each disease, cases were defined based on ICD-9 and ICD-10 codes in the Medicare claim data, following the Chronic Condition Warehouse database (</w:t>
      </w:r>
      <w:r>
        <w:rPr>
          <w:rFonts w:ascii="Arial" w:hAnsi="Arial" w:cs="Arial"/>
          <w:b/>
          <w:bCs/>
        </w:rPr>
        <w:t>Methods</w:t>
      </w:r>
      <w:r>
        <w:rPr>
          <w:rFonts w:ascii="Arial" w:hAnsi="Arial" w:cs="Arial"/>
        </w:rPr>
        <w:t>). The remaining individuals are assumed to be controls. The only exception is T2D, which was defined separately for this study (</w:t>
      </w:r>
      <w:r>
        <w:rPr>
          <w:rFonts w:ascii="Arial" w:hAnsi="Arial" w:cs="Arial"/>
          <w:b/>
          <w:bCs/>
        </w:rPr>
        <w:t>Methods</w:t>
      </w:r>
      <w:r>
        <w:rPr>
          <w:rFonts w:ascii="Arial" w:hAnsi="Arial" w:cs="Arial"/>
        </w:rPr>
        <w:t xml:space="preserve">). The associations were assessed after adjusting for age, sex, BMI, and first 10 PCs. </w:t>
      </w:r>
    </w:p>
    <w:p w14:paraId="4F5044ED" w14:textId="5316E902" w:rsidR="00BC0350" w:rsidRDefault="00BC0350"/>
    <w:p w14:paraId="77782FC5" w14:textId="77777777" w:rsidR="00B9704C" w:rsidRDefault="00B9704C"/>
    <w:p w14:paraId="2B8E0C0A" w14:textId="77777777" w:rsidR="009B0E9C" w:rsidRDefault="009B0E9C" w:rsidP="009B0E9C">
      <w:pPr>
        <w:spacing w:line="360" w:lineRule="auto"/>
        <w:contextualSpacing/>
      </w:pPr>
    </w:p>
    <w:p w14:paraId="5B8A9BE0" w14:textId="28BB1129" w:rsidR="008E1937" w:rsidRPr="00E4204E" w:rsidRDefault="008E1937" w:rsidP="009B0E9C">
      <w:pPr>
        <w:spacing w:line="360" w:lineRule="auto"/>
        <w:contextualSpacing/>
        <w:rPr>
          <w:rFonts w:ascii="Arial" w:hAnsi="Arial" w:cs="Arial"/>
          <w:b/>
          <w:bCs/>
        </w:rPr>
      </w:pPr>
      <w:r>
        <w:rPr>
          <w:rFonts w:ascii="Arial" w:hAnsi="Arial" w:cs="Arial"/>
          <w:b/>
          <w:bCs/>
        </w:rPr>
        <w:lastRenderedPageBreak/>
        <w:t>REFERENCES</w:t>
      </w:r>
    </w:p>
    <w:p w14:paraId="08D54933" w14:textId="77777777" w:rsidR="009B0E9C" w:rsidRPr="00E4204E" w:rsidRDefault="009B0E9C" w:rsidP="009B0E9C">
      <w:pPr>
        <w:spacing w:line="360" w:lineRule="auto"/>
        <w:contextualSpacing/>
        <w:rPr>
          <w:rFonts w:ascii="Arial" w:hAnsi="Arial" w:cs="Arial"/>
        </w:rPr>
      </w:pPr>
    </w:p>
    <w:p w14:paraId="77521B7D" w14:textId="6EB1C7FB" w:rsidR="009B0E9C" w:rsidRPr="00E4204E" w:rsidRDefault="009B0E9C" w:rsidP="009B0E9C">
      <w:pPr>
        <w:spacing w:line="360" w:lineRule="auto"/>
        <w:contextualSpacing/>
        <w:jc w:val="both"/>
        <w:rPr>
          <w:rFonts w:ascii="Arial" w:hAnsi="Arial" w:cs="Arial"/>
        </w:rPr>
      </w:pPr>
      <w:r>
        <w:rPr>
          <w:rFonts w:ascii="Arial" w:hAnsi="Arial" w:cs="Arial"/>
        </w:rPr>
        <w:t>1. Ge T, Chen CY, Ni Y, Feng YCA, Smoller JW. Polygenic prediction via Bayesian regression and continuous shrinkage priors. Nat Commun. 2019;10(1):1776. doi:10.1038/s41467-019-09718-5</w:t>
      </w:r>
    </w:p>
    <w:p w14:paraId="3E738736" w14:textId="77777777" w:rsidR="009B0E9C" w:rsidRPr="00E4204E" w:rsidRDefault="009B0E9C" w:rsidP="009B0E9C">
      <w:pPr>
        <w:spacing w:line="360" w:lineRule="auto"/>
        <w:contextualSpacing/>
        <w:jc w:val="both"/>
        <w:rPr>
          <w:rFonts w:ascii="Arial" w:hAnsi="Arial" w:cs="Arial"/>
        </w:rPr>
      </w:pPr>
    </w:p>
    <w:p w14:paraId="23F57569" w14:textId="0F4DD01A" w:rsidR="009B0E9C" w:rsidRPr="00E4204E" w:rsidRDefault="009B0E9C" w:rsidP="009B0E9C">
      <w:pPr>
        <w:spacing w:line="360" w:lineRule="auto"/>
        <w:contextualSpacing/>
        <w:jc w:val="both"/>
        <w:rPr>
          <w:rFonts w:ascii="Arial" w:hAnsi="Arial" w:cs="Arial"/>
        </w:rPr>
      </w:pPr>
      <w:r>
        <w:rPr>
          <w:rFonts w:ascii="Arial" w:hAnsi="Arial" w:cs="Arial"/>
        </w:rPr>
        <w:t>2. Ruan Y, Lin YF, Feng YCA, Chen CY, Lam M, Guo Z, et al. Improving polygenic prediction in ancestrally diverse populations. Nat Genet. 2022; 54(5):573-580. doi:10.1038/s41588-022-01054-7</w:t>
      </w:r>
    </w:p>
    <w:p w14:paraId="3F3110D1" w14:textId="77777777" w:rsidR="009B0E9C" w:rsidRPr="00E4204E" w:rsidRDefault="009B0E9C" w:rsidP="009B0E9C">
      <w:pPr>
        <w:spacing w:line="360" w:lineRule="auto"/>
        <w:contextualSpacing/>
        <w:jc w:val="both"/>
        <w:rPr>
          <w:rFonts w:ascii="Arial" w:hAnsi="Arial" w:cs="Arial"/>
        </w:rPr>
      </w:pPr>
    </w:p>
    <w:p w14:paraId="1AA5FF4F" w14:textId="15A9B7BC" w:rsidR="009B0E9C" w:rsidRPr="00E4204E" w:rsidRDefault="009B0E9C" w:rsidP="009B0E9C">
      <w:pPr>
        <w:spacing w:line="360" w:lineRule="auto"/>
        <w:contextualSpacing/>
        <w:jc w:val="both"/>
        <w:rPr>
          <w:rFonts w:ascii="Arial" w:hAnsi="Arial" w:cs="Arial"/>
        </w:rPr>
      </w:pPr>
      <w:r>
        <w:rPr>
          <w:rFonts w:ascii="Arial" w:hAnsi="Arial" w:cs="Arial"/>
        </w:rPr>
        <w:t>3. Hoggart, C.J., Choi, S.W., García-González, J. </w:t>
      </w:r>
      <w:r>
        <w:rPr>
          <w:rFonts w:ascii="Arial" w:hAnsi="Arial" w:cs="Arial"/>
          <w:i/>
          <w:iCs/>
        </w:rPr>
        <w:t>et al.</w:t>
      </w:r>
      <w:r>
        <w:rPr>
          <w:rFonts w:ascii="Arial" w:hAnsi="Arial" w:cs="Arial"/>
        </w:rPr>
        <w:t> BridgePRS leverages shared genetic effects across ancestries to increase polygenic risk score portability. </w:t>
      </w:r>
      <w:r>
        <w:rPr>
          <w:rFonts w:ascii="Arial" w:hAnsi="Arial" w:cs="Arial"/>
          <w:i/>
          <w:iCs/>
        </w:rPr>
        <w:t>Nat Genet</w:t>
      </w:r>
      <w:r>
        <w:rPr>
          <w:rFonts w:ascii="Arial" w:hAnsi="Arial" w:cs="Arial"/>
        </w:rPr>
        <w:t xml:space="preserve"> 56, 180–186 (2024). </w:t>
      </w:r>
      <w:hyperlink r:id="rId15" w:history="1">
        <w:r>
          <w:rPr>
            <w:rStyle w:val="Hyperlink"/>
            <w:rFonts w:ascii="Arial" w:hAnsi="Arial" w:cs="Arial"/>
          </w:rPr>
          <w:t>https://doi.org/10.1038/s41588-023-01583-9</w:t>
        </w:r>
      </w:hyperlink>
    </w:p>
    <w:p w14:paraId="0A3A3D66" w14:textId="77777777" w:rsidR="009B0E9C" w:rsidRPr="00E4204E" w:rsidRDefault="009B0E9C" w:rsidP="009B0E9C">
      <w:pPr>
        <w:spacing w:line="360" w:lineRule="auto"/>
        <w:contextualSpacing/>
        <w:jc w:val="both"/>
        <w:rPr>
          <w:rFonts w:ascii="Arial" w:hAnsi="Arial" w:cs="Arial"/>
        </w:rPr>
      </w:pPr>
    </w:p>
    <w:p w14:paraId="517CD8F7" w14:textId="64BACA18" w:rsidR="008E1937" w:rsidRPr="00E4204E" w:rsidRDefault="009B0E9C" w:rsidP="009B0E9C">
      <w:pPr>
        <w:spacing w:line="360" w:lineRule="auto"/>
        <w:contextualSpacing/>
        <w:jc w:val="both"/>
        <w:rPr>
          <w:rFonts w:ascii="Arial" w:hAnsi="Arial" w:cs="Arial"/>
        </w:rPr>
      </w:pPr>
      <w:r>
        <w:rPr>
          <w:rFonts w:ascii="Arial" w:hAnsi="Arial" w:cs="Arial"/>
        </w:rPr>
        <w:t>4. Chen CY, Chen TT, Feng YCA, Yu M, Lin SC, Longchamps RJ, Wang SH, Hsu YH, Yang HI, Kuo PH, Daly MJ, Chen WJ, Huang H, Ge T, Lin YF. Analysis across Taiwan Biobank, Biobank Japan, and UK Biobank identifies hundreds of novel loci for 36 quantitative traits. Cell Genom. 2023 Nov 16;3(12):100436. doi: 10.1016/j.xgen.2023.100436.</w:t>
      </w:r>
    </w:p>
    <w:p w14:paraId="514B0436" w14:textId="77777777" w:rsidR="008E1937" w:rsidRPr="00E4204E" w:rsidRDefault="008E1937" w:rsidP="009B0E9C">
      <w:pPr>
        <w:spacing w:line="360" w:lineRule="auto"/>
        <w:contextualSpacing/>
        <w:jc w:val="both"/>
        <w:rPr>
          <w:rFonts w:ascii="Arial" w:hAnsi="Arial" w:cs="Arial"/>
        </w:rPr>
      </w:pPr>
    </w:p>
    <w:p w14:paraId="3E5476F2" w14:textId="19A08C46" w:rsidR="008E1937" w:rsidRPr="00E4204E" w:rsidRDefault="009B0E9C" w:rsidP="009B0E9C">
      <w:pPr>
        <w:spacing w:line="360" w:lineRule="auto"/>
        <w:contextualSpacing/>
        <w:jc w:val="both"/>
        <w:rPr>
          <w:rFonts w:ascii="Arial" w:hAnsi="Arial" w:cs="Arial"/>
        </w:rPr>
      </w:pPr>
      <w:r>
        <w:rPr>
          <w:rFonts w:ascii="Arial" w:hAnsi="Arial" w:cs="Arial"/>
        </w:rPr>
        <w:t xml:space="preserve">5. Yengo L, Sidorenko J, Kemper KE, Zheng Z, Wood AR, Weedon MN, Frayling TM, Hirschhorn J, Yang J, Visscher PM; GIANT Consortium. Meta-analysis of genome-wide association studies for height and body mass index in </w:t>
      </w:r>
      <w:r>
        <w:rPr>
          <w:rFonts w:ascii="Cambria Math" w:hAnsi="Cambria Math" w:cs="Cambria Math"/>
        </w:rPr>
        <w:t>∼</w:t>
      </w:r>
      <w:r>
        <w:rPr>
          <w:rFonts w:ascii="Arial" w:hAnsi="Arial" w:cs="Arial"/>
        </w:rPr>
        <w:t>700000 individuals of European ancestry. Hum Mol Genet. 2018 Oct 15;27(20):3641-3649. doi: 10.1093/hmg/ddy271.</w:t>
      </w:r>
    </w:p>
    <w:p w14:paraId="65B0F6D7" w14:textId="77777777" w:rsidR="009B0E9C" w:rsidRPr="00E4204E" w:rsidRDefault="009B0E9C" w:rsidP="009B0E9C">
      <w:pPr>
        <w:spacing w:line="360" w:lineRule="auto"/>
        <w:contextualSpacing/>
        <w:jc w:val="both"/>
        <w:rPr>
          <w:rFonts w:ascii="Arial" w:hAnsi="Arial" w:cs="Arial"/>
        </w:rPr>
      </w:pPr>
    </w:p>
    <w:p w14:paraId="3659FDE9" w14:textId="7E3CF0EA" w:rsidR="009B0E9C" w:rsidRPr="00E4204E" w:rsidRDefault="009B0E9C" w:rsidP="009B0E9C">
      <w:pPr>
        <w:spacing w:line="360" w:lineRule="auto"/>
        <w:contextualSpacing/>
        <w:jc w:val="both"/>
        <w:rPr>
          <w:rFonts w:ascii="Arial" w:hAnsi="Arial" w:cs="Arial"/>
        </w:rPr>
      </w:pPr>
      <w:r>
        <w:rPr>
          <w:rFonts w:ascii="Arial" w:hAnsi="Arial" w:cs="Arial"/>
        </w:rPr>
        <w:t>6. Suzuki K, Hatzikotoulas K, Southam L, Taylor HJ, Yin X, Lorenz KM, Mandla R, et al. Genetic drivers of heterogeneity in type 2 diabetes pathophysiology. Nature. 2024;627(8003):347-357. doi:10.1038/s41586-024-07019-6</w:t>
      </w:r>
    </w:p>
    <w:sectPr w:rsidR="009B0E9C" w:rsidRPr="00E4204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arleston Chiang" w:date="2026-05-20T11:31:00Z" w:initials="CC">
    <w:p w14:paraId="4B088EF9" w14:textId="77777777" w:rsidR="009B240A" w:rsidRDefault="009B240A" w:rsidP="009B240A">
      <w:r>
        <w:rPr>
          <w:rStyle w:val="CommentReference"/>
        </w:rPr>
        <w:annotationRef/>
      </w:r>
      <w:r>
        <w:rPr>
          <w:sz w:val="20"/>
          <w:szCs w:val="20"/>
        </w:rPr>
        <w:t>renumber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B088EF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AEF505" w16cex:dateUtc="2026-05-20T18: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088EF9" w16cid:durableId="5EAEF50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rleston Chiang">
    <w15:presenceInfo w15:providerId="AD" w15:userId="S::chia657@usc.edu::195c2162-3e7e-418c-a64c-6ea3885a67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350"/>
    <w:rsid w:val="0008032E"/>
    <w:rsid w:val="000A35DF"/>
    <w:rsid w:val="000A7594"/>
    <w:rsid w:val="000C4B9C"/>
    <w:rsid w:val="00233485"/>
    <w:rsid w:val="002D7AA5"/>
    <w:rsid w:val="0031603D"/>
    <w:rsid w:val="00333409"/>
    <w:rsid w:val="003417BB"/>
    <w:rsid w:val="003563DC"/>
    <w:rsid w:val="0037298D"/>
    <w:rsid w:val="003920F0"/>
    <w:rsid w:val="004B7FE2"/>
    <w:rsid w:val="0058657C"/>
    <w:rsid w:val="005F6AFE"/>
    <w:rsid w:val="00667262"/>
    <w:rsid w:val="006A6D6E"/>
    <w:rsid w:val="007C3306"/>
    <w:rsid w:val="007C6045"/>
    <w:rsid w:val="007D195F"/>
    <w:rsid w:val="007F7C15"/>
    <w:rsid w:val="008375C3"/>
    <w:rsid w:val="0085137A"/>
    <w:rsid w:val="00856157"/>
    <w:rsid w:val="0085682E"/>
    <w:rsid w:val="00882512"/>
    <w:rsid w:val="008C144C"/>
    <w:rsid w:val="008D6BAC"/>
    <w:rsid w:val="008E1937"/>
    <w:rsid w:val="00923C33"/>
    <w:rsid w:val="0093183E"/>
    <w:rsid w:val="0095591B"/>
    <w:rsid w:val="00957FD7"/>
    <w:rsid w:val="009834B1"/>
    <w:rsid w:val="009A268D"/>
    <w:rsid w:val="009B0E9C"/>
    <w:rsid w:val="009B1896"/>
    <w:rsid w:val="009B240A"/>
    <w:rsid w:val="009C1A48"/>
    <w:rsid w:val="009C4B45"/>
    <w:rsid w:val="00A73C39"/>
    <w:rsid w:val="00AD7B2E"/>
    <w:rsid w:val="00B40F49"/>
    <w:rsid w:val="00B56A91"/>
    <w:rsid w:val="00B56CE3"/>
    <w:rsid w:val="00B73530"/>
    <w:rsid w:val="00B77967"/>
    <w:rsid w:val="00B9704C"/>
    <w:rsid w:val="00BA1413"/>
    <w:rsid w:val="00BC0350"/>
    <w:rsid w:val="00C10EA0"/>
    <w:rsid w:val="00C47DF0"/>
    <w:rsid w:val="00C81ADD"/>
    <w:rsid w:val="00C96620"/>
    <w:rsid w:val="00CB1DE8"/>
    <w:rsid w:val="00D06340"/>
    <w:rsid w:val="00D9053C"/>
    <w:rsid w:val="00DC3FBB"/>
    <w:rsid w:val="00DD0999"/>
    <w:rsid w:val="00DD5BE7"/>
    <w:rsid w:val="00E221E0"/>
    <w:rsid w:val="00E4204E"/>
    <w:rsid w:val="00E52D3E"/>
    <w:rsid w:val="00EB2B77"/>
    <w:rsid w:val="00EC7CA6"/>
    <w:rsid w:val="00ED4C03"/>
    <w:rsid w:val="00F00E26"/>
    <w:rsid w:val="00F32275"/>
    <w:rsid w:val="00F57CC1"/>
    <w:rsid w:val="00F93528"/>
    <w:rsid w:val="00FA71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B7B20"/>
  <w15:chartTrackingRefBased/>
  <w15:docId w15:val="{AEF74F88-EC72-467D-9F2B-985243858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350"/>
    <w:pPr>
      <w:spacing w:line="259" w:lineRule="auto"/>
    </w:pPr>
    <w:rPr>
      <w:kern w:val="0"/>
      <w:sz w:val="22"/>
      <w:szCs w:val="22"/>
      <w14:ligatures w14:val="none"/>
    </w:rPr>
  </w:style>
  <w:style w:type="paragraph" w:styleId="Heading1">
    <w:name w:val="heading 1"/>
    <w:basedOn w:val="Normal"/>
    <w:next w:val="Normal"/>
    <w:link w:val="Heading1Char"/>
    <w:uiPriority w:val="9"/>
    <w:qFormat/>
    <w:rsid w:val="00BC035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C035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C035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C0350"/>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C0350"/>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C0350"/>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C0350"/>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C0350"/>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C0350"/>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3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03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03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03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03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03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03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03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0350"/>
    <w:rPr>
      <w:rFonts w:eastAsiaTheme="majorEastAsia" w:cstheme="majorBidi"/>
      <w:color w:val="272727" w:themeColor="text1" w:themeTint="D8"/>
    </w:rPr>
  </w:style>
  <w:style w:type="paragraph" w:styleId="Title">
    <w:name w:val="Title"/>
    <w:basedOn w:val="Normal"/>
    <w:next w:val="Normal"/>
    <w:link w:val="TitleChar"/>
    <w:uiPriority w:val="10"/>
    <w:qFormat/>
    <w:rsid w:val="00BC035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C03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0350"/>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C03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0350"/>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C0350"/>
    <w:rPr>
      <w:i/>
      <w:iCs/>
      <w:color w:val="404040" w:themeColor="text1" w:themeTint="BF"/>
    </w:rPr>
  </w:style>
  <w:style w:type="paragraph" w:styleId="ListParagraph">
    <w:name w:val="List Paragraph"/>
    <w:basedOn w:val="Normal"/>
    <w:uiPriority w:val="34"/>
    <w:qFormat/>
    <w:rsid w:val="00BC0350"/>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C0350"/>
    <w:rPr>
      <w:i/>
      <w:iCs/>
      <w:color w:val="0F4761" w:themeColor="accent1" w:themeShade="BF"/>
    </w:rPr>
  </w:style>
  <w:style w:type="paragraph" w:styleId="IntenseQuote">
    <w:name w:val="Intense Quote"/>
    <w:basedOn w:val="Normal"/>
    <w:next w:val="Normal"/>
    <w:link w:val="IntenseQuoteChar"/>
    <w:uiPriority w:val="30"/>
    <w:qFormat/>
    <w:rsid w:val="00BC035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C0350"/>
    <w:rPr>
      <w:i/>
      <w:iCs/>
      <w:color w:val="0F4761" w:themeColor="accent1" w:themeShade="BF"/>
    </w:rPr>
  </w:style>
  <w:style w:type="character" w:styleId="IntenseReference">
    <w:name w:val="Intense Reference"/>
    <w:basedOn w:val="DefaultParagraphFont"/>
    <w:uiPriority w:val="32"/>
    <w:qFormat/>
    <w:rsid w:val="00BC0350"/>
    <w:rPr>
      <w:b/>
      <w:bCs/>
      <w:smallCaps/>
      <w:color w:val="0F4761" w:themeColor="accent1" w:themeShade="BF"/>
      <w:spacing w:val="5"/>
    </w:rPr>
  </w:style>
  <w:style w:type="table" w:styleId="TableGrid">
    <w:name w:val="Table Grid"/>
    <w:basedOn w:val="TableNormal"/>
    <w:uiPriority w:val="39"/>
    <w:rsid w:val="00BC03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C0350"/>
  </w:style>
  <w:style w:type="character" w:styleId="CommentReference">
    <w:name w:val="annotation reference"/>
    <w:basedOn w:val="DefaultParagraphFont"/>
    <w:uiPriority w:val="99"/>
    <w:semiHidden/>
    <w:unhideWhenUsed/>
    <w:rsid w:val="0037298D"/>
    <w:rPr>
      <w:sz w:val="16"/>
      <w:szCs w:val="16"/>
    </w:rPr>
  </w:style>
  <w:style w:type="paragraph" w:styleId="CommentText">
    <w:name w:val="annotation text"/>
    <w:basedOn w:val="Normal"/>
    <w:link w:val="CommentTextChar"/>
    <w:uiPriority w:val="99"/>
    <w:semiHidden/>
    <w:unhideWhenUsed/>
    <w:rsid w:val="0037298D"/>
    <w:pPr>
      <w:spacing w:line="240" w:lineRule="auto"/>
    </w:pPr>
    <w:rPr>
      <w:sz w:val="20"/>
      <w:szCs w:val="20"/>
    </w:rPr>
  </w:style>
  <w:style w:type="character" w:customStyle="1" w:styleId="CommentTextChar">
    <w:name w:val="Comment Text Char"/>
    <w:basedOn w:val="DefaultParagraphFont"/>
    <w:link w:val="CommentText"/>
    <w:uiPriority w:val="99"/>
    <w:semiHidden/>
    <w:rsid w:val="0037298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7298D"/>
    <w:rPr>
      <w:b/>
      <w:bCs/>
    </w:rPr>
  </w:style>
  <w:style w:type="character" w:customStyle="1" w:styleId="CommentSubjectChar">
    <w:name w:val="Comment Subject Char"/>
    <w:basedOn w:val="CommentTextChar"/>
    <w:link w:val="CommentSubject"/>
    <w:uiPriority w:val="99"/>
    <w:semiHidden/>
    <w:rsid w:val="0037298D"/>
    <w:rPr>
      <w:b/>
      <w:bCs/>
      <w:kern w:val="0"/>
      <w:sz w:val="20"/>
      <w:szCs w:val="20"/>
      <w14:ligatures w14:val="none"/>
    </w:rPr>
  </w:style>
  <w:style w:type="paragraph" w:styleId="Revision">
    <w:name w:val="Revision"/>
    <w:hidden/>
    <w:uiPriority w:val="99"/>
    <w:semiHidden/>
    <w:rsid w:val="008375C3"/>
    <w:pPr>
      <w:spacing w:after="0" w:line="240" w:lineRule="auto"/>
    </w:pPr>
    <w:rPr>
      <w:kern w:val="0"/>
      <w:sz w:val="22"/>
      <w:szCs w:val="22"/>
      <w14:ligatures w14:val="none"/>
    </w:rPr>
  </w:style>
  <w:style w:type="character" w:styleId="Hyperlink">
    <w:name w:val="Hyperlink"/>
    <w:basedOn w:val="DefaultParagraphFont"/>
    <w:uiPriority w:val="99"/>
    <w:unhideWhenUsed/>
    <w:rsid w:val="009B0E9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6.tif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tif"/><Relationship Id="rId12" Type="http://schemas.openxmlformats.org/officeDocument/2006/relationships/image" Target="media/image5.tiff"/><Relationship Id="rId17" Type="http://schemas.microsoft.com/office/2011/relationships/people" Target="people.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microsoft.com/office/2018/08/relationships/commentsExtensible" Target="commentsExtensible.xml"/><Relationship Id="rId5" Type="http://schemas.openxmlformats.org/officeDocument/2006/relationships/image" Target="media/image2.png"/><Relationship Id="rId15" Type="http://schemas.openxmlformats.org/officeDocument/2006/relationships/hyperlink" Target="https://doi.org/10.1038/s41588-023-01583-9" TargetMode="External"/><Relationship Id="rId10" Type="http://schemas.microsoft.com/office/2016/09/relationships/commentsIds" Target="commentsIds.xml"/><Relationship Id="rId4" Type="http://schemas.openxmlformats.org/officeDocument/2006/relationships/image" Target="media/image1.png"/><Relationship Id="rId9" Type="http://schemas.microsoft.com/office/2011/relationships/commentsExtended" Target="commentsExtended.xm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1081</Words>
  <Characters>6167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Lee</dc:creator>
  <cp:keywords/>
  <dc:description/>
  <cp:lastModifiedBy>Eunice Lee</cp:lastModifiedBy>
  <cp:revision>2</cp:revision>
  <cp:lastPrinted>2025-12-15T21:02:00Z</cp:lastPrinted>
  <dcterms:created xsi:type="dcterms:W3CDTF">2026-05-22T19:19:00Z</dcterms:created>
  <dcterms:modified xsi:type="dcterms:W3CDTF">2026-05-22T19:19:00Z</dcterms:modified>
</cp:coreProperties>
</file>