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6A7" w:rsidRPr="006A239B" w:rsidRDefault="00E406A7" w:rsidP="00E406A7">
      <w:pPr>
        <w:rPr>
          <w:rFonts w:ascii="Times New Roman" w:hAnsi="Times New Roman" w:cs="Times New Roman"/>
        </w:rPr>
      </w:pPr>
      <w:r w:rsidRPr="006A239B">
        <w:rPr>
          <w:rFonts w:ascii="Times New Roman" w:hAnsi="Times New Roman" w:cs="Times New Roman"/>
        </w:rPr>
        <w:t>Table S1.</w:t>
      </w:r>
      <w:r>
        <w:rPr>
          <w:rFonts w:ascii="Times New Roman" w:hAnsi="Times New Roman" w:cs="Times New Roman"/>
        </w:rPr>
        <w:t xml:space="preserve"> Egyptian cultivars used in the study, with accession numbers and flowering times from the </w:t>
      </w:r>
      <w:r w:rsidRPr="00934C32">
        <w:rPr>
          <w:rFonts w:ascii="Times New Roman" w:hAnsi="Times New Roman" w:cs="Times New Roman"/>
          <w:lang w:bidi="ar-EG"/>
        </w:rPr>
        <w:t xml:space="preserve">U.S. National </w:t>
      </w:r>
      <w:r>
        <w:rPr>
          <w:rFonts w:ascii="Times New Roman" w:hAnsi="Times New Roman" w:cs="Times New Roman"/>
          <w:lang w:bidi="ar-EG"/>
        </w:rPr>
        <w:t>Plant Germplasm System</w:t>
      </w:r>
      <w:r>
        <w:rPr>
          <w:rFonts w:ascii="Times New Roman" w:hAnsi="Times New Roman" w:cs="Times New Roman"/>
        </w:rPr>
        <w:t>, and subpopulation assignments.</w:t>
      </w:r>
    </w:p>
    <w:tbl>
      <w:tblPr>
        <w:tblW w:w="9600" w:type="dxa"/>
        <w:tblCellMar>
          <w:left w:w="0" w:type="dxa"/>
          <w:right w:w="0" w:type="dxa"/>
        </w:tblCellMar>
        <w:tblLook w:val="0600" w:firstRow="0" w:lastRow="0" w:firstColumn="0" w:lastColumn="0" w:noHBand="1" w:noVBand="1"/>
      </w:tblPr>
      <w:tblGrid>
        <w:gridCol w:w="2610"/>
        <w:gridCol w:w="1938"/>
        <w:gridCol w:w="1122"/>
        <w:gridCol w:w="1800"/>
        <w:gridCol w:w="2070"/>
        <w:gridCol w:w="60"/>
      </w:tblGrid>
      <w:tr w:rsidR="00E406A7" w:rsidRPr="006A239B" w:rsidTr="00C11095">
        <w:trPr>
          <w:trHeight w:val="432"/>
        </w:trPr>
        <w:tc>
          <w:tcPr>
            <w:tcW w:w="2610" w:type="dxa"/>
            <w:tcBorders>
              <w:top w:val="single" w:sz="8" w:space="0" w:color="000000"/>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Cultivar</w:t>
            </w:r>
          </w:p>
        </w:tc>
        <w:tc>
          <w:tcPr>
            <w:tcW w:w="1938" w:type="dxa"/>
            <w:tcBorders>
              <w:top w:val="single" w:sz="8" w:space="0" w:color="000000"/>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 xml:space="preserve">Accession ID </w:t>
            </w:r>
          </w:p>
        </w:tc>
        <w:tc>
          <w:tcPr>
            <w:tcW w:w="1122" w:type="dxa"/>
            <w:tcBorders>
              <w:top w:val="single" w:sz="8" w:space="0" w:color="000000"/>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Days to Flower</w:t>
            </w:r>
          </w:p>
        </w:tc>
        <w:tc>
          <w:tcPr>
            <w:tcW w:w="1800" w:type="dxa"/>
            <w:tcBorders>
              <w:top w:val="single" w:sz="8" w:space="0" w:color="000000"/>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Subpopulation assignment</w:t>
            </w:r>
          </w:p>
        </w:tc>
        <w:tc>
          <w:tcPr>
            <w:tcW w:w="2130" w:type="dxa"/>
            <w:gridSpan w:val="2"/>
            <w:tcBorders>
              <w:top w:val="single" w:sz="8" w:space="0" w:color="000000"/>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Pr>
                <w:rFonts w:ascii="Times New Roman" w:hAnsi="Times New Roman" w:cs="Times New Roman"/>
              </w:rPr>
              <w:t>R</w:t>
            </w:r>
            <w:r w:rsidRPr="006A239B">
              <w:rPr>
                <w:rFonts w:ascii="Times New Roman" w:hAnsi="Times New Roman" w:cs="Times New Roman"/>
              </w:rPr>
              <w:t>eference</w:t>
            </w:r>
          </w:p>
        </w:tc>
      </w:tr>
      <w:tr w:rsidR="00E406A7" w:rsidRPr="006A239B" w:rsidTr="00C11095">
        <w:trPr>
          <w:trHeight w:val="432"/>
        </w:trPr>
        <w:tc>
          <w:tcPr>
            <w:tcW w:w="261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Giza 14</w:t>
            </w:r>
          </w:p>
        </w:tc>
        <w:tc>
          <w:tcPr>
            <w:tcW w:w="1938"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439130</w:t>
            </w:r>
          </w:p>
        </w:tc>
        <w:tc>
          <w:tcPr>
            <w:tcW w:w="1122"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133</w:t>
            </w:r>
          </w:p>
        </w:tc>
        <w:tc>
          <w:tcPr>
            <w:tcW w:w="1800" w:type="dxa"/>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rsidR="00E406A7" w:rsidRPr="00F177E1" w:rsidRDefault="00E406A7" w:rsidP="00C11095">
            <w:pPr>
              <w:rPr>
                <w:rFonts w:ascii="Times New Roman" w:hAnsi="Times New Roman" w:cs="Times New Roman"/>
                <w:i/>
              </w:rPr>
            </w:pPr>
            <w:proofErr w:type="spellStart"/>
            <w:r w:rsidRPr="00F177E1">
              <w:rPr>
                <w:rFonts w:ascii="Times New Roman" w:hAnsi="Times New Roman" w:cs="Times New Roman"/>
                <w:i/>
              </w:rPr>
              <w:t>aus</w:t>
            </w:r>
            <w:proofErr w:type="spellEnd"/>
          </w:p>
        </w:tc>
        <w:tc>
          <w:tcPr>
            <w:tcW w:w="2130" w:type="dxa"/>
            <w:gridSpan w:val="2"/>
            <w:tcBorders>
              <w:top w:val="single" w:sz="8" w:space="0" w:color="000000"/>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Giza 159</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GSOR 311316</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130</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TEJ</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proofErr w:type="spellStart"/>
            <w:r>
              <w:rPr>
                <w:rFonts w:ascii="Times New Roman" w:hAnsi="Times New Roman" w:cs="Times New Roman"/>
              </w:rPr>
              <w:t>Yabani</w:t>
            </w:r>
            <w:proofErr w:type="spellEnd"/>
            <w:r w:rsidRPr="006A239B">
              <w:rPr>
                <w:rFonts w:ascii="Times New Roman" w:hAnsi="Times New Roman" w:cs="Times New Roman"/>
              </w:rPr>
              <w:t xml:space="preserve"> </w:t>
            </w:r>
            <w:proofErr w:type="spellStart"/>
            <w:r w:rsidRPr="006A239B">
              <w:rPr>
                <w:rFonts w:ascii="Times New Roman" w:hAnsi="Times New Roman" w:cs="Times New Roman"/>
              </w:rPr>
              <w:t>Montakhab</w:t>
            </w:r>
            <w:proofErr w:type="spellEnd"/>
            <w:r w:rsidRPr="006A239B">
              <w:rPr>
                <w:rFonts w:ascii="Times New Roman" w:hAnsi="Times New Roman" w:cs="Times New Roman"/>
              </w:rPr>
              <w:t xml:space="preserve"> 7 (mon. 7)</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GSOR 301207</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109</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Admix†</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color w:val="000000"/>
              </w:rPr>
              <w:fldChar w:fldCharType="begin" w:fldLock="1"/>
            </w:r>
            <w:r>
              <w:rPr>
                <w:rFonts w:ascii="Times New Roman" w:hAnsi="Times New Roman" w:cs="Times New Roman"/>
                <w:color w:val="000000"/>
              </w:rPr>
              <w:instrText>ADDIN CSL_CITATION {"citationItems":[{"id":"ITEM-1","itemData":{"abstract":"Background The domestication of Asian rice (&lt;italic&gt;Oryza sativa&lt;/italic&gt;) was a complex process punctuated by episodes of introgressive hybridization among and between subpopulations. Deep genetic divergence between the two main varietal groups (&lt;italic&gt;Indica&lt;/italic&gt; and &lt;italic&gt;Japonica&lt;/italic&gt;) suggests domestication from at least two distinct wild populations. However, genetic uniformity surrounding key domestication genes across divergent subpopulations suggests cultural exchange of genetic material among ancient farmers.&lt;/p&gt; &lt;/sec&gt;&lt;sec&gt; &lt;title&gt;Methodology/Principal Findings&lt;/title&gt; &lt;p&gt;In this study, we utilize a novel 1,536 SNP panel genotyped across 395 diverse accessions of &lt;italic&gt;O. sativa&lt;/italic&gt; to study genome-wide patterns of polymorphism, to characterize population structure, and to infer the introgression history of domesticated Asian rice. Our population structure analyses support the existence of five major subpopulations (&lt;italic&gt;indica&lt;/italic&gt;, &lt;italic&gt;aus&lt;/italic&gt;, &lt;italic&gt;tropical japonica&lt;/italic&gt;, &lt;italic&gt;temperate japonica&lt;/italic&gt; and &lt;italic&gt;GroupV&lt;/italic&gt;) consistent with previous analyses. Our introgression analysis shows that most accessions exhibit some degree of admixture, with many individuals within a population sharing the same introgressed segment due to artificial selection. Admixture mapping and association analysis of amylose content and grain length illustrate the potential for dissecting the genetic basis of complex traits in domesticated plant populations.&lt;/p&gt; &lt;/sec&gt;&lt;sec&gt; &lt;title&gt;Conclusions/Significance&lt;/title&gt; &lt;p&gt;Genes in these regions control a myriad of traits including plant stature, blast resistance, and amylose content. These analyses highlight the power of population genomics in agricultural systems to identify functionally important regions of the genome and to decipher the role of human-directed breeding in refashioning the genomes of a domesticated species.&lt;/p&gt; &lt;/sec&gt;","author":[{"dropping-particle":"","family":"Zhao","given":"Keyan","non-dropping-particle":"","parse-names":false,"suffix":""},{"dropping-particle":"","family":"Wright","given":"Mark","non-dropping-particle":"","parse-names":false,"suffix":""},{"dropping-particle":"","family":"Kimball","given":"Jennifer","non-dropping-particle":"","parse-names":false,"suffix":""},{"dropping-particle":"","family":"Eizenga","given":"Georgia","non-dropping-particle":"","parse-names":false,"suffix":""},{"dropping-particle":"","family":"McClung","given":"Anna","non-dropping-particle":"","parse-names":false,"suffix":""},{"dropping-particle":"","family":"Kovach","given":"Michael","non-dropping-particle":"","parse-names":false,"suffix":""},{"dropping-particle":"","family":"Tyagi","given":"Wricha","non-dropping-particle":"","parse-names":false,"suffix":""},{"dropping-particle":"","family":"Ali","given":"Md. Liakat","non-dropping-particle":"","parse-names":false,"suffix":""},{"dropping-particle":"","family":"Tung","given":"Chih-Wei","non-dropping-particle":"","parse-names":false,"suffix":""},{"dropping-particle":"","family":"Reynolds","given":"Andy","non-dropping-particle":"","parse-names":false,"suffix":""},{"dropping-particle":"","family":"Bustamante","given":"Carlos D","non-dropping-particle":"","parse-names":false,"suffix":""},{"dropping-particle":"","family":"McCouch","given":"Susan R","non-dropping-particle":"","parse-names":false,"suffix":""}],"container-title":"PLoS ONE","id":"ITEM-1","issue":"5","issued":{"date-parts":[["2010","5","24"]]},"page":"e10780","publisher":"Public Library of Science","title":"Genomic Diversity and Introgression in O. sativa Reveal the Impact of Domestication and Breeding on the Rice Genome","type":"article-journal","volume":"5"},"uris":["http://www.mendeley.com/documents/?uuid=a1aceb55-d529-40f9-ba3a-1780b4501490"]}],"mendeley":{"formattedCitation":"(Zhao et al. 2010)","plainTextFormattedCitation":"(Zhao et al. 2010)","previouslyFormattedCitation":"(Zhao et al. 2010)"},"properties":{"noteIndex":0},"schema":"https://github.com/citation-style-language/schema/raw/master/csl-citation.json"}</w:instrText>
            </w:r>
            <w:r w:rsidRPr="006A239B">
              <w:rPr>
                <w:rFonts w:ascii="Times New Roman" w:hAnsi="Times New Roman" w:cs="Times New Roman"/>
                <w:color w:val="000000"/>
              </w:rPr>
              <w:fldChar w:fldCharType="separate"/>
            </w:r>
            <w:r w:rsidRPr="00095134">
              <w:rPr>
                <w:rFonts w:ascii="Times New Roman" w:hAnsi="Times New Roman" w:cs="Times New Roman"/>
                <w:noProof/>
                <w:color w:val="000000"/>
              </w:rPr>
              <w:t>(Zhao et al. 2010)</w:t>
            </w:r>
            <w:r w:rsidRPr="006A239B">
              <w:rPr>
                <w:rFonts w:ascii="Times New Roman" w:hAnsi="Times New Roman" w:cs="Times New Roman"/>
                <w:color w:val="000000"/>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Giza 180 (Sakha 1)</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439135</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116</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proofErr w:type="spellStart"/>
            <w:r w:rsidRPr="006A239B">
              <w:rPr>
                <w:rFonts w:ascii="Times New Roman" w:hAnsi="Times New Roman" w:cs="Times New Roman"/>
              </w:rPr>
              <w:t>Indica</w:t>
            </w:r>
            <w:proofErr w:type="spellEnd"/>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{"citationItems":[{"id":"ITEM-1","itemData":{"ISBN":"9711042118","abstract":"Focused solely on rice production in Egypt, from a conference. Rice importance in Egypt, breeding, crop management, postharvest, disease resistance etc. Some chapters are by specific authors.","author":[{"dropping-particle":"","family":"Anonymous","given":"","non-dropping-particle":"","parse-names":false,"suffix":""}],"container-title":"Proceedings of an international symposium","id":"ITEM-1","issued":{"date-parts":[["1987"]]},"number-of-pages":"386","publisher":"International Rice Research Institute","title":"Rice Farming Systems","type":"book"},"uris":["http://www.mendeley.com/documents/?uuid=562c7174-0d9b-41e1-95f5-a4647fb17486"]},{"id":"ITEM-2","itemData":{"ISBN":"9711041596","abstract":"including chapters on rice breeding, high yielding varieties, specific countries and regions, area estimates.","author":[{"dropping-particle":"","family":"Dalrymple","given":"Dana G","non-dropping-particle":"","parse-names":false,"suffix":""}],"id":"ITEM-2","issued":{"date-parts":[["1986"]]},"number-of-pages":"125","publisher":"Int. Rice Res. Inst.","title":"Development and spread of high-yielding rice varieties in developing countries","type":"book"},"uris":["http://www.mendeley.com/documents/?uuid=0cbe275c-80a8-46bb-a71d-b3842e2a8c6d"]}],"mendeley":{"formattedCitation":"(Dalrymple 1986; Anonymous 1987)","plainTextFormattedCitation":"(Dalrymple 1986; Anonymous 1987)","previouslyFormattedCitation":"(Dalrymple 1986; Anonymous 1987)"},"properties":{"noteIndex":0},"schema":"https://github.com/citation-style-language/schema/raw/master/csl-citation.json"}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(Dalrymple 1986; Anonymous 1987)</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proofErr w:type="spellStart"/>
            <w:r>
              <w:rPr>
                <w:rFonts w:ascii="Times New Roman" w:hAnsi="Times New Roman" w:cs="Times New Roman"/>
              </w:rPr>
              <w:t>Yabani</w:t>
            </w:r>
            <w:proofErr w:type="spellEnd"/>
            <w:r w:rsidRPr="001274BE">
              <w:rPr>
                <w:rFonts w:ascii="Times New Roman" w:hAnsi="Times New Roman" w:cs="Times New Roman"/>
              </w:rPr>
              <w:t xml:space="preserve"> 47</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PI 233881</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124</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Japonica</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1274BE">
              <w:rPr>
                <w:rFonts w:ascii="Times New Roman" w:hAnsi="Times New Roman" w:cs="Times New Roman"/>
              </w:rPr>
              <w:fldChar w:fldCharType="begin" w:fldLock="1"/>
            </w:r>
            <w:r w:rsidRPr="001274BE">
              <w:rPr>
                <w:rFonts w:ascii="Times New Roman" w:hAnsi="Times New Roman" w:cs="Times New Roman"/>
              </w:rPr>
              <w:instrText>ADDIN CSL_CITATION {"citationItems":[{"id":"ITEM-1","itemData":{"ISBN":"9711042118","abstract":"Focused solely on rice production in Egypt, from a conference. Rice importance in Egypt, breeding, crop management, postharvest, disease resistance etc. Some chapters are by specific authors.","author":[{"dropping-particle":"","family":"Anonymous","given":"","non-dropping-particle":"","parse-names":false,"suffix":""}],"container-title":"Proceedings of an international symposium","id":"ITEM-1","issued":{"date-parts":[["1987"]]},"number-of-pages":"386","publisher":"International Rice Research Institute","title":"Rice Farming Systems","type":"book"},"uris":["http://www.mendeley.com/documents/?uuid=562c7174-0d9b-41e1-95f5-a4647fb17486"]}],"mendeley":{"formattedCitation":"(Anonymous 1987)","plainTextFormattedCitation":"(Anonymous 1987)","previouslyFormattedCitation":"(Anonymous 1987)"},"properties":{"noteIndex":0},"schema":"https://github.com/citation-style-language/schema/raw/master/csl-citation.json"}</w:instrText>
            </w:r>
            <w:r w:rsidRPr="001274BE">
              <w:rPr>
                <w:rFonts w:ascii="Times New Roman" w:hAnsi="Times New Roman" w:cs="Times New Roman"/>
              </w:rPr>
              <w:fldChar w:fldCharType="separate"/>
            </w:r>
            <w:r w:rsidRPr="001274BE">
              <w:rPr>
                <w:rFonts w:ascii="Times New Roman" w:hAnsi="Times New Roman" w:cs="Times New Roman"/>
                <w:noProof/>
              </w:rPr>
              <w:t>(Anonymous 1987)</w:t>
            </w:r>
            <w:r w:rsidRPr="001274BE">
              <w:rPr>
                <w:rFonts w:ascii="Times New Roman" w:hAnsi="Times New Roman" w:cs="Times New Roman"/>
              </w:rPr>
              <w:fldChar w:fldCharType="end"/>
            </w:r>
            <w:r w:rsidRPr="001274BE">
              <w:rPr>
                <w:rFonts w:ascii="Times New Roman" w:hAnsi="Times New Roman" w:cs="Times New Roman"/>
              </w:rPr>
              <w:t>*</w:t>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proofErr w:type="spellStart"/>
            <w:r w:rsidRPr="006A239B">
              <w:rPr>
                <w:rFonts w:ascii="Times New Roman" w:hAnsi="Times New Roman" w:cs="Times New Roman"/>
              </w:rPr>
              <w:t>Arabi</w:t>
            </w:r>
            <w:proofErr w:type="spellEnd"/>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439121</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128</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Admix TRJ TEJ</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collection","type":"article-journal","volume":"2"},"uris":["http://www.mendeley.com/documents/?uuid=d2ac08f7-683d-4bcb-b0e5-b4f3be49bc7c"]},{"id":"ITEM-2","itemData":{"abstract":"Background The domestication of Asian rice (&lt;italic&gt;Oryza sativa&lt;/italic&gt;) was a complex process punctuated by episodes of introgressive hybridization among and between subpopulations. Deep genetic divergence between the two main varietal groups (&lt;italic&gt;Indica&lt;/italic&gt; and &lt;italic&gt;Japonica&lt;/italic&gt;) suggests domestication from at least two distinct wild populations. However, genetic uniformity surrounding key domestication genes across divergent subpopulations suggests cultural exchange of genetic material among ancient farmers.&lt;/p&gt; &lt;/sec&gt;&lt;sec&gt; &lt;title&gt;Methodology/Principal Findings&lt;/title&gt; &lt;p&gt;In this study, we utilize a novel 1,536 SNP panel genotyped across 395 diverse accessions of &lt;italic&gt;O. sativa&lt;/italic&gt; to study genome-wide patterns of polymorphism, to characterize population structure, and to infer the introgression history of domesticated Asian rice. Our population structure analyses support the existence of five major subpopulations (&lt;italic&gt;indica&lt;/italic&gt;, &lt;italic&gt;aus&lt;/italic&gt;, &lt;italic&gt;tropical japonica&lt;/italic&gt;, &lt;italic&gt;temperate japonica&lt;/italic&gt; and &lt;italic&gt;GroupV&lt;/italic&gt;) consistent with previous analyses. Our introgression analysis shows that most accessions exhibit some degree of admixture, with many individuals within a population sharing the same introgressed segment due to artificial selection. Admixture mapping and association analysis of amylose content and grain length illustrate the potential for dissecting the genetic basis of complex traits in domesticated plant populations.&lt;/p&gt; &lt;/sec&gt;&lt;sec&gt; &lt;title&gt;Conclusions/Significance&lt;/title&gt; &lt;p&gt;Genes in these regions control a myriad of traits including plant stature, blast resistance, and amylose content. These analyses highlight the power of population genomics in agricultural systems to identify functionally important regions of the genome and to decipher the role of human-directed breeding in refashioning the genomes of a domesticated species.&lt;/p&gt; &lt;/sec&gt;","author":[{"dropping-particle":"","family":"Zhao","given":"Keyan","non-dropping-particle":"","parse-names":false,"suffix":""},{"dropping-particle":"","family":"Wright","given":"Mark","non-dropping-particle":"","parse-names":false,"suffix":""},{"dropping-particle":"","family":"Kimball","given":"Jennifer","non-dropping-particle":"","parse-names":false,"suffix":""},{"dropping-particle":"","family":"Eizenga","given":"Georgia","non-dropping-particle":"","parse-names":false,"suffix":""},{"dropping-particle":"","family":"McClung","given":"Anna","non-dropping-particle":"","parse-names":false,"suffix":""},{"dropping-particle":"","family":"Kovach","given":"Michael","non-dropping-particle":"","parse-names":false,"suffix":""},{"dropping-particle":"","family":"Tyagi","given":"Wricha","non-dropping-particle":"","parse-names":false,"suffix":""},{"dropping-particle":"","family":"Ali","given":"Md. Liakat","non-dropping-particle":"","parse-names":false,"suffix":""},{"dropping-particle":"","family":"Tung","given":"Chih-Wei","non-dropping-particle":"","parse-names":false,"suffix":""},{"dropping-particle":"","family":"Reynolds","given":"Andy","non-dropping-particle":"","parse-names":false,"suffix":""},{"dropping-particle":"","family":"Bustamante","given":"Carlos D","non-dropping-particle":"","parse-names":false,"suffix":""},{"dropping-particle":"","family":"McCouch","given":"Susan R","non-dropping-particle":"","parse-names":false,"suffix":""}],"container-title":"PLoS ONE","id":"ITEM-2","issue":"5","issued":{"date-parts":[["2010","5","24"]]},"page":"e10780","publisher":"Public Library of Science","title":"Genomic Diversity and Introgression in O. sativa Reveal the Impact of Domestication and Breeding on the Rice Genome","type":"article-journal","volume":"5"},"uris":["http://www.mendeley.com/documents/?uuid=a1aceb55-d529-40f9-ba3a-1780b4501490"]}],"mendeley":{"formattedCitation":"(Agrama et al. 2010; Zhao et al. 2010)","plainTextFormattedCitation":"(Agrama et al. 2010; Zhao et al. 2010)","previouslyFormattedCitation":"(Agrama et al. 2010; Zhao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 Zhao et al. 2010)</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Egypt 6</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431163</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104</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Pr>
                <w:rFonts w:ascii="Times New Roman" w:hAnsi="Times New Roman" w:cs="Times New Roman"/>
              </w:rPr>
              <w:t>Japonica</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Abd</w:t>
            </w:r>
            <w:proofErr w:type="spellEnd"/>
            <w:r>
              <w:rPr>
                <w:rFonts w:ascii="Times New Roman" w:hAnsi="Times New Roman" w:cs="Times New Roman"/>
              </w:rPr>
              <w:t xml:space="preserve"> Allah </w:t>
            </w:r>
            <w:proofErr w:type="spellStart"/>
            <w:r>
              <w:rPr>
                <w:rFonts w:ascii="Times New Roman" w:hAnsi="Times New Roman" w:cs="Times New Roman"/>
              </w:rPr>
              <w:t>Abd</w:t>
            </w:r>
            <w:proofErr w:type="spellEnd"/>
            <w:r>
              <w:rPr>
                <w:rFonts w:ascii="Times New Roman" w:hAnsi="Times New Roman" w:cs="Times New Roman"/>
              </w:rPr>
              <w:t xml:space="preserve"> </w:t>
            </w:r>
            <w:proofErr w:type="spellStart"/>
            <w:r>
              <w:rPr>
                <w:rFonts w:ascii="Times New Roman" w:hAnsi="Times New Roman" w:cs="Times New Roman"/>
              </w:rPr>
              <w:t>Elnaby</w:t>
            </w:r>
            <w:proofErr w:type="spellEnd"/>
            <w:r>
              <w:rPr>
                <w:rFonts w:ascii="Times New Roman" w:hAnsi="Times New Roman" w:cs="Times New Roman"/>
              </w:rPr>
              <w:t xml:space="preserve">, ARC, Egypt, personal </w:t>
            </w:r>
            <w:proofErr w:type="spellStart"/>
            <w:r>
              <w:rPr>
                <w:rFonts w:ascii="Times New Roman" w:hAnsi="Times New Roman" w:cs="Times New Roman"/>
              </w:rPr>
              <w:t>commun</w:t>
            </w:r>
            <w:proofErr w:type="spellEnd"/>
            <w:r>
              <w:rPr>
                <w:rFonts w:ascii="Times New Roman" w:hAnsi="Times New Roman" w:cs="Times New Roman"/>
              </w:rPr>
              <w:t>.</w:t>
            </w:r>
          </w:p>
        </w:tc>
      </w:tr>
      <w:tr w:rsidR="00E406A7" w:rsidRPr="006A239B" w:rsidTr="00C11095">
        <w:trPr>
          <w:gridAfter w:val="1"/>
          <w:wAfter w:w="60" w:type="dxa"/>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proofErr w:type="spellStart"/>
            <w:r w:rsidRPr="001274BE">
              <w:rPr>
                <w:rFonts w:ascii="Times New Roman" w:hAnsi="Times New Roman" w:cs="Times New Roman"/>
              </w:rPr>
              <w:t>Nabatat</w:t>
            </w:r>
            <w:proofErr w:type="spellEnd"/>
            <w:r w:rsidRPr="001274BE">
              <w:rPr>
                <w:rFonts w:ascii="Times New Roman" w:hAnsi="Times New Roman" w:cs="Times New Roman"/>
              </w:rPr>
              <w:t xml:space="preserve"> </w:t>
            </w:r>
            <w:proofErr w:type="spellStart"/>
            <w:r w:rsidRPr="001274BE">
              <w:rPr>
                <w:rFonts w:ascii="Times New Roman" w:hAnsi="Times New Roman" w:cs="Times New Roman"/>
              </w:rPr>
              <w:t>Asmar</w:t>
            </w:r>
            <w:proofErr w:type="spellEnd"/>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PI 439139</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93</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1274BE" w:rsidRDefault="00E406A7" w:rsidP="00C11095">
            <w:pPr>
              <w:rPr>
                <w:rFonts w:ascii="Times New Roman" w:hAnsi="Times New Roman" w:cs="Times New Roman"/>
              </w:rPr>
            </w:pPr>
            <w:r w:rsidRPr="001274BE">
              <w:rPr>
                <w:rFonts w:ascii="Times New Roman" w:hAnsi="Times New Roman" w:cs="Times New Roman"/>
              </w:rPr>
              <w:t>TRJ</w:t>
            </w:r>
          </w:p>
        </w:tc>
        <w:tc>
          <w:tcPr>
            <w:tcW w:w="207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1274BE">
              <w:rPr>
                <w:rFonts w:ascii="Times New Roman" w:hAnsi="Times New Roman" w:cs="Times New Roman"/>
              </w:rPr>
              <w:fldChar w:fldCharType="begin" w:fldLock="1"/>
            </w:r>
            <w:r w:rsidRPr="001274BE">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1274BE">
              <w:rPr>
                <w:rFonts w:ascii="Times New Roman" w:hAnsi="Times New Roman" w:cs="Times New Roman"/>
              </w:rPr>
              <w:fldChar w:fldCharType="separate"/>
            </w:r>
            <w:r w:rsidRPr="001274BE">
              <w:rPr>
                <w:rFonts w:ascii="Times New Roman" w:hAnsi="Times New Roman" w:cs="Times New Roman"/>
                <w:noProof/>
              </w:rPr>
              <w:t>(Agrama et al. 2010)</w:t>
            </w:r>
            <w:r w:rsidRPr="001274BE">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proofErr w:type="spellStart"/>
            <w:r w:rsidRPr="006A239B">
              <w:rPr>
                <w:rFonts w:ascii="Times New Roman" w:hAnsi="Times New Roman" w:cs="Times New Roman"/>
              </w:rPr>
              <w:t>Nahda</w:t>
            </w:r>
            <w:proofErr w:type="spellEnd"/>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329136</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124</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TEJ</w:t>
            </w:r>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Egypt 5</w:t>
            </w:r>
          </w:p>
        </w:tc>
        <w:tc>
          <w:tcPr>
            <w:tcW w:w="1938"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 xml:space="preserve">PI 431162 </w:t>
            </w:r>
          </w:p>
        </w:tc>
        <w:tc>
          <w:tcPr>
            <w:tcW w:w="1122"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118</w:t>
            </w:r>
          </w:p>
        </w:tc>
        <w:tc>
          <w:tcPr>
            <w:tcW w:w="1800" w:type="dxa"/>
            <w:tcBorders>
              <w:top w:val="nil"/>
              <w:left w:val="nil"/>
              <w:bottom w:val="nil"/>
              <w:right w:val="nil"/>
            </w:tcBorders>
            <w:shd w:val="clear" w:color="auto" w:fill="FFFFFF"/>
            <w:tcMar>
              <w:top w:w="12" w:type="dxa"/>
              <w:left w:w="12" w:type="dxa"/>
              <w:bottom w:w="0" w:type="dxa"/>
              <w:right w:w="12" w:type="dxa"/>
            </w:tcMar>
            <w:vAlign w:val="center"/>
            <w:hideMark/>
          </w:tcPr>
          <w:p w:rsidR="00E406A7" w:rsidRPr="00F177E1" w:rsidRDefault="00E406A7" w:rsidP="00C11095">
            <w:pPr>
              <w:rPr>
                <w:rFonts w:ascii="Times New Roman" w:hAnsi="Times New Roman" w:cs="Times New Roman"/>
                <w:i/>
              </w:rPr>
            </w:pPr>
            <w:proofErr w:type="spellStart"/>
            <w:r w:rsidRPr="00F177E1">
              <w:rPr>
                <w:rFonts w:ascii="Times New Roman" w:hAnsi="Times New Roman" w:cs="Times New Roman"/>
                <w:i/>
              </w:rPr>
              <w:t>indica</w:t>
            </w:r>
            <w:proofErr w:type="spellEnd"/>
          </w:p>
        </w:tc>
        <w:tc>
          <w:tcPr>
            <w:tcW w:w="2130" w:type="dxa"/>
            <w:gridSpan w:val="2"/>
            <w:tcBorders>
              <w:top w:val="nil"/>
              <w:left w:val="nil"/>
              <w:bottom w:val="nil"/>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tc>
      </w:tr>
      <w:tr w:rsidR="00E406A7" w:rsidRPr="006A239B" w:rsidTr="00C11095">
        <w:trPr>
          <w:trHeight w:val="432"/>
        </w:trPr>
        <w:tc>
          <w:tcPr>
            <w:tcW w:w="261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Egypt 1</w:t>
            </w:r>
          </w:p>
        </w:tc>
        <w:tc>
          <w:tcPr>
            <w:tcW w:w="1938"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PI 431158</w:t>
            </w:r>
          </w:p>
        </w:tc>
        <w:tc>
          <w:tcPr>
            <w:tcW w:w="1122"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t>92</w:t>
            </w:r>
          </w:p>
        </w:tc>
        <w:tc>
          <w:tcPr>
            <w:tcW w:w="1800" w:type="dxa"/>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F177E1" w:rsidRDefault="00E406A7" w:rsidP="00C11095">
            <w:pPr>
              <w:rPr>
                <w:rFonts w:ascii="Times New Roman" w:hAnsi="Times New Roman" w:cs="Times New Roman"/>
                <w:i/>
              </w:rPr>
            </w:pPr>
            <w:proofErr w:type="spellStart"/>
            <w:r w:rsidRPr="00F177E1">
              <w:rPr>
                <w:rFonts w:ascii="Times New Roman" w:hAnsi="Times New Roman" w:cs="Times New Roman"/>
                <w:i/>
              </w:rPr>
              <w:t>indica</w:t>
            </w:r>
            <w:proofErr w:type="spellEnd"/>
          </w:p>
        </w:tc>
        <w:tc>
          <w:tcPr>
            <w:tcW w:w="2130" w:type="dxa"/>
            <w:gridSpan w:val="2"/>
            <w:tcBorders>
              <w:top w:val="nil"/>
              <w:left w:val="nil"/>
              <w:bottom w:val="single" w:sz="8" w:space="0" w:color="000000"/>
              <w:right w:val="nil"/>
            </w:tcBorders>
            <w:shd w:val="clear" w:color="auto" w:fill="FFFFFF"/>
            <w:tcMar>
              <w:top w:w="12" w:type="dxa"/>
              <w:left w:w="12" w:type="dxa"/>
              <w:bottom w:w="0" w:type="dxa"/>
              <w:right w:w="12" w:type="dxa"/>
            </w:tcMar>
            <w:vAlign w:val="center"/>
            <w:hideMark/>
          </w:tcPr>
          <w:p w:rsidR="00E406A7" w:rsidRPr="006A239B" w:rsidRDefault="00E406A7" w:rsidP="00C11095">
            <w:pPr>
              <w:rPr>
                <w:rFonts w:ascii="Times New Roman" w:hAnsi="Times New Roman" w:cs="Times New Roman"/>
              </w:rPr>
            </w:pP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tc>
      </w:tr>
    </w:tbl>
    <w:p w:rsidR="00E406A7" w:rsidRDefault="00E406A7" w:rsidP="00E406A7">
      <w:pPr>
        <w:rPr>
          <w:rFonts w:ascii="Times New Roman" w:hAnsi="Times New Roman" w:cs="Times New Roman"/>
        </w:rPr>
      </w:pPr>
      <w:r>
        <w:rPr>
          <w:rFonts w:ascii="Times New Roman" w:hAnsi="Times New Roman" w:cs="Times New Roman"/>
        </w:rPr>
        <w:t xml:space="preserve">Abbreviations and font designations: TEJ: temperate japonica; TRJ: tropical japonica; upper case </w:t>
      </w:r>
      <w:proofErr w:type="spellStart"/>
      <w:r>
        <w:rPr>
          <w:rFonts w:ascii="Times New Roman" w:hAnsi="Times New Roman" w:cs="Times New Roman"/>
        </w:rPr>
        <w:t>Indica</w:t>
      </w:r>
      <w:proofErr w:type="spellEnd"/>
      <w:r>
        <w:rPr>
          <w:rFonts w:ascii="Times New Roman" w:hAnsi="Times New Roman" w:cs="Times New Roman"/>
        </w:rPr>
        <w:t xml:space="preserve">: varietal group </w:t>
      </w:r>
      <w:proofErr w:type="spellStart"/>
      <w:r>
        <w:rPr>
          <w:rFonts w:ascii="Times New Roman" w:hAnsi="Times New Roman" w:cs="Times New Roman"/>
        </w:rPr>
        <w:t>indica</w:t>
      </w:r>
      <w:proofErr w:type="spellEnd"/>
      <w:r>
        <w:rPr>
          <w:rFonts w:ascii="Times New Roman" w:hAnsi="Times New Roman" w:cs="Times New Roman"/>
        </w:rPr>
        <w:t xml:space="preserve">; lower case </w:t>
      </w:r>
      <w:proofErr w:type="spellStart"/>
      <w:r w:rsidRPr="00F177E1">
        <w:rPr>
          <w:rFonts w:ascii="Times New Roman" w:hAnsi="Times New Roman" w:cs="Times New Roman"/>
          <w:i/>
        </w:rPr>
        <w:t>indica</w:t>
      </w:r>
      <w:proofErr w:type="spellEnd"/>
      <w:r>
        <w:rPr>
          <w:rFonts w:ascii="Times New Roman" w:hAnsi="Times New Roman" w:cs="Times New Roman"/>
        </w:rPr>
        <w:t xml:space="preserve">: subpopulation </w:t>
      </w:r>
      <w:proofErr w:type="spellStart"/>
      <w:r w:rsidRPr="00F177E1">
        <w:rPr>
          <w:rFonts w:ascii="Times New Roman" w:hAnsi="Times New Roman" w:cs="Times New Roman"/>
          <w:i/>
        </w:rPr>
        <w:t>indica</w:t>
      </w:r>
      <w:proofErr w:type="spellEnd"/>
      <w:r>
        <w:rPr>
          <w:rFonts w:ascii="Times New Roman" w:hAnsi="Times New Roman" w:cs="Times New Roman"/>
        </w:rPr>
        <w:t>.</w:t>
      </w:r>
    </w:p>
    <w:p w:rsidR="00E406A7" w:rsidRPr="006A239B" w:rsidRDefault="00E406A7" w:rsidP="00E406A7">
      <w:pPr>
        <w:rPr>
          <w:rFonts w:ascii="Times New Roman" w:hAnsi="Times New Roman" w:cs="Times New Roman"/>
        </w:rPr>
      </w:pPr>
      <w:r w:rsidRPr="006A239B">
        <w:rPr>
          <w:rFonts w:ascii="Times New Roman" w:hAnsi="Times New Roman" w:cs="Times New Roman"/>
        </w:rPr>
        <w:t>*</w:t>
      </w:r>
      <w:r>
        <w:rPr>
          <w:rFonts w:ascii="Times New Roman" w:hAnsi="Times New Roman" w:cs="Times New Roman"/>
        </w:rPr>
        <w:t>Varietal group i</w:t>
      </w:r>
      <w:r w:rsidRPr="006A239B">
        <w:rPr>
          <w:rFonts w:ascii="Times New Roman" w:hAnsi="Times New Roman" w:cs="Times New Roman"/>
        </w:rPr>
        <w:t xml:space="preserve">nferred based on parentage, amylose content, </w:t>
      </w:r>
      <w:r>
        <w:rPr>
          <w:rFonts w:ascii="Times New Roman" w:hAnsi="Times New Roman" w:cs="Times New Roman"/>
        </w:rPr>
        <w:t xml:space="preserve">and </w:t>
      </w:r>
      <w:r w:rsidRPr="006A239B">
        <w:rPr>
          <w:rFonts w:ascii="Times New Roman" w:hAnsi="Times New Roman" w:cs="Times New Roman"/>
        </w:rPr>
        <w:t>grain length</w:t>
      </w:r>
      <w:r>
        <w:rPr>
          <w:rFonts w:ascii="Times New Roman" w:hAnsi="Times New Roman" w:cs="Times New Roman"/>
        </w:rPr>
        <w:t xml:space="preserve">, and Arabic translation of </w:t>
      </w:r>
      <w:proofErr w:type="spellStart"/>
      <w:r>
        <w:rPr>
          <w:rFonts w:ascii="Times New Roman" w:hAnsi="Times New Roman" w:cs="Times New Roman"/>
        </w:rPr>
        <w:t>Yabani</w:t>
      </w:r>
      <w:proofErr w:type="spellEnd"/>
      <w:r>
        <w:rPr>
          <w:rFonts w:ascii="Times New Roman" w:hAnsi="Times New Roman" w:cs="Times New Roman"/>
        </w:rPr>
        <w:t xml:space="preserve"> as "Japanese".</w:t>
      </w:r>
    </w:p>
    <w:p w:rsidR="00E406A7" w:rsidRDefault="00E406A7" w:rsidP="00E406A7">
      <w:pPr>
        <w:rPr>
          <w:rFonts w:ascii="Times New Roman" w:hAnsi="Times New Roman" w:cs="Times New Roman"/>
        </w:rPr>
      </w:pPr>
      <w:r w:rsidRPr="006A239B">
        <w:rPr>
          <w:rFonts w:ascii="Times New Roman" w:hAnsi="Times New Roman" w:cs="Times New Roman"/>
        </w:rPr>
        <w:t xml:space="preserve">†Listed as TEJ by </w:t>
      </w:r>
      <w:r w:rsidRPr="006A239B">
        <w:rPr>
          <w:rFonts w:ascii="Times New Roman" w:hAnsi="Times New Roman" w:cs="Times New Roman"/>
        </w:rPr>
        <w:fldChar w:fldCharType="begin" w:fldLock="1"/>
      </w:r>
      <w:r>
        <w:rPr>
          <w:rFonts w:ascii="Times New Roman" w:hAnsi="Times New Roman" w:cs="Times New Roman"/>
        </w:rPr>
        <w:instrText>ADDIN CSL_CITATION {"citationItems":[{"id":"ITEM-1","itemData":{"abstract":"Cultivated rice (Oryza sativa L.) is structured into five genetic groups, indica, aus, tropical japonica, temperate japonica and aromatic. Genetic characterization of rice germplasm collections will enhance their utilization by the global research community for improvement of rice. The USDA world collection of rice germ- plasm that was initiated in 1904 has resulted in over 18,000 accessions from 116 countries, but their ancestry information is not available. A core subset, including 1,763 accessions repre- senting the collection, was genotyped using 72 genome-wide SSR markers, and analyzed for genetic structure, genetic relationship, global distribution and genetic diversity. Ancestry analysis proportioned this collection to 35% indica, 27% temperate japonica, 24% tropical japonica, 10% aus and 4% aromatic. Graphing model-based ancestry coefficients demon- strated that tropical japonica showed up mainly in the American continents and part of the South Pacific and Oceania, and temperate japonica in Europe and the North Pacific far from the equator, which matched the responses to tem- perature. Indica is adapted to the warm areas of Southern Asia, South China, Southeast Asia, South Pacific and Central Africa and around the equator while aus and aromatic are special types of rice that concentrates in Bangladesh and India. Indica and aus were highly diversified while temperate and tropical japonicas had low diversity, indicated by average alleles and pri- vate alleles per locus. Aromatic has the most polymorphic information content. Indica and aromatic were genetically closer to tropical ja- ponica than temperate japonica. This study of global rice has found significant population stratification generally corresponding to major geographic regions of the world.","author":[{"dropping-particle":"","family":"Agrama","given":"Hesham A","non-dropping-particle":"","parse-names":false,"suffix":""},{"dropping-particle":"","family":"Yan","given":"WenGui","non-dropping-particle":"","parse-names":false,"suffix":""},{"dropping-particle":"","family":"Jia","given":"Melissa","non-dropping-particle":"","parse-names":false,"suffix":""},{"dropping-particle":"","family":"Fjellstrom","given":"Robert","non-dropping-particle":"","parse-names":false,"suffix":""},{"dropping-particle":"","family":"McClung","given":"Anna M","non-dropping-particle":"","parse-names":false,"suffix":""}],"container-title":"Natural Science","id":"ITEM-1","issue":"04","issued":{"date-parts":[["2010"]]},"page":"247","publisher":"Scientific Research Publishing","title":"Genetic structure associated with diversity and geographic distribution in the USDA rice world collection","type":"article-journal","volume":"2"},"uris":["http://www.mendeley.com/documents/?uuid=d2ac08f7-683d-4bcb-b0e5-b4f3be49bc7c"]}],"mendeley":{"formattedCitation":"(Agrama et al. 2010)","plainTextFormattedCitation":"(Agrama et al. 2010)","previouslyFormattedCitation":"(Agrama et al. 2010)"},"properties":{"noteIndex":0},"schema":"https://github.com/citation-style-language/schema/raw/master/csl-citation.json"}</w:instrText>
      </w:r>
      <w:r w:rsidRPr="006A239B">
        <w:rPr>
          <w:rFonts w:ascii="Times New Roman" w:hAnsi="Times New Roman" w:cs="Times New Roman"/>
        </w:rPr>
        <w:fldChar w:fldCharType="separate"/>
      </w:r>
      <w:r w:rsidRPr="00095134">
        <w:rPr>
          <w:rFonts w:ascii="Times New Roman" w:hAnsi="Times New Roman" w:cs="Times New Roman"/>
          <w:noProof/>
        </w:rPr>
        <w:t>(Agrama et al. 2010)</w:t>
      </w:r>
      <w:r w:rsidRPr="006A239B">
        <w:rPr>
          <w:rFonts w:ascii="Times New Roman" w:hAnsi="Times New Roman" w:cs="Times New Roman"/>
        </w:rPr>
        <w:fldChar w:fldCharType="end"/>
      </w:r>
    </w:p>
    <w:p w:rsidR="00E406A7" w:rsidRDefault="00E406A7" w:rsidP="00E406A7">
      <w:pPr>
        <w:rPr>
          <w:rFonts w:ascii="Times New Roman" w:hAnsi="Times New Roman" w:cs="Times New Roman"/>
        </w:rPr>
      </w:pPr>
    </w:p>
    <w:p w:rsidR="00E406A7" w:rsidRDefault="00E406A7" w:rsidP="00E406A7">
      <w:pPr>
        <w:rPr>
          <w:rFonts w:ascii="Times New Roman" w:hAnsi="Times New Roman" w:cs="Times New Roman"/>
        </w:rPr>
      </w:pPr>
      <w:r>
        <w:rPr>
          <w:rFonts w:ascii="Times New Roman" w:hAnsi="Times New Roman" w:cs="Times New Roman"/>
          <w:b/>
          <w:bCs/>
        </w:rPr>
        <w:t>References cited for supplemental table 1</w:t>
      </w:r>
      <w:bookmarkStart w:id="0" w:name="_GoBack"/>
      <w:bookmarkEnd w:id="0"/>
    </w:p>
    <w:p w:rsidR="00E406A7" w:rsidRPr="00095134" w:rsidRDefault="00E406A7" w:rsidP="00E406A7">
      <w:pPr>
        <w:widowControl w:val="0"/>
        <w:autoSpaceDE w:val="0"/>
        <w:autoSpaceDN w:val="0"/>
        <w:adjustRightInd w:val="0"/>
        <w:spacing w:after="120" w:line="240" w:lineRule="auto"/>
        <w:rPr>
          <w:rFonts w:ascii="Times New Roman" w:hAnsi="Times New Roman" w:cs="Times New Roman"/>
          <w:noProof/>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Pr="00095134">
        <w:rPr>
          <w:rFonts w:ascii="Times New Roman" w:hAnsi="Times New Roman" w:cs="Times New Roman"/>
          <w:noProof/>
        </w:rPr>
        <w:t>Agrama HA, Yan W, Jia M, et al. (2010) Genetic structure associated with diversity and geographic distribution in the USDA rice world collection. Nat Sci 2:247.</w:t>
      </w:r>
    </w:p>
    <w:p w:rsidR="00E406A7" w:rsidRPr="00095134" w:rsidRDefault="00E406A7" w:rsidP="00E406A7">
      <w:pPr>
        <w:widowControl w:val="0"/>
        <w:autoSpaceDE w:val="0"/>
        <w:autoSpaceDN w:val="0"/>
        <w:adjustRightInd w:val="0"/>
        <w:spacing w:after="120" w:line="240" w:lineRule="auto"/>
        <w:rPr>
          <w:rFonts w:ascii="Times New Roman" w:hAnsi="Times New Roman" w:cs="Times New Roman"/>
          <w:noProof/>
        </w:rPr>
      </w:pPr>
      <w:r w:rsidRPr="00095134">
        <w:rPr>
          <w:rFonts w:ascii="Times New Roman" w:hAnsi="Times New Roman" w:cs="Times New Roman"/>
          <w:noProof/>
        </w:rPr>
        <w:t>Anonymous (1987) Rice Farming Systems. International Rice Research Institute</w:t>
      </w:r>
    </w:p>
    <w:p w:rsidR="00E406A7" w:rsidRPr="00095134" w:rsidRDefault="00E406A7" w:rsidP="00E406A7">
      <w:pPr>
        <w:widowControl w:val="0"/>
        <w:autoSpaceDE w:val="0"/>
        <w:autoSpaceDN w:val="0"/>
        <w:adjustRightInd w:val="0"/>
        <w:spacing w:after="120" w:line="240" w:lineRule="auto"/>
        <w:rPr>
          <w:rFonts w:ascii="Times New Roman" w:hAnsi="Times New Roman" w:cs="Times New Roman"/>
          <w:noProof/>
        </w:rPr>
      </w:pPr>
      <w:r w:rsidRPr="00095134">
        <w:rPr>
          <w:rFonts w:ascii="Times New Roman" w:hAnsi="Times New Roman" w:cs="Times New Roman"/>
          <w:noProof/>
        </w:rPr>
        <w:t>Dalrymple DG (1986) Development and spread of high-yielding rice varieties in developing countries. Int. Rice Res. Inst.</w:t>
      </w:r>
    </w:p>
    <w:p w:rsidR="00E406A7" w:rsidRPr="00095134" w:rsidRDefault="00E406A7" w:rsidP="00E406A7">
      <w:pPr>
        <w:widowControl w:val="0"/>
        <w:autoSpaceDE w:val="0"/>
        <w:autoSpaceDN w:val="0"/>
        <w:adjustRightInd w:val="0"/>
        <w:spacing w:after="120" w:line="240" w:lineRule="auto"/>
        <w:rPr>
          <w:rFonts w:ascii="Times New Roman" w:hAnsi="Times New Roman" w:cs="Times New Roman"/>
          <w:noProof/>
        </w:rPr>
      </w:pPr>
      <w:r w:rsidRPr="00095134">
        <w:rPr>
          <w:rFonts w:ascii="Times New Roman" w:hAnsi="Times New Roman" w:cs="Times New Roman"/>
          <w:noProof/>
        </w:rPr>
        <w:t>Zhao K, Wright M, Kimball J, et al. (2010) Genomic Diversity and Introgression in O. sativa Reveal the Impact of Domestication and Breeding on the Rice Genome. PLoS One 5:e10780.</w:t>
      </w:r>
    </w:p>
    <w:p w:rsidR="0047454B" w:rsidRDefault="00E406A7" w:rsidP="00E406A7">
      <w:r>
        <w:rPr>
          <w:rFonts w:ascii="Times New Roman" w:hAnsi="Times New Roman" w:cs="Times New Roman"/>
        </w:rPr>
        <w:lastRenderedPageBreak/>
        <w:fldChar w:fldCharType="end"/>
      </w:r>
    </w:p>
    <w:sectPr w:rsidR="00474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6A7"/>
    <w:rsid w:val="0047454B"/>
    <w:rsid w:val="00497CA6"/>
    <w:rsid w:val="00AF6AD5"/>
    <w:rsid w:val="00B4303A"/>
    <w:rsid w:val="00B82692"/>
    <w:rsid w:val="00D71FB8"/>
    <w:rsid w:val="00E4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6609</Words>
  <Characters>31265</Characters>
  <Application>Microsoft Office Word</Application>
  <DocSecurity>0</DocSecurity>
  <Lines>1563</Lines>
  <Paragraphs>841</Paragraphs>
  <ScaleCrop>false</ScaleCrop>
  <Company/>
  <LinksUpToDate>false</LinksUpToDate>
  <CharactersWithSpaces>37033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MGBATOMALAQUE</dc:creator>
  <cp:lastModifiedBy>MGBATOMALAQUE</cp:lastModifiedBy>
  <cp:revision>1</cp:revision>
  <dcterms:created xsi:type="dcterms:W3CDTF">2018-10-26T05:33:00Z</dcterms:created>
  <dcterms:modified xsi:type="dcterms:W3CDTF">2018-10-26T05:34:00Z</dcterms:modified>
</cp:coreProperties>
</file>