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B77523" w14:textId="31E0018B" w:rsidR="00C60147" w:rsidRPr="00F02CCC" w:rsidRDefault="00C60147" w:rsidP="00C60147">
      <w:pPr>
        <w:rPr>
          <w:b/>
          <w:bCs/>
        </w:rPr>
      </w:pPr>
      <w:r w:rsidRPr="00F02CCC">
        <w:rPr>
          <w:b/>
          <w:bCs/>
        </w:rPr>
        <w:t xml:space="preserve">Characterization of the leaf </w:t>
      </w:r>
      <w:r>
        <w:rPr>
          <w:b/>
          <w:bCs/>
        </w:rPr>
        <w:t>microbiome</w:t>
      </w:r>
      <w:r w:rsidRPr="00F02CCC">
        <w:rPr>
          <w:b/>
          <w:bCs/>
        </w:rPr>
        <w:t xml:space="preserve"> from </w:t>
      </w:r>
      <w:r>
        <w:rPr>
          <w:b/>
          <w:bCs/>
        </w:rPr>
        <w:t>whole-genome</w:t>
      </w:r>
      <w:r w:rsidRPr="00F02CCC">
        <w:rPr>
          <w:b/>
          <w:bCs/>
        </w:rPr>
        <w:t xml:space="preserve"> sequencing</w:t>
      </w:r>
      <w:r>
        <w:rPr>
          <w:b/>
          <w:bCs/>
        </w:rPr>
        <w:t xml:space="preserve"> data of the </w:t>
      </w:r>
      <w:r w:rsidRPr="00F02CCC">
        <w:rPr>
          <w:b/>
          <w:bCs/>
        </w:rPr>
        <w:t>3000 rice genome</w:t>
      </w:r>
      <w:r>
        <w:rPr>
          <w:b/>
          <w:bCs/>
        </w:rPr>
        <w:t>s</w:t>
      </w:r>
      <w:r w:rsidRPr="00F02CCC">
        <w:rPr>
          <w:b/>
          <w:bCs/>
        </w:rPr>
        <w:t xml:space="preserve"> project</w:t>
      </w:r>
      <w:r>
        <w:rPr>
          <w:b/>
          <w:bCs/>
        </w:rPr>
        <w:t>.</w:t>
      </w:r>
    </w:p>
    <w:p w14:paraId="081593DD" w14:textId="77777777" w:rsidR="00C60147" w:rsidRDefault="00C60147" w:rsidP="00C60147"/>
    <w:p w14:paraId="3ED63816" w14:textId="77777777" w:rsidR="00C60147" w:rsidRPr="0094361B" w:rsidRDefault="00C60147" w:rsidP="00C60147">
      <w:pPr>
        <w:pStyle w:val="Normal1"/>
        <w:rPr>
          <w:color w:val="000000"/>
        </w:rPr>
      </w:pPr>
    </w:p>
    <w:p w14:paraId="3B3283AD" w14:textId="308E0025" w:rsidR="00C60147" w:rsidRPr="00DC7092" w:rsidRDefault="00C60147" w:rsidP="00C60147">
      <w:pPr>
        <w:pStyle w:val="Normal1"/>
        <w:jc w:val="both"/>
        <w:rPr>
          <w:color w:val="000000"/>
          <w:lang w:val="es-ES"/>
        </w:rPr>
      </w:pPr>
      <w:proofErr w:type="spellStart"/>
      <w:r w:rsidRPr="006749CD">
        <w:rPr>
          <w:color w:val="000000"/>
          <w:lang w:val="es-ES"/>
        </w:rPr>
        <w:t>Veronica</w:t>
      </w:r>
      <w:proofErr w:type="spellEnd"/>
      <w:r w:rsidRPr="006749CD">
        <w:rPr>
          <w:color w:val="000000"/>
          <w:lang w:val="es-ES"/>
        </w:rPr>
        <w:t xml:space="preserve"> Roman-</w:t>
      </w:r>
      <w:proofErr w:type="spellStart"/>
      <w:r w:rsidRPr="006749CD">
        <w:rPr>
          <w:color w:val="000000"/>
          <w:lang w:val="es-ES"/>
        </w:rPr>
        <w:t>Reyna</w:t>
      </w:r>
      <w:r w:rsidRPr="006749CD">
        <w:rPr>
          <w:color w:val="000000"/>
          <w:vertAlign w:val="superscript"/>
          <w:lang w:val="es-ES"/>
        </w:rPr>
        <w:t>ac</w:t>
      </w:r>
      <w:r w:rsidR="0081179B">
        <w:rPr>
          <w:color w:val="000000"/>
          <w:vertAlign w:val="superscript"/>
          <w:lang w:val="es-ES"/>
        </w:rPr>
        <w:t>d</w:t>
      </w:r>
      <w:proofErr w:type="spellEnd"/>
      <w:r w:rsidRPr="006749CD">
        <w:rPr>
          <w:color w:val="000000"/>
          <w:vertAlign w:val="superscript"/>
          <w:lang w:val="es-ES"/>
        </w:rPr>
        <w:t>*</w:t>
      </w:r>
      <w:r w:rsidRPr="006749CD">
        <w:rPr>
          <w:color w:val="000000"/>
          <w:lang w:val="es-ES"/>
        </w:rPr>
        <w:t xml:space="preserve">, Dale </w:t>
      </w:r>
      <w:proofErr w:type="spellStart"/>
      <w:r w:rsidRPr="006749CD">
        <w:rPr>
          <w:color w:val="000000"/>
          <w:lang w:val="es-ES"/>
        </w:rPr>
        <w:t>Pinili</w:t>
      </w:r>
      <w:r w:rsidRPr="006749CD">
        <w:rPr>
          <w:color w:val="000000"/>
          <w:vertAlign w:val="superscript"/>
          <w:lang w:val="es-ES"/>
        </w:rPr>
        <w:t>a</w:t>
      </w:r>
      <w:r w:rsidR="0081179B">
        <w:rPr>
          <w:color w:val="000000"/>
          <w:vertAlign w:val="superscript"/>
          <w:lang w:val="es-ES"/>
        </w:rPr>
        <w:t>d</w:t>
      </w:r>
      <w:proofErr w:type="spellEnd"/>
      <w:r w:rsidRPr="006749CD">
        <w:rPr>
          <w:color w:val="000000"/>
          <w:lang w:val="es-ES"/>
        </w:rPr>
        <w:t xml:space="preserve">, </w:t>
      </w:r>
      <w:proofErr w:type="spellStart"/>
      <w:r w:rsidRPr="006749CD">
        <w:rPr>
          <w:color w:val="000000"/>
          <w:lang w:val="es-ES"/>
        </w:rPr>
        <w:t>Frances</w:t>
      </w:r>
      <w:proofErr w:type="spellEnd"/>
      <w:r w:rsidRPr="006749CD">
        <w:rPr>
          <w:color w:val="000000"/>
          <w:lang w:val="es-ES"/>
        </w:rPr>
        <w:t xml:space="preserve"> </w:t>
      </w:r>
      <w:proofErr w:type="spellStart"/>
      <w:r w:rsidRPr="006749CD">
        <w:rPr>
          <w:color w:val="000000"/>
          <w:lang w:val="es-ES"/>
        </w:rPr>
        <w:t>Nikki</w:t>
      </w:r>
      <w:proofErr w:type="spellEnd"/>
      <w:r w:rsidRPr="006749CD">
        <w:rPr>
          <w:color w:val="000000"/>
          <w:lang w:val="es-ES"/>
        </w:rPr>
        <w:t xml:space="preserve"> </w:t>
      </w:r>
      <w:proofErr w:type="spellStart"/>
      <w:r w:rsidRPr="006749CD">
        <w:rPr>
          <w:color w:val="000000"/>
          <w:lang w:val="es-ES"/>
        </w:rPr>
        <w:t>Borja</w:t>
      </w:r>
      <w:r w:rsidRPr="006749CD">
        <w:rPr>
          <w:color w:val="000000"/>
          <w:vertAlign w:val="superscript"/>
          <w:lang w:val="es-ES"/>
        </w:rPr>
        <w:t>a</w:t>
      </w:r>
      <w:proofErr w:type="spellEnd"/>
      <w:r w:rsidRPr="006749CD">
        <w:rPr>
          <w:color w:val="000000"/>
          <w:lang w:val="es-ES"/>
        </w:rPr>
        <w:t xml:space="preserve">, </w:t>
      </w:r>
      <w:proofErr w:type="spellStart"/>
      <w:r w:rsidRPr="006749CD">
        <w:rPr>
          <w:color w:val="000000"/>
          <w:lang w:val="es-ES"/>
        </w:rPr>
        <w:t>Ian</w:t>
      </w:r>
      <w:proofErr w:type="spellEnd"/>
      <w:r w:rsidRPr="006749CD">
        <w:rPr>
          <w:color w:val="000000"/>
          <w:lang w:val="es-ES"/>
        </w:rPr>
        <w:t xml:space="preserve"> Lorenzo </w:t>
      </w:r>
      <w:proofErr w:type="spellStart"/>
      <w:r w:rsidRPr="006749CD">
        <w:rPr>
          <w:color w:val="000000"/>
          <w:lang w:val="es-ES"/>
        </w:rPr>
        <w:t>Quibod</w:t>
      </w:r>
      <w:r w:rsidRPr="006749CD">
        <w:rPr>
          <w:color w:val="000000"/>
          <w:vertAlign w:val="superscript"/>
          <w:lang w:val="es-ES"/>
        </w:rPr>
        <w:t>a</w:t>
      </w:r>
      <w:proofErr w:type="spellEnd"/>
      <w:r w:rsidRPr="006749CD">
        <w:rPr>
          <w:color w:val="000000"/>
          <w:lang w:val="es-ES"/>
        </w:rPr>
        <w:t xml:space="preserve">, </w:t>
      </w:r>
      <w:proofErr w:type="spellStart"/>
      <w:r w:rsidRPr="006749CD">
        <w:rPr>
          <w:color w:val="000000"/>
          <w:lang w:val="es-ES"/>
        </w:rPr>
        <w:t>Simon</w:t>
      </w:r>
      <w:proofErr w:type="spellEnd"/>
      <w:r w:rsidRPr="006749CD">
        <w:rPr>
          <w:color w:val="000000"/>
          <w:lang w:val="es-ES"/>
        </w:rPr>
        <w:t xml:space="preserve"> C. </w:t>
      </w:r>
      <w:proofErr w:type="spellStart"/>
      <w:r w:rsidRPr="006749CD">
        <w:rPr>
          <w:color w:val="000000"/>
          <w:lang w:val="es-ES"/>
        </w:rPr>
        <w:t>Groen</w:t>
      </w:r>
      <w:r w:rsidRPr="006749CD">
        <w:rPr>
          <w:color w:val="000000"/>
          <w:vertAlign w:val="superscript"/>
          <w:lang w:val="es-ES"/>
        </w:rPr>
        <w:t>b</w:t>
      </w:r>
      <w:proofErr w:type="spellEnd"/>
      <w:r w:rsidRPr="006749CD">
        <w:rPr>
          <w:color w:val="000000"/>
          <w:lang w:val="es-ES"/>
        </w:rPr>
        <w:t>,</w:t>
      </w:r>
      <w:r w:rsidRPr="006749CD">
        <w:rPr>
          <w:lang w:val="es-ES"/>
        </w:rPr>
        <w:t xml:space="preserve"> </w:t>
      </w:r>
      <w:proofErr w:type="spellStart"/>
      <w:r w:rsidRPr="006749CD">
        <w:rPr>
          <w:color w:val="000000"/>
          <w:lang w:val="es-ES"/>
        </w:rPr>
        <w:t>Nikolai</w:t>
      </w:r>
      <w:proofErr w:type="spellEnd"/>
      <w:r w:rsidRPr="006749CD">
        <w:rPr>
          <w:color w:val="000000"/>
          <w:lang w:val="es-ES"/>
        </w:rPr>
        <w:t xml:space="preserve"> </w:t>
      </w:r>
      <w:proofErr w:type="spellStart"/>
      <w:r w:rsidRPr="006749CD">
        <w:rPr>
          <w:color w:val="000000"/>
          <w:lang w:val="es-ES"/>
        </w:rPr>
        <w:t>Alexandrov</w:t>
      </w:r>
      <w:r w:rsidRPr="006749CD">
        <w:rPr>
          <w:color w:val="000000"/>
          <w:vertAlign w:val="superscript"/>
          <w:lang w:val="es-ES"/>
        </w:rPr>
        <w:t>a</w:t>
      </w:r>
      <w:proofErr w:type="spellEnd"/>
      <w:r w:rsidRPr="006749CD">
        <w:rPr>
          <w:color w:val="000000"/>
          <w:lang w:val="es-ES"/>
        </w:rPr>
        <w:t>,</w:t>
      </w:r>
      <w:r w:rsidRPr="006749CD">
        <w:rPr>
          <w:lang w:val="es-ES"/>
        </w:rPr>
        <w:t xml:space="preserve"> </w:t>
      </w:r>
      <w:proofErr w:type="spellStart"/>
      <w:r w:rsidRPr="006749CD">
        <w:rPr>
          <w:color w:val="000000"/>
          <w:lang w:val="es-ES"/>
        </w:rPr>
        <w:t>Ramil</w:t>
      </w:r>
      <w:proofErr w:type="spellEnd"/>
      <w:r w:rsidRPr="006749CD">
        <w:rPr>
          <w:color w:val="000000"/>
          <w:lang w:val="es-ES"/>
        </w:rPr>
        <w:t xml:space="preserve"> </w:t>
      </w:r>
      <w:proofErr w:type="spellStart"/>
      <w:r w:rsidRPr="006749CD">
        <w:rPr>
          <w:color w:val="000000"/>
          <w:lang w:val="es-ES"/>
        </w:rPr>
        <w:t>Mauleon</w:t>
      </w:r>
      <w:r w:rsidRPr="006749CD">
        <w:rPr>
          <w:color w:val="000000"/>
          <w:vertAlign w:val="superscript"/>
          <w:lang w:val="es-ES"/>
        </w:rPr>
        <w:t>a</w:t>
      </w:r>
      <w:proofErr w:type="spellEnd"/>
      <w:r w:rsidRPr="006749CD">
        <w:rPr>
          <w:color w:val="000000"/>
          <w:lang w:val="es-ES"/>
        </w:rPr>
        <w:t>,</w:t>
      </w:r>
      <w:r>
        <w:rPr>
          <w:color w:val="000000"/>
          <w:lang w:val="es-ES"/>
        </w:rPr>
        <w:t xml:space="preserve"> </w:t>
      </w:r>
      <w:r w:rsidRPr="00076A5F">
        <w:rPr>
          <w:color w:val="000000"/>
          <w:lang w:val="es-ES"/>
        </w:rPr>
        <w:t xml:space="preserve">Ricardo </w:t>
      </w:r>
      <w:proofErr w:type="spellStart"/>
      <w:r w:rsidRPr="00076A5F">
        <w:rPr>
          <w:color w:val="000000"/>
          <w:lang w:val="es-ES"/>
        </w:rPr>
        <w:t>Oliva</w:t>
      </w:r>
      <w:r w:rsidRPr="00076A5F">
        <w:rPr>
          <w:color w:val="000000"/>
          <w:vertAlign w:val="superscript"/>
          <w:lang w:val="es-ES"/>
        </w:rPr>
        <w:t>a</w:t>
      </w:r>
      <w:proofErr w:type="spellEnd"/>
      <w:r w:rsidRPr="00076A5F">
        <w:rPr>
          <w:color w:val="000000"/>
          <w:vertAlign w:val="superscript"/>
          <w:lang w:val="es-ES"/>
        </w:rPr>
        <w:t>*</w:t>
      </w:r>
      <w:r w:rsidRPr="00076A5F">
        <w:rPr>
          <w:color w:val="000000"/>
          <w:lang w:val="es-ES"/>
        </w:rPr>
        <w:t>.</w:t>
      </w:r>
    </w:p>
    <w:p w14:paraId="06FC9446" w14:textId="77777777" w:rsidR="00C60147" w:rsidRDefault="00C60147" w:rsidP="00F94377">
      <w:pPr>
        <w:pStyle w:val="Normal1"/>
        <w:spacing w:line="480" w:lineRule="auto"/>
        <w:jc w:val="both"/>
        <w:rPr>
          <w:b/>
          <w:color w:val="000000"/>
        </w:rPr>
      </w:pPr>
      <w:bookmarkStart w:id="0" w:name="_GoBack"/>
      <w:bookmarkEnd w:id="0"/>
    </w:p>
    <w:p w14:paraId="07DD7A74" w14:textId="77777777" w:rsidR="0081179B" w:rsidRDefault="0081179B" w:rsidP="00F94377">
      <w:pPr>
        <w:pStyle w:val="Normal1"/>
        <w:spacing w:line="480" w:lineRule="auto"/>
        <w:jc w:val="both"/>
        <w:rPr>
          <w:b/>
          <w:color w:val="000000"/>
        </w:rPr>
      </w:pPr>
    </w:p>
    <w:p w14:paraId="6CD50E1B" w14:textId="4E3950CC" w:rsidR="00F94377" w:rsidRDefault="00F94377" w:rsidP="00F94377">
      <w:pPr>
        <w:pStyle w:val="Normal1"/>
        <w:spacing w:line="480" w:lineRule="auto"/>
        <w:jc w:val="both"/>
        <w:rPr>
          <w:b/>
          <w:color w:val="000000"/>
        </w:rPr>
      </w:pPr>
      <w:r>
        <w:rPr>
          <w:b/>
          <w:color w:val="000000"/>
        </w:rPr>
        <w:t xml:space="preserve">Materials and </w:t>
      </w:r>
      <w:r w:rsidRPr="0094361B">
        <w:rPr>
          <w:b/>
          <w:color w:val="000000"/>
        </w:rPr>
        <w:t>Methods</w:t>
      </w:r>
    </w:p>
    <w:p w14:paraId="408C2630" w14:textId="77777777" w:rsidR="006B3ED6" w:rsidRDefault="006B3ED6" w:rsidP="00F94377">
      <w:pPr>
        <w:pStyle w:val="Normal1"/>
        <w:spacing w:line="480" w:lineRule="auto"/>
        <w:jc w:val="both"/>
        <w:rPr>
          <w:b/>
          <w:color w:val="000000"/>
        </w:rPr>
      </w:pPr>
    </w:p>
    <w:p w14:paraId="14331A6A" w14:textId="711EAAD2" w:rsidR="00853122" w:rsidRPr="006B3ED6" w:rsidRDefault="00F94377" w:rsidP="00F94377">
      <w:pPr>
        <w:pStyle w:val="Normal1"/>
        <w:spacing w:line="480" w:lineRule="auto"/>
        <w:jc w:val="both"/>
        <w:rPr>
          <w:b/>
          <w:color w:val="000000"/>
        </w:rPr>
      </w:pPr>
      <w:r w:rsidRPr="0094361B">
        <w:rPr>
          <w:b/>
          <w:color w:val="000000"/>
        </w:rPr>
        <w:t>Genomic source</w:t>
      </w:r>
    </w:p>
    <w:p w14:paraId="4A22DADB" w14:textId="6BF7D33D" w:rsidR="00F94377" w:rsidRPr="00997E23" w:rsidRDefault="00F94377" w:rsidP="00F94377">
      <w:pPr>
        <w:pStyle w:val="Normal1"/>
        <w:spacing w:line="480" w:lineRule="auto"/>
        <w:jc w:val="both"/>
        <w:rPr>
          <w:color w:val="000000"/>
          <w:highlight w:val="black"/>
        </w:rPr>
      </w:pPr>
      <w:r w:rsidRPr="00901182">
        <w:rPr>
          <w:color w:val="000000"/>
        </w:rPr>
        <w:t xml:space="preserve">To describe the rice leaf microbiome, we used the 3,000 Rice Genomes Project database </w:t>
      </w:r>
      <w:r w:rsidRPr="00901182">
        <w:rPr>
          <w:color w:val="000000"/>
        </w:rPr>
        <w:fldChar w:fldCharType="begin"/>
      </w:r>
      <w:r w:rsidR="0081179B">
        <w:rPr>
          <w:color w:val="000000"/>
        </w:rPr>
        <w:instrText xml:space="preserve"> ADDIN ZOTERO_ITEM CSL_CITATION {"citationID":"olJy4oT7","properties":{"formattedCitation":"(The 3,000 rice genomes project 2014)","plainCitation":"(The 3,000 rice genomes project 2014)","noteIndex":0},"citationItems":[{"id":14625,"uris":["http://zotero.org/users/2501208/items/5IID3X3R"],"uri":["http://zotero.org/users/2501208/items/5IID3X3R"],"itemData":{"id":14625,"type":"article-journal","abstract":"Rice, Oryza sativa L., is the staple food for half the world’s population. By 2030, the production of rice must increase by at least 25% in order to keep up with global population growth and demand. Accelerated genetic gains in rice improvement are needed to mitigate the effects of climate change and loss of arable land, as well as to ensure a stable global food supply.","container-title":"GigaScience","DOI":"10.1186/2047-217X-3-7","ISSN":"2047-217X","journalAbbreviation":"GigaScience","page":"7","source":"BioMed Central","title":"The 3,000 rice genomes project","volume":"3","author":[{"literal":"The 3,000 rice genomes project"}],"issued":{"date-parts":[["2014"]]}}}],"schema":"https://github.com/citation-style-language/schema/raw/master/csl-citation.json"} </w:instrText>
      </w:r>
      <w:r w:rsidRPr="00901182">
        <w:rPr>
          <w:color w:val="000000"/>
        </w:rPr>
        <w:fldChar w:fldCharType="separate"/>
      </w:r>
      <w:r w:rsidR="0081179B">
        <w:rPr>
          <w:color w:val="000000"/>
        </w:rPr>
        <w:t>(The 3,000 rice genomes project 2014)</w:t>
      </w:r>
      <w:r w:rsidRPr="00901182">
        <w:rPr>
          <w:color w:val="000000"/>
        </w:rPr>
        <w:fldChar w:fldCharType="end"/>
      </w:r>
      <w:r w:rsidRPr="00901182">
        <w:rPr>
          <w:color w:val="000000"/>
        </w:rPr>
        <w:t xml:space="preserve"> (</w:t>
      </w:r>
      <w:r w:rsidR="0081179B" w:rsidRPr="00824009">
        <w:rPr>
          <w:rFonts w:ascii="Times" w:hAnsi="Times"/>
          <w:color w:val="131413"/>
        </w:rPr>
        <w:t>Additional file 1: Figure S1</w:t>
      </w:r>
      <w:r w:rsidRPr="00901182">
        <w:rPr>
          <w:color w:val="000000"/>
        </w:rPr>
        <w:t>)</w:t>
      </w:r>
      <w:r>
        <w:rPr>
          <w:color w:val="000000"/>
        </w:rPr>
        <w:t>.</w:t>
      </w:r>
      <w:r w:rsidRPr="00901182">
        <w:rPr>
          <w:color w:val="000000"/>
        </w:rPr>
        <w:t xml:space="preserve"> This database was originally created to gather information about rice genetic variation. </w:t>
      </w:r>
      <w:r w:rsidR="00997E23">
        <w:rPr>
          <w:color w:val="000000"/>
        </w:rPr>
        <w:t>W</w:t>
      </w:r>
      <w:r w:rsidRPr="002129D6">
        <w:rPr>
          <w:color w:val="000000"/>
        </w:rPr>
        <w:t>e used the DNA raw reads from 3,0</w:t>
      </w:r>
      <w:r w:rsidR="00997E23">
        <w:rPr>
          <w:color w:val="000000"/>
        </w:rPr>
        <w:t>24</w:t>
      </w:r>
      <w:r w:rsidRPr="002129D6">
        <w:rPr>
          <w:color w:val="000000"/>
        </w:rPr>
        <w:t xml:space="preserve"> germplasm sequenced accessions </w:t>
      </w:r>
      <w:r w:rsidRPr="00901182">
        <w:rPr>
          <w:color w:val="000000"/>
        </w:rPr>
        <w:t>to gather information about the rice leaf microbiome</w:t>
      </w:r>
      <w:r>
        <w:rPr>
          <w:color w:val="000000"/>
        </w:rPr>
        <w:t xml:space="preserve"> </w:t>
      </w:r>
      <w:r>
        <w:rPr>
          <w:color w:val="000000"/>
        </w:rPr>
        <w:fldChar w:fldCharType="begin"/>
      </w:r>
      <w:r w:rsidR="0081179B">
        <w:rPr>
          <w:color w:val="000000"/>
        </w:rPr>
        <w:instrText xml:space="preserve"> ADDIN ZOTERO_ITEM CSL_CITATION {"citationID":"L3uL4Rn3","properties":{"formattedCitation":"(The 3,000 rice genomes project 2014)","plainCitation":"(The 3,000 rice genomes project 2014)","noteIndex":0},"citationItems":[{"id":14625,"uris":["http://zotero.org/users/2501208/items/5IID3X3R"],"uri":["http://zotero.org/users/2501208/items/5IID3X3R"],"itemData":{"id":14625,"type":"article-journal","abstract":"Rice, Oryza sativa L., is the staple food for half the world’s population. By 2030, the production of rice must increase by at least 25% in order to keep up with global population growth and demand. Accelerated genetic gains in rice improvement are needed to mitigate the effects of climate change and loss of arable land, as well as to ensure a stable global food supply.","container-title":"GigaScience","DOI":"10.1186/2047-217X-3-7","ISSN":"2047-217X","journalAbbreviation":"GigaScience","page":"7","source":"BioMed Central","title":"The 3,000 rice genomes project","volume":"3","author":[{"literal":"The 3,000 rice genomes project"}],"issued":{"date-parts":[["2014"]]}}}],"schema":"https://github.com/citation-style-language/schema/raw/master/csl-citation.json"} </w:instrText>
      </w:r>
      <w:r>
        <w:rPr>
          <w:color w:val="000000"/>
        </w:rPr>
        <w:fldChar w:fldCharType="separate"/>
      </w:r>
      <w:r w:rsidR="0081179B">
        <w:rPr>
          <w:color w:val="000000"/>
        </w:rPr>
        <w:t>(The 3,000 rice genomes project 2014)</w:t>
      </w:r>
      <w:r>
        <w:rPr>
          <w:color w:val="000000"/>
        </w:rPr>
        <w:fldChar w:fldCharType="end"/>
      </w:r>
      <w:r>
        <w:rPr>
          <w:color w:val="000000"/>
        </w:rPr>
        <w:t xml:space="preserve">. We used </w:t>
      </w:r>
      <w:r w:rsidRPr="00901182">
        <w:rPr>
          <w:color w:val="000000"/>
        </w:rPr>
        <w:t xml:space="preserve">the </w:t>
      </w:r>
      <w:r>
        <w:rPr>
          <w:color w:val="000000"/>
        </w:rPr>
        <w:t xml:space="preserve">reads that did not mapped to rice genomes </w:t>
      </w:r>
      <w:r w:rsidRPr="00901182">
        <w:rPr>
          <w:color w:val="000000"/>
        </w:rPr>
        <w:t xml:space="preserve">as potential microbial reads </w:t>
      </w:r>
      <w:r w:rsidRPr="00901182">
        <w:rPr>
          <w:color w:val="000000"/>
        </w:rPr>
        <w:fldChar w:fldCharType="begin"/>
      </w:r>
      <w:r w:rsidR="001C065F">
        <w:rPr>
          <w:color w:val="000000"/>
        </w:rPr>
        <w:instrText xml:space="preserve"> ADDIN ZOTERO_ITEM CSL_CITATION {"citationID":"nr4EVJvx","properties":{"formattedCitation":"(Gouin et al. 2015; Kamitani et al. 2016)","plainCitation":"(Gouin et al. 2015; Kamitani et al. 2016)","noteIndex":0},"citationItems":[{"id":"DIBICRoy/gPGVXnts","uris":["http://zotero.org/users/2501208/items/RPHSMAXV"],"uri":["http://zotero.org/users/2501208/items/RPHSMAXV"],"itemData":{"id":16782,"type":"article-journal","title":"RNA-Seq reveals virus–virus and virus–plant interactions in nature","container-title":"FEMS Microbiology Ecology","volume":"92","issue":"11","source":"academic-oup-com.proxy.lib.ohio-state.edu","abstract":"RNA-Seq, coupled with de novo assembly, enables the comprehensive and solid determination of virus infection, and revealed the virus–virus and virus–host intera","URL":"http://academic.oup.com/femsec/article/92/11/fiw176/2403058","DOI":"10.1093/femsec/fiw176","ISSN":"0168-6496","journalAbbreviation":"FEMS Microbiol Ecol","language":"en","author":[{"family":"Kamitani","given":"Mari"},{"family":"Nagano","given":"Atsushi J."},{"family":"Honjo","given":"Mie N."},{"family":"Kudoh","given":"Hiroshi"}],"issued":{"date-parts":[["2016",11,1]]},"accessed":{"date-parts":[["2019",8,17]]}}},{"id":"DIBICRoy/91g4R29s","uris":["http://zotero.org/users/2501208/items/K79FIQVK"],"uri":["http://zotero.org/users/2501208/items/K79FIQVK"],"itemData":{"id":16784,"type":"article-journal","title":"Whole-genome re-sequencing of non-model organisms: lessons from unmapped reads","container-title":"Heredity","page":"494-501","volume":"114","issue":"5","source":"www-nature-com.proxy.lib.ohio-state.edu","abstract":"Unmapped reads are often discarded from the analysis of whole-genome re-sequencing, but new biological information and insights can be uncovered through their analysis. In this paper, we investigate unmapped reads from the re-sequencing data of 33 pea aphid genomes from individuals specialized on different host plants. The unmapped reads for each individual were retrieved following mapping to the Acyrthosiphon pisum reference genome and its mitochondrial and symbiont genomes. These sets of unmapped reads were then cross-compared, revealing that a significant number of these unmapped sequences were conserved across individuals. Interestingly, sequences were most commonly shared between individuals adapted to the same host plant, suggesting that these sequences may contribute to the divergence between host plant specialized biotypes. Analysis of the contigs obtained from assembling the unmapped reads pooled by biotype allowed us to recover some divergent genomic regions previously excluded from analysis and to discover putative novel sequences of A. pisum and its symbionts. In conclusion, this study emphasizes the interest of the unmapped component of re-sequencing data sets and the potential loss of important information. We here propose strategies to aid the capture and interpretation of this information.","DOI":"10.1038/hdy.2014.85","ISSN":"1365-2540","title-short":"Whole-genome re-sequencing of non-model organisms","language":"en","author":[{"family":"Gouin","given":"A."},{"family":"Legeai","given":"F."},{"family":"Nouhaud","given":"P."},{"family":"Whibley","given":"A."},{"family":"Simon","given":"J.-C."},{"family":"Lemaitre","given":"C."}],"issued":{"date-parts":[["2015",5]]}}}],"schema":"https://github.com/citation-style-language/schema/raw/master/csl-citation.json"} </w:instrText>
      </w:r>
      <w:r w:rsidRPr="00901182">
        <w:rPr>
          <w:color w:val="000000"/>
        </w:rPr>
        <w:fldChar w:fldCharType="separate"/>
      </w:r>
      <w:r w:rsidR="0081179B">
        <w:rPr>
          <w:color w:val="000000"/>
        </w:rPr>
        <w:t>(Gouin et al. 2015; Kamitani et al. 2016)</w:t>
      </w:r>
      <w:r w:rsidRPr="00901182">
        <w:rPr>
          <w:color w:val="000000"/>
        </w:rPr>
        <w:fldChar w:fldCharType="end"/>
      </w:r>
      <w:r w:rsidRPr="00901182">
        <w:rPr>
          <w:color w:val="000000"/>
        </w:rPr>
        <w:t xml:space="preserve">. We first mapped </w:t>
      </w:r>
      <w:r>
        <w:rPr>
          <w:color w:val="000000"/>
        </w:rPr>
        <w:t xml:space="preserve">the </w:t>
      </w:r>
      <w:r w:rsidRPr="00C86CCF">
        <w:rPr>
          <w:color w:val="000000"/>
        </w:rPr>
        <w:t xml:space="preserve">raw </w:t>
      </w:r>
      <w:r>
        <w:rPr>
          <w:color w:val="000000"/>
        </w:rPr>
        <w:t>leaf</w:t>
      </w:r>
      <w:r w:rsidRPr="00C86CCF">
        <w:rPr>
          <w:color w:val="000000"/>
        </w:rPr>
        <w:t xml:space="preserve"> genome sequence</w:t>
      </w:r>
      <w:r>
        <w:rPr>
          <w:color w:val="000000"/>
        </w:rPr>
        <w:t>s</w:t>
      </w:r>
      <w:r w:rsidRPr="00C86CCF">
        <w:rPr>
          <w:color w:val="000000"/>
        </w:rPr>
        <w:t xml:space="preserve"> </w:t>
      </w:r>
      <w:r>
        <w:rPr>
          <w:color w:val="000000"/>
        </w:rPr>
        <w:t>of each</w:t>
      </w:r>
      <w:r w:rsidRPr="00901182">
        <w:rPr>
          <w:color w:val="000000"/>
        </w:rPr>
        <w:t xml:space="preserve"> accession to the five rice reference genomes (</w:t>
      </w:r>
      <w:proofErr w:type="spellStart"/>
      <w:r w:rsidRPr="00901182">
        <w:rPr>
          <w:color w:val="000000"/>
        </w:rPr>
        <w:t>Nipponbare</w:t>
      </w:r>
      <w:proofErr w:type="spellEnd"/>
      <w:r w:rsidRPr="00901182">
        <w:rPr>
          <w:color w:val="000000"/>
        </w:rPr>
        <w:t xml:space="preserve">, 93-11, IR64, </w:t>
      </w:r>
      <w:proofErr w:type="spellStart"/>
      <w:r w:rsidRPr="00901182">
        <w:rPr>
          <w:color w:val="000000"/>
        </w:rPr>
        <w:t>Kasalath</w:t>
      </w:r>
      <w:proofErr w:type="spellEnd"/>
      <w:r w:rsidRPr="00901182">
        <w:rPr>
          <w:color w:val="000000"/>
        </w:rPr>
        <w:t xml:space="preserve">, and DJ123) with the software BWA v0.7.10 </w:t>
      </w:r>
      <w:r w:rsidRPr="00901182">
        <w:rPr>
          <w:color w:val="000000"/>
        </w:rPr>
        <w:fldChar w:fldCharType="begin"/>
      </w:r>
      <w:r>
        <w:rPr>
          <w:color w:val="000000"/>
        </w:rPr>
        <w:instrText xml:space="preserve"> ADDIN ZOTERO_ITEM CSL_CITATION {"citationID":"S5Og0b1D","properties":{"formattedCitation":"(Li and Durbin 2009)","plainCitation":"(Li and Durbin 2009)","noteIndex":0},"citationItems":[{"id":14149,"uris":["http://zotero.org/users/2501208/items/7MVXCMW3"],"uri":["http://zotero.org/users/2501208/items/7MVXCMW3"],"itemData":{"id":14149,"type":"article-journal","abstract":"MOTIVATION: The enormous amount of short reads generated by the new DNA sequencing technologies call for the development of fast and accurate read alignment programs. A first generation of hash table-based methods has been developed, including MAQ, which is accurate, feature rich and fast enough to align short reads from a single individual. However, MAQ does not support gapped alignment for single-end reads, which makes it unsuitable for alignment of longer reads where indels may occur frequently. The speed of MAQ is also a concern when the alignment is scaled up to the resequencing of hundreds of individuals.\nRESULTS: We implemented Burrows-Wheeler Alignment tool (BWA), a new read alignment package that is based on backward search with Burrows-Wheeler Transform (BWT), to efficiently align short sequencing reads against a large reference sequence such as the human genome, allowing mismatches and gaps. BWA supports both base space reads, e.g. from Illumina sequencing machines, and color space reads from AB SOLiD machines. Evaluations on both simulated and real data suggest that BWA is approximately 10-20x faster than MAQ, while achieving similar accuracy. In addition, BWA outputs alignment in the new standard SAM (Sequence Alignment/Map) format. Variant calling and other downstream analyses after the alignment can be achieved with the open source SAMtools software package.\nAVAILABILITY: http://maq.sourceforge.net.","container-title":"Bioinformatics (Oxford, England)","DOI":"10.1093/bioinformatics/btp324","ISSN":"1367-4811","issue":"14","journalAbbreviation":"Bioinformatics","language":"eng","note":"PMID: 19451168\nPMCID: PMC2705234","page":"1754-1760","source":"PubMed","title":"Fast and accurate short read alignment with Burrows-Wheeler transform","volume":"25","author":[{"family":"Li","given":"Heng"},{"family":"Durbin","given":"Richard"}],"issued":{"date-parts":[["2009",7,15]]}}}],"schema":"https://github.com/citation-style-language/schema/raw/master/csl-citation.json"} </w:instrText>
      </w:r>
      <w:r w:rsidRPr="00901182">
        <w:rPr>
          <w:color w:val="000000"/>
        </w:rPr>
        <w:fldChar w:fldCharType="separate"/>
      </w:r>
      <w:r w:rsidR="0081179B">
        <w:rPr>
          <w:color w:val="000000"/>
        </w:rPr>
        <w:t>(Li and Durbin 2009)</w:t>
      </w:r>
      <w:r w:rsidRPr="00901182">
        <w:rPr>
          <w:color w:val="000000"/>
        </w:rPr>
        <w:fldChar w:fldCharType="end"/>
      </w:r>
      <w:r w:rsidRPr="00901182">
        <w:rPr>
          <w:color w:val="000000"/>
        </w:rPr>
        <w:t xml:space="preserve">. Then, we extracted the reads that did not map to the five rice genomes with </w:t>
      </w:r>
      <w:proofErr w:type="spellStart"/>
      <w:r w:rsidRPr="00901182">
        <w:rPr>
          <w:color w:val="000000"/>
        </w:rPr>
        <w:t>samtools</w:t>
      </w:r>
      <w:proofErr w:type="spellEnd"/>
      <w:r w:rsidRPr="00901182">
        <w:rPr>
          <w:color w:val="000000"/>
        </w:rPr>
        <w:t xml:space="preserve"> v1.0 </w:t>
      </w:r>
      <w:r w:rsidRPr="00901182">
        <w:rPr>
          <w:color w:val="000000"/>
        </w:rPr>
        <w:fldChar w:fldCharType="begin"/>
      </w:r>
      <w:r>
        <w:rPr>
          <w:color w:val="000000"/>
        </w:rPr>
        <w:instrText xml:space="preserve"> ADDIN ZOTERO_ITEM CSL_CITATION {"citationID":"6z8fJm0M","properties":{"formattedCitation":"(Li et al. 2009)","plainCitation":"(Li et al. 2009)","noteIndex":0},"citationItems":[{"id":13733,"uris":["http://zotero.org/users/2501208/items/JGVRH6HQ"],"uri":["http://zotero.org/users/2501208/items/JGVRH6HQ"],"itemData":{"id":13733,"type":"article-journal","abstract":"Summary: The Sequence Alignment/Map (SAM) format is a generic alignment format for storing read alignments against reference sequences, supporting short and long reads (up to 128 Mbp) produced by different sequencing platforms. It is flexible in style, compact in size, efficient in random access and is the format in which alignments from the 1000 Genomes Project are released. SAMtools implements various utilities for post-processing alignments in the SAM format, such as indexing, variant caller and alignment viewer, and thus provides universal tools for processing read alignments.\nAvailability: http://samtools.sourceforge.net\nContact: rd@sanger.ac.uk","container-title":"Bioinformatics","DOI":"10.1093/bioinformatics/btp352","ISSN":"1367-4803, 1460-2059","issue":"16","journalAbbreviation":"Bioinformatics","language":"en","note":"PMID: 19505943","page":"2078-2079","source":"bioinformatics.oxfordjournals.org","title":"The Sequence Alignment/Map format and SAMtools","volume":"25","author":[{"family":"Li","given":"Heng"},{"family":"Handsaker","given":"Bob"},{"family":"Wysoker","given":"Alec"},{"family":"Fennell","given":"Tim"},{"family":"Ruan","given":"Jue"},{"family":"Homer","given":"Nils"},{"family":"Marth","given":"Gabor"},{"family":"Abecasis","given":"Goncalo"},{"family":"Durbin","given":"Richard"},{"family":"Subgroup","given":"1000 Genome Project Data Processing"}],"issued":{"date-parts":[["2009",8,15]]}}}],"schema":"https://github.com/citation-style-language/schema/raw/master/csl-citation.json"} </w:instrText>
      </w:r>
      <w:r w:rsidRPr="00901182">
        <w:rPr>
          <w:color w:val="000000"/>
        </w:rPr>
        <w:fldChar w:fldCharType="separate"/>
      </w:r>
      <w:r w:rsidR="0081179B">
        <w:rPr>
          <w:color w:val="000000"/>
        </w:rPr>
        <w:t>(Li et al. 2009)</w:t>
      </w:r>
      <w:r w:rsidRPr="00901182">
        <w:rPr>
          <w:color w:val="000000"/>
        </w:rPr>
        <w:fldChar w:fldCharType="end"/>
      </w:r>
      <w:r w:rsidRPr="00901182">
        <w:rPr>
          <w:color w:val="000000"/>
        </w:rPr>
        <w:t xml:space="preserve">. Finally, the unmapped reads were converted to </w:t>
      </w:r>
      <w:proofErr w:type="spellStart"/>
      <w:r w:rsidRPr="00901182">
        <w:rPr>
          <w:color w:val="000000"/>
        </w:rPr>
        <w:t>Fasta</w:t>
      </w:r>
      <w:proofErr w:type="spellEnd"/>
      <w:r w:rsidRPr="00901182">
        <w:rPr>
          <w:color w:val="000000"/>
        </w:rPr>
        <w:t xml:space="preserve"> files with </w:t>
      </w:r>
      <w:proofErr w:type="spellStart"/>
      <w:r w:rsidRPr="00901182">
        <w:rPr>
          <w:color w:val="000000"/>
        </w:rPr>
        <w:t>BEDtools</w:t>
      </w:r>
      <w:proofErr w:type="spellEnd"/>
      <w:r w:rsidRPr="00901182">
        <w:rPr>
          <w:color w:val="000000"/>
        </w:rPr>
        <w:t xml:space="preserve"> v2.17.0 </w:t>
      </w:r>
      <w:r w:rsidRPr="00901182">
        <w:rPr>
          <w:color w:val="000000"/>
        </w:rPr>
        <w:fldChar w:fldCharType="begin"/>
      </w:r>
      <w:r>
        <w:rPr>
          <w:color w:val="000000"/>
        </w:rPr>
        <w:instrText xml:space="preserve"> ADDIN ZOTERO_ITEM CSL_CITATION {"citationID":"VrVOlx3s","properties":{"formattedCitation":"(Quinlan and Hall 2010)","plainCitation":"(Quinlan and Hall 2010)","noteIndex":0},"citationItems":[{"id":16339,"uris":["http://zotero.org/users/2501208/items/4TDKWKBE"],"uri":["http://zotero.org/users/2501208/items/4TDKWKBE"],"itemData":{"id":16339,"type":"article-journal","abstract":"Abstract.  Motivation: Testing for correlations between different sets of genomic features is a fundamental task in genomics research. However, searching for ov","container-title":"Bioinformatics","DOI":"10.1093/bioinformatics/btq033","ISSN":"1367-4803","issue":"6","journalAbbreviation":"Bioinformatics","language":"en","page":"841-842","source":"academic.oup.com","title":"BEDTools: a flexible suite of utilities for comparing genomic features","title-short":"BEDTools","volume":"26","author":[{"family":"Quinlan","given":"Aaron R."},{"family":"Hall","given":"Ira M."}],"issued":{"date-parts":[["2010",3,15]]}}}],"schema":"https://github.com/citation-style-language/schema/raw/master/csl-citation.json"} </w:instrText>
      </w:r>
      <w:r w:rsidRPr="00901182">
        <w:rPr>
          <w:color w:val="000000"/>
        </w:rPr>
        <w:fldChar w:fldCharType="separate"/>
      </w:r>
      <w:r w:rsidR="0081179B">
        <w:rPr>
          <w:color w:val="000000"/>
        </w:rPr>
        <w:t>(Quinlan and Hall 2010)</w:t>
      </w:r>
      <w:r w:rsidRPr="00901182">
        <w:rPr>
          <w:color w:val="000000"/>
        </w:rPr>
        <w:fldChar w:fldCharType="end"/>
      </w:r>
      <w:r w:rsidRPr="00901182">
        <w:rPr>
          <w:color w:val="000000"/>
        </w:rPr>
        <w:t xml:space="preserve"> and were used as the rice leaf microbiome.  </w:t>
      </w:r>
      <w:r>
        <w:rPr>
          <w:color w:val="000000"/>
        </w:rPr>
        <w:t xml:space="preserve">To </w:t>
      </w:r>
      <w:r w:rsidRPr="00901182">
        <w:rPr>
          <w:color w:val="000000"/>
        </w:rPr>
        <w:t xml:space="preserve">assign </w:t>
      </w:r>
      <w:r>
        <w:rPr>
          <w:color w:val="000000"/>
        </w:rPr>
        <w:t>t</w:t>
      </w:r>
      <w:r w:rsidRPr="00901182">
        <w:rPr>
          <w:color w:val="000000"/>
        </w:rPr>
        <w:t>axonom</w:t>
      </w:r>
      <w:r>
        <w:rPr>
          <w:color w:val="000000"/>
        </w:rPr>
        <w:t>y labels to</w:t>
      </w:r>
      <w:r w:rsidRPr="00901182">
        <w:rPr>
          <w:color w:val="000000"/>
        </w:rPr>
        <w:t xml:space="preserve"> the unmapped reads w</w:t>
      </w:r>
      <w:r>
        <w:rPr>
          <w:color w:val="000000"/>
        </w:rPr>
        <w:t xml:space="preserve">e used </w:t>
      </w:r>
      <w:r w:rsidRPr="00901182">
        <w:rPr>
          <w:color w:val="000000"/>
        </w:rPr>
        <w:t xml:space="preserve">the software Kraken v1.0 </w:t>
      </w:r>
      <w:r w:rsidRPr="00901182">
        <w:rPr>
          <w:color w:val="000000"/>
        </w:rPr>
        <w:fldChar w:fldCharType="begin"/>
      </w:r>
      <w:r>
        <w:rPr>
          <w:color w:val="000000"/>
        </w:rPr>
        <w:instrText xml:space="preserve"> ADDIN ZOTERO_ITEM CSL_CITATION {"citationID":"a278oli6npg","properties":{"formattedCitation":"(Wood and Salzberg 2014)","plainCitation":"(Wood and Salzberg 2014)","noteIndex":0},"citationItems":[{"id":14672,"uris":["http://zotero.org/users/2501208/items/VMG8RW9U"],"uri":["http://zotero.org/users/2501208/items/VMG8RW9U"],"itemData":{"id":14672,"type":"article-journal","abstract":"Kraken is an ultrafast and highly accurate program for assigning taxonomic labels to metagenomic DNA sequences. Previous programs designed for this task have been relatively slow and computationally expensive, forcing researchers to use faster abundance estimation programs, which only classify small subsets of metagenomic data. Using exact alignment of k-mers, Kraken achieves classification accuracy comparable to the fastest BLAST program. In its fastest mode, Kraken classifies 100 base pair reads at a rate of over 4.1 million reads per minute, 909 times faster than Megablast and 11 times faster than the abundance estimation program MetaPhlAn. Kraken is available at                   http://ccb.jhu.edu/software/kraken/                                  .","container-title":"Genome Biology","DOI":"10.1186/gb-2014-15-3-r46","ISSN":"1474-760X","journalAbbreviation":"Genome Biology","page":"R46","source":"BioMed Central","title":"Kraken: ultrafast metagenomic sequence classification using exact alignments","title-short":"Kraken","volume":"15","author":[{"family":"Wood","given":"Derrick E."},{"family":"Salzberg","given":"Steven L."}],"issued":{"date-parts":[["2014"]]}}}],"schema":"https://github.com/citation-style-language/schema/raw/master/csl-citation.json"} </w:instrText>
      </w:r>
      <w:r w:rsidRPr="00901182">
        <w:rPr>
          <w:color w:val="000000"/>
        </w:rPr>
        <w:fldChar w:fldCharType="separate"/>
      </w:r>
      <w:r w:rsidR="0081179B">
        <w:rPr>
          <w:color w:val="000000"/>
        </w:rPr>
        <w:t>(Wood and Salzberg 2014)</w:t>
      </w:r>
      <w:r w:rsidRPr="00901182">
        <w:rPr>
          <w:color w:val="000000"/>
        </w:rPr>
        <w:fldChar w:fldCharType="end"/>
      </w:r>
      <w:r w:rsidRPr="00901182">
        <w:rPr>
          <w:color w:val="000000"/>
        </w:rPr>
        <w:t>. This software classified the reads, using exact k-</w:t>
      </w:r>
      <w:proofErr w:type="spellStart"/>
      <w:r w:rsidRPr="00901182">
        <w:rPr>
          <w:color w:val="000000"/>
        </w:rPr>
        <w:t>mer</w:t>
      </w:r>
      <w:proofErr w:type="spellEnd"/>
      <w:r w:rsidRPr="00901182">
        <w:rPr>
          <w:color w:val="000000"/>
        </w:rPr>
        <w:t xml:space="preserve"> matches to a trained database. The database included the </w:t>
      </w:r>
      <w:r>
        <w:rPr>
          <w:color w:val="000000"/>
        </w:rPr>
        <w:t>B</w:t>
      </w:r>
      <w:r w:rsidRPr="00901182">
        <w:rPr>
          <w:color w:val="000000"/>
        </w:rPr>
        <w:t xml:space="preserve">acteria and </w:t>
      </w:r>
      <w:r>
        <w:rPr>
          <w:color w:val="000000"/>
        </w:rPr>
        <w:t>A</w:t>
      </w:r>
      <w:r w:rsidRPr="00901182">
        <w:rPr>
          <w:color w:val="000000"/>
        </w:rPr>
        <w:t xml:space="preserve">rchaea genomes from </w:t>
      </w:r>
      <w:proofErr w:type="spellStart"/>
      <w:r w:rsidRPr="00901182">
        <w:rPr>
          <w:color w:val="000000"/>
        </w:rPr>
        <w:t>RefSeq</w:t>
      </w:r>
      <w:proofErr w:type="spellEnd"/>
      <w:r w:rsidRPr="00901182">
        <w:rPr>
          <w:color w:val="000000"/>
        </w:rPr>
        <w:t xml:space="preserve"> NCBI database (release 69). To estimate taxa abundance we used the Bayesian-based tool Bracken v1.0 </w:t>
      </w:r>
      <w:r w:rsidRPr="00901182">
        <w:rPr>
          <w:color w:val="000000"/>
        </w:rPr>
        <w:fldChar w:fldCharType="begin"/>
      </w:r>
      <w:r>
        <w:rPr>
          <w:color w:val="000000"/>
        </w:rPr>
        <w:instrText xml:space="preserve"> ADDIN ZOTERO_ITEM CSL_CITATION {"citationID":"a5smn17oko","properties":{"formattedCitation":"(Lu et al. 2017)","plainCitation":"(Lu et al. 2017)","noteIndex":0},"citationItems":[{"id":15879,"uris":["http://zotero.org/users/2501208/items/ZHDBRBCA"],"uri":["http://zotero.org/users/2501208/items/ZHDBRBCA"],"itemData":{"id":15879,"type":"article-journal","abstract":"Metagenomic experiments attempt to characterize microbial communities using high-throughput DNA sequencing. Identification of the microorganisms in a sample provides information about the genetic profile, population structure, and role of microorganisms within an environment. Until recently, most metagenomics studies focused on high-level characterization at the level of phyla, or alternatively sequenced the 16S ribosomal RNA gene that is present in bacterial species. As the cost of sequencing has fallen, though, metagenomics experiments have increasingly used unbiased shotgun sequencing to capture all the organisms in a sample. This approach requires a method for estimating abundance directly from the raw read data. Here we describe a fast, accurate new method that computes the abundance at the species level using the reads collected in a metagenomics experiment. Bracken (Bayesian Reestimation of Abundance after Classification with KrakEN) uses the taxonomic assignments made by Kraken, a very fast read-level classifier, along with information about the genomes themselves to estimate abundance at the species level, the genus level, or above. We demonstrate that Bracken can produce accurate species- and genus-level abundance estimates even when a sample contains multiple near-identical species.","container-title":"PeerJ Computer Science","DOI":"10.7717/peerj-cs.104","ISSN":"2376-5992","journalAbbreviation":"PeerJ Comput. Sci.","language":"en","page":"e104","source":"peerj.com","title":"Bracken: estimating species abundance in metagenomics data","title-short":"Bracken","volume":"3","author":[{"family":"Lu","given":"Jennifer"},{"family":"Breitwieser","given":"Florian P."},{"family":"Thielen","given":"Peter"},{"family":"Salzberg","given":"Steven L."}],"issued":{"date-parts":[["2017",1,2]]}}}],"schema":"https://github.com/citation-style-language/schema/raw/master/csl-citation.json"} </w:instrText>
      </w:r>
      <w:r w:rsidRPr="00901182">
        <w:rPr>
          <w:color w:val="000000"/>
        </w:rPr>
        <w:fldChar w:fldCharType="separate"/>
      </w:r>
      <w:r w:rsidR="0081179B">
        <w:rPr>
          <w:color w:val="000000"/>
        </w:rPr>
        <w:t>(Lu et al. 2017)</w:t>
      </w:r>
      <w:r w:rsidRPr="00901182">
        <w:rPr>
          <w:color w:val="000000"/>
        </w:rPr>
        <w:fldChar w:fldCharType="end"/>
      </w:r>
      <w:r w:rsidRPr="00901182">
        <w:rPr>
          <w:color w:val="000000"/>
        </w:rPr>
        <w:t xml:space="preserve">. </w:t>
      </w:r>
      <w:r w:rsidRPr="000E0A73">
        <w:rPr>
          <w:color w:val="000000"/>
        </w:rPr>
        <w:t xml:space="preserve">To reduce the rarest </w:t>
      </w:r>
      <w:r w:rsidRPr="000E0A73">
        <w:rPr>
          <w:color w:val="000000"/>
        </w:rPr>
        <w:lastRenderedPageBreak/>
        <w:t>species that might contribute to noises in further comparisons, we used the same cutoff as Wagner et al (2016); we kept the genera that were present in at least 10% of samples across all locations.</w:t>
      </w:r>
      <w:r>
        <w:rPr>
          <w:color w:val="000000"/>
        </w:rPr>
        <w:t xml:space="preserve"> We used this cutoff</w:t>
      </w:r>
      <w:r w:rsidRPr="00901182">
        <w:rPr>
          <w:color w:val="000000"/>
        </w:rPr>
        <w:t xml:space="preserve"> for diversity estimations, functional analysis and Genome Wide Association Studies.</w:t>
      </w:r>
      <w:r>
        <w:rPr>
          <w:color w:val="000000"/>
        </w:rPr>
        <w:t xml:space="preserve"> </w:t>
      </w:r>
    </w:p>
    <w:p w14:paraId="3632E99D" w14:textId="77777777" w:rsidR="00F94377" w:rsidRPr="0094361B" w:rsidRDefault="00F94377" w:rsidP="00F94377">
      <w:pPr>
        <w:pStyle w:val="Normal1"/>
        <w:spacing w:line="480" w:lineRule="auto"/>
        <w:jc w:val="both"/>
        <w:rPr>
          <w:color w:val="000000"/>
        </w:rPr>
      </w:pPr>
    </w:p>
    <w:p w14:paraId="5A38EEA5" w14:textId="77777777" w:rsidR="00F94377" w:rsidRPr="00901182" w:rsidRDefault="00F94377" w:rsidP="00F94377">
      <w:pPr>
        <w:pStyle w:val="Normal1"/>
        <w:spacing w:line="480" w:lineRule="auto"/>
        <w:jc w:val="both"/>
        <w:rPr>
          <w:b/>
          <w:color w:val="000000"/>
        </w:rPr>
      </w:pPr>
      <w:r w:rsidRPr="00901182">
        <w:rPr>
          <w:b/>
          <w:color w:val="000000"/>
        </w:rPr>
        <w:t>Diversity estimation</w:t>
      </w:r>
    </w:p>
    <w:p w14:paraId="03D1EFA9" w14:textId="5F52B475" w:rsidR="00F94377" w:rsidRPr="00031E01" w:rsidRDefault="00F94377" w:rsidP="00F94377">
      <w:pPr>
        <w:pStyle w:val="Normal1"/>
        <w:spacing w:line="480" w:lineRule="auto"/>
        <w:jc w:val="both"/>
        <w:rPr>
          <w:color w:val="000000"/>
        </w:rPr>
      </w:pPr>
      <w:r w:rsidRPr="00901182">
        <w:rPr>
          <w:color w:val="000000"/>
        </w:rPr>
        <w:t xml:space="preserve">To compare the microbial composition across all rice accessions, we used the relative abundance normalization on the count matrix, where the read counts for a taxa-level in a given sample were divided by the sum of all counts in that sample. </w:t>
      </w:r>
      <w:r>
        <w:rPr>
          <w:color w:val="000000"/>
        </w:rPr>
        <w:t xml:space="preserve">This approach took into account the differences in read depth for each accession. </w:t>
      </w:r>
      <w:r w:rsidRPr="00901182">
        <w:rPr>
          <w:color w:val="000000"/>
        </w:rPr>
        <w:t xml:space="preserve">The count matrix of the unmapped reads was generated by the tool Bracken v1.0 </w:t>
      </w:r>
      <w:r w:rsidRPr="00901182">
        <w:rPr>
          <w:color w:val="000000"/>
        </w:rPr>
        <w:fldChar w:fldCharType="begin"/>
      </w:r>
      <w:r>
        <w:rPr>
          <w:color w:val="000000"/>
        </w:rPr>
        <w:instrText xml:space="preserve"> ADDIN ZOTERO_ITEM CSL_CITATION {"citationID":"CLOoWE0k","properties":{"formattedCitation":"(Lu et al. 2017)","plainCitation":"(Lu et al. 2017)","noteIndex":0},"citationItems":[{"id":15879,"uris":["http://zotero.org/users/2501208/items/ZHDBRBCA"],"uri":["http://zotero.org/users/2501208/items/ZHDBRBCA"],"itemData":{"id":15879,"type":"article-journal","abstract":"Metagenomic experiments attempt to characterize microbial communities using high-throughput DNA sequencing. Identification of the microorganisms in a sample provides information about the genetic profile, population structure, and role of microorganisms within an environment. Until recently, most metagenomics studies focused on high-level characterization at the level of phyla, or alternatively sequenced the 16S ribosomal RNA gene that is present in bacterial species. As the cost of sequencing has fallen, though, metagenomics experiments have increasingly used unbiased shotgun sequencing to capture all the organisms in a sample. This approach requires a method for estimating abundance directly from the raw read data. Here we describe a fast, accurate new method that computes the abundance at the species level using the reads collected in a metagenomics experiment. Bracken (Bayesian Reestimation of Abundance after Classification with KrakEN) uses the taxonomic assignments made by Kraken, a very fast read-level classifier, along with information about the genomes themselves to estimate abundance at the species level, the genus level, or above. We demonstrate that Bracken can produce accurate species- and genus-level abundance estimates even when a sample contains multiple near-identical species.","container-title":"PeerJ Computer Science","DOI":"10.7717/peerj-cs.104","ISSN":"2376-5992","journalAbbreviation":"PeerJ Comput. Sci.","language":"en","page":"e104","source":"peerj.com","title":"Bracken: estimating species abundance in metagenomics data","title-short":"Bracken","volume":"3","author":[{"family":"Lu","given":"Jennifer"},{"family":"Breitwieser","given":"Florian P."},{"family":"Thielen","given":"Peter"},{"family":"Salzberg","given":"Steven L."}],"issued":{"date-parts":[["2017",1,2]]}}}],"schema":"https://github.com/citation-style-language/schema/raw/master/csl-citation.json"} </w:instrText>
      </w:r>
      <w:r w:rsidRPr="00901182">
        <w:rPr>
          <w:color w:val="000000"/>
        </w:rPr>
        <w:fldChar w:fldCharType="separate"/>
      </w:r>
      <w:r w:rsidR="0081179B">
        <w:rPr>
          <w:color w:val="000000"/>
        </w:rPr>
        <w:t>(Lu et al. 2017)</w:t>
      </w:r>
      <w:r w:rsidRPr="00901182">
        <w:rPr>
          <w:color w:val="000000"/>
        </w:rPr>
        <w:fldChar w:fldCharType="end"/>
      </w:r>
      <w:r w:rsidRPr="00901182">
        <w:rPr>
          <w:color w:val="000000"/>
        </w:rPr>
        <w:t xml:space="preserve">. </w:t>
      </w:r>
      <w:r>
        <w:rPr>
          <w:color w:val="000000"/>
        </w:rPr>
        <w:t>W</w:t>
      </w:r>
      <w:r w:rsidRPr="00B13A4C">
        <w:rPr>
          <w:color w:val="000000"/>
        </w:rPr>
        <w:t xml:space="preserve">e </w:t>
      </w:r>
      <w:r w:rsidRPr="00901182">
        <w:rPr>
          <w:color w:val="000000"/>
        </w:rPr>
        <w:t>did not use other normalization approaches like variance-stabilizing transformation</w:t>
      </w:r>
      <w:r>
        <w:rPr>
          <w:color w:val="000000"/>
        </w:rPr>
        <w:t xml:space="preserve">, </w:t>
      </w:r>
      <w:r w:rsidRPr="00901182">
        <w:rPr>
          <w:color w:val="000000"/>
        </w:rPr>
        <w:t>rarefaction</w:t>
      </w:r>
      <w:r w:rsidRPr="00B13A4C">
        <w:rPr>
          <w:color w:val="000000"/>
        </w:rPr>
        <w:t xml:space="preserve"> </w:t>
      </w:r>
      <w:r>
        <w:rPr>
          <w:color w:val="000000"/>
        </w:rPr>
        <w:t>or centered log-ratio transformation because</w:t>
      </w:r>
      <w:r w:rsidRPr="00B13A4C">
        <w:rPr>
          <w:color w:val="000000"/>
        </w:rPr>
        <w:t xml:space="preserve"> </w:t>
      </w:r>
      <w:r>
        <w:rPr>
          <w:color w:val="000000"/>
        </w:rPr>
        <w:t>o</w:t>
      </w:r>
      <w:r w:rsidRPr="00B13A4C">
        <w:rPr>
          <w:color w:val="000000"/>
        </w:rPr>
        <w:t xml:space="preserve">ur sample size </w:t>
      </w:r>
      <w:r>
        <w:rPr>
          <w:color w:val="000000"/>
        </w:rPr>
        <w:t>was</w:t>
      </w:r>
      <w:r w:rsidRPr="00B13A4C">
        <w:rPr>
          <w:color w:val="000000"/>
        </w:rPr>
        <w:t xml:space="preserve"> high</w:t>
      </w:r>
      <w:r w:rsidR="006B3ED6">
        <w:rPr>
          <w:color w:val="000000"/>
        </w:rPr>
        <w:t xml:space="preserve">. </w:t>
      </w:r>
      <w:r w:rsidRPr="00901182">
        <w:rPr>
          <w:color w:val="000000"/>
        </w:rPr>
        <w:t>To calculate the richness and diversity indi</w:t>
      </w:r>
      <w:r>
        <w:rPr>
          <w:color w:val="000000"/>
        </w:rPr>
        <w:t>c</w:t>
      </w:r>
      <w:r w:rsidRPr="00901182">
        <w:rPr>
          <w:color w:val="000000"/>
        </w:rPr>
        <w:t xml:space="preserve">es in all rice leaf accessions, we used the Vegan v2.5-3 R package. </w:t>
      </w:r>
      <w:r w:rsidR="00591276" w:rsidRPr="00031E01">
        <w:rPr>
          <w:color w:val="000000"/>
        </w:rPr>
        <w:t xml:space="preserve">To identify the taxa that contribute to dissimilarities between environments, we used the </w:t>
      </w:r>
      <w:r w:rsidR="00591276" w:rsidRPr="00031E01">
        <w:rPr>
          <w:i/>
          <w:iCs/>
          <w:color w:val="000000"/>
        </w:rPr>
        <w:t>simper</w:t>
      </w:r>
      <w:r w:rsidR="00591276" w:rsidRPr="00031E01">
        <w:rPr>
          <w:color w:val="000000"/>
        </w:rPr>
        <w:t xml:space="preserve"> function from the Vegan v2.5-3 R package. We used the relative abundances of Genera in all accessions as </w:t>
      </w:r>
      <w:r w:rsidR="00591276" w:rsidRPr="00031E01">
        <w:rPr>
          <w:i/>
          <w:iCs/>
          <w:color w:val="000000"/>
        </w:rPr>
        <w:t>community data matrix</w:t>
      </w:r>
      <w:r w:rsidR="00591276" w:rsidRPr="00031E01">
        <w:rPr>
          <w:color w:val="000000"/>
        </w:rPr>
        <w:t xml:space="preserve">, the environment as the </w:t>
      </w:r>
      <w:r w:rsidR="00591276" w:rsidRPr="00031E01">
        <w:rPr>
          <w:i/>
          <w:iCs/>
          <w:color w:val="000000"/>
        </w:rPr>
        <w:t xml:space="preserve">group structure </w:t>
      </w:r>
      <w:r w:rsidR="00591276" w:rsidRPr="00031E01">
        <w:rPr>
          <w:color w:val="000000"/>
        </w:rPr>
        <w:t xml:space="preserve">and we set to 100 </w:t>
      </w:r>
      <w:r w:rsidR="00591276" w:rsidRPr="00031E01">
        <w:rPr>
          <w:i/>
          <w:iCs/>
          <w:color w:val="000000"/>
        </w:rPr>
        <w:t>permutations</w:t>
      </w:r>
      <w:r w:rsidR="00591276" w:rsidRPr="00031E01">
        <w:rPr>
          <w:color w:val="000000"/>
        </w:rPr>
        <w:t xml:space="preserve">. Based on the matrix the </w:t>
      </w:r>
      <w:r w:rsidR="00591276" w:rsidRPr="00031E01">
        <w:rPr>
          <w:i/>
          <w:iCs/>
          <w:color w:val="000000"/>
        </w:rPr>
        <w:t>simper</w:t>
      </w:r>
      <w:r w:rsidR="00591276" w:rsidRPr="00031E01">
        <w:rPr>
          <w:color w:val="000000"/>
        </w:rPr>
        <w:t xml:space="preserve"> function calculated the contributions of each taxon to the overall Bray-Curtis dissimilarity and the output was a list of cumulative contributions ordered by taxa.</w:t>
      </w:r>
    </w:p>
    <w:p w14:paraId="6895676F" w14:textId="77777777" w:rsidR="006B3ED6" w:rsidRPr="00031E01" w:rsidRDefault="006B3ED6" w:rsidP="00F94377">
      <w:pPr>
        <w:pStyle w:val="Normal1"/>
        <w:spacing w:line="480" w:lineRule="auto"/>
        <w:jc w:val="both"/>
        <w:rPr>
          <w:color w:val="000000"/>
        </w:rPr>
      </w:pPr>
    </w:p>
    <w:p w14:paraId="27E3C8A3" w14:textId="77777777" w:rsidR="00F94377" w:rsidRPr="00031E01" w:rsidRDefault="00F94377" w:rsidP="00F94377">
      <w:pPr>
        <w:pStyle w:val="Normal1"/>
        <w:spacing w:line="480" w:lineRule="auto"/>
        <w:jc w:val="both"/>
        <w:rPr>
          <w:b/>
          <w:color w:val="000000"/>
        </w:rPr>
      </w:pPr>
      <w:r w:rsidRPr="00031E01">
        <w:rPr>
          <w:b/>
          <w:color w:val="000000"/>
        </w:rPr>
        <w:t>Quantification of 16S from abundant genera</w:t>
      </w:r>
    </w:p>
    <w:p w14:paraId="6894EF6D" w14:textId="0B7DA658" w:rsidR="00F94377" w:rsidRPr="00BF113B" w:rsidRDefault="00F94377" w:rsidP="00F94377">
      <w:pPr>
        <w:pStyle w:val="Normal1"/>
        <w:spacing w:line="480" w:lineRule="auto"/>
        <w:jc w:val="both"/>
        <w:rPr>
          <w:color w:val="000000"/>
        </w:rPr>
      </w:pPr>
      <w:r w:rsidRPr="00031E01">
        <w:rPr>
          <w:color w:val="000000"/>
        </w:rPr>
        <w:t xml:space="preserve">To validate the results from 3K-RGP metagenome analysis, we amplified and quantified </w:t>
      </w:r>
      <w:r w:rsidR="006B3ED6" w:rsidRPr="00031E01">
        <w:rPr>
          <w:color w:val="000000"/>
        </w:rPr>
        <w:t>11</w:t>
      </w:r>
      <w:r w:rsidRPr="00031E01">
        <w:rPr>
          <w:color w:val="000000"/>
        </w:rPr>
        <w:t xml:space="preserve"> of the most abundant genera in 1</w:t>
      </w:r>
      <w:r w:rsidR="006B3ED6" w:rsidRPr="00031E01">
        <w:rPr>
          <w:color w:val="000000"/>
        </w:rPr>
        <w:t>7</w:t>
      </w:r>
      <w:r w:rsidRPr="00031E01">
        <w:rPr>
          <w:color w:val="000000"/>
        </w:rPr>
        <w:t xml:space="preserve"> rice accessions from the 3K-RGP. T</w:t>
      </w:r>
      <w:r w:rsidR="007F5CD8" w:rsidRPr="00031E01">
        <w:rPr>
          <w:color w:val="000000"/>
        </w:rPr>
        <w:t xml:space="preserve">o select the accessions, we </w:t>
      </w:r>
      <w:r w:rsidR="007F5CD8" w:rsidRPr="00031E01">
        <w:rPr>
          <w:color w:val="000000"/>
        </w:rPr>
        <w:lastRenderedPageBreak/>
        <w:t>used the accessions grew in the Philippines. Then we performed a</w:t>
      </w:r>
      <w:r w:rsidR="00EE3D8B" w:rsidRPr="00031E01">
        <w:rPr>
          <w:color w:val="000000"/>
        </w:rPr>
        <w:t>n abundance</w:t>
      </w:r>
      <w:r w:rsidR="007F5CD8" w:rsidRPr="00031E01">
        <w:rPr>
          <w:color w:val="000000"/>
        </w:rPr>
        <w:t xml:space="preserve"> cluster analysis for each rice variety and select accessions that represent each cluster. Therefore, for Indica we selected five accessions that belong to different clusters. With the same criteria we selected four accessions for Japonica, two accessions for </w:t>
      </w:r>
      <w:proofErr w:type="spellStart"/>
      <w:r w:rsidR="007F5CD8" w:rsidRPr="00031E01">
        <w:rPr>
          <w:color w:val="000000"/>
        </w:rPr>
        <w:t>Aus</w:t>
      </w:r>
      <w:proofErr w:type="spellEnd"/>
      <w:r w:rsidR="007F5CD8" w:rsidRPr="00031E01">
        <w:rPr>
          <w:color w:val="000000"/>
        </w:rPr>
        <w:t>, four accessions for Admix, and two for Aromatic.</w:t>
      </w:r>
      <w:r w:rsidR="00431CD9" w:rsidRPr="00031E01">
        <w:rPr>
          <w:color w:val="000000"/>
        </w:rPr>
        <w:t xml:space="preserve"> These 17 accessions have different</w:t>
      </w:r>
      <w:r w:rsidRPr="00031E01">
        <w:rPr>
          <w:color w:val="000000"/>
        </w:rPr>
        <w:t xml:space="preserve"> microbiome profiles</w:t>
      </w:r>
      <w:r w:rsidR="00431CD9" w:rsidRPr="00031E01">
        <w:rPr>
          <w:color w:val="000000"/>
        </w:rPr>
        <w:t>, allowing us to test the 11 abundant genera</w:t>
      </w:r>
      <w:r w:rsidRPr="00031E01">
        <w:rPr>
          <w:color w:val="000000"/>
        </w:rPr>
        <w:t>. For this validation, we sown 12 seeds per</w:t>
      </w:r>
      <w:r w:rsidRPr="00901182">
        <w:rPr>
          <w:color w:val="000000"/>
        </w:rPr>
        <w:t xml:space="preserve"> accession in glasshouse conditions at The International Rice Research Institute and harvested 21 days old leaves. We pooled </w:t>
      </w:r>
      <w:r>
        <w:rPr>
          <w:color w:val="000000"/>
        </w:rPr>
        <w:t xml:space="preserve">four leaves from </w:t>
      </w:r>
      <w:r w:rsidRPr="00901182">
        <w:rPr>
          <w:color w:val="000000"/>
        </w:rPr>
        <w:t xml:space="preserve">four plants </w:t>
      </w:r>
      <w:r>
        <w:rPr>
          <w:color w:val="000000"/>
        </w:rPr>
        <w:t>as one</w:t>
      </w:r>
      <w:r w:rsidRPr="00901182">
        <w:rPr>
          <w:color w:val="000000"/>
        </w:rPr>
        <w:t xml:space="preserve"> biological replicates</w:t>
      </w:r>
      <w:r>
        <w:rPr>
          <w:color w:val="000000"/>
        </w:rPr>
        <w:t>. We had three biological replicates. We</w:t>
      </w:r>
      <w:r w:rsidRPr="00901182">
        <w:rPr>
          <w:color w:val="000000"/>
        </w:rPr>
        <w:t xml:space="preserve"> cleaned the leaves with 70</w:t>
      </w:r>
      <w:r>
        <w:rPr>
          <w:color w:val="000000"/>
        </w:rPr>
        <w:t xml:space="preserve"> </w:t>
      </w:r>
      <w:r w:rsidRPr="00901182">
        <w:rPr>
          <w:color w:val="000000"/>
        </w:rPr>
        <w:t>% ethanol, 2</w:t>
      </w:r>
      <w:r>
        <w:rPr>
          <w:color w:val="000000"/>
        </w:rPr>
        <w:t xml:space="preserve"> </w:t>
      </w:r>
      <w:r w:rsidRPr="00901182">
        <w:rPr>
          <w:color w:val="000000"/>
        </w:rPr>
        <w:t xml:space="preserve">% bleach, and water before DNA extraction. DNA was extracted with CTAB method </w:t>
      </w:r>
      <w:r w:rsidRPr="00901182">
        <w:rPr>
          <w:color w:val="000000"/>
        </w:rPr>
        <w:fldChar w:fldCharType="begin"/>
      </w:r>
      <w:r w:rsidR="0081179B">
        <w:rPr>
          <w:color w:val="000000"/>
        </w:rPr>
        <w:instrText xml:space="preserve"> ADDIN ZOTERO_ITEM CSL_CITATION {"citationID":"290Y0T0B","properties":{"formattedCitation":"(The 3,000 rice genomes project 2014)","plainCitation":"(The 3,000 rice genomes project 2014)","noteIndex":0},"citationItems":[{"id":14625,"uris":["http://zotero.org/users/2501208/items/5IID3X3R"],"uri":["http://zotero.org/users/2501208/items/5IID3X3R"],"itemData":{"id":14625,"type":"article-journal","abstract":"Rice, Oryza sativa L., is the staple food for half the world’s population. By 2030, the production of rice must increase by at least 25% in order to keep up with global population growth and demand. Accelerated genetic gains in rice improvement are needed to mitigate the effects of climate change and loss of arable land, as well as to ensure a stable global food supply.","container-title":"GigaScience","DOI":"10.1186/2047-217X-3-7","ISSN":"2047-217X","journalAbbreviation":"GigaScience","page":"7","source":"BioMed Central","title":"The 3,000 rice genomes project","volume":"3","author":[{"literal":"The 3,000 rice genomes project"}],"issued":{"date-parts":[["2014"]]}}}],"schema":"https://github.com/citation-style-language/schema/raw/master/csl-citation.json"} </w:instrText>
      </w:r>
      <w:r w:rsidRPr="00901182">
        <w:rPr>
          <w:color w:val="000000"/>
        </w:rPr>
        <w:fldChar w:fldCharType="separate"/>
      </w:r>
      <w:r w:rsidR="0081179B">
        <w:rPr>
          <w:color w:val="000000"/>
        </w:rPr>
        <w:t>(The 3,000 rice genomes project 2014)</w:t>
      </w:r>
      <w:r w:rsidRPr="00901182">
        <w:rPr>
          <w:color w:val="000000"/>
        </w:rPr>
        <w:fldChar w:fldCharType="end"/>
      </w:r>
      <w:r w:rsidRPr="00901182">
        <w:rPr>
          <w:color w:val="000000"/>
        </w:rPr>
        <w:t>. The DNA was aliquoted in similar concentrations (20</w:t>
      </w:r>
      <w:r>
        <w:rPr>
          <w:color w:val="000000"/>
        </w:rPr>
        <w:t xml:space="preserve"> </w:t>
      </w:r>
      <w:r w:rsidRPr="00901182">
        <w:rPr>
          <w:color w:val="000000"/>
        </w:rPr>
        <w:t>ng/</w:t>
      </w:r>
      <w:proofErr w:type="spellStart"/>
      <w:r w:rsidRPr="00901182">
        <w:rPr>
          <w:color w:val="000000"/>
        </w:rPr>
        <w:t>u</w:t>
      </w:r>
      <w:r>
        <w:rPr>
          <w:color w:val="000000"/>
        </w:rPr>
        <w:t>L</w:t>
      </w:r>
      <w:proofErr w:type="spellEnd"/>
      <w:r w:rsidRPr="00901182">
        <w:rPr>
          <w:color w:val="000000"/>
        </w:rPr>
        <w:t xml:space="preserve">) for the qPCR. For amplification and quantification, we used the </w:t>
      </w:r>
      <w:proofErr w:type="spellStart"/>
      <w:r w:rsidRPr="00901182">
        <w:rPr>
          <w:color w:val="000000"/>
        </w:rPr>
        <w:t>StepOnePlus</w:t>
      </w:r>
      <w:proofErr w:type="spellEnd"/>
      <w:r w:rsidRPr="00901182">
        <w:rPr>
          <w:color w:val="000000"/>
        </w:rPr>
        <w:t>™ Real-Time PCR System and SYBR</w:t>
      </w:r>
      <w:r w:rsidRPr="00901182">
        <w:rPr>
          <w:color w:val="000000"/>
          <w:vertAlign w:val="superscript"/>
        </w:rPr>
        <w:t>(R)</w:t>
      </w:r>
      <w:r w:rsidRPr="00901182">
        <w:rPr>
          <w:color w:val="000000"/>
        </w:rPr>
        <w:t xml:space="preserve"> Green I dye following manufacturer protocol (Applied Biosystems, USA). Briefly, we used a final reaction volume of 10 </w:t>
      </w:r>
      <w:proofErr w:type="spellStart"/>
      <w:r w:rsidRPr="00901182">
        <w:rPr>
          <w:color w:val="000000"/>
        </w:rPr>
        <w:t>uL</w:t>
      </w:r>
      <w:proofErr w:type="spellEnd"/>
      <w:r w:rsidRPr="00901182">
        <w:rPr>
          <w:color w:val="000000"/>
        </w:rPr>
        <w:t xml:space="preserve"> with a primer final concentration of 200</w:t>
      </w:r>
      <w:r>
        <w:rPr>
          <w:color w:val="000000"/>
        </w:rPr>
        <w:t xml:space="preserve"> </w:t>
      </w:r>
      <w:proofErr w:type="spellStart"/>
      <w:r w:rsidRPr="00901182">
        <w:rPr>
          <w:color w:val="000000"/>
        </w:rPr>
        <w:t>nM</w:t>
      </w:r>
      <w:proofErr w:type="spellEnd"/>
      <w:r w:rsidRPr="00901182">
        <w:rPr>
          <w:color w:val="000000"/>
        </w:rPr>
        <w:t>. We ran three biological and three technical replicates. We used the default parameters for a comparative C</w:t>
      </w:r>
      <w:r w:rsidRPr="00901182">
        <w:rPr>
          <w:color w:val="000000"/>
          <w:vertAlign w:val="subscript"/>
        </w:rPr>
        <w:t>T</w:t>
      </w:r>
      <w:r w:rsidRPr="00901182">
        <w:rPr>
          <w:color w:val="000000"/>
        </w:rPr>
        <w:t xml:space="preserve"> method setup, with maximum 40 cycles. We selected published primers for </w:t>
      </w:r>
      <w:r w:rsidRPr="00901182">
        <w:rPr>
          <w:i/>
          <w:color w:val="000000"/>
        </w:rPr>
        <w:t xml:space="preserve">Pseudomonas </w:t>
      </w:r>
      <w:r w:rsidRPr="00901182">
        <w:rPr>
          <w:color w:val="000000"/>
        </w:rPr>
        <w:t xml:space="preserve">sp., </w:t>
      </w:r>
      <w:r w:rsidRPr="00901182">
        <w:rPr>
          <w:i/>
          <w:color w:val="000000"/>
        </w:rPr>
        <w:t xml:space="preserve">Burkholderia </w:t>
      </w:r>
      <w:r w:rsidRPr="00901182">
        <w:rPr>
          <w:color w:val="000000"/>
        </w:rPr>
        <w:t>sp.,</w:t>
      </w:r>
      <w:r w:rsidRPr="00901182">
        <w:rPr>
          <w:i/>
          <w:color w:val="000000"/>
        </w:rPr>
        <w:t xml:space="preserve"> Mycoplasma </w:t>
      </w:r>
      <w:r w:rsidRPr="00901182">
        <w:rPr>
          <w:color w:val="000000"/>
        </w:rPr>
        <w:t>sp</w:t>
      </w:r>
      <w:r w:rsidRPr="00901182">
        <w:rPr>
          <w:i/>
          <w:color w:val="000000"/>
        </w:rPr>
        <w:t xml:space="preserve">., Streptomyces </w:t>
      </w:r>
      <w:r w:rsidRPr="00901182">
        <w:rPr>
          <w:color w:val="000000"/>
        </w:rPr>
        <w:t>sp.,</w:t>
      </w:r>
      <w:r w:rsidRPr="00901182">
        <w:rPr>
          <w:i/>
          <w:color w:val="000000"/>
        </w:rPr>
        <w:t xml:space="preserve"> </w:t>
      </w:r>
      <w:proofErr w:type="spellStart"/>
      <w:r w:rsidRPr="00901182">
        <w:rPr>
          <w:i/>
          <w:color w:val="000000"/>
        </w:rPr>
        <w:t>Methylobacterium</w:t>
      </w:r>
      <w:proofErr w:type="spellEnd"/>
      <w:r w:rsidRPr="00901182">
        <w:rPr>
          <w:i/>
          <w:color w:val="000000"/>
        </w:rPr>
        <w:t xml:space="preserve"> </w:t>
      </w:r>
      <w:r w:rsidRPr="00901182">
        <w:rPr>
          <w:color w:val="000000"/>
        </w:rPr>
        <w:t xml:space="preserve">sp. We designed primers for </w:t>
      </w:r>
      <w:r w:rsidRPr="00901182">
        <w:rPr>
          <w:i/>
          <w:color w:val="000000"/>
        </w:rPr>
        <w:t>Mycobacterium</w:t>
      </w:r>
      <w:r w:rsidRPr="00901182">
        <w:rPr>
          <w:color w:val="000000"/>
        </w:rPr>
        <w:t xml:space="preserve"> sp., </w:t>
      </w:r>
      <w:r w:rsidRPr="00901182">
        <w:rPr>
          <w:i/>
          <w:color w:val="000000"/>
        </w:rPr>
        <w:t xml:space="preserve">Xanthomonas sp., </w:t>
      </w:r>
      <w:proofErr w:type="spellStart"/>
      <w:r w:rsidRPr="00901182">
        <w:rPr>
          <w:i/>
          <w:color w:val="000000"/>
        </w:rPr>
        <w:t>Alteromonas</w:t>
      </w:r>
      <w:proofErr w:type="spellEnd"/>
      <w:r w:rsidRPr="00901182">
        <w:rPr>
          <w:i/>
          <w:color w:val="000000"/>
        </w:rPr>
        <w:t xml:space="preserve"> sp., </w:t>
      </w:r>
      <w:proofErr w:type="spellStart"/>
      <w:r w:rsidRPr="00901182">
        <w:rPr>
          <w:i/>
          <w:color w:val="000000"/>
        </w:rPr>
        <w:t>Pantoea</w:t>
      </w:r>
      <w:proofErr w:type="spellEnd"/>
      <w:r w:rsidRPr="00901182">
        <w:rPr>
          <w:i/>
          <w:color w:val="000000"/>
        </w:rPr>
        <w:t xml:space="preserve"> sp., Bacillus sp. and Clostridium sp</w:t>
      </w:r>
      <w:r w:rsidRPr="00901182">
        <w:rPr>
          <w:iCs/>
          <w:color w:val="000000"/>
        </w:rPr>
        <w:t>.</w:t>
      </w:r>
      <w:r>
        <w:rPr>
          <w:iCs/>
          <w:color w:val="000000"/>
        </w:rPr>
        <w:t xml:space="preserve"> </w:t>
      </w:r>
      <w:r w:rsidRPr="00901182">
        <w:rPr>
          <w:color w:val="000000"/>
        </w:rPr>
        <w:t>(</w:t>
      </w:r>
      <w:r w:rsidR="0081179B" w:rsidRPr="00824009">
        <w:rPr>
          <w:rFonts w:ascii="Times" w:hAnsi="Times"/>
          <w:color w:val="131413"/>
        </w:rPr>
        <w:t xml:space="preserve">Additional file </w:t>
      </w:r>
      <w:r w:rsidR="0081179B">
        <w:rPr>
          <w:rFonts w:ascii="Times" w:hAnsi="Times"/>
          <w:color w:val="131413"/>
        </w:rPr>
        <w:t>3</w:t>
      </w:r>
      <w:r w:rsidR="0081179B" w:rsidRPr="00824009">
        <w:rPr>
          <w:rFonts w:ascii="Times" w:hAnsi="Times"/>
          <w:color w:val="131413"/>
        </w:rPr>
        <w:t xml:space="preserve">: </w:t>
      </w:r>
      <w:r w:rsidRPr="00901182">
        <w:rPr>
          <w:color w:val="000000"/>
        </w:rPr>
        <w:t>Table S</w:t>
      </w:r>
      <w:r w:rsidR="0081179B">
        <w:rPr>
          <w:color w:val="000000"/>
        </w:rPr>
        <w:t>3</w:t>
      </w:r>
      <w:r w:rsidRPr="00901182">
        <w:rPr>
          <w:color w:val="000000"/>
        </w:rPr>
        <w:t>)</w:t>
      </w:r>
      <w:r>
        <w:rPr>
          <w:color w:val="000000"/>
        </w:rPr>
        <w:t>.</w:t>
      </w:r>
      <w:r w:rsidRPr="00901182">
        <w:rPr>
          <w:iCs/>
          <w:color w:val="000000"/>
        </w:rPr>
        <w:t xml:space="preserve"> To design the primers, we created a consensus alignment with the available 16S rDNA sequences at NCBI for a specific bacterial genus using MEGA7 </w:t>
      </w:r>
      <w:r w:rsidRPr="00901182">
        <w:rPr>
          <w:iCs/>
          <w:color w:val="000000"/>
        </w:rPr>
        <w:fldChar w:fldCharType="begin"/>
      </w:r>
      <w:r>
        <w:rPr>
          <w:iCs/>
          <w:color w:val="000000"/>
        </w:rPr>
        <w:instrText xml:space="preserve"> ADDIN ZOTERO_ITEM CSL_CITATION {"citationID":"wT3Yxa3h","properties":{"formattedCitation":"(Kumar et al. 2016)","plainCitation":"(Kumar et al. 2016)","noteIndex":0},"citationItems":[{"id":14350,"uris":["http://zotero.org/users/2501208/items/HQD9HNG8"],"uri":["http://zotero.org/users/2501208/items/HQD9HNG8"],"itemData":{"id":14350,"type":"article-journal","abstract":"We present the latest version of the Molecular Evolutionary Genetics Analysis (MEGA) software, which contains many sophisticated methods and tools for phylogenomics and phylomedicine. In this major upgrade, MEGA has been optimized for use on 64-bit computing systems for analyzing bigger datasets. Researchers can now explore and analyze tens of thousands of sequences in MEGA. The new version also provides an advanced wizard for building timetrees and includes a new functionality to automatically predict gene duplication events in gene family trees. The 64-bit MEGA is made available in two interfaces: graphical and command line. The graphical user interface (GUI) is a native Microsoft Windows application that can also be used on Mac OSX. The command line MEGA is available as native applications for Windows, Linux, and Mac OSX. They are intended for use in high-throughput and scripted analysis. Both versions are available from www.megasoftware.net free of charge.","container-title":"Molecular Biology and Evolution","DOI":"10.1093/molbev/msw054","ISSN":"0737-4038, 1537-1719","journalAbbreviation":"Mol Biol Evol","language":"en","note":"PMID: 27004904","page":"msw054","source":"mbe.oxfordjournals.org","title":"MEGA7: Molecular Evolutionary Genetics Analysis version 7.0 for bigger datasets","title-short":"MEGA7","author":[{"family":"Kumar","given":"Sudhir"},{"family":"Stecher","given":"Glen"},{"family":"Tamura","given":"Koichiro"}],"issued":{"date-parts":[["2016",3,22]]}}}],"schema":"https://github.com/citation-style-language/schema/raw/master/csl-citation.json"} </w:instrText>
      </w:r>
      <w:r w:rsidRPr="00901182">
        <w:rPr>
          <w:iCs/>
          <w:color w:val="000000"/>
        </w:rPr>
        <w:fldChar w:fldCharType="separate"/>
      </w:r>
      <w:r w:rsidR="0081179B">
        <w:rPr>
          <w:color w:val="000000"/>
        </w:rPr>
        <w:t>(Kumar et al. 2016)</w:t>
      </w:r>
      <w:r w:rsidRPr="00901182">
        <w:rPr>
          <w:iCs/>
          <w:color w:val="000000"/>
        </w:rPr>
        <w:fldChar w:fldCharType="end"/>
      </w:r>
      <w:r w:rsidRPr="00901182">
        <w:rPr>
          <w:iCs/>
          <w:color w:val="000000"/>
        </w:rPr>
        <w:t xml:space="preserve">.  We used the consensus sequence to design primers using the Primer-BLAST tool from NCBI </w:t>
      </w:r>
      <w:r w:rsidRPr="00901182">
        <w:rPr>
          <w:iCs/>
          <w:color w:val="000000"/>
        </w:rPr>
        <w:fldChar w:fldCharType="begin"/>
      </w:r>
      <w:r w:rsidR="001C065F">
        <w:rPr>
          <w:iCs/>
          <w:color w:val="000000"/>
        </w:rPr>
        <w:instrText xml:space="preserve"> ADDIN ZOTERO_ITEM CSL_CITATION {"citationID":"i2LSiaaY","properties":{"formattedCitation":"(Ye et al. 2012)","plainCitation":"(Ye et al. 2012)","noteIndex":0},"citationItems":[{"id":"DIBICRoy/33qZXkXZ","uris":["http://zotero.org/users/2501208/items/XG54NQNK"],"uri":["http://zotero.org/users/2501208/items/XG54NQNK"],"itemData":{"id":16786,"type":"article-journal","title":"Primer-BLAST: A tool to design target-specific primers for polymerase chain reaction","container-title":"BMC Bioinformatics","page":"134","volume":"13","issue":"1","source":"BioMed Central","abstract":"Choosing appropriate primers is probably the single most important factor affecting the polymerase chain reaction (PCR). Specific amplification of the intended target requires that primers do not have matches to other targets in certain orientations and within certain distances that allow undesired amplification. The process of designing specific primers typically involves two stages. First, the primers flanking regions of interest are generated either manually or using software tools; then they are searched against an appropriate nucleotide sequence database using tools such as BLAST to examine the potential targets. However, the latter is not an easy process as one needs to examine many details between primers and targets, such as the number and the positions of matched bases, the primer orientations and distance between forward and reverse primers. The complexity of such analysis usually makes this a time-consuming and very difficult task for users, especially when the primers have a large number of hits. Furthermore, although the BLAST program has been widely used for primer target detection, it is in fact not an ideal tool for this purpose as BLAST is a local alignment algorithm and does not necessarily return complete match information over the entire primer range.","DOI":"10.1186/1471-2105-13-134","ISSN":"1471-2105","title-short":"Primer-BLAST","journalAbbreviation":"BMC Bioinformatics","author":[{"family":"Ye","given":"Jian"},{"family":"Coulouris","given":"George"},{"family":"Zaretskaya","given":"Irena"},{"family":"Cutcutache","given":"Ioana"},{"family":"Rozen","given":"Steve"},{"family":"Madden","given":"Thomas L."}],"issued":{"date-parts":[["2012",6,18]]}}}],"schema":"https://github.com/citation-style-language/schema/raw/master/csl-citation.json"} </w:instrText>
      </w:r>
      <w:r w:rsidRPr="00901182">
        <w:rPr>
          <w:iCs/>
          <w:color w:val="000000"/>
        </w:rPr>
        <w:fldChar w:fldCharType="separate"/>
      </w:r>
      <w:r w:rsidR="0081179B">
        <w:rPr>
          <w:color w:val="000000"/>
        </w:rPr>
        <w:t>(Ye et al. 2012)</w:t>
      </w:r>
      <w:r w:rsidRPr="00901182">
        <w:rPr>
          <w:iCs/>
          <w:color w:val="000000"/>
        </w:rPr>
        <w:fldChar w:fldCharType="end"/>
      </w:r>
      <w:r w:rsidRPr="00901182">
        <w:rPr>
          <w:iCs/>
          <w:color w:val="000000"/>
        </w:rPr>
        <w:t>.</w:t>
      </w:r>
      <w:r w:rsidRPr="00901182">
        <w:rPr>
          <w:i/>
          <w:color w:val="000000"/>
        </w:rPr>
        <w:t xml:space="preserve"> </w:t>
      </w:r>
      <w:r w:rsidRPr="00901182">
        <w:rPr>
          <w:color w:val="000000"/>
        </w:rPr>
        <w:t>For comparisons, all samples were normalized to the 16S rDNA region V3</w:t>
      </w:r>
      <w:r>
        <w:rPr>
          <w:color w:val="000000"/>
        </w:rPr>
        <w:t>-V4</w:t>
      </w:r>
      <w:r w:rsidRPr="00901182">
        <w:rPr>
          <w:color w:val="000000"/>
        </w:rPr>
        <w:t xml:space="preserve">. </w:t>
      </w:r>
    </w:p>
    <w:p w14:paraId="34B21D1D" w14:textId="77777777" w:rsidR="00F94377" w:rsidRPr="0094361B" w:rsidRDefault="00F94377" w:rsidP="00F94377">
      <w:pPr>
        <w:pStyle w:val="Normal1"/>
        <w:spacing w:line="480" w:lineRule="auto"/>
        <w:jc w:val="both"/>
        <w:rPr>
          <w:color w:val="000000"/>
        </w:rPr>
      </w:pPr>
    </w:p>
    <w:p w14:paraId="3013A652" w14:textId="77777777" w:rsidR="00F94377" w:rsidRPr="00901182" w:rsidRDefault="00F94377" w:rsidP="00F94377">
      <w:pPr>
        <w:pStyle w:val="Normal1"/>
        <w:spacing w:line="480" w:lineRule="auto"/>
        <w:rPr>
          <w:b/>
          <w:color w:val="000000"/>
        </w:rPr>
      </w:pPr>
      <w:r w:rsidRPr="00901182">
        <w:rPr>
          <w:b/>
        </w:rPr>
        <w:lastRenderedPageBreak/>
        <w:t>Microbial ecological network</w:t>
      </w:r>
      <w:r w:rsidRPr="00901182">
        <w:rPr>
          <w:b/>
          <w:color w:val="000000"/>
        </w:rPr>
        <w:t xml:space="preserve"> and functional analysis </w:t>
      </w:r>
    </w:p>
    <w:p w14:paraId="7CE067E2" w14:textId="36D0955D" w:rsidR="00F94377" w:rsidRDefault="00F94377" w:rsidP="00F94377">
      <w:pPr>
        <w:spacing w:line="480" w:lineRule="auto"/>
        <w:jc w:val="both"/>
        <w:rPr>
          <w:color w:val="000000"/>
        </w:rPr>
      </w:pPr>
      <w:r w:rsidRPr="00901182">
        <w:rPr>
          <w:color w:val="000000"/>
        </w:rPr>
        <w:t xml:space="preserve">To infer graphical models for the rice microbial </w:t>
      </w:r>
      <w:r w:rsidRPr="00901182">
        <w:t xml:space="preserve">ecological network, </w:t>
      </w:r>
      <w:r w:rsidRPr="00901182">
        <w:rPr>
          <w:color w:val="000000"/>
        </w:rPr>
        <w:t xml:space="preserve">we used </w:t>
      </w:r>
      <w:proofErr w:type="spellStart"/>
      <w:r w:rsidRPr="00901182">
        <w:rPr>
          <w:color w:val="000000"/>
        </w:rPr>
        <w:t>SpiecEasi</w:t>
      </w:r>
      <w:proofErr w:type="spellEnd"/>
      <w:r w:rsidRPr="00901182">
        <w:rPr>
          <w:color w:val="000000"/>
        </w:rPr>
        <w:t xml:space="preserve"> v0.1.4 R package </w:t>
      </w:r>
      <w:r w:rsidRPr="00901182">
        <w:rPr>
          <w:color w:val="000000"/>
        </w:rPr>
        <w:fldChar w:fldCharType="begin"/>
      </w:r>
      <w:r>
        <w:rPr>
          <w:color w:val="000000"/>
        </w:rPr>
        <w:instrText xml:space="preserve"> ADDIN ZOTERO_ITEM CSL_CITATION {"citationID":"a1f95upvguu","properties":{"formattedCitation":"(Kurtz et al. 2015)","plainCitation":"(Kurtz et al. 2015)","noteIndex":0},"citationItems":[{"id":15787,"uris":["http://zotero.org/users/2501208/items/6VC9CWZQ"],"uri":["http://zotero.org/users/2501208/items/6VC9CWZQ"],"itemData":{"id":15787,"type":"article-journal","abstract":"Author Summary Genomic survey of microbes by 16S rRNA gene sequencing and metagenomics has inspired appreciation for the role of complex communities in diverse ecosystems. However, due to the unique properties of community composition data, standard data analysis tools are likely to produce statistical artifacts. For a typical experiment studying microbial ecosystems these artifacts can lead to erroneous conclusions about patterns of associations between microbial taxa. We developed a new procedure that seeks to infer ecological associations between microbial populations, by 1) taking advantage of the proportionality invariance of relative abundance data and 2) making assumptions about the underlying network structure when the number of taxa in the dataset is larger than the number of sampled communities. Additionally, we employed a novel tool to generate biologically plausible synthetic data and objectively benchmark current association inference tools. Finally, we tested our procedures on a large-scale 16S rRNA gene sequencing dataset sampled from the human gut.","container-title":"PLOS Computational Biology","DOI":"10.1371/journal.pcbi.1004226","issue":"5","journalAbbreviation":"PLOS Computational Biology","page":"e1004226","title":"Sparse and compositionally robust inference of microbial ecological networks","volume":"11","author":[{"family":"Kurtz","given":"Zachary D."},{"family":"Müller","given":"Christian L."},{"family":"Miraldi","given":"Emily R."},{"family":"Littman","given":"Dan R."},{"family":"Blaser","given":"Martin J."},{"family":"Bonneau","given":"Richard A."}],"issued":{"date-parts":[["2015",5,7]]}}}],"schema":"https://github.com/citation-style-language/schema/raw/master/csl-citation.json"} </w:instrText>
      </w:r>
      <w:r w:rsidRPr="00901182">
        <w:rPr>
          <w:color w:val="000000"/>
        </w:rPr>
        <w:fldChar w:fldCharType="separate"/>
      </w:r>
      <w:r w:rsidR="0081179B">
        <w:rPr>
          <w:color w:val="000000"/>
        </w:rPr>
        <w:t>(Kurtz et al. 2015)</w:t>
      </w:r>
      <w:r w:rsidRPr="00901182">
        <w:rPr>
          <w:color w:val="000000"/>
        </w:rPr>
        <w:fldChar w:fldCharType="end"/>
      </w:r>
      <w:r w:rsidRPr="00901182">
        <w:rPr>
          <w:color w:val="000000"/>
        </w:rPr>
        <w:t>. We used the absolute counts, as the program does a center</w:t>
      </w:r>
      <w:r>
        <w:rPr>
          <w:color w:val="000000"/>
        </w:rPr>
        <w:t xml:space="preserve">ed </w:t>
      </w:r>
      <w:r w:rsidRPr="00901182">
        <w:rPr>
          <w:color w:val="000000"/>
        </w:rPr>
        <w:t>log-</w:t>
      </w:r>
      <w:r>
        <w:rPr>
          <w:color w:val="000000"/>
        </w:rPr>
        <w:t xml:space="preserve">ratio </w:t>
      </w:r>
      <w:r w:rsidRPr="00901182">
        <w:rPr>
          <w:color w:val="000000"/>
        </w:rPr>
        <w:t xml:space="preserve">transformation. As the program was sensitive to </w:t>
      </w:r>
      <w:r>
        <w:rPr>
          <w:color w:val="000000"/>
        </w:rPr>
        <w:t>low abundant and low incidence taxa</w:t>
      </w:r>
      <w:r w:rsidRPr="00901182">
        <w:rPr>
          <w:color w:val="000000"/>
        </w:rPr>
        <w:t xml:space="preserve">, we tested the effect of removing the genera not present in at least 10%, 30% and 50% of all the samples from the count matrix. We </w:t>
      </w:r>
      <w:r>
        <w:rPr>
          <w:color w:val="000000"/>
        </w:rPr>
        <w:t xml:space="preserve">compared the network properties in the different percentages, and we </w:t>
      </w:r>
      <w:r w:rsidRPr="00901182">
        <w:rPr>
          <w:color w:val="000000"/>
        </w:rPr>
        <w:t xml:space="preserve">decided to keep taxa present in at least 50% of all samples </w:t>
      </w:r>
      <w:r>
        <w:rPr>
          <w:color w:val="000000"/>
        </w:rPr>
        <w:t>based on</w:t>
      </w:r>
      <w:r w:rsidRPr="00901182">
        <w:rPr>
          <w:color w:val="000000"/>
        </w:rPr>
        <w:t xml:space="preserve"> the network </w:t>
      </w:r>
      <w:r>
        <w:rPr>
          <w:color w:val="000000"/>
        </w:rPr>
        <w:t>stability</w:t>
      </w:r>
      <w:r w:rsidRPr="00901182">
        <w:rPr>
          <w:color w:val="000000"/>
        </w:rPr>
        <w:t xml:space="preserve"> scores</w:t>
      </w:r>
      <w:r>
        <w:rPr>
          <w:color w:val="000000"/>
        </w:rPr>
        <w:t>, that</w:t>
      </w:r>
      <w:r w:rsidRPr="00901182">
        <w:rPr>
          <w:color w:val="000000"/>
        </w:rPr>
        <w:t xml:space="preserve"> were higher </w:t>
      </w:r>
      <w:r>
        <w:rPr>
          <w:color w:val="000000"/>
        </w:rPr>
        <w:t xml:space="preserve">in 50 % </w:t>
      </w:r>
      <w:r w:rsidRPr="00901182">
        <w:rPr>
          <w:color w:val="000000"/>
        </w:rPr>
        <w:t xml:space="preserve">compared to 10% and 30%. We did the analysis with the </w:t>
      </w:r>
      <w:proofErr w:type="spellStart"/>
      <w:r w:rsidRPr="00901182">
        <w:rPr>
          <w:color w:val="000000"/>
        </w:rPr>
        <w:t>Meinshausen-Buhlmann's</w:t>
      </w:r>
      <w:proofErr w:type="spellEnd"/>
      <w:r w:rsidRPr="00901182">
        <w:rPr>
          <w:color w:val="000000"/>
        </w:rPr>
        <w:t xml:space="preserve"> neighborhood method and the following parameters, </w:t>
      </w:r>
      <w:proofErr w:type="spellStart"/>
      <w:r w:rsidRPr="00901182">
        <w:rPr>
          <w:color w:val="000000"/>
        </w:rPr>
        <w:t>lambda.min.ratio</w:t>
      </w:r>
      <w:proofErr w:type="spellEnd"/>
      <w:r w:rsidRPr="00901182">
        <w:rPr>
          <w:color w:val="000000"/>
        </w:rPr>
        <w:t xml:space="preserve">=1e-2, </w:t>
      </w:r>
      <w:proofErr w:type="spellStart"/>
      <w:r w:rsidRPr="00901182">
        <w:rPr>
          <w:color w:val="000000"/>
        </w:rPr>
        <w:t>nlambda</w:t>
      </w:r>
      <w:proofErr w:type="spellEnd"/>
      <w:r w:rsidRPr="00901182">
        <w:rPr>
          <w:color w:val="000000"/>
        </w:rPr>
        <w:t>=</w:t>
      </w:r>
      <w:r w:rsidR="006B3ED6">
        <w:rPr>
          <w:color w:val="000000"/>
        </w:rPr>
        <w:t>3</w:t>
      </w:r>
      <w:r w:rsidRPr="00901182">
        <w:rPr>
          <w:color w:val="000000"/>
        </w:rPr>
        <w:t xml:space="preserve">0, </w:t>
      </w:r>
      <w:proofErr w:type="spellStart"/>
      <w:r w:rsidRPr="00901182">
        <w:rPr>
          <w:color w:val="000000"/>
        </w:rPr>
        <w:t>pulsar.params</w:t>
      </w:r>
      <w:proofErr w:type="spellEnd"/>
      <w:r w:rsidRPr="00901182">
        <w:rPr>
          <w:color w:val="000000"/>
        </w:rPr>
        <w:t>=list (</w:t>
      </w:r>
      <w:proofErr w:type="spellStart"/>
      <w:r w:rsidRPr="00901182">
        <w:rPr>
          <w:color w:val="000000"/>
        </w:rPr>
        <w:t>rep.num</w:t>
      </w:r>
      <w:proofErr w:type="spellEnd"/>
      <w:r w:rsidRPr="00901182">
        <w:rPr>
          <w:color w:val="000000"/>
        </w:rPr>
        <w:t xml:space="preserve">=100, </w:t>
      </w:r>
      <w:proofErr w:type="spellStart"/>
      <w:r w:rsidRPr="00901182">
        <w:rPr>
          <w:color w:val="000000"/>
        </w:rPr>
        <w:t>ncores</w:t>
      </w:r>
      <w:proofErr w:type="spellEnd"/>
      <w:r w:rsidRPr="00901182">
        <w:rPr>
          <w:color w:val="000000"/>
        </w:rPr>
        <w:t xml:space="preserve">=7) </w:t>
      </w:r>
      <w:r w:rsidRPr="00901182">
        <w:rPr>
          <w:color w:val="000000"/>
        </w:rPr>
        <w:fldChar w:fldCharType="begin"/>
      </w:r>
      <w:r>
        <w:rPr>
          <w:color w:val="000000"/>
        </w:rPr>
        <w:instrText xml:space="preserve"> ADDIN ZOTERO_ITEM CSL_CITATION {"citationID":"WehIMUs1","properties":{"formattedCitation":"(Kurtz et al. 2015)","plainCitation":"(Kurtz et al. 2015)","noteIndex":0},"citationItems":[{"id":15787,"uris":["http://zotero.org/users/2501208/items/6VC9CWZQ"],"uri":["http://zotero.org/users/2501208/items/6VC9CWZQ"],"itemData":{"id":15787,"type":"article-journal","abstract":"Author Summary Genomic survey of microbes by 16S rRNA gene sequencing and metagenomics has inspired appreciation for the role of complex communities in diverse ecosystems. However, due to the unique properties of community composition data, standard data analysis tools are likely to produce statistical artifacts. For a typical experiment studying microbial ecosystems these artifacts can lead to erroneous conclusions about patterns of associations between microbial taxa. We developed a new procedure that seeks to infer ecological associations between microbial populations, by 1) taking advantage of the proportionality invariance of relative abundance data and 2) making assumptions about the underlying network structure when the number of taxa in the dataset is larger than the number of sampled communities. Additionally, we employed a novel tool to generate biologically plausible synthetic data and objectively benchmark current association inference tools. Finally, we tested our procedures on a large-scale 16S rRNA gene sequencing dataset sampled from the human gut.","container-title":"PLOS Computational Biology","DOI":"10.1371/journal.pcbi.1004226","issue":"5","journalAbbreviation":"PLOS Computational Biology","page":"e1004226","title":"Sparse and compositionally robust inference of microbial ecological networks","volume":"11","author":[{"family":"Kurtz","given":"Zachary D."},{"family":"Müller","given":"Christian L."},{"family":"Miraldi","given":"Emily R."},{"family":"Littman","given":"Dan R."},{"family":"Blaser","given":"Martin J."},{"family":"Bonneau","given":"Richard A."}],"issued":{"date-parts":[["2015",5,7]]}}}],"schema":"https://github.com/citation-style-language/schema/raw/master/csl-citation.json"} </w:instrText>
      </w:r>
      <w:r w:rsidRPr="00901182">
        <w:rPr>
          <w:color w:val="000000"/>
        </w:rPr>
        <w:fldChar w:fldCharType="separate"/>
      </w:r>
      <w:r w:rsidR="0081179B">
        <w:rPr>
          <w:color w:val="000000"/>
        </w:rPr>
        <w:t>(Kurtz et al. 2015)</w:t>
      </w:r>
      <w:r w:rsidRPr="00901182">
        <w:rPr>
          <w:color w:val="000000"/>
        </w:rPr>
        <w:fldChar w:fldCharType="end"/>
      </w:r>
      <w:r w:rsidRPr="00901182">
        <w:rPr>
          <w:color w:val="000000"/>
        </w:rPr>
        <w:t xml:space="preserve">. The network was plotted with the software Gephi v0.9.2.  To predict the functional profile we used the web-based tool </w:t>
      </w:r>
      <w:proofErr w:type="spellStart"/>
      <w:r w:rsidRPr="00901182">
        <w:rPr>
          <w:color w:val="000000"/>
        </w:rPr>
        <w:t>Vikodak</w:t>
      </w:r>
      <w:proofErr w:type="spellEnd"/>
      <w:r w:rsidRPr="00901182">
        <w:rPr>
          <w:color w:val="000000"/>
        </w:rPr>
        <w:t xml:space="preserve"> (now </w:t>
      </w:r>
      <w:proofErr w:type="spellStart"/>
      <w:r w:rsidRPr="00901182">
        <w:rPr>
          <w:color w:val="000000"/>
        </w:rPr>
        <w:t>ivikodak</w:t>
      </w:r>
      <w:proofErr w:type="spellEnd"/>
      <w:r w:rsidRPr="00901182">
        <w:rPr>
          <w:color w:val="000000"/>
        </w:rPr>
        <w:t xml:space="preserve">, </w:t>
      </w:r>
      <w:hyperlink r:id="rId9" w:history="1">
        <w:r w:rsidRPr="00901182">
          <w:rPr>
            <w:color w:val="0000FF"/>
            <w:u w:val="single"/>
          </w:rPr>
          <w:t>https://web.rniapps.net/iVikodak/index.php</w:t>
        </w:r>
      </w:hyperlink>
      <w:r w:rsidRPr="00901182">
        <w:rPr>
          <w:color w:val="000000"/>
        </w:rPr>
        <w:t>)</w:t>
      </w:r>
      <w:r w:rsidR="008B0BB4">
        <w:rPr>
          <w:color w:val="000000"/>
        </w:rPr>
        <w:t xml:space="preserve">. Briefly, </w:t>
      </w:r>
      <w:r w:rsidR="008B0BB4" w:rsidRPr="00901182">
        <w:rPr>
          <w:color w:val="000000"/>
        </w:rPr>
        <w:t xml:space="preserve">this algorithm </w:t>
      </w:r>
      <w:r w:rsidR="008B0BB4">
        <w:rPr>
          <w:color w:val="000000"/>
        </w:rPr>
        <w:t>is</w:t>
      </w:r>
      <w:r w:rsidR="008B0BB4" w:rsidRPr="00901182">
        <w:rPr>
          <w:color w:val="000000"/>
        </w:rPr>
        <w:t xml:space="preserve"> based on the assumption that genes present </w:t>
      </w:r>
      <w:r w:rsidR="008B0BB4">
        <w:rPr>
          <w:color w:val="000000"/>
        </w:rPr>
        <w:t>in</w:t>
      </w:r>
      <w:r w:rsidR="008B0BB4" w:rsidRPr="00901182">
        <w:rPr>
          <w:color w:val="000000"/>
        </w:rPr>
        <w:t xml:space="preserve"> various microbes</w:t>
      </w:r>
      <w:r w:rsidR="008B0BB4" w:rsidRPr="001C7A64">
        <w:rPr>
          <w:color w:val="000000"/>
        </w:rPr>
        <w:t xml:space="preserve"> </w:t>
      </w:r>
      <w:r w:rsidR="008B0BB4" w:rsidRPr="00901182">
        <w:rPr>
          <w:color w:val="000000"/>
        </w:rPr>
        <w:t xml:space="preserve">contributed to a specific pathway(s) in the microbial community. </w:t>
      </w:r>
      <w:r w:rsidRPr="00901182">
        <w:rPr>
          <w:color w:val="000000"/>
        </w:rPr>
        <w:t xml:space="preserve"> under the co-</w:t>
      </w:r>
      <w:r w:rsidRPr="00031E01">
        <w:rPr>
          <w:color w:val="000000"/>
        </w:rPr>
        <w:t xml:space="preserve">metabolism algorithm workflow </w:t>
      </w:r>
      <w:r w:rsidRPr="00031E01">
        <w:rPr>
          <w:color w:val="000000"/>
        </w:rPr>
        <w:fldChar w:fldCharType="begin"/>
      </w:r>
      <w:r w:rsidRPr="00031E01">
        <w:rPr>
          <w:color w:val="000000"/>
        </w:rPr>
        <w:instrText xml:space="preserve"> ADDIN ZOTERO_ITEM CSL_CITATION {"citationID":"a2br9sce76h","properties":{"formattedCitation":"(Nagpal et al. 2016)","plainCitation":"(Nagpal et al. 2016)","noteIndex":0},"citationItems":[{"id":14731,"uris":["http://zotero.org/users/2501208/items/CJ77G6MU"],"uri":["http://zotero.org/users/2501208/items/CJ77G6MU"],"itemData":{"id":14731,"type":"article-journal","abstract":"Background The overall metabolic/functional potential of any given environmental niche is a function of the sum total of genes/proteins/enzymes that are encoded and expressed by various interacting microbes residing in that niche. Consequently, prior (collated) information pertaining to genes, enzymes encoded by the resident microbes can aid in indirectly (re)constructing/ inferring the metabolic/ functional potential of a given microbial community (given its taxonomic abundance profile). In this study, we present Vikodak—a multi-modular package that is based on the above assumption and automates inferring and/ or comparing the functional characteristics of an environment using taxonomic abundance generated from one or more environmental sample datasets. With the underlying assumptions of co-metabolism and independent contributions of different microbes in a community, a concerted effort has been made to accommodate microbial co-existence patterns in various modules incorporated in Vikodak.   Results Validation experiments on over 1400 metagenomic samples have confirmed the utility of Vikodak in (a) deciphering enzyme abundance profiles of any KEGG metabolic pathway, (b) functional resolution of distinct metagenomic environments, (c) inferring patterns of functional interaction between resident microbes, and (d) automating statistical comparison of functional features of studied microbiomes. Novel features incorporated in Vikodak also facilitate automatic removal of false positives and spurious functional predictions.   Conclusions With novel provisions for comprehensive functional analysis, inclusion of microbial co-existence pattern based algorithms, automated inter-environment comparisons; in-depth analysis of individual metabolic pathways and greater flexibilities at the user end, Vikodak is expected to be an important value addition to the family of existing tools for 16S based function prediction.   Availability and Implementation A web implementation of Vikodak can be publicly accessed at: http://metagenomics.atc.tcs.com/vikodak. This web service is freely available for all categories of users (academic as well as commercial).","container-title":"PLOS ONE","DOI":"10.1371/journal.pone.0148347","ISSN":"1932-6203","issue":"2","journalAbbreviation":"PLOS ONE","page":"e0148347","source":"PLoS Journals","title":"Vikodak - A modular framework for inferring functional potential of microbial communities from 16S metagenomic datasets","volume":"11","author":[{"family":"Nagpal","given":"Sunil"},{"family":"Haque","given":"Mohammed Monzoorul"},{"family":"Mande","given":"Sharmila S."}],"issued":{"date-parts":[["2016",2,5]]}}}],"schema":"https://github.com/citation-style-language/schema/raw/master/csl-citation.json"} </w:instrText>
      </w:r>
      <w:r w:rsidRPr="00031E01">
        <w:rPr>
          <w:color w:val="000000"/>
        </w:rPr>
        <w:fldChar w:fldCharType="separate"/>
      </w:r>
      <w:r w:rsidR="0081179B" w:rsidRPr="00031E01">
        <w:rPr>
          <w:color w:val="000000"/>
        </w:rPr>
        <w:t>(Nagpal et al. 2016)</w:t>
      </w:r>
      <w:r w:rsidRPr="00031E01">
        <w:rPr>
          <w:color w:val="000000"/>
        </w:rPr>
        <w:fldChar w:fldCharType="end"/>
      </w:r>
      <w:r w:rsidRPr="00031E01">
        <w:rPr>
          <w:color w:val="000000"/>
        </w:rPr>
        <w:t xml:space="preserve">. </w:t>
      </w:r>
      <w:r w:rsidR="00ED1C65" w:rsidRPr="00031E01">
        <w:rPr>
          <w:color w:val="000000"/>
        </w:rPr>
        <w:t xml:space="preserve">We used this approach because </w:t>
      </w:r>
      <w:r w:rsidR="00ED1C65" w:rsidRPr="00031E01">
        <w:t xml:space="preserve">microbial community functions are dependent on bacterial richness and interaction among microbes. </w:t>
      </w:r>
      <w:r w:rsidR="008B0BB4" w:rsidRPr="00031E01">
        <w:rPr>
          <w:color w:val="000000"/>
        </w:rPr>
        <w:t xml:space="preserve">For this analysis we focused on Bacterial functions, </w:t>
      </w:r>
      <w:r w:rsidR="00ED1C65" w:rsidRPr="00031E01">
        <w:rPr>
          <w:color w:val="000000"/>
        </w:rPr>
        <w:t>therefore,</w:t>
      </w:r>
      <w:r w:rsidR="008B0BB4" w:rsidRPr="00031E01">
        <w:rPr>
          <w:color w:val="000000"/>
        </w:rPr>
        <w:t xml:space="preserve"> to remove </w:t>
      </w:r>
      <w:r w:rsidR="008B0BB4" w:rsidRPr="00031E01">
        <w:t>pathways originating from eukaryotic sources</w:t>
      </w:r>
      <w:r w:rsidR="008B0BB4" w:rsidRPr="00031E01">
        <w:rPr>
          <w:color w:val="000000"/>
        </w:rPr>
        <w:t xml:space="preserve"> we </w:t>
      </w:r>
      <w:r w:rsidR="008B0BB4" w:rsidRPr="00031E01">
        <w:t>implemented a Pathway Exclusion Cut-off.</w:t>
      </w:r>
      <w:r w:rsidR="008B0BB4" w:rsidRPr="00031E01">
        <w:rPr>
          <w:color w:val="000000"/>
        </w:rPr>
        <w:t xml:space="preserve"> We used the modules </w:t>
      </w:r>
      <w:r w:rsidR="008B0BB4" w:rsidRPr="00031E01">
        <w:t xml:space="preserve">Global Mapper, and ‘Co-metabolism’ algorithm. </w:t>
      </w:r>
      <w:r w:rsidRPr="00031E01">
        <w:rPr>
          <w:color w:val="000000"/>
        </w:rPr>
        <w:t>The pathways were classified with KEGG hierarchy levels.</w:t>
      </w:r>
      <w:r w:rsidRPr="00901182">
        <w:rPr>
          <w:color w:val="000000"/>
        </w:rPr>
        <w:t xml:space="preserve"> </w:t>
      </w:r>
    </w:p>
    <w:p w14:paraId="47FE4FF9" w14:textId="77777777" w:rsidR="00F94377" w:rsidRDefault="00F94377" w:rsidP="00F94377">
      <w:pPr>
        <w:pStyle w:val="Normal1"/>
        <w:spacing w:line="480" w:lineRule="auto"/>
        <w:rPr>
          <w:b/>
          <w:color w:val="000000"/>
        </w:rPr>
      </w:pPr>
    </w:p>
    <w:p w14:paraId="024EDB80" w14:textId="77777777" w:rsidR="00F94377" w:rsidRPr="0094361B" w:rsidRDefault="00F94377" w:rsidP="00F94377">
      <w:pPr>
        <w:pStyle w:val="Normal1"/>
        <w:spacing w:line="480" w:lineRule="auto"/>
        <w:rPr>
          <w:b/>
          <w:color w:val="000000"/>
        </w:rPr>
      </w:pPr>
      <w:r w:rsidRPr="0094361B">
        <w:rPr>
          <w:b/>
          <w:color w:val="000000"/>
        </w:rPr>
        <w:t>Genome</w:t>
      </w:r>
      <w:r>
        <w:rPr>
          <w:b/>
          <w:color w:val="000000"/>
        </w:rPr>
        <w:t>-w</w:t>
      </w:r>
      <w:r w:rsidRPr="0094361B">
        <w:rPr>
          <w:b/>
          <w:color w:val="000000"/>
        </w:rPr>
        <w:t xml:space="preserve">ide Association Study </w:t>
      </w:r>
    </w:p>
    <w:p w14:paraId="26478163" w14:textId="7FE6E889" w:rsidR="00F94377" w:rsidRDefault="00F94377" w:rsidP="00F94377">
      <w:pPr>
        <w:pStyle w:val="Normal1"/>
        <w:spacing w:line="480" w:lineRule="auto"/>
        <w:jc w:val="both"/>
        <w:rPr>
          <w:color w:val="000000"/>
        </w:rPr>
      </w:pPr>
      <w:r w:rsidRPr="000F5A6D">
        <w:rPr>
          <w:rFonts w:eastAsia="Times"/>
          <w:color w:val="000000"/>
        </w:rPr>
        <w:lastRenderedPageBreak/>
        <w:t>To identify rice genetic factors</w:t>
      </w:r>
      <w:r>
        <w:rPr>
          <w:color w:val="000000"/>
        </w:rPr>
        <w:t xml:space="preserve"> that determine the compositions of microbial communities, we performed a </w:t>
      </w:r>
      <w:r w:rsidRPr="00DD72DF">
        <w:rPr>
          <w:color w:val="000000"/>
        </w:rPr>
        <w:t>Genome</w:t>
      </w:r>
      <w:r>
        <w:rPr>
          <w:color w:val="000000"/>
        </w:rPr>
        <w:t>-w</w:t>
      </w:r>
      <w:r w:rsidRPr="00DD72DF">
        <w:rPr>
          <w:color w:val="000000"/>
        </w:rPr>
        <w:t xml:space="preserve">ide Association Study </w:t>
      </w:r>
      <w:r>
        <w:rPr>
          <w:color w:val="000000"/>
        </w:rPr>
        <w:t xml:space="preserve">(GWAS). We first determined the rice </w:t>
      </w:r>
      <w:r w:rsidRPr="0094361B">
        <w:rPr>
          <w:color w:val="000000"/>
        </w:rPr>
        <w:t>population stratification</w:t>
      </w:r>
      <w:r>
        <w:rPr>
          <w:color w:val="000000"/>
        </w:rPr>
        <w:t xml:space="preserve"> using the software </w:t>
      </w:r>
      <w:r w:rsidRPr="0094361B">
        <w:rPr>
          <w:color w:val="000000"/>
        </w:rPr>
        <w:t xml:space="preserve">PLINK </w:t>
      </w:r>
      <w:r>
        <w:rPr>
          <w:color w:val="000000"/>
        </w:rPr>
        <w:t>v</w:t>
      </w:r>
      <w:r w:rsidRPr="0094361B">
        <w:rPr>
          <w:color w:val="000000"/>
        </w:rPr>
        <w:t>1.9</w:t>
      </w:r>
      <w:r w:rsidR="006B3ED6">
        <w:rPr>
          <w:color w:val="000000"/>
        </w:rPr>
        <w:t>. W</w:t>
      </w:r>
      <w:r>
        <w:rPr>
          <w:color w:val="000000"/>
        </w:rPr>
        <w:t xml:space="preserve">ith the software </w:t>
      </w:r>
      <w:r w:rsidRPr="0094361B">
        <w:rPr>
          <w:color w:val="000000"/>
        </w:rPr>
        <w:t xml:space="preserve">GEMMA </w:t>
      </w:r>
      <w:r>
        <w:rPr>
          <w:color w:val="000000"/>
        </w:rPr>
        <w:t>v</w:t>
      </w:r>
      <w:r w:rsidRPr="0094361B">
        <w:rPr>
          <w:color w:val="000000"/>
        </w:rPr>
        <w:t>0.</w:t>
      </w:r>
      <w:r>
        <w:rPr>
          <w:color w:val="000000"/>
        </w:rPr>
        <w:t xml:space="preserve">9 </w:t>
      </w:r>
      <w:r w:rsidR="006B3ED6">
        <w:rPr>
          <w:color w:val="000000"/>
        </w:rPr>
        <w:t xml:space="preserve">we determine the kinship matrix </w:t>
      </w:r>
      <w:r w:rsidR="006B3ED6" w:rsidRPr="00031E01">
        <w:rPr>
          <w:color w:val="000000"/>
        </w:rPr>
        <w:t xml:space="preserve">and then we ran a SNP-based association test </w:t>
      </w:r>
      <w:r w:rsidRPr="00031E01">
        <w:rPr>
          <w:rStyle w:val="fontstyle01"/>
        </w:rPr>
        <w:fldChar w:fldCharType="begin"/>
      </w:r>
      <w:r w:rsidR="006B3ED6" w:rsidRPr="00031E01">
        <w:rPr>
          <w:rStyle w:val="fontstyle01"/>
        </w:rPr>
        <w:instrText xml:space="preserve"> ADDIN ZOTERO_ITEM CSL_CITATION {"citationID":"p4uKrXwL","properties":{"formattedCitation":"(Purcell et al. 2007; Zhou and Stephens 2012)","plainCitation":"(Purcell et al. 2007; Zhou and Stephens 2012)","noteIndex":0},"citationItems":[{"id":16259,"uris":["http://zotero.org/users/2501208/items/ERAQ5CC9"],"uri":["http://zotero.org/users/2501208/items/ERAQ5CC9"],"itemData":{"id":16259,"type":"article-journal","abstract":"Linear mixed models have attracted considerable recent attention as a powerful and effective tool for accounting for population stratification and relatedness in genetic association tests. However, existing methods for exact computation of standard test statistics are computationally impractical for even moderate-sized genome-wide association studies. To deal with this several approximate methods have been proposed. Here, we present an efficient exact method that makes these approximations unnecessary in many settings. This method is roughly n times faster than the widely-used exact method EMMA, where n is the sample size, making exact genome-wide association analysis computationally practical for large numbers of individuals.","container-title":"Nature genetics","DOI":"10.1038/ng.2310","ISSN":"1061-4036","issue":"7","journalAbbreviation":"Nat Genet","note":"PMID: 22706312\nPMCID: PMC3386377","page":"821-824","source":"PubMed Central","title":"Genome-wide efficient mixed model analysis for association studies","volume":"44","author":[{"family":"Zhou","given":"Xiang"},{"family":"Stephens","given":"Matthew"}],"issued":{"date-parts":[["2012",6,17]]}}},{"id":14770,"uris":["http://zotero.org/users/2501208/items/HAXD9646"],"uri":["http://zotero.org/users/2501208/items/HAXD9646"],"itemData":{"id":14770,"type":"article-journal","abstract":"Whole-genome association studies (WGAS) bring new computational, as well as analytic, challenges to researchers. Many existing genetic-analysis tools are not designed to handle such large data sets in a convenient manner and do not necessarily exploit the new opportunities that whole-genome data bring. To address these issues, we developed PLINK, an open-source C/C++ WGAS tool set. With PLINK, large data sets comprising hundreds of thousands of markers genotyped for thousands of individuals can be rapidly manipulated and analyzed in their entirety. As well as providing tools to make the basic analytic steps computationally efficient, PLINK also supports some novel approaches to whole-genome data that take advantage of whole-genome coverage. We introduce PLINK and describe the five main domains of function: data management, summary statistics, population stratification, association analysis, and identity-by-descent estimation. In particular, we focus on the estimation and use of identity-by-state and identity-by-descent information in the context of population-based whole-genome studies. This information can be used to detect and correct for population stratification and to identify extended chromosomal segments that are shared identical by descent between very distantly related individuals. Analysis of the patterns of segmental sharing has the potential to map disease loci that contain multiple rare variants in a population-based linkage analysis.","container-title":"American Journal of Human Genetics","ISSN":"0002-9297","issue":"3","journalAbbreviation":"Am J Hum Genet","note":"PMID: 17701901\nPMCID: PMC1950838","page":"559-575","source":"PubMed Central","title":"PLINK: A tool set for whole-genome association and population-based linkage analyses","title-short":"PLINK","volume":"81","author":[{"family":"Purcell","given":"Shaun"},{"family":"Neale","given":"Benjamin"},{"family":"Todd-Brown","given":"Kathe"},{"family":"Thomas","given":"Lori"},{"family":"Ferreira","given":"Manuel</w:instrText>
      </w:r>
      <w:r w:rsidR="006B3ED6" w:rsidRPr="00031E01">
        <w:rPr>
          <w:rStyle w:val="fontstyle01"/>
          <w:rFonts w:hint="eastAsia"/>
        </w:rPr>
        <w:instrText> </w:instrText>
      </w:r>
      <w:r w:rsidR="006B3ED6" w:rsidRPr="00031E01">
        <w:rPr>
          <w:rStyle w:val="fontstyle01"/>
        </w:rPr>
        <w:instrText>A.</w:instrText>
      </w:r>
      <w:r w:rsidR="006B3ED6" w:rsidRPr="00031E01">
        <w:rPr>
          <w:rStyle w:val="fontstyle01"/>
          <w:rFonts w:hint="eastAsia"/>
        </w:rPr>
        <w:instrText> </w:instrText>
      </w:r>
      <w:r w:rsidR="006B3ED6" w:rsidRPr="00031E01">
        <w:rPr>
          <w:rStyle w:val="fontstyle01"/>
        </w:rPr>
        <w:instrText>R."},{"family":"Bender","given":"David"},{"family":"Maller","given":"Julian"},{"family":"Sklar","given":"Pamela"},{"family":"de</w:instrText>
      </w:r>
      <w:r w:rsidR="006B3ED6" w:rsidRPr="00031E01">
        <w:rPr>
          <w:rStyle w:val="fontstyle01"/>
          <w:rFonts w:hint="eastAsia"/>
        </w:rPr>
        <w:instrText> </w:instrText>
      </w:r>
      <w:r w:rsidR="006B3ED6" w:rsidRPr="00031E01">
        <w:rPr>
          <w:rStyle w:val="fontstyle01"/>
        </w:rPr>
        <w:instrText>Bakker","given":"Paul</w:instrText>
      </w:r>
      <w:r w:rsidR="006B3ED6" w:rsidRPr="00031E01">
        <w:rPr>
          <w:rStyle w:val="fontstyle01"/>
          <w:rFonts w:hint="eastAsia"/>
        </w:rPr>
        <w:instrText> </w:instrText>
      </w:r>
      <w:r w:rsidR="006B3ED6" w:rsidRPr="00031E01">
        <w:rPr>
          <w:rStyle w:val="fontstyle01"/>
        </w:rPr>
        <w:instrText>I.</w:instrText>
      </w:r>
      <w:r w:rsidR="006B3ED6" w:rsidRPr="00031E01">
        <w:rPr>
          <w:rStyle w:val="fontstyle01"/>
          <w:rFonts w:hint="eastAsia"/>
        </w:rPr>
        <w:instrText> </w:instrText>
      </w:r>
      <w:r w:rsidR="006B3ED6" w:rsidRPr="00031E01">
        <w:rPr>
          <w:rStyle w:val="fontstyle01"/>
        </w:rPr>
        <w:instrText>W."},{"family":"Daly","given":"Mark</w:instrText>
      </w:r>
      <w:r w:rsidR="006B3ED6" w:rsidRPr="00031E01">
        <w:rPr>
          <w:rStyle w:val="fontstyle01"/>
          <w:rFonts w:hint="eastAsia"/>
        </w:rPr>
        <w:instrText> </w:instrText>
      </w:r>
      <w:r w:rsidR="006B3ED6" w:rsidRPr="00031E01">
        <w:rPr>
          <w:rStyle w:val="fontstyle01"/>
        </w:rPr>
        <w:instrText>J."},{"family":"Sham","given":"Pak</w:instrText>
      </w:r>
      <w:r w:rsidR="006B3ED6" w:rsidRPr="00031E01">
        <w:rPr>
          <w:rStyle w:val="fontstyle01"/>
          <w:rFonts w:hint="eastAsia"/>
        </w:rPr>
        <w:instrText> </w:instrText>
      </w:r>
      <w:r w:rsidR="006B3ED6" w:rsidRPr="00031E01">
        <w:rPr>
          <w:rStyle w:val="fontstyle01"/>
        </w:rPr>
        <w:instrText xml:space="preserve">C."}],"issued":{"date-parts":[["2007",9]]}}}],"schema":"https://github.com/citation-style-language/schema/raw/master/csl-citation.json"} </w:instrText>
      </w:r>
      <w:r w:rsidRPr="00031E01">
        <w:rPr>
          <w:rStyle w:val="fontstyle01"/>
        </w:rPr>
        <w:fldChar w:fldCharType="separate"/>
      </w:r>
      <w:r w:rsidR="0081179B" w:rsidRPr="00031E01">
        <w:rPr>
          <w:color w:val="000000"/>
        </w:rPr>
        <w:t>(Purcell et al. 2007; Zhou and Stephens 2012)</w:t>
      </w:r>
      <w:r w:rsidRPr="00031E01">
        <w:rPr>
          <w:rStyle w:val="fontstyle01"/>
        </w:rPr>
        <w:fldChar w:fldCharType="end"/>
      </w:r>
      <w:r w:rsidRPr="00031E01">
        <w:rPr>
          <w:rStyle w:val="fontstyle01"/>
        </w:rPr>
        <w:t xml:space="preserve">. </w:t>
      </w:r>
      <w:r w:rsidR="00591276" w:rsidRPr="00031E01">
        <w:rPr>
          <w:rFonts w:ascii="Times" w:hAnsi="Times"/>
          <w:color w:val="000000"/>
        </w:rPr>
        <w:t>To avoid association bias due to lack of information for most of Chinese accessions (</w:t>
      </w:r>
      <w:proofErr w:type="spellStart"/>
      <w:r w:rsidR="00591276" w:rsidRPr="00031E01">
        <w:rPr>
          <w:rFonts w:ascii="Times" w:hAnsi="Times"/>
          <w:color w:val="000000"/>
        </w:rPr>
        <w:t>agCh</w:t>
      </w:r>
      <w:proofErr w:type="spellEnd"/>
      <w:r w:rsidR="00591276" w:rsidRPr="00031E01">
        <w:rPr>
          <w:rFonts w:ascii="Times" w:hAnsi="Times"/>
          <w:color w:val="000000"/>
        </w:rPr>
        <w:t xml:space="preserve">), we kept </w:t>
      </w:r>
      <w:proofErr w:type="spellStart"/>
      <w:r w:rsidR="00591276" w:rsidRPr="00031E01">
        <w:rPr>
          <w:rFonts w:ascii="Times" w:hAnsi="Times"/>
          <w:color w:val="000000"/>
        </w:rPr>
        <w:t>agCh</w:t>
      </w:r>
      <w:proofErr w:type="spellEnd"/>
      <w:r w:rsidR="00591276" w:rsidRPr="00031E01">
        <w:rPr>
          <w:rFonts w:ascii="Times" w:hAnsi="Times"/>
          <w:color w:val="000000"/>
        </w:rPr>
        <w:t xml:space="preserve"> and </w:t>
      </w:r>
      <w:proofErr w:type="spellStart"/>
      <w:r w:rsidR="00591276" w:rsidRPr="00031E01">
        <w:rPr>
          <w:rFonts w:ascii="Times" w:hAnsi="Times"/>
          <w:color w:val="000000"/>
        </w:rPr>
        <w:t>agPh</w:t>
      </w:r>
      <w:proofErr w:type="spellEnd"/>
      <w:r w:rsidR="00591276" w:rsidRPr="00031E01">
        <w:rPr>
          <w:rFonts w:ascii="Times" w:hAnsi="Times"/>
          <w:color w:val="000000"/>
        </w:rPr>
        <w:t xml:space="preserve"> together for the analysis.</w:t>
      </w:r>
      <w:r w:rsidR="00591276" w:rsidRPr="00031E01">
        <w:rPr>
          <w:rFonts w:ascii="CMR10" w:hAnsi="CMR10"/>
          <w:color w:val="000000"/>
          <w:sz w:val="22"/>
          <w:szCs w:val="22"/>
        </w:rPr>
        <w:t xml:space="preserve"> </w:t>
      </w:r>
      <w:r w:rsidRPr="00031E01">
        <w:rPr>
          <w:rFonts w:ascii="Times" w:hAnsi="Times"/>
          <w:color w:val="000000"/>
        </w:rPr>
        <w:t>We used 6.5 million filtered rice SNPs from the 29 million bi-allelic SNPs retrieved from the Rice SNP-Seek (3kRG full (29mio) biallelic SNP set v.4</w:t>
      </w:r>
      <w:r w:rsidRPr="006B3ED6">
        <w:rPr>
          <w:rFonts w:ascii="Times" w:hAnsi="Times"/>
          <w:color w:val="000000"/>
        </w:rPr>
        <w:t>, snp-seek.irri.org</w:t>
      </w:r>
      <w:r w:rsidRPr="0094361B">
        <w:rPr>
          <w:color w:val="000000"/>
        </w:rPr>
        <w:t xml:space="preserve">). We </w:t>
      </w:r>
      <w:r>
        <w:rPr>
          <w:color w:val="000000"/>
        </w:rPr>
        <w:t>excluded</w:t>
      </w:r>
      <w:r w:rsidRPr="0094361B">
        <w:rPr>
          <w:color w:val="000000"/>
        </w:rPr>
        <w:t xml:space="preserve"> SNPs with </w:t>
      </w:r>
      <w:r>
        <w:rPr>
          <w:color w:val="000000"/>
        </w:rPr>
        <w:t xml:space="preserve">the lower genotypic rate (&gt; </w:t>
      </w:r>
      <w:r w:rsidRPr="0094361B">
        <w:rPr>
          <w:color w:val="000000"/>
        </w:rPr>
        <w:t>95%</w:t>
      </w:r>
      <w:r>
        <w:rPr>
          <w:color w:val="000000"/>
        </w:rPr>
        <w:t>) and</w:t>
      </w:r>
      <w:r w:rsidRPr="0094361B">
        <w:rPr>
          <w:color w:val="000000"/>
        </w:rPr>
        <w:t xml:space="preserve"> minor allele frequency </w:t>
      </w:r>
      <w:r>
        <w:rPr>
          <w:color w:val="000000"/>
        </w:rPr>
        <w:t xml:space="preserve">(MAF &lt; 0.01). We removed </w:t>
      </w:r>
      <w:r w:rsidRPr="0094361B">
        <w:rPr>
          <w:color w:val="000000"/>
        </w:rPr>
        <w:t xml:space="preserve">the SNPs that fail the Hardy-Weinberg equilibrium test </w:t>
      </w:r>
      <w:r>
        <w:rPr>
          <w:color w:val="000000"/>
        </w:rPr>
        <w:t>(</w:t>
      </w:r>
      <w:r w:rsidRPr="0094361B">
        <w:rPr>
          <w:color w:val="000000"/>
        </w:rPr>
        <w:t>P &lt; 0.0001</w:t>
      </w:r>
      <w:r>
        <w:rPr>
          <w:color w:val="000000"/>
        </w:rPr>
        <w:t>)</w:t>
      </w:r>
      <w:r w:rsidRPr="0094361B">
        <w:rPr>
          <w:color w:val="000000"/>
        </w:rPr>
        <w:t>.</w:t>
      </w:r>
      <w:r>
        <w:rPr>
          <w:color w:val="000000"/>
        </w:rPr>
        <w:t xml:space="preserve"> We performed a </w:t>
      </w:r>
      <w:r w:rsidR="006B3ED6">
        <w:rPr>
          <w:color w:val="000000"/>
        </w:rPr>
        <w:t xml:space="preserve">simultaneous </w:t>
      </w:r>
      <w:r>
        <w:rPr>
          <w:color w:val="000000"/>
        </w:rPr>
        <w:t xml:space="preserve">GWAS with </w:t>
      </w:r>
      <w:r w:rsidRPr="0094361B">
        <w:rPr>
          <w:color w:val="000000"/>
        </w:rPr>
        <w:t>the abundance of the hubs</w:t>
      </w:r>
      <w:r w:rsidR="006B3ED6">
        <w:rPr>
          <w:color w:val="000000"/>
        </w:rPr>
        <w:t>:</w:t>
      </w:r>
      <w:r w:rsidRPr="0094361B">
        <w:rPr>
          <w:color w:val="000000"/>
        </w:rPr>
        <w:t xml:space="preserve"> </w:t>
      </w:r>
      <w:r w:rsidR="006B3ED6" w:rsidRPr="000B39BF">
        <w:rPr>
          <w:i/>
          <w:iCs/>
          <w:color w:val="000000"/>
        </w:rPr>
        <w:t xml:space="preserve">Clostridium, Mycoplasma, Bacillus, </w:t>
      </w:r>
      <w:proofErr w:type="spellStart"/>
      <w:r w:rsidR="006B3ED6" w:rsidRPr="000B39BF">
        <w:rPr>
          <w:i/>
          <w:iCs/>
          <w:color w:val="000000"/>
        </w:rPr>
        <w:t>Buchnera</w:t>
      </w:r>
      <w:proofErr w:type="spellEnd"/>
      <w:r w:rsidR="006B3ED6" w:rsidRPr="000B39BF">
        <w:rPr>
          <w:i/>
          <w:iCs/>
          <w:color w:val="000000"/>
        </w:rPr>
        <w:t xml:space="preserve">, Prochlorococcus, Helicobacter, </w:t>
      </w:r>
      <w:proofErr w:type="spellStart"/>
      <w:r w:rsidR="006B3ED6" w:rsidRPr="000B39BF">
        <w:rPr>
          <w:i/>
          <w:iCs/>
          <w:color w:val="000000"/>
        </w:rPr>
        <w:t>Methylobacterium</w:t>
      </w:r>
      <w:proofErr w:type="spellEnd"/>
      <w:r w:rsidR="006B3ED6" w:rsidRPr="000B39BF">
        <w:rPr>
          <w:i/>
          <w:iCs/>
          <w:color w:val="000000"/>
        </w:rPr>
        <w:t xml:space="preserve">, </w:t>
      </w:r>
      <w:proofErr w:type="spellStart"/>
      <w:r w:rsidR="006B3ED6" w:rsidRPr="000B39BF">
        <w:rPr>
          <w:i/>
          <w:iCs/>
          <w:color w:val="000000"/>
        </w:rPr>
        <w:t>Chamaesiphon</w:t>
      </w:r>
      <w:proofErr w:type="spellEnd"/>
      <w:r w:rsidR="006B3ED6" w:rsidRPr="000B39BF">
        <w:rPr>
          <w:i/>
          <w:iCs/>
          <w:color w:val="000000"/>
        </w:rPr>
        <w:t xml:space="preserve">, </w:t>
      </w:r>
      <w:proofErr w:type="spellStart"/>
      <w:r w:rsidR="006B3ED6" w:rsidRPr="000B39BF">
        <w:rPr>
          <w:i/>
          <w:iCs/>
          <w:color w:val="000000"/>
        </w:rPr>
        <w:t>Azotobacter</w:t>
      </w:r>
      <w:proofErr w:type="spellEnd"/>
      <w:r w:rsidR="006B3ED6" w:rsidRPr="000B39BF">
        <w:rPr>
          <w:i/>
          <w:iCs/>
          <w:color w:val="000000"/>
        </w:rPr>
        <w:t xml:space="preserve">, </w:t>
      </w:r>
      <w:proofErr w:type="spellStart"/>
      <w:r w:rsidR="006B3ED6" w:rsidRPr="000B39BF">
        <w:rPr>
          <w:i/>
          <w:iCs/>
          <w:color w:val="000000"/>
        </w:rPr>
        <w:t>Kineococcus</w:t>
      </w:r>
      <w:proofErr w:type="spellEnd"/>
      <w:r w:rsidR="006B3ED6" w:rsidRPr="000B39BF">
        <w:rPr>
          <w:i/>
          <w:iCs/>
          <w:color w:val="000000"/>
        </w:rPr>
        <w:t xml:space="preserve">, </w:t>
      </w:r>
      <w:proofErr w:type="spellStart"/>
      <w:r w:rsidR="006B3ED6" w:rsidRPr="000B39BF">
        <w:rPr>
          <w:i/>
          <w:iCs/>
          <w:color w:val="000000"/>
        </w:rPr>
        <w:t>Acidovorax</w:t>
      </w:r>
      <w:proofErr w:type="spellEnd"/>
      <w:r w:rsidR="006B3ED6">
        <w:rPr>
          <w:i/>
          <w:iCs/>
          <w:color w:val="000000"/>
        </w:rPr>
        <w:t>,</w:t>
      </w:r>
      <w:r w:rsidR="006B3ED6" w:rsidRPr="000B39BF">
        <w:rPr>
          <w:i/>
          <w:iCs/>
          <w:color w:val="000000"/>
        </w:rPr>
        <w:t xml:space="preserve"> and Pseudomonas</w:t>
      </w:r>
      <w:r w:rsidR="006B3ED6">
        <w:rPr>
          <w:i/>
          <w:iCs/>
          <w:color w:val="000000"/>
        </w:rPr>
        <w:t>.</w:t>
      </w:r>
    </w:p>
    <w:p w14:paraId="203B7C2D" w14:textId="77777777" w:rsidR="00F94377" w:rsidRDefault="00F94377" w:rsidP="00F94377">
      <w:pPr>
        <w:pStyle w:val="Normal1"/>
        <w:spacing w:line="480" w:lineRule="auto"/>
        <w:jc w:val="both"/>
        <w:rPr>
          <w:color w:val="000000"/>
        </w:rPr>
      </w:pPr>
    </w:p>
    <w:p w14:paraId="319A632D" w14:textId="1530AF11" w:rsidR="00F94377" w:rsidRDefault="00F94377" w:rsidP="00690F25">
      <w:pPr>
        <w:pStyle w:val="Normal1"/>
        <w:spacing w:line="480" w:lineRule="auto"/>
        <w:jc w:val="both"/>
        <w:rPr>
          <w:color w:val="000000"/>
        </w:rPr>
      </w:pPr>
      <w:r>
        <w:rPr>
          <w:color w:val="000000"/>
        </w:rPr>
        <w:t>For GWAS, we used the centered log-ratio (</w:t>
      </w:r>
      <w:proofErr w:type="spellStart"/>
      <w:r>
        <w:rPr>
          <w:color w:val="000000"/>
        </w:rPr>
        <w:t>clr</w:t>
      </w:r>
      <w:proofErr w:type="spellEnd"/>
      <w:r>
        <w:rPr>
          <w:color w:val="000000"/>
        </w:rPr>
        <w:t xml:space="preserve">) transformation of hub </w:t>
      </w:r>
      <w:r w:rsidRPr="00901182">
        <w:rPr>
          <w:color w:val="000000"/>
        </w:rPr>
        <w:t>abundance</w:t>
      </w:r>
      <w:r>
        <w:rPr>
          <w:color w:val="000000"/>
        </w:rPr>
        <w:t xml:space="preserve">s to keep the same approach used for building </w:t>
      </w:r>
      <w:r w:rsidRPr="00901182">
        <w:rPr>
          <w:color w:val="000000"/>
        </w:rPr>
        <w:t>ecological network</w:t>
      </w:r>
      <w:r>
        <w:rPr>
          <w:color w:val="000000"/>
        </w:rPr>
        <w:t xml:space="preserve">s. </w:t>
      </w:r>
      <w:r w:rsidRPr="00901182">
        <w:rPr>
          <w:color w:val="000000"/>
        </w:rPr>
        <w:t>We ran GWAS with the GEMMA multivariable linear model</w:t>
      </w:r>
      <w:r w:rsidR="00111F5E">
        <w:rPr>
          <w:color w:val="000000"/>
        </w:rPr>
        <w:t xml:space="preserve"> (</w:t>
      </w:r>
      <w:proofErr w:type="spellStart"/>
      <w:r w:rsidR="00111F5E">
        <w:rPr>
          <w:color w:val="000000"/>
        </w:rPr>
        <w:t>mlm</w:t>
      </w:r>
      <w:proofErr w:type="spellEnd"/>
      <w:r w:rsidR="00111F5E">
        <w:rPr>
          <w:color w:val="000000"/>
        </w:rPr>
        <w:t>)</w:t>
      </w:r>
      <w:r w:rsidRPr="00901182">
        <w:rPr>
          <w:color w:val="000000"/>
        </w:rPr>
        <w:t xml:space="preserve"> and identified significant SNPs by filtering with False Discovery Rate (FDR &lt;0.01) and P-value (P-value &lt;1E-15). </w:t>
      </w:r>
      <w:r w:rsidR="00111F5E">
        <w:rPr>
          <w:color w:val="000000"/>
        </w:rPr>
        <w:t xml:space="preserve">GEMMA </w:t>
      </w:r>
      <w:proofErr w:type="spellStart"/>
      <w:r w:rsidR="00111F5E">
        <w:rPr>
          <w:color w:val="000000"/>
        </w:rPr>
        <w:t>mlm</w:t>
      </w:r>
      <w:proofErr w:type="spellEnd"/>
      <w:r w:rsidR="00111F5E">
        <w:rPr>
          <w:color w:val="000000"/>
        </w:rPr>
        <w:t xml:space="preserve"> allows using multiple phenotypic traits at the same time, therefore we used the abundance of the 12 hubs. </w:t>
      </w:r>
      <w:r>
        <w:rPr>
          <w:color w:val="000000"/>
        </w:rPr>
        <w:t>For the association analysis, we estimated the r</w:t>
      </w:r>
      <w:r w:rsidRPr="00D07FA7">
        <w:rPr>
          <w:color w:val="000000"/>
        </w:rPr>
        <w:t>elatedness</w:t>
      </w:r>
      <w:r>
        <w:rPr>
          <w:color w:val="000000"/>
        </w:rPr>
        <w:t xml:space="preserve"> matrix using the </w:t>
      </w:r>
      <w:r w:rsidRPr="00D07FA7">
        <w:rPr>
          <w:color w:val="000000"/>
        </w:rPr>
        <w:t>PLINK binary ped</w:t>
      </w:r>
      <w:r>
        <w:rPr>
          <w:color w:val="000000"/>
        </w:rPr>
        <w:t xml:space="preserve"> and then </w:t>
      </w:r>
      <w:r w:rsidRPr="00440891">
        <w:rPr>
          <w:color w:val="000000"/>
        </w:rPr>
        <w:t>perform</w:t>
      </w:r>
      <w:r>
        <w:rPr>
          <w:color w:val="000000"/>
        </w:rPr>
        <w:t>ed</w:t>
      </w:r>
      <w:r w:rsidRPr="00440891">
        <w:rPr>
          <w:color w:val="000000"/>
        </w:rPr>
        <w:t xml:space="preserve"> an eigen-decomposition</w:t>
      </w:r>
      <w:r>
        <w:rPr>
          <w:color w:val="000000"/>
        </w:rPr>
        <w:t xml:space="preserve">. </w:t>
      </w:r>
      <w:r w:rsidRPr="00901182">
        <w:rPr>
          <w:color w:val="000000"/>
        </w:rPr>
        <w:t xml:space="preserve">The Manhattan plots and quantile-quantile (Q-Q) plot were created with </w:t>
      </w:r>
      <w:proofErr w:type="spellStart"/>
      <w:r w:rsidRPr="00901182">
        <w:rPr>
          <w:color w:val="000000"/>
        </w:rPr>
        <w:t>qqman</w:t>
      </w:r>
      <w:proofErr w:type="spellEnd"/>
      <w:r w:rsidRPr="00901182">
        <w:rPr>
          <w:color w:val="000000"/>
        </w:rPr>
        <w:t xml:space="preserve"> v.0.1.3 R package. We determined the expected and observed probabilities of SNPs association with Q-</w:t>
      </w:r>
      <w:proofErr w:type="spellStart"/>
      <w:r w:rsidRPr="00901182">
        <w:rPr>
          <w:color w:val="000000"/>
        </w:rPr>
        <w:t>Qplot</w:t>
      </w:r>
      <w:proofErr w:type="spellEnd"/>
      <w:r w:rsidRPr="00901182">
        <w:rPr>
          <w:color w:val="000000"/>
        </w:rPr>
        <w:t xml:space="preserve">. We grouped the significant </w:t>
      </w:r>
      <w:r>
        <w:rPr>
          <w:color w:val="000000"/>
        </w:rPr>
        <w:t>SNP signals</w:t>
      </w:r>
      <w:r w:rsidRPr="00901182">
        <w:rPr>
          <w:color w:val="000000"/>
        </w:rPr>
        <w:t xml:space="preserve"> by </w:t>
      </w:r>
      <w:r w:rsidRPr="00901182">
        <w:rPr>
          <w:color w:val="000000"/>
        </w:rPr>
        <w:lastRenderedPageBreak/>
        <w:t>haploblocks based on the linkage disequilibrium decay (</w:t>
      </w:r>
      <w:r w:rsidRPr="00901182">
        <w:rPr>
          <w:color w:val="000000" w:themeColor="text1"/>
        </w:rPr>
        <w:t>LD&lt;0.3</w:t>
      </w:r>
      <w:r w:rsidRPr="00901182">
        <w:rPr>
          <w:color w:val="000000"/>
        </w:rPr>
        <w:t>) and correlation coefficients (</w:t>
      </w:r>
      <w:r w:rsidRPr="00901182">
        <w:rPr>
          <w:i/>
          <w:iCs/>
          <w:color w:val="000000"/>
        </w:rPr>
        <w:t>r</w:t>
      </w:r>
      <w:r w:rsidRPr="00901182">
        <w:rPr>
          <w:i/>
          <w:iCs/>
          <w:color w:val="000000"/>
          <w:vertAlign w:val="superscript"/>
        </w:rPr>
        <w:t xml:space="preserve">2 </w:t>
      </w:r>
      <w:r w:rsidRPr="00901182">
        <w:rPr>
          <w:iCs/>
          <w:color w:val="000000"/>
        </w:rPr>
        <w:t>&gt; 0.6</w:t>
      </w:r>
      <w:r w:rsidRPr="00901182">
        <w:rPr>
          <w:color w:val="000000"/>
        </w:rPr>
        <w:t xml:space="preserve">) in each chromosome using </w:t>
      </w:r>
      <w:proofErr w:type="spellStart"/>
      <w:r w:rsidRPr="00901182">
        <w:rPr>
          <w:color w:val="000000"/>
        </w:rPr>
        <w:t>Haploview</w:t>
      </w:r>
      <w:proofErr w:type="spellEnd"/>
      <w:r w:rsidRPr="00901182">
        <w:rPr>
          <w:color w:val="000000"/>
        </w:rPr>
        <w:t xml:space="preserve"> v4.2 </w:t>
      </w:r>
      <w:r w:rsidRPr="00901182">
        <w:rPr>
          <w:color w:val="000000"/>
        </w:rPr>
        <w:fldChar w:fldCharType="begin"/>
      </w:r>
      <w:r>
        <w:rPr>
          <w:color w:val="000000"/>
        </w:rPr>
        <w:instrText xml:space="preserve"> ADDIN ZOTERO_ITEM CSL_CITATION {"citationID":"aGyWXN1w","properties":{"formattedCitation":"(Gabriel et al. 2002; Barrett et al. 2005)","plainCitation":"(Gabriel et al. 2002; Barrett et al. 2005)","noteIndex":0},"citationItems":[{"id":16272,"uris":["http://zotero.org/users/2501208/items/7SSFETP9"],"uri":["http://zotero.org/users/2501208/items/7SSFETP9"],"itemData":{"id":16272,"type":"article-journal","abstract":"Haplotype-based methods offer a powerful approach to disease gene mapping, based on the association between causal mutations and the ancestral haplotypes on which they arose. As part of The SNP Consortium Allele Frequency Projects, we characterized haplotype patterns across 51 autosomal regions (spanning 13 megabases of the human genome) in samples from Africa, Europe, and Asia. We show that the human genome can be parsed objectively into haplotype blocks: sizable regions over which there is little evidence for historical recombination and within which only a few common haplotypes are observed. The boundaries of blocks and specific haplotypes they contain are highly correlated across populations. We demonstrate that such haplotype frameworks provide substantial statistical power in association studies of common genetic variation across each region. Our results provide a foundation for the construction of a haplotype map of the human genome, facilitating comprehensive genetic association studies of human disease.","container-title":"Science (New York, N.Y.)","DOI":"10.1126/science.1069424","ISSN":"1095-9203","issue":"5576","journalAbbreviation":"Science","language":"eng","note":"PMID: 12029063","page":"2225-2229","source":"PubMed","title":"The structure of haplotype blocks in the human genome","volume":"296","author":[{"family":"Gabriel","given":"Stacey B."},{"family":"Schaffner","given":"Stephen F."},{"family":"Nguyen","given":"Huy"},{"family":"Moore","given":"Jamie M."},{"family":"Roy","given":"Jessica"},{"family":"Blumenstiel","given":"Brendan"},{"family":"Higgins","given":"John"},{"family":"DeFelice","given":"Matthew"},{"family":"Lochner","given":"Amy"},{"family":"Faggart","given":"Maura"},{"family":"Liu-Cordero","given":"Shau Neen"},{"family":"Rotimi","given":"Charles"},{"family":"Adeyemo","given":"Adebowale"},{"family":"Cooper","given":"Richard"},{"family":"Ward","given":"Ryk"},{"family":"Lander","given":"Eric S."},{"family":"Daly","given":"Mark J."},{"family":"Altshuler","given":"David"}],"issued":{"date-parts":[["2002",6,21]]}}},{"id":16333,"uris":["http://zotero.org/users/2501208/items/Z6M46DET"],"uri":["http://zotero.org/users/2501208/items/Z6M46DET"],"itemData":{"id":16333,"type":"article-journal","abstract":"Abstract.  Summary: Research over the last few years has revealed significant haplotype structure in the human genome. The characterization of these patterns, p","container-title":"Bioinformatics","DOI":"10.1093/bioinformatics/bth457","ISSN":"1367-4803","issue":"2","journalAbbreviation":"Bioinformatics","language":"en","page":"263-265","source":"academic.oup.com","title":"Haploview: analysis and visualization of LD and haplotype maps","title-short":"Haploview","volume":"21","author":[{"family":"Barrett","given":"J. C."},{"family":"Fry","given":"B."},{"family":"Maller","given":"J."},{"family":"Daly","given":"M. J."}],"issued":{"date-parts":[["2005",1,15]]}}}],"schema":"https://github.com/citation-style-language/schema/raw/master/csl-citation.json"} </w:instrText>
      </w:r>
      <w:r w:rsidRPr="00901182">
        <w:rPr>
          <w:color w:val="000000"/>
        </w:rPr>
        <w:fldChar w:fldCharType="separate"/>
      </w:r>
      <w:r w:rsidR="0081179B">
        <w:rPr>
          <w:color w:val="000000"/>
        </w:rPr>
        <w:t>(Gabriel et al. 2002; Barrett et al. 2005)</w:t>
      </w:r>
      <w:r w:rsidRPr="00901182">
        <w:rPr>
          <w:color w:val="000000"/>
        </w:rPr>
        <w:fldChar w:fldCharType="end"/>
      </w:r>
      <w:r w:rsidRPr="00901182">
        <w:rPr>
          <w:color w:val="000000"/>
        </w:rPr>
        <w:t>. We identified and described the genes by gene ontology annotation, QTL overlapping, and SNP effect based on the information from SNP-Seek Database (snp-seek.irri.org).</w:t>
      </w:r>
      <w:r>
        <w:rPr>
          <w:color w:val="000000"/>
        </w:rPr>
        <w:t xml:space="preserve"> </w:t>
      </w:r>
      <w:r w:rsidR="001C065F">
        <w:rPr>
          <w:color w:val="000000"/>
          <w:highlight w:val="yellow"/>
        </w:rPr>
        <w:t>T</w:t>
      </w:r>
      <w:r w:rsidR="00031E01" w:rsidRPr="00031E01">
        <w:rPr>
          <w:color w:val="000000"/>
          <w:highlight w:val="yellow"/>
        </w:rPr>
        <w:t xml:space="preserve">o do the gene ontology </w:t>
      </w:r>
      <w:r w:rsidR="001C065F">
        <w:rPr>
          <w:color w:val="000000"/>
          <w:highlight w:val="yellow"/>
        </w:rPr>
        <w:t xml:space="preserve">(GO) </w:t>
      </w:r>
      <w:r w:rsidR="00031E01" w:rsidRPr="00031E01">
        <w:rPr>
          <w:color w:val="000000"/>
          <w:highlight w:val="yellow"/>
        </w:rPr>
        <w:t>enrichment analysis</w:t>
      </w:r>
      <w:r w:rsidR="001C065F">
        <w:rPr>
          <w:color w:val="000000"/>
          <w:highlight w:val="yellow"/>
        </w:rPr>
        <w:t xml:space="preserve"> we</w:t>
      </w:r>
      <w:r w:rsidR="001C065F" w:rsidRPr="001C065F">
        <w:rPr>
          <w:color w:val="000000"/>
          <w:highlight w:val="yellow"/>
        </w:rPr>
        <w:t xml:space="preserve"> </w:t>
      </w:r>
      <w:r w:rsidR="001C065F" w:rsidRPr="00031E01">
        <w:rPr>
          <w:color w:val="000000"/>
          <w:highlight w:val="yellow"/>
        </w:rPr>
        <w:t xml:space="preserve">used the </w:t>
      </w:r>
      <w:proofErr w:type="spellStart"/>
      <w:r w:rsidR="001C065F" w:rsidRPr="00031E01">
        <w:rPr>
          <w:color w:val="000000"/>
          <w:highlight w:val="yellow"/>
        </w:rPr>
        <w:t>RiceNetDB</w:t>
      </w:r>
      <w:proofErr w:type="spellEnd"/>
      <w:r w:rsidR="001C065F" w:rsidRPr="00031E01">
        <w:rPr>
          <w:color w:val="000000"/>
          <w:highlight w:val="yellow"/>
        </w:rPr>
        <w:t xml:space="preserve"> database</w:t>
      </w:r>
      <w:r w:rsidR="00BF39B5">
        <w:rPr>
          <w:color w:val="000000"/>
          <w:highlight w:val="yellow"/>
        </w:rPr>
        <w:t xml:space="preserve"> </w:t>
      </w:r>
      <w:r w:rsidR="001C065F">
        <w:rPr>
          <w:color w:val="000000"/>
          <w:highlight w:val="yellow"/>
        </w:rPr>
        <w:fldChar w:fldCharType="begin"/>
      </w:r>
      <w:r w:rsidR="001C065F">
        <w:rPr>
          <w:color w:val="000000"/>
          <w:highlight w:val="yellow"/>
        </w:rPr>
        <w:instrText xml:space="preserve"> ADDIN ZOTERO_ITEM CSL_CITATION {"citationID":"6Y6IVe3E","properties":{"formattedCitation":"(Liu et al. 2013)","plainCitation":"(Liu et al. 2013)","noteIndex":0},"citationItems":[{"id":17304,"uris":["http://zotero.org/users/2501208/items/83MW9FNW"],"uri":["http://zotero.org/users/2501208/items/83MW9FNW"],"itemData":{"id":17304,"type":"article-journal","abstract":"&lt;section class=\"abstract\"&gt;&lt;h2 class=\"abstractTitle text-title my-1\" id=\"d86e2\"&gt;Summary&lt;/h2&gt;&lt;p&gt; Understanding how metabolic reactions translate the genome of an organism into its phenotype is a grand challenge in biology. Genome-wide association studies (GWAS) statistically connect genotypes to phenotypes, without any recourse to known molecular interactions, whereas a molecular mechanistic description ties gene function to phenotype through gene regulatory networks (GRNs), protein-protein interactions (PPIs) and molecular pathways. Integration of different regulatory information levels of an organism is expected to provide a good way for mapping genotypes to phenotypes. However, the lack of curated metabolic model of rice is blocking the exploration of genome-scale multi-level network reconstruction. Here, we have merged GRNs, PPIs and genome-scale metabolic networks (GSMNs) approaches into a single framework for rice via omics’ regulatory information reconstruction and integration. Firstly, we reconstructed a genome-scale metabolic model, containing 4,462 function genes, 2,986 metabolites involved in 3,316 reactions, and compartmentalized into ten subcellular locations. Furthermore, 90,358 pairs of protein-protein interactions, 662,936 pairs of gene regulations and 1,763 microRNA-target interactions were integrated into the metabolic model. Eventually, a database was developped for systematically storing and retrieving the genome-scale multi-level network of rice. This provides a reference for understanding genotype-phenotype relationship of rice, and for analysis of its molecular regulatory network.&lt;/p&gt;&lt;/section&gt;","container-title":"Journal of Integrative Bioinformatics","DOI":"10.1515/jib-2013-223","issue":"2","language":"en","note":"publisher: De Gruyter\nsection: Journal of Integrative Bioinformatics","page":"94-102","source":"www.degruyter.com","title":"An Integrative Bioinformatics Framework for Genome-scale Multiple Level Network Reconstruction of Rice","volume":"10","author":[{"family":"Liu","given":"Lili"},{"family":"Mei","given":"Qian"},{"family":"Yu","given":"Zhenning"},{"family":"Sun","given":"Tianhao"},{"family":"Zhang","given":"Zijun"},{"family":"Chen","given":"Ming"}],"issued":{"date-parts":[["2013",6,1]]}}}],"schema":"https://github.com/citation-style-language/schema/raw/master/csl-citation.json"} </w:instrText>
      </w:r>
      <w:r w:rsidR="001C065F">
        <w:rPr>
          <w:color w:val="000000"/>
          <w:highlight w:val="yellow"/>
        </w:rPr>
        <w:fldChar w:fldCharType="separate"/>
      </w:r>
      <w:r w:rsidR="001C065F">
        <w:rPr>
          <w:noProof/>
          <w:color w:val="000000"/>
          <w:highlight w:val="yellow"/>
        </w:rPr>
        <w:t>(Liu et al. 2013)</w:t>
      </w:r>
      <w:r w:rsidR="001C065F">
        <w:rPr>
          <w:color w:val="000000"/>
          <w:highlight w:val="yellow"/>
        </w:rPr>
        <w:fldChar w:fldCharType="end"/>
      </w:r>
      <w:r w:rsidR="00031E01" w:rsidRPr="00031E01">
        <w:rPr>
          <w:color w:val="000000"/>
          <w:highlight w:val="yellow"/>
        </w:rPr>
        <w:t>. We kep</w:t>
      </w:r>
      <w:r w:rsidR="001C065F">
        <w:rPr>
          <w:color w:val="000000"/>
          <w:highlight w:val="yellow"/>
        </w:rPr>
        <w:t>t</w:t>
      </w:r>
      <w:r w:rsidR="00031E01" w:rsidRPr="00031E01">
        <w:rPr>
          <w:color w:val="000000"/>
          <w:highlight w:val="yellow"/>
        </w:rPr>
        <w:t xml:space="preserve"> GO categories </w:t>
      </w:r>
      <w:r w:rsidR="001C065F">
        <w:rPr>
          <w:color w:val="000000"/>
          <w:highlight w:val="yellow"/>
        </w:rPr>
        <w:t xml:space="preserve">based on </w:t>
      </w:r>
      <w:r w:rsidR="00031E01" w:rsidRPr="00031E01">
        <w:rPr>
          <w:color w:val="000000"/>
          <w:highlight w:val="yellow"/>
        </w:rPr>
        <w:t xml:space="preserve">p-value </w:t>
      </w:r>
      <w:r w:rsidR="001C065F">
        <w:rPr>
          <w:color w:val="000000"/>
          <w:highlight w:val="yellow"/>
        </w:rPr>
        <w:t>(</w:t>
      </w:r>
      <w:r w:rsidR="00031E01" w:rsidRPr="00031E01">
        <w:rPr>
          <w:color w:val="000000"/>
          <w:highlight w:val="yellow"/>
        </w:rPr>
        <w:t>&lt;0.01</w:t>
      </w:r>
      <w:r w:rsidR="001C065F">
        <w:rPr>
          <w:color w:val="000000"/>
          <w:highlight w:val="yellow"/>
        </w:rPr>
        <w:t>)</w:t>
      </w:r>
      <w:r w:rsidR="00031E01">
        <w:rPr>
          <w:color w:val="000000"/>
          <w:highlight w:val="yellow"/>
        </w:rPr>
        <w:t xml:space="preserve">. </w:t>
      </w:r>
      <w:r w:rsidR="00031E01" w:rsidRPr="00031E01">
        <w:rPr>
          <w:color w:val="000000"/>
          <w:highlight w:val="yellow"/>
        </w:rPr>
        <w:t xml:space="preserve">False discovery </w:t>
      </w:r>
      <w:r w:rsidR="00031E01" w:rsidRPr="001C065F">
        <w:rPr>
          <w:color w:val="000000"/>
          <w:highlight w:val="yellow"/>
        </w:rPr>
        <w:t xml:space="preserve">rate </w:t>
      </w:r>
      <w:r w:rsidR="001C065F" w:rsidRPr="001C065F">
        <w:rPr>
          <w:color w:val="000000"/>
          <w:highlight w:val="yellow"/>
        </w:rPr>
        <w:t xml:space="preserve">(FDR </w:t>
      </w:r>
      <w:r w:rsidR="00031E01" w:rsidRPr="001C065F">
        <w:rPr>
          <w:color w:val="000000"/>
          <w:highlight w:val="yellow"/>
        </w:rPr>
        <w:t>= 0</w:t>
      </w:r>
      <w:r w:rsidR="001C065F" w:rsidRPr="001C065F">
        <w:rPr>
          <w:color w:val="000000"/>
          <w:highlight w:val="yellow"/>
        </w:rPr>
        <w:t>)</w:t>
      </w:r>
      <w:r w:rsidR="00031E01" w:rsidRPr="001C065F">
        <w:rPr>
          <w:color w:val="000000"/>
          <w:highlight w:val="yellow"/>
        </w:rPr>
        <w:t xml:space="preserve"> and false positive </w:t>
      </w:r>
      <w:r w:rsidR="001C065F" w:rsidRPr="001C065F">
        <w:rPr>
          <w:color w:val="000000"/>
          <w:highlight w:val="yellow"/>
        </w:rPr>
        <w:t>(</w:t>
      </w:r>
      <w:proofErr w:type="spellStart"/>
      <w:r w:rsidR="001C065F" w:rsidRPr="001C065F">
        <w:rPr>
          <w:color w:val="000000"/>
          <w:highlight w:val="yellow"/>
        </w:rPr>
        <w:t>fp</w:t>
      </w:r>
      <w:proofErr w:type="spellEnd"/>
      <w:r w:rsidR="00031E01" w:rsidRPr="001C065F">
        <w:rPr>
          <w:color w:val="000000"/>
          <w:highlight w:val="yellow"/>
        </w:rPr>
        <w:t>= 0</w:t>
      </w:r>
      <w:r w:rsidR="001C065F" w:rsidRPr="001C065F">
        <w:rPr>
          <w:color w:val="000000"/>
          <w:highlight w:val="yellow"/>
        </w:rPr>
        <w:t>)</w:t>
      </w:r>
      <w:r w:rsidR="00031E01" w:rsidRPr="001C065F">
        <w:rPr>
          <w:color w:val="000000"/>
          <w:highlight w:val="yellow"/>
        </w:rPr>
        <w:t xml:space="preserve">.  </w:t>
      </w:r>
      <w:r w:rsidR="00690F25" w:rsidRPr="001C065F">
        <w:rPr>
          <w:color w:val="000000"/>
          <w:highlight w:val="yellow"/>
        </w:rPr>
        <w:t xml:space="preserve">The relationship between significant SNPs and hubs </w:t>
      </w:r>
      <w:r w:rsidR="00690F25" w:rsidRPr="00161B4B">
        <w:rPr>
          <w:color w:val="000000"/>
          <w:highlight w:val="yellow"/>
        </w:rPr>
        <w:t>abundance was visualized by boxplot</w:t>
      </w:r>
      <w:r w:rsidR="00F606CD" w:rsidRPr="00161B4B">
        <w:rPr>
          <w:color w:val="000000"/>
          <w:highlight w:val="yellow"/>
        </w:rPr>
        <w:t>s</w:t>
      </w:r>
      <w:r w:rsidR="00690F25" w:rsidRPr="00161B4B">
        <w:rPr>
          <w:color w:val="000000"/>
          <w:highlight w:val="yellow"/>
        </w:rPr>
        <w:t xml:space="preserve"> and validated by </w:t>
      </w:r>
      <w:r w:rsidR="001C065F" w:rsidRPr="00161B4B">
        <w:rPr>
          <w:color w:val="000000"/>
          <w:highlight w:val="yellow"/>
        </w:rPr>
        <w:t>paired-</w:t>
      </w:r>
      <w:proofErr w:type="spellStart"/>
      <w:r w:rsidR="001C065F" w:rsidRPr="00161B4B">
        <w:rPr>
          <w:color w:val="000000"/>
          <w:highlight w:val="yellow"/>
        </w:rPr>
        <w:t>wilcoxon</w:t>
      </w:r>
      <w:proofErr w:type="spellEnd"/>
      <w:r w:rsidR="001C065F" w:rsidRPr="00161B4B">
        <w:rPr>
          <w:color w:val="000000"/>
          <w:highlight w:val="yellow"/>
        </w:rPr>
        <w:t xml:space="preserve"> analysis (p-value &lt; 0.05)</w:t>
      </w:r>
      <w:r w:rsidR="00690F25" w:rsidRPr="00161B4B">
        <w:rPr>
          <w:color w:val="000000"/>
          <w:highlight w:val="yellow"/>
        </w:rPr>
        <w:t>.</w:t>
      </w:r>
      <w:r w:rsidR="00161B4B">
        <w:rPr>
          <w:color w:val="000000"/>
          <w:highlight w:val="yellow"/>
        </w:rPr>
        <w:t xml:space="preserve"> </w:t>
      </w:r>
      <w:r w:rsidR="00161B4B" w:rsidRPr="00161B4B">
        <w:rPr>
          <w:color w:val="000000"/>
          <w:highlight w:val="yellow"/>
        </w:rPr>
        <w:t>We obtained the haplotypes for all 3024 rice accessions from the website snp-seek.irri.org.</w:t>
      </w:r>
      <w:r w:rsidR="00161B4B">
        <w:rPr>
          <w:color w:val="000000"/>
        </w:rPr>
        <w:t xml:space="preserve"> </w:t>
      </w:r>
    </w:p>
    <w:p w14:paraId="24251535" w14:textId="6A81CAA4" w:rsidR="00F94377" w:rsidRPr="006B3ED6" w:rsidRDefault="006B3ED6" w:rsidP="00F94377">
      <w:pPr>
        <w:pStyle w:val="Normal1"/>
        <w:spacing w:line="480" w:lineRule="auto"/>
        <w:jc w:val="both"/>
        <w:rPr>
          <w:b/>
          <w:bCs/>
          <w:color w:val="000000"/>
        </w:rPr>
      </w:pPr>
      <w:r w:rsidRPr="006B3ED6">
        <w:rPr>
          <w:b/>
          <w:bCs/>
          <w:color w:val="000000"/>
        </w:rPr>
        <w:t>References</w:t>
      </w:r>
    </w:p>
    <w:p w14:paraId="6FFAB8F4" w14:textId="77777777" w:rsidR="00F94377" w:rsidRPr="00BD7710" w:rsidRDefault="00F94377" w:rsidP="00F94377">
      <w:pPr>
        <w:pStyle w:val="Normal1"/>
        <w:spacing w:line="480" w:lineRule="auto"/>
        <w:jc w:val="both"/>
        <w:rPr>
          <w:color w:val="000000"/>
        </w:rPr>
      </w:pPr>
    </w:p>
    <w:p w14:paraId="045B8AFD" w14:textId="77777777" w:rsidR="001C065F" w:rsidRPr="001C065F" w:rsidRDefault="00F94377" w:rsidP="001C065F">
      <w:pPr>
        <w:pStyle w:val="Bibliography"/>
      </w:pPr>
      <w:r>
        <w:fldChar w:fldCharType="begin"/>
      </w:r>
      <w:r w:rsidR="0081179B">
        <w:instrText xml:space="preserve"> ADDIN ZOTERO_BIBL {"uncited":[],"omitted":[],"custom":[]} CSL_BIBLIOGRAPHY </w:instrText>
      </w:r>
      <w:r>
        <w:fldChar w:fldCharType="separate"/>
      </w:r>
      <w:r w:rsidR="001C065F" w:rsidRPr="001C065F">
        <w:t>Barrett JC, Fry B, Maller J, Daly MJ (2005) Haploview: analysis and visualization of LD and haplotype maps. Bioinformatics 21:263–265. https://doi.org/10.1093/bioinformatics/bth457</w:t>
      </w:r>
    </w:p>
    <w:p w14:paraId="46EFB5A5" w14:textId="77777777" w:rsidR="001C065F" w:rsidRPr="001C065F" w:rsidRDefault="001C065F" w:rsidP="001C065F">
      <w:pPr>
        <w:pStyle w:val="Bibliography"/>
      </w:pPr>
      <w:r w:rsidRPr="001C065F">
        <w:t>Gabriel SB, Schaffner SF, Nguyen H, et al (2002) The structure of haplotype blocks in the human genome. Science 296:2225–2229. https://doi.org/10.1126/science.1069424</w:t>
      </w:r>
    </w:p>
    <w:p w14:paraId="75185B72" w14:textId="77777777" w:rsidR="001C065F" w:rsidRPr="001C065F" w:rsidRDefault="001C065F" w:rsidP="001C065F">
      <w:pPr>
        <w:pStyle w:val="Bibliography"/>
      </w:pPr>
      <w:r w:rsidRPr="001C065F">
        <w:t>Gouin A, Legeai F, Nouhaud P, et al (2015) Whole-genome re-sequencing of non-model organisms: lessons from unmapped reads. Heredity 114:494–501. https://doi.org/10.1038/hdy.2014.85</w:t>
      </w:r>
    </w:p>
    <w:p w14:paraId="427922D1" w14:textId="77777777" w:rsidR="001C065F" w:rsidRPr="001C065F" w:rsidRDefault="001C065F" w:rsidP="001C065F">
      <w:pPr>
        <w:pStyle w:val="Bibliography"/>
      </w:pPr>
      <w:r w:rsidRPr="001C065F">
        <w:t>Kamitani M, Nagano AJ, Honjo MN, Kudoh H (2016) RNA-Seq reveals virus–virus and virus–plant interactions in nature. FEMS Microbiol Ecol 92:. https://doi.org/10.1093/femsec/fiw176</w:t>
      </w:r>
    </w:p>
    <w:p w14:paraId="3C399640" w14:textId="77777777" w:rsidR="001C065F" w:rsidRPr="001C065F" w:rsidRDefault="001C065F" w:rsidP="001C065F">
      <w:pPr>
        <w:pStyle w:val="Bibliography"/>
      </w:pPr>
      <w:r w:rsidRPr="001C065F">
        <w:t>Kumar S, Stecher G, Tamura K (2016) MEGA7: Molecular Evolutionary Genetics Analysis version 7.0 for bigger datasets. Mol Biol Evol msw054. https://doi.org/10.1093/molbev/msw054</w:t>
      </w:r>
    </w:p>
    <w:p w14:paraId="0845E56D" w14:textId="77777777" w:rsidR="001C065F" w:rsidRPr="001C065F" w:rsidRDefault="001C065F" w:rsidP="001C065F">
      <w:pPr>
        <w:pStyle w:val="Bibliography"/>
      </w:pPr>
      <w:r w:rsidRPr="001C065F">
        <w:t>Kurtz ZD, Müller CL, Miraldi ER, et al (2015) Sparse and compositionally robust inference of microbial ecological networks. PLOS Comput Biol 11:e1004226. https://doi.org/10.1371/journal.pcbi.1004226</w:t>
      </w:r>
    </w:p>
    <w:p w14:paraId="7C7F47B5" w14:textId="77777777" w:rsidR="001C065F" w:rsidRPr="001C065F" w:rsidRDefault="001C065F" w:rsidP="001C065F">
      <w:pPr>
        <w:pStyle w:val="Bibliography"/>
      </w:pPr>
      <w:r w:rsidRPr="001C065F">
        <w:t>Li H, Durbin R (2009) Fast and accurate short read alignment with Burrows-Wheeler transform. Bioinforma Oxf Engl 25:1754–1760. https://doi.org/10.1093/bioinformatics/btp324</w:t>
      </w:r>
    </w:p>
    <w:p w14:paraId="39EEE50A" w14:textId="77777777" w:rsidR="001C065F" w:rsidRPr="001C065F" w:rsidRDefault="001C065F" w:rsidP="001C065F">
      <w:pPr>
        <w:pStyle w:val="Bibliography"/>
      </w:pPr>
      <w:r w:rsidRPr="001C065F">
        <w:lastRenderedPageBreak/>
        <w:t>Li H, Handsaker B, Wysoker A, et al (2009) The Sequence Alignment/Map format and SAMtools. Bioinformatics 25:2078–2079. https://doi.org/10.1093/bioinformatics/btp352</w:t>
      </w:r>
    </w:p>
    <w:p w14:paraId="1CD574E5" w14:textId="77777777" w:rsidR="001C065F" w:rsidRPr="001C065F" w:rsidRDefault="001C065F" w:rsidP="001C065F">
      <w:pPr>
        <w:pStyle w:val="Bibliography"/>
      </w:pPr>
      <w:r w:rsidRPr="001C065F">
        <w:t>Liu L, Mei Q, Yu Z, et al (2013) An Integrative Bioinformatics Framework for Genome-scale Multiple Level Network Reconstruction of Rice. J Integr Bioinforma 10:94–102. https://doi.org/10.1515/jib-2013-223</w:t>
      </w:r>
    </w:p>
    <w:p w14:paraId="43F23AE0" w14:textId="77777777" w:rsidR="001C065F" w:rsidRPr="001C065F" w:rsidRDefault="001C065F" w:rsidP="001C065F">
      <w:pPr>
        <w:pStyle w:val="Bibliography"/>
      </w:pPr>
      <w:r w:rsidRPr="001C065F">
        <w:t>Lu J, Breitwieser FP, Thielen P, Salzberg SL (2017) Bracken: estimating species abundance in metagenomics data. PeerJ Comput Sci 3:e104. https://doi.org/10.7717/peerj-cs.104</w:t>
      </w:r>
    </w:p>
    <w:p w14:paraId="3EC97A5E" w14:textId="77777777" w:rsidR="001C065F" w:rsidRPr="001C065F" w:rsidRDefault="001C065F" w:rsidP="001C065F">
      <w:pPr>
        <w:pStyle w:val="Bibliography"/>
      </w:pPr>
      <w:r w:rsidRPr="001C065F">
        <w:t>Nagpal S, Haque MM, Mande SS (2016) Vikodak - A modular framework for inferring functional potential of microbial communities from 16S metagenomic datasets. PLOS ONE 11:e0148347. https://doi.org/10.1371/journal.pone.0148347</w:t>
      </w:r>
    </w:p>
    <w:p w14:paraId="52683D91" w14:textId="77777777" w:rsidR="001C065F" w:rsidRPr="001C065F" w:rsidRDefault="001C065F" w:rsidP="001C065F">
      <w:pPr>
        <w:pStyle w:val="Bibliography"/>
      </w:pPr>
      <w:r w:rsidRPr="001C065F">
        <w:t>Purcell S, Neale B, Todd-Brown K, et al (2007) PLINK: A tool set for whole-genome association and population-based linkage analyses. Am J Hum Genet 81:559–575</w:t>
      </w:r>
    </w:p>
    <w:p w14:paraId="040EC037" w14:textId="77777777" w:rsidR="001C065F" w:rsidRPr="001C065F" w:rsidRDefault="001C065F" w:rsidP="001C065F">
      <w:pPr>
        <w:pStyle w:val="Bibliography"/>
      </w:pPr>
      <w:r w:rsidRPr="001C065F">
        <w:t>Quinlan AR, Hall IM (2010) BEDTools: a flexible suite of utilities for comparing genomic features. Bioinformatics 26:841–842. https://doi.org/10.1093/bioinformatics/btq033</w:t>
      </w:r>
    </w:p>
    <w:p w14:paraId="44F0BDF8" w14:textId="77777777" w:rsidR="001C065F" w:rsidRPr="001C065F" w:rsidRDefault="001C065F" w:rsidP="001C065F">
      <w:pPr>
        <w:pStyle w:val="Bibliography"/>
      </w:pPr>
      <w:r w:rsidRPr="001C065F">
        <w:t>The 3,000 rice genomes project (2014) The 3,000 rice genomes project. GigaScience 3:7. https://doi.org/10.1186/2047-217X-3-7</w:t>
      </w:r>
    </w:p>
    <w:p w14:paraId="62B4B194" w14:textId="77777777" w:rsidR="001C065F" w:rsidRPr="001C065F" w:rsidRDefault="001C065F" w:rsidP="001C065F">
      <w:pPr>
        <w:pStyle w:val="Bibliography"/>
      </w:pPr>
      <w:r w:rsidRPr="001C065F">
        <w:t>Wood DE, Salzberg SL (2014) Kraken: ultrafast metagenomic sequence classification using exact alignments. Genome Biol 15:R46. https://doi.org/10.1186/gb-2014-15-3-r46</w:t>
      </w:r>
    </w:p>
    <w:p w14:paraId="490D567A" w14:textId="77777777" w:rsidR="001C065F" w:rsidRPr="001C065F" w:rsidRDefault="001C065F" w:rsidP="001C065F">
      <w:pPr>
        <w:pStyle w:val="Bibliography"/>
      </w:pPr>
      <w:r w:rsidRPr="001C065F">
        <w:t>Ye J, Coulouris G, Zaretskaya I, et al (2012) Primer-BLAST: A tool to design target-specific primers for polymerase chain reaction. BMC Bioinformatics 13:134. https://doi.org/10.1186/1471-2105-13-134</w:t>
      </w:r>
    </w:p>
    <w:p w14:paraId="1FBB6CC0" w14:textId="77777777" w:rsidR="001C065F" w:rsidRPr="001C065F" w:rsidRDefault="001C065F" w:rsidP="001C065F">
      <w:pPr>
        <w:pStyle w:val="Bibliography"/>
      </w:pPr>
      <w:r w:rsidRPr="001C065F">
        <w:t>Zhou X, Stephens M (2012) Genome-wide efficient mixed model analysis for association studies. Nat Genet 44:821–824. https://doi.org/10.1038/ng.2310</w:t>
      </w:r>
    </w:p>
    <w:p w14:paraId="09585596" w14:textId="311D0A10" w:rsidR="00FD0A81" w:rsidRDefault="00F94377">
      <w:r>
        <w:fldChar w:fldCharType="end"/>
      </w:r>
    </w:p>
    <w:sectPr w:rsidR="00FD0A81" w:rsidSect="009D41D4">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C8C0F7" w14:textId="77777777" w:rsidR="00C751C9" w:rsidRDefault="00C751C9" w:rsidP="00D75332">
      <w:r>
        <w:separator/>
      </w:r>
    </w:p>
  </w:endnote>
  <w:endnote w:type="continuationSeparator" w:id="0">
    <w:p w14:paraId="5A5CAD0E" w14:textId="77777777" w:rsidR="00C751C9" w:rsidRDefault="00C751C9" w:rsidP="00D7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oÃ˛">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MR10">
    <w:altName w:val="Times New Roman"/>
    <w:panose1 w:val="00000000000000000000"/>
    <w:charset w:val="00"/>
    <w:family w:val="roman"/>
    <w:notTrueType/>
    <w:pitch w:val="default"/>
  </w:font>
  <w:font w:name="Times">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982669349"/>
      <w:docPartObj>
        <w:docPartGallery w:val="Page Numbers (Bottom of Page)"/>
        <w:docPartUnique/>
      </w:docPartObj>
    </w:sdtPr>
    <w:sdtEndPr>
      <w:rPr>
        <w:rStyle w:val="PageNumber"/>
      </w:rPr>
    </w:sdtEndPr>
    <w:sdtContent>
      <w:p w14:paraId="390AB3C2" w14:textId="509F9BAD" w:rsidR="00D75332" w:rsidRDefault="00D75332" w:rsidP="003030F3">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sidR="009D41D4">
          <w:rPr>
            <w:rStyle w:val="PageNumber"/>
            <w:noProof/>
          </w:rPr>
          <w:t>6</w:t>
        </w:r>
        <w:r>
          <w:rPr>
            <w:rStyle w:val="PageNumber"/>
          </w:rPr>
          <w:fldChar w:fldCharType="end"/>
        </w:r>
      </w:p>
    </w:sdtContent>
  </w:sdt>
  <w:p w14:paraId="46F17B0E" w14:textId="77777777" w:rsidR="00D75332" w:rsidRDefault="00D75332" w:rsidP="00D7533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610787513"/>
      <w:docPartObj>
        <w:docPartGallery w:val="Page Numbers (Bottom of Page)"/>
        <w:docPartUnique/>
      </w:docPartObj>
    </w:sdtPr>
    <w:sdtEndPr>
      <w:rPr>
        <w:rStyle w:val="PageNumber"/>
      </w:rPr>
    </w:sdtEndPr>
    <w:sdtContent>
      <w:p w14:paraId="1459EBAC" w14:textId="0EFDCCE5" w:rsidR="00D75332" w:rsidRDefault="00D75332" w:rsidP="003030F3">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sidR="009D41D4">
          <w:rPr>
            <w:rStyle w:val="PageNumber"/>
            <w:noProof/>
          </w:rPr>
          <w:t>1</w:t>
        </w:r>
        <w:r>
          <w:rPr>
            <w:rStyle w:val="PageNumber"/>
          </w:rPr>
          <w:fldChar w:fldCharType="end"/>
        </w:r>
      </w:p>
    </w:sdtContent>
  </w:sdt>
  <w:p w14:paraId="171B7B67" w14:textId="77777777" w:rsidR="00D75332" w:rsidRDefault="00D75332" w:rsidP="00D7533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5C829B" w14:textId="77777777" w:rsidR="00C751C9" w:rsidRDefault="00C751C9" w:rsidP="00D75332">
      <w:r>
        <w:separator/>
      </w:r>
    </w:p>
  </w:footnote>
  <w:footnote w:type="continuationSeparator" w:id="0">
    <w:p w14:paraId="6B73E5F2" w14:textId="77777777" w:rsidR="00C751C9" w:rsidRDefault="00C751C9" w:rsidP="00D753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61CCE"/>
    <w:multiLevelType w:val="hybridMultilevel"/>
    <w:tmpl w:val="6DC6AACA"/>
    <w:lvl w:ilvl="0" w:tplc="55783C52">
      <w:numFmt w:val="bullet"/>
      <w:lvlText w:val="-"/>
      <w:lvlJc w:val="left"/>
      <w:pPr>
        <w:ind w:left="720" w:hanging="360"/>
      </w:pPr>
      <w:rPr>
        <w:rFonts w:ascii="p-oÃ˛" w:eastAsiaTheme="minorHAnsi" w:hAnsi="p-oÃ˛" w:cs="p-oÃ˛"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mirrorMargins/>
  <w:proofState w:spelling="clean" w:grammar="clean"/>
  <w:defaultTabStop w:val="720"/>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5"/>
  </w:docVars>
  <w:rsids>
    <w:rsidRoot w:val="00F94377"/>
    <w:rsid w:val="00031E01"/>
    <w:rsid w:val="00111F5E"/>
    <w:rsid w:val="00114039"/>
    <w:rsid w:val="00161B4B"/>
    <w:rsid w:val="00162D84"/>
    <w:rsid w:val="001C065F"/>
    <w:rsid w:val="0021311C"/>
    <w:rsid w:val="00266E5B"/>
    <w:rsid w:val="00333517"/>
    <w:rsid w:val="004073B8"/>
    <w:rsid w:val="00431CD9"/>
    <w:rsid w:val="00591276"/>
    <w:rsid w:val="00591371"/>
    <w:rsid w:val="00690F25"/>
    <w:rsid w:val="006B3ED6"/>
    <w:rsid w:val="00750DF4"/>
    <w:rsid w:val="007F5CD8"/>
    <w:rsid w:val="0081179B"/>
    <w:rsid w:val="00830634"/>
    <w:rsid w:val="00853122"/>
    <w:rsid w:val="008B0BB4"/>
    <w:rsid w:val="00997E23"/>
    <w:rsid w:val="009D41D4"/>
    <w:rsid w:val="00A561A4"/>
    <w:rsid w:val="00AA6C7B"/>
    <w:rsid w:val="00AE33D8"/>
    <w:rsid w:val="00BF0659"/>
    <w:rsid w:val="00BF39B5"/>
    <w:rsid w:val="00C60147"/>
    <w:rsid w:val="00C62AFB"/>
    <w:rsid w:val="00C751C9"/>
    <w:rsid w:val="00D73E6A"/>
    <w:rsid w:val="00D75332"/>
    <w:rsid w:val="00E06F58"/>
    <w:rsid w:val="00ED1C65"/>
    <w:rsid w:val="00EE3D8B"/>
    <w:rsid w:val="00F606CD"/>
    <w:rsid w:val="00F94026"/>
    <w:rsid w:val="00F94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37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37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94377"/>
    <w:rPr>
      <w:rFonts w:ascii="Times New Roman" w:eastAsia="Times New Roman" w:hAnsi="Times New Roman" w:cs="Times New Roman"/>
    </w:rPr>
  </w:style>
  <w:style w:type="character" w:customStyle="1" w:styleId="fontstyle01">
    <w:name w:val="fontstyle01"/>
    <w:rsid w:val="00F94377"/>
    <w:rPr>
      <w:rFonts w:ascii="CMR10" w:hAnsi="CMR10" w:hint="default"/>
      <w:b w:val="0"/>
      <w:bCs w:val="0"/>
      <w:i w:val="0"/>
      <w:iCs w:val="0"/>
      <w:color w:val="000000"/>
      <w:sz w:val="22"/>
      <w:szCs w:val="22"/>
    </w:rPr>
  </w:style>
  <w:style w:type="paragraph" w:styleId="Bibliography">
    <w:name w:val="Bibliography"/>
    <w:basedOn w:val="Normal"/>
    <w:next w:val="Normal"/>
    <w:uiPriority w:val="37"/>
    <w:unhideWhenUsed/>
    <w:rsid w:val="00F94377"/>
    <w:pPr>
      <w:spacing w:after="240"/>
      <w:ind w:left="720" w:hanging="720"/>
    </w:pPr>
  </w:style>
  <w:style w:type="paragraph" w:styleId="BalloonText">
    <w:name w:val="Balloon Text"/>
    <w:basedOn w:val="Normal"/>
    <w:link w:val="BalloonTextChar"/>
    <w:uiPriority w:val="99"/>
    <w:semiHidden/>
    <w:unhideWhenUsed/>
    <w:rsid w:val="0021311C"/>
    <w:rPr>
      <w:sz w:val="18"/>
      <w:szCs w:val="18"/>
    </w:rPr>
  </w:style>
  <w:style w:type="character" w:customStyle="1" w:styleId="BalloonTextChar">
    <w:name w:val="Balloon Text Char"/>
    <w:basedOn w:val="DefaultParagraphFont"/>
    <w:link w:val="BalloonText"/>
    <w:uiPriority w:val="99"/>
    <w:semiHidden/>
    <w:rsid w:val="0021311C"/>
    <w:rPr>
      <w:rFonts w:ascii="Times New Roman" w:eastAsia="Times New Roman" w:hAnsi="Times New Roman" w:cs="Times New Roman"/>
      <w:sz w:val="18"/>
      <w:szCs w:val="18"/>
    </w:rPr>
  </w:style>
  <w:style w:type="paragraph" w:styleId="ListParagraph">
    <w:name w:val="List Paragraph"/>
    <w:basedOn w:val="Normal"/>
    <w:uiPriority w:val="34"/>
    <w:qFormat/>
    <w:rsid w:val="0021311C"/>
    <w:pPr>
      <w:ind w:left="720"/>
      <w:contextualSpacing/>
    </w:pPr>
    <w:rPr>
      <w:rFonts w:asciiTheme="minorHAnsi" w:eastAsiaTheme="minorHAnsi" w:hAnsiTheme="minorHAnsi" w:cstheme="minorBidi"/>
    </w:rPr>
  </w:style>
  <w:style w:type="character" w:styleId="LineNumber">
    <w:name w:val="line number"/>
    <w:basedOn w:val="DefaultParagraphFont"/>
    <w:uiPriority w:val="99"/>
    <w:semiHidden/>
    <w:unhideWhenUsed/>
    <w:rsid w:val="00C60147"/>
  </w:style>
  <w:style w:type="paragraph" w:styleId="CommentText">
    <w:name w:val="annotation text"/>
    <w:basedOn w:val="Normal"/>
    <w:link w:val="CommentTextChar"/>
    <w:uiPriority w:val="99"/>
    <w:unhideWhenUsed/>
    <w:rsid w:val="00C60147"/>
  </w:style>
  <w:style w:type="character" w:customStyle="1" w:styleId="CommentTextChar">
    <w:name w:val="Comment Text Char"/>
    <w:basedOn w:val="DefaultParagraphFont"/>
    <w:link w:val="CommentText"/>
    <w:uiPriority w:val="99"/>
    <w:rsid w:val="00C60147"/>
    <w:rPr>
      <w:rFonts w:ascii="Times New Roman" w:eastAsia="Times New Roman" w:hAnsi="Times New Roman" w:cs="Times New Roman"/>
    </w:rPr>
  </w:style>
  <w:style w:type="character" w:styleId="CommentReference">
    <w:name w:val="annotation reference"/>
    <w:uiPriority w:val="99"/>
    <w:semiHidden/>
    <w:unhideWhenUsed/>
    <w:rsid w:val="00C60147"/>
    <w:rPr>
      <w:sz w:val="18"/>
      <w:szCs w:val="18"/>
    </w:rPr>
  </w:style>
  <w:style w:type="paragraph" w:styleId="Footer">
    <w:name w:val="footer"/>
    <w:basedOn w:val="Normal"/>
    <w:link w:val="FooterChar"/>
    <w:uiPriority w:val="99"/>
    <w:unhideWhenUsed/>
    <w:rsid w:val="00D75332"/>
    <w:pPr>
      <w:tabs>
        <w:tab w:val="center" w:pos="4680"/>
        <w:tab w:val="right" w:pos="9360"/>
      </w:tabs>
    </w:pPr>
  </w:style>
  <w:style w:type="character" w:customStyle="1" w:styleId="FooterChar">
    <w:name w:val="Footer Char"/>
    <w:basedOn w:val="DefaultParagraphFont"/>
    <w:link w:val="Footer"/>
    <w:uiPriority w:val="99"/>
    <w:rsid w:val="00D75332"/>
    <w:rPr>
      <w:rFonts w:ascii="Times New Roman" w:eastAsia="Times New Roman" w:hAnsi="Times New Roman" w:cs="Times New Roman"/>
    </w:rPr>
  </w:style>
  <w:style w:type="character" w:styleId="PageNumber">
    <w:name w:val="page number"/>
    <w:basedOn w:val="DefaultParagraphFont"/>
    <w:uiPriority w:val="99"/>
    <w:semiHidden/>
    <w:unhideWhenUsed/>
    <w:rsid w:val="00D75332"/>
  </w:style>
  <w:style w:type="paragraph" w:styleId="Header">
    <w:name w:val="header"/>
    <w:basedOn w:val="Normal"/>
    <w:link w:val="HeaderChar"/>
    <w:uiPriority w:val="99"/>
    <w:unhideWhenUsed/>
    <w:rsid w:val="00D75332"/>
    <w:pPr>
      <w:tabs>
        <w:tab w:val="center" w:pos="4680"/>
        <w:tab w:val="right" w:pos="9360"/>
      </w:tabs>
    </w:pPr>
  </w:style>
  <w:style w:type="character" w:customStyle="1" w:styleId="HeaderChar">
    <w:name w:val="Header Char"/>
    <w:basedOn w:val="DefaultParagraphFont"/>
    <w:link w:val="Header"/>
    <w:uiPriority w:val="99"/>
    <w:rsid w:val="00D75332"/>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37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94377"/>
    <w:rPr>
      <w:rFonts w:ascii="Times New Roman" w:eastAsia="Times New Roman" w:hAnsi="Times New Roman" w:cs="Times New Roman"/>
    </w:rPr>
  </w:style>
  <w:style w:type="character" w:customStyle="1" w:styleId="fontstyle01">
    <w:name w:val="fontstyle01"/>
    <w:rsid w:val="00F94377"/>
    <w:rPr>
      <w:rFonts w:ascii="CMR10" w:hAnsi="CMR10" w:hint="default"/>
      <w:b w:val="0"/>
      <w:bCs w:val="0"/>
      <w:i w:val="0"/>
      <w:iCs w:val="0"/>
      <w:color w:val="000000"/>
      <w:sz w:val="22"/>
      <w:szCs w:val="22"/>
    </w:rPr>
  </w:style>
  <w:style w:type="paragraph" w:styleId="Bibliography">
    <w:name w:val="Bibliography"/>
    <w:basedOn w:val="Normal"/>
    <w:next w:val="Normal"/>
    <w:uiPriority w:val="37"/>
    <w:unhideWhenUsed/>
    <w:rsid w:val="00F94377"/>
    <w:pPr>
      <w:spacing w:after="240"/>
      <w:ind w:left="720" w:hanging="720"/>
    </w:pPr>
  </w:style>
  <w:style w:type="paragraph" w:styleId="BalloonText">
    <w:name w:val="Balloon Text"/>
    <w:basedOn w:val="Normal"/>
    <w:link w:val="BalloonTextChar"/>
    <w:uiPriority w:val="99"/>
    <w:semiHidden/>
    <w:unhideWhenUsed/>
    <w:rsid w:val="0021311C"/>
    <w:rPr>
      <w:sz w:val="18"/>
      <w:szCs w:val="18"/>
    </w:rPr>
  </w:style>
  <w:style w:type="character" w:customStyle="1" w:styleId="BalloonTextChar">
    <w:name w:val="Balloon Text Char"/>
    <w:basedOn w:val="DefaultParagraphFont"/>
    <w:link w:val="BalloonText"/>
    <w:uiPriority w:val="99"/>
    <w:semiHidden/>
    <w:rsid w:val="0021311C"/>
    <w:rPr>
      <w:rFonts w:ascii="Times New Roman" w:eastAsia="Times New Roman" w:hAnsi="Times New Roman" w:cs="Times New Roman"/>
      <w:sz w:val="18"/>
      <w:szCs w:val="18"/>
    </w:rPr>
  </w:style>
  <w:style w:type="paragraph" w:styleId="ListParagraph">
    <w:name w:val="List Paragraph"/>
    <w:basedOn w:val="Normal"/>
    <w:uiPriority w:val="34"/>
    <w:qFormat/>
    <w:rsid w:val="0021311C"/>
    <w:pPr>
      <w:ind w:left="720"/>
      <w:contextualSpacing/>
    </w:pPr>
    <w:rPr>
      <w:rFonts w:asciiTheme="minorHAnsi" w:eastAsiaTheme="minorHAnsi" w:hAnsiTheme="minorHAnsi" w:cstheme="minorBidi"/>
    </w:rPr>
  </w:style>
  <w:style w:type="character" w:styleId="LineNumber">
    <w:name w:val="line number"/>
    <w:basedOn w:val="DefaultParagraphFont"/>
    <w:uiPriority w:val="99"/>
    <w:semiHidden/>
    <w:unhideWhenUsed/>
    <w:rsid w:val="00C60147"/>
  </w:style>
  <w:style w:type="paragraph" w:styleId="CommentText">
    <w:name w:val="annotation text"/>
    <w:basedOn w:val="Normal"/>
    <w:link w:val="CommentTextChar"/>
    <w:uiPriority w:val="99"/>
    <w:unhideWhenUsed/>
    <w:rsid w:val="00C60147"/>
  </w:style>
  <w:style w:type="character" w:customStyle="1" w:styleId="CommentTextChar">
    <w:name w:val="Comment Text Char"/>
    <w:basedOn w:val="DefaultParagraphFont"/>
    <w:link w:val="CommentText"/>
    <w:uiPriority w:val="99"/>
    <w:rsid w:val="00C60147"/>
    <w:rPr>
      <w:rFonts w:ascii="Times New Roman" w:eastAsia="Times New Roman" w:hAnsi="Times New Roman" w:cs="Times New Roman"/>
    </w:rPr>
  </w:style>
  <w:style w:type="character" w:styleId="CommentReference">
    <w:name w:val="annotation reference"/>
    <w:uiPriority w:val="99"/>
    <w:semiHidden/>
    <w:unhideWhenUsed/>
    <w:rsid w:val="00C60147"/>
    <w:rPr>
      <w:sz w:val="18"/>
      <w:szCs w:val="18"/>
    </w:rPr>
  </w:style>
  <w:style w:type="paragraph" w:styleId="Footer">
    <w:name w:val="footer"/>
    <w:basedOn w:val="Normal"/>
    <w:link w:val="FooterChar"/>
    <w:uiPriority w:val="99"/>
    <w:unhideWhenUsed/>
    <w:rsid w:val="00D75332"/>
    <w:pPr>
      <w:tabs>
        <w:tab w:val="center" w:pos="4680"/>
        <w:tab w:val="right" w:pos="9360"/>
      </w:tabs>
    </w:pPr>
  </w:style>
  <w:style w:type="character" w:customStyle="1" w:styleId="FooterChar">
    <w:name w:val="Footer Char"/>
    <w:basedOn w:val="DefaultParagraphFont"/>
    <w:link w:val="Footer"/>
    <w:uiPriority w:val="99"/>
    <w:rsid w:val="00D75332"/>
    <w:rPr>
      <w:rFonts w:ascii="Times New Roman" w:eastAsia="Times New Roman" w:hAnsi="Times New Roman" w:cs="Times New Roman"/>
    </w:rPr>
  </w:style>
  <w:style w:type="character" w:styleId="PageNumber">
    <w:name w:val="page number"/>
    <w:basedOn w:val="DefaultParagraphFont"/>
    <w:uiPriority w:val="99"/>
    <w:semiHidden/>
    <w:unhideWhenUsed/>
    <w:rsid w:val="00D75332"/>
  </w:style>
  <w:style w:type="paragraph" w:styleId="Header">
    <w:name w:val="header"/>
    <w:basedOn w:val="Normal"/>
    <w:link w:val="HeaderChar"/>
    <w:uiPriority w:val="99"/>
    <w:unhideWhenUsed/>
    <w:rsid w:val="00D75332"/>
    <w:pPr>
      <w:tabs>
        <w:tab w:val="center" w:pos="4680"/>
        <w:tab w:val="right" w:pos="9360"/>
      </w:tabs>
    </w:pPr>
  </w:style>
  <w:style w:type="character" w:customStyle="1" w:styleId="HeaderChar">
    <w:name w:val="Header Char"/>
    <w:basedOn w:val="DefaultParagraphFont"/>
    <w:link w:val="Header"/>
    <w:uiPriority w:val="99"/>
    <w:rsid w:val="00D7533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eb.rniapps.net/iVikodak/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33515-EE5C-4975-BC4A-08ADC4423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7799</Words>
  <Characters>45783</Characters>
  <Application>Microsoft Office Word</Application>
  <DocSecurity>0</DocSecurity>
  <Lines>715</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Roman-Reyna, Vero</dc:creator>
  <cp:keywords/>
  <dc:description/>
  <cp:lastModifiedBy>MLAPINIG</cp:lastModifiedBy>
  <cp:revision>8</cp:revision>
  <dcterms:created xsi:type="dcterms:W3CDTF">2020-07-23T20:32:00Z</dcterms:created>
  <dcterms:modified xsi:type="dcterms:W3CDTF">2020-10-03T15:49:00Z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zotero-version="5.0.90"&gt;&lt;session id="DIBICRoy"/&gt;&lt;style id="http://www.zotero.org/styles/rice" hasBibliography="1" bibliographyStyleHasBeenSet="1"/&gt;&lt;prefs&gt;&lt;pref name="fieldType" value="Field"/&gt;&lt;pref name="automaticJournalAbbreviation</vt:lpwstr>
  </property>
  <property fmtid="{D5CDD505-2E9C-101B-9397-08002B2CF9AE}" pid="3" name="ZOTERO_PREF_2">
    <vt:lpwstr>s" value="true"/&gt;&lt;/prefs&gt;&lt;/data&gt;</vt:lpwstr>
  </property>
</Properties>
</file>