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547B" w14:textId="4C689828" w:rsidR="00363F39" w:rsidRDefault="00CD509B" w:rsidP="00AD2B2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BE755A" wp14:editId="46D76E18">
            <wp:extent cx="5013987" cy="47339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918" cy="4737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07E16" w14:textId="77777777" w:rsidR="002A42C4" w:rsidRDefault="00363F39"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 w:rsidRPr="00EF1C64">
        <w:rPr>
          <w:b/>
          <w:bCs/>
        </w:rPr>
        <w:t xml:space="preserve">1 </w:t>
      </w:r>
      <w:r w:rsidRPr="00EF1C64">
        <w:t xml:space="preserve">Population structure of </w:t>
      </w:r>
      <w:r>
        <w:t>340</w:t>
      </w:r>
      <w:r w:rsidRPr="00EF1C64">
        <w:t xml:space="preserve"> </w:t>
      </w:r>
      <w:r>
        <w:t>rice accessions, comprising 161 indica and 179 japonica varieties</w:t>
      </w:r>
      <w:r w:rsidRPr="00EF1C64">
        <w:t xml:space="preserve">. </w:t>
      </w:r>
      <w:r w:rsidRPr="00ED4422">
        <w:rPr>
          <w:b/>
          <w:bCs/>
        </w:rPr>
        <w:t>a</w:t>
      </w:r>
      <w:r w:rsidRPr="00EF1C64">
        <w:t xml:space="preserve"> Neighbor-joining tree </w:t>
      </w:r>
      <w:r>
        <w:t xml:space="preserve">based on </w:t>
      </w:r>
      <w:r>
        <w:rPr>
          <w:rFonts w:hint="eastAsia"/>
        </w:rPr>
        <w:t>all</w:t>
      </w:r>
      <w:r>
        <w:t xml:space="preserve"> </w:t>
      </w: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SNPs</w:t>
      </w:r>
      <w:r>
        <w:t xml:space="preserve"> </w:t>
      </w:r>
      <w:r>
        <w:rPr>
          <w:rFonts w:hint="eastAsia"/>
        </w:rPr>
        <w:t>from</w:t>
      </w:r>
      <w:r>
        <w:t xml:space="preserve"> 340</w:t>
      </w:r>
      <w:r w:rsidRPr="00EF1C64">
        <w:t xml:space="preserve"> </w:t>
      </w:r>
      <w:r>
        <w:t>rice accessions</w:t>
      </w:r>
      <w:r w:rsidRPr="00EF1C64">
        <w:t>.</w:t>
      </w:r>
      <w:r w:rsidRPr="00ED4422">
        <w:rPr>
          <w:b/>
          <w:bCs/>
        </w:rPr>
        <w:t xml:space="preserve"> b</w:t>
      </w:r>
      <w:r w:rsidRPr="00EF1C64">
        <w:t xml:space="preserve"> Principal component analysis</w:t>
      </w:r>
      <w:r>
        <w:t xml:space="preserve"> of </w:t>
      </w:r>
      <w:r w:rsidR="00F852D6">
        <w:t>the genotypic data</w:t>
      </w:r>
      <w:r w:rsidRPr="00EF1C64">
        <w:t xml:space="preserve">. </w:t>
      </w:r>
      <w:r>
        <w:rPr>
          <w:b/>
          <w:bCs/>
        </w:rPr>
        <w:t>c</w:t>
      </w:r>
      <w:r w:rsidRPr="00EF1C64">
        <w:t xml:space="preserve"> </w:t>
      </w:r>
      <w:r w:rsidR="00A41385" w:rsidRPr="00EF1C64">
        <w:t xml:space="preserve">Genome-wide average </w:t>
      </w:r>
      <w:r w:rsidR="00A41385">
        <w:t>linkage disequilibrium d</w:t>
      </w:r>
      <w:r w:rsidR="00A41385" w:rsidRPr="00EF1C64">
        <w:t>ecay</w:t>
      </w:r>
      <w:r w:rsidR="00A41385">
        <w:t xml:space="preserve"> </w:t>
      </w:r>
      <w:r w:rsidR="00A41385">
        <w:rPr>
          <w:rFonts w:hint="eastAsia"/>
        </w:rPr>
        <w:t>for</w:t>
      </w:r>
      <w:r w:rsidR="00A41385">
        <w:t xml:space="preserve"> </w:t>
      </w:r>
      <w:r w:rsidR="00A41385">
        <w:rPr>
          <w:rFonts w:hint="eastAsia"/>
        </w:rPr>
        <w:t>three</w:t>
      </w:r>
      <w:r w:rsidR="00A41385">
        <w:t xml:space="preserve"> </w:t>
      </w:r>
      <w:r w:rsidR="00A41385">
        <w:rPr>
          <w:rFonts w:hint="eastAsia"/>
        </w:rPr>
        <w:t>populations</w:t>
      </w:r>
      <w:r w:rsidR="00A41385">
        <w:t xml:space="preserve"> </w:t>
      </w:r>
      <w:r w:rsidR="00A41385">
        <w:rPr>
          <w:rFonts w:hint="eastAsia"/>
        </w:rPr>
        <w:t>using</w:t>
      </w:r>
      <w:r w:rsidR="00A41385">
        <w:t xml:space="preserve"> </w:t>
      </w:r>
      <w:r w:rsidR="00A41385">
        <w:rPr>
          <w:rFonts w:hint="eastAsia"/>
        </w:rPr>
        <w:t>the</w:t>
      </w:r>
      <w:r w:rsidR="00A41385">
        <w:t xml:space="preserve"> </w:t>
      </w:r>
      <w:r w:rsidR="00A41385">
        <w:rPr>
          <w:rFonts w:hint="eastAsia"/>
        </w:rPr>
        <w:t>SNP</w:t>
      </w:r>
      <w:r w:rsidR="00A41385">
        <w:t xml:space="preserve"> </w:t>
      </w:r>
      <w:r w:rsidR="00A41385">
        <w:rPr>
          <w:rFonts w:hint="eastAsia"/>
        </w:rPr>
        <w:t>data</w:t>
      </w:r>
      <w:r w:rsidR="00A41385">
        <w:t xml:space="preserve">. </w:t>
      </w:r>
      <w:r w:rsidR="008B1221">
        <w:rPr>
          <w:rFonts w:hint="eastAsia"/>
        </w:rPr>
        <w:t>W</w:t>
      </w:r>
      <w:r w:rsidR="00A41385" w:rsidRPr="00A41385">
        <w:t xml:space="preserve">hen </w:t>
      </w:r>
      <w:r w:rsidR="00996877">
        <w:t>allele frequency (</w:t>
      </w:r>
      <w:r w:rsidR="00A41385" w:rsidRPr="00A41385">
        <w:t>r</w:t>
      </w:r>
      <w:r w:rsidR="00A41385" w:rsidRPr="00A41385">
        <w:rPr>
          <w:vertAlign w:val="superscript"/>
        </w:rPr>
        <w:t>2</w:t>
      </w:r>
      <w:r w:rsidR="00996877">
        <w:t>)</w:t>
      </w:r>
      <w:r w:rsidR="00A41385" w:rsidRPr="00A41385">
        <w:t xml:space="preserve"> decays to half of </w:t>
      </w:r>
      <w:r w:rsidR="00996877">
        <w:t>its</w:t>
      </w:r>
      <w:r w:rsidR="00996877" w:rsidRPr="00A41385">
        <w:t xml:space="preserve"> </w:t>
      </w:r>
      <w:r w:rsidR="00A41385" w:rsidRPr="00A41385">
        <w:t>maximum value, the corresponding physical distance</w:t>
      </w:r>
      <w:r w:rsidR="00A41385">
        <w:rPr>
          <w:rFonts w:hint="eastAsia"/>
        </w:rPr>
        <w:t xml:space="preserve"> </w:t>
      </w:r>
      <w:r w:rsidR="00A41385" w:rsidRPr="00A41385">
        <w:t xml:space="preserve">is recorded as the </w:t>
      </w:r>
      <w:r w:rsidR="00996877">
        <w:t xml:space="preserve">linkage disequilibrium (LD) </w:t>
      </w:r>
      <w:r w:rsidR="00A41385" w:rsidRPr="00A41385">
        <w:t>attenuation distance of the</w:t>
      </w:r>
      <w:r w:rsidR="00A41385">
        <w:rPr>
          <w:rFonts w:hint="eastAsia"/>
        </w:rPr>
        <w:t xml:space="preserve"> </w:t>
      </w:r>
      <w:r w:rsidR="00A41385" w:rsidRPr="00A41385">
        <w:t>whole genome</w:t>
      </w:r>
      <w:r w:rsidR="00A41385">
        <w:t>.</w:t>
      </w:r>
    </w:p>
    <w:p w14:paraId="3C386BE3" w14:textId="77777777" w:rsidR="002A42C4" w:rsidRDefault="002A42C4"/>
    <w:p w14:paraId="7534EB16" w14:textId="2D51F533" w:rsidR="002A42C4" w:rsidRDefault="002A42C4">
      <w:pPr>
        <w:sectPr w:rsidR="002A42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9B6575" w14:textId="33610B35" w:rsidR="00363F39" w:rsidRPr="00157B4C" w:rsidRDefault="00F7371E" w:rsidP="001045D9">
      <w:r>
        <w:rPr>
          <w:noProof/>
        </w:rPr>
        <w:lastRenderedPageBreak/>
        <w:drawing>
          <wp:inline distT="0" distB="0" distL="0" distR="0" wp14:anchorId="15790210" wp14:editId="05DA0D48">
            <wp:extent cx="5251795" cy="446863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75" cy="4474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F5E750" w14:textId="77777777" w:rsidR="002A42C4" w:rsidRDefault="00363F39" w:rsidP="003B2659">
      <w:pPr>
        <w:sectPr w:rsidR="002A42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Hlk72440306"/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 xml:space="preserve">S2 </w:t>
      </w:r>
      <w:r>
        <w:t>P</w:t>
      </w:r>
      <w:r w:rsidRPr="00EF1C64">
        <w:t>anicle architecture traits</w:t>
      </w:r>
      <w:r>
        <w:t xml:space="preserve"> of the three rice panels</w:t>
      </w:r>
      <w:r w:rsidR="004245EE">
        <w:t xml:space="preserve"> in 2015</w:t>
      </w:r>
      <w:bookmarkEnd w:id="0"/>
      <w:r w:rsidRPr="00EF1C64">
        <w:t xml:space="preserve">. </w:t>
      </w:r>
      <w:r w:rsidRPr="00663ADE">
        <w:rPr>
          <w:b/>
          <w:bCs/>
        </w:rPr>
        <w:t>a</w:t>
      </w:r>
      <w:r>
        <w:t>–</w:t>
      </w:r>
      <w:r w:rsidRPr="00663ADE">
        <w:rPr>
          <w:b/>
          <w:bCs/>
        </w:rPr>
        <w:t>c</w:t>
      </w:r>
      <w:r w:rsidRPr="00EF1C64">
        <w:t xml:space="preserve"> </w:t>
      </w:r>
      <w:r>
        <w:t xml:space="preserve">Distributions of </w:t>
      </w:r>
      <w:r w:rsidRPr="001F31DE">
        <w:rPr>
          <w:b/>
          <w:bCs/>
        </w:rPr>
        <w:t>a</w:t>
      </w:r>
      <w:r w:rsidRPr="00EF1C64">
        <w:t xml:space="preserve"> panicle length</w:t>
      </w:r>
      <w:r w:rsidR="00996877">
        <w:t xml:space="preserve"> (PL)</w:t>
      </w:r>
      <w:r w:rsidRPr="00EF1C64">
        <w:t xml:space="preserve">, </w:t>
      </w:r>
      <w:r w:rsidRPr="001F31DE">
        <w:rPr>
          <w:b/>
          <w:bCs/>
        </w:rPr>
        <w:t>b</w:t>
      </w:r>
      <w:r>
        <w:t xml:space="preserve"> </w:t>
      </w:r>
      <w:r w:rsidRPr="00EF1C64">
        <w:t>primary branch number</w:t>
      </w:r>
      <w:r w:rsidR="00996877">
        <w:t xml:space="preserve"> (PBN)</w:t>
      </w:r>
      <w:r w:rsidRPr="00EF1C64">
        <w:t xml:space="preserve">, and </w:t>
      </w:r>
      <w:r w:rsidRPr="001F31DE">
        <w:rPr>
          <w:b/>
          <w:bCs/>
        </w:rPr>
        <w:t>c</w:t>
      </w:r>
      <w:r>
        <w:t xml:space="preserve"> </w:t>
      </w:r>
      <w:r w:rsidRPr="00EF1C64">
        <w:t>secondary branch number</w:t>
      </w:r>
      <w:r>
        <w:t xml:space="preserve"> </w:t>
      </w:r>
      <w:r w:rsidR="00996877">
        <w:t>(SBN)</w:t>
      </w:r>
      <w:r w:rsidR="003B2659">
        <w:t xml:space="preserve"> </w:t>
      </w:r>
      <w:r>
        <w:t>of the whole panel</w:t>
      </w:r>
      <w:r w:rsidRPr="00EF1C64">
        <w:t xml:space="preserve">. </w:t>
      </w:r>
      <w:r w:rsidRPr="00663ADE">
        <w:rPr>
          <w:b/>
          <w:bCs/>
        </w:rPr>
        <w:t>d</w:t>
      </w:r>
      <w:r>
        <w:t>–</w:t>
      </w:r>
      <w:r w:rsidRPr="00663ADE">
        <w:rPr>
          <w:b/>
          <w:bCs/>
        </w:rPr>
        <w:t>f</w:t>
      </w:r>
      <w:r w:rsidRPr="00EF1C64">
        <w:t xml:space="preserve"> Box plot of the phenotypic variation of </w:t>
      </w:r>
      <w:r w:rsidR="00FD3D12">
        <w:rPr>
          <w:b/>
          <w:bCs/>
        </w:rPr>
        <w:t>d</w:t>
      </w:r>
      <w:r w:rsidR="00FD3D12">
        <w:t xml:space="preserve"> </w:t>
      </w:r>
      <w:r w:rsidRPr="00EF1C64">
        <w:t xml:space="preserve">PL, </w:t>
      </w:r>
      <w:r w:rsidR="00FD3D12">
        <w:rPr>
          <w:b/>
          <w:bCs/>
        </w:rPr>
        <w:t>e</w:t>
      </w:r>
      <w:r w:rsidR="00FD3D12">
        <w:t xml:space="preserve"> </w:t>
      </w:r>
      <w:r w:rsidRPr="00EF1C64">
        <w:t>PBN</w:t>
      </w:r>
      <w:r>
        <w:t>,</w:t>
      </w:r>
      <w:r w:rsidRPr="00EF1C64">
        <w:t xml:space="preserve"> and </w:t>
      </w:r>
      <w:r w:rsidR="00FD3D12">
        <w:rPr>
          <w:b/>
          <w:bCs/>
        </w:rPr>
        <w:t>f</w:t>
      </w:r>
      <w:r w:rsidR="00FD3D12">
        <w:t xml:space="preserve"> </w:t>
      </w:r>
      <w:r w:rsidRPr="00EF1C64">
        <w:t xml:space="preserve">SBN within the </w:t>
      </w:r>
      <w:r w:rsidR="00996877">
        <w:t xml:space="preserve">whole </w:t>
      </w:r>
      <w:r>
        <w:t>panel, and indica and japonica sub-panels.</w:t>
      </w:r>
      <w:r w:rsidRPr="00EF1C64" w:rsidDel="001F31DE">
        <w:t xml:space="preserve"> </w:t>
      </w:r>
      <w:r>
        <w:t xml:space="preserve">Boxes show median, and upper and lower quartiles. </w:t>
      </w:r>
      <w:r w:rsidR="00EF1B27">
        <w:t xml:space="preserve">Whiskers extend to </w:t>
      </w:r>
      <w:r w:rsidR="00EF1B27" w:rsidRPr="00EF1B27">
        <w:t>1.5</w:t>
      </w:r>
      <w:r w:rsidR="00996877">
        <w:t>×</w:t>
      </w:r>
      <w:r w:rsidR="00EF1B27" w:rsidRPr="00EF1B27">
        <w:t>the interquartile range</w:t>
      </w:r>
      <w:r>
        <w:t>, with any remaining points indicated with dots.</w:t>
      </w:r>
    </w:p>
    <w:p w14:paraId="7C62B690" w14:textId="77777777" w:rsidR="002A42C4" w:rsidRDefault="002A42C4" w:rsidP="002A42C4">
      <w:pPr>
        <w:jc w:val="center"/>
      </w:pPr>
      <w:r>
        <w:rPr>
          <w:noProof/>
        </w:rPr>
        <w:lastRenderedPageBreak/>
        <w:drawing>
          <wp:inline distT="0" distB="0" distL="0" distR="0" wp14:anchorId="6E757F73" wp14:editId="2CA73F10">
            <wp:extent cx="4450959" cy="47475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874" cy="4757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63FD7" w14:textId="2AAEAD14" w:rsidR="002A42C4" w:rsidRDefault="002A42C4" w:rsidP="003B2659">
      <w:pPr>
        <w:sectPr w:rsidR="002A42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>
        <w:rPr>
          <w:rFonts w:hint="eastAsia"/>
          <w:b/>
          <w:bCs/>
        </w:rPr>
        <w:t>3</w:t>
      </w:r>
      <w:r w:rsidRPr="008E3746">
        <w:t xml:space="preserve"> Correlations between PL, PBN, and SBN from each GWAS panel in </w:t>
      </w:r>
      <w:r w:rsidRPr="00B26255">
        <w:rPr>
          <w:b/>
          <w:bCs/>
        </w:rPr>
        <w:t>a</w:t>
      </w:r>
      <w:r w:rsidRPr="008E3746">
        <w:t xml:space="preserve"> 2015 and </w:t>
      </w:r>
      <w:r w:rsidRPr="00B26255">
        <w:rPr>
          <w:b/>
          <w:bCs/>
        </w:rPr>
        <w:t>b</w:t>
      </w:r>
      <w:r w:rsidRPr="008E3746">
        <w:t xml:space="preserve"> 2017</w:t>
      </w:r>
    </w:p>
    <w:p w14:paraId="747A67B6" w14:textId="30891770" w:rsidR="00024A09" w:rsidRDefault="00157B4C" w:rsidP="001045D9">
      <w:r>
        <w:rPr>
          <w:noProof/>
        </w:rPr>
        <w:lastRenderedPageBreak/>
        <w:drawing>
          <wp:inline distT="0" distB="0" distL="0" distR="0" wp14:anchorId="00A2A5DA" wp14:editId="7D1BDA0D">
            <wp:extent cx="4298315" cy="5401310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540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BAE6D" w14:textId="2309FB1D" w:rsidR="00266A67" w:rsidRDefault="001F635B" w:rsidP="005C315D">
      <w:bookmarkStart w:id="1" w:name="_Hlk72440428"/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 w:rsidR="002A42C4">
        <w:rPr>
          <w:rFonts w:hint="eastAsia"/>
          <w:b/>
          <w:bCs/>
        </w:rPr>
        <w:t>4</w:t>
      </w:r>
      <w:r w:rsidR="005C315D" w:rsidRPr="00EF1C64">
        <w:t xml:space="preserve"> Manhattan plots</w:t>
      </w:r>
      <w:r w:rsidR="005C315D">
        <w:t xml:space="preserve"> </w:t>
      </w:r>
      <w:r w:rsidR="005C315D" w:rsidRPr="00EF1C64">
        <w:t xml:space="preserve">of GWAS for </w:t>
      </w:r>
      <w:r w:rsidR="005C315D">
        <w:t>panicle length</w:t>
      </w:r>
      <w:bookmarkEnd w:id="1"/>
      <w:r w:rsidR="005C315D">
        <w:t xml:space="preserve"> in </w:t>
      </w:r>
      <w:r w:rsidR="005C315D" w:rsidRPr="00483310">
        <w:rPr>
          <w:b/>
          <w:bCs/>
        </w:rPr>
        <w:t>a–</w:t>
      </w:r>
      <w:r w:rsidR="005C315D">
        <w:rPr>
          <w:b/>
          <w:bCs/>
        </w:rPr>
        <w:t>b</w:t>
      </w:r>
      <w:r w:rsidR="005C315D">
        <w:t xml:space="preserve"> 2015 and </w:t>
      </w:r>
      <w:r w:rsidR="005C315D">
        <w:rPr>
          <w:b/>
          <w:bCs/>
        </w:rPr>
        <w:t>c</w:t>
      </w:r>
      <w:r w:rsidR="005C315D" w:rsidRPr="00483310">
        <w:rPr>
          <w:b/>
          <w:bCs/>
        </w:rPr>
        <w:t>–</w:t>
      </w:r>
      <w:r w:rsidR="005C315D">
        <w:rPr>
          <w:b/>
          <w:bCs/>
        </w:rPr>
        <w:t>d</w:t>
      </w:r>
      <w:r w:rsidR="005C315D">
        <w:t xml:space="preserve"> 2017 for </w:t>
      </w:r>
      <w:r w:rsidR="005C315D" w:rsidRPr="00483310">
        <w:rPr>
          <w:b/>
          <w:bCs/>
        </w:rPr>
        <w:t>a,</w:t>
      </w:r>
      <w:r w:rsidR="005C315D">
        <w:rPr>
          <w:b/>
          <w:bCs/>
        </w:rPr>
        <w:t xml:space="preserve"> c</w:t>
      </w:r>
      <w:r w:rsidR="005C315D">
        <w:t xml:space="preserve"> japonica accessions;</w:t>
      </w:r>
      <w:r w:rsidR="005C315D" w:rsidRPr="005C315D">
        <w:t xml:space="preserve"> and </w:t>
      </w:r>
      <w:r w:rsidR="005C315D" w:rsidRPr="005C315D">
        <w:rPr>
          <w:b/>
          <w:bCs/>
        </w:rPr>
        <w:t>b,</w:t>
      </w:r>
      <w:r w:rsidR="005C315D">
        <w:rPr>
          <w:b/>
          <w:bCs/>
        </w:rPr>
        <w:t xml:space="preserve"> d</w:t>
      </w:r>
      <w:r w:rsidR="005C315D">
        <w:t xml:space="preserve"> indica accessions</w:t>
      </w:r>
      <w:r w:rsidR="005C315D" w:rsidRPr="00EF1C64">
        <w:t xml:space="preserve">. </w:t>
      </w:r>
      <w:r w:rsidR="00266A67">
        <w:t>The b</w:t>
      </w:r>
      <w:r w:rsidR="00266A67" w:rsidRPr="001F635B">
        <w:t xml:space="preserve">lack </w:t>
      </w:r>
      <w:r w:rsidRPr="001F635B">
        <w:t>horizontal dashed line indicates the genome-wide significance threshold</w:t>
      </w:r>
      <w:r w:rsidR="005C315D">
        <w:t xml:space="preserve">, </w:t>
      </w:r>
      <w:r w:rsidR="005C315D" w:rsidRPr="00EF1C64">
        <w:t>-log</w:t>
      </w:r>
      <w:r w:rsidR="005C315D" w:rsidRPr="00483310">
        <w:rPr>
          <w:vertAlign w:val="subscript"/>
        </w:rPr>
        <w:t>10</w:t>
      </w:r>
      <w:r w:rsidR="005C315D" w:rsidRPr="00EF1C64">
        <w:t>(</w:t>
      </w:r>
      <w:r w:rsidR="005C315D" w:rsidRPr="00483310">
        <w:rPr>
          <w:i/>
          <w:iCs/>
        </w:rPr>
        <w:t>P</w:t>
      </w:r>
      <w:r w:rsidR="005C315D" w:rsidRPr="00EF1C64">
        <w:t>) &gt; 5.69</w:t>
      </w:r>
      <w:r w:rsidR="005C315D">
        <w:t>.</w:t>
      </w:r>
    </w:p>
    <w:p w14:paraId="28AC7350" w14:textId="77777777" w:rsidR="00266A67" w:rsidRDefault="00266A67">
      <w:pPr>
        <w:widowControl/>
        <w:spacing w:after="0" w:line="240" w:lineRule="auto"/>
        <w:jc w:val="left"/>
      </w:pPr>
      <w:r>
        <w:br w:type="page"/>
      </w:r>
    </w:p>
    <w:p w14:paraId="5BDBFB0C" w14:textId="0CD4185F" w:rsidR="00024A09" w:rsidRDefault="00157B4C" w:rsidP="001F635B">
      <w:pPr>
        <w:jc w:val="center"/>
      </w:pPr>
      <w:r>
        <w:rPr>
          <w:noProof/>
        </w:rPr>
        <w:lastRenderedPageBreak/>
        <w:drawing>
          <wp:inline distT="0" distB="0" distL="0" distR="0" wp14:anchorId="6A220549" wp14:editId="64A44410">
            <wp:extent cx="4304030" cy="7309485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730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85D14" w14:textId="50F34C2B" w:rsidR="002A42C4" w:rsidRDefault="001F635B" w:rsidP="001F635B">
      <w:pPr>
        <w:sectPr w:rsidR="002A42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72440451"/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 w:rsidR="002A42C4">
        <w:rPr>
          <w:rFonts w:hint="eastAsia"/>
          <w:b/>
          <w:bCs/>
        </w:rPr>
        <w:t>5</w:t>
      </w:r>
      <w:r w:rsidRPr="00EF1C64">
        <w:t xml:space="preserve"> Manhattan plots</w:t>
      </w:r>
      <w:r w:rsidR="00EC29D4">
        <w:t xml:space="preserve"> </w:t>
      </w:r>
      <w:r w:rsidRPr="00EF1C64">
        <w:t xml:space="preserve">of GWAS for </w:t>
      </w:r>
      <w:r>
        <w:t>primary branch number</w:t>
      </w:r>
      <w:bookmarkEnd w:id="2"/>
      <w:r>
        <w:t xml:space="preserve"> in </w:t>
      </w:r>
      <w:r w:rsidRPr="00483310">
        <w:rPr>
          <w:b/>
          <w:bCs/>
        </w:rPr>
        <w:t>a–c</w:t>
      </w:r>
      <w:r>
        <w:t xml:space="preserve"> 2015 and </w:t>
      </w:r>
      <w:r w:rsidRPr="00483310">
        <w:rPr>
          <w:b/>
          <w:bCs/>
        </w:rPr>
        <w:t>d–f</w:t>
      </w:r>
      <w:r>
        <w:t xml:space="preserve"> 2017 for </w:t>
      </w:r>
      <w:r w:rsidRPr="00483310">
        <w:rPr>
          <w:b/>
          <w:bCs/>
        </w:rPr>
        <w:t>a,</w:t>
      </w:r>
      <w:r>
        <w:rPr>
          <w:b/>
          <w:bCs/>
        </w:rPr>
        <w:t xml:space="preserve"> </w:t>
      </w:r>
      <w:r w:rsidRPr="00483310">
        <w:rPr>
          <w:b/>
          <w:bCs/>
        </w:rPr>
        <w:t>d</w:t>
      </w:r>
      <w:r>
        <w:t xml:space="preserve"> all accessions;</w:t>
      </w:r>
      <w:r w:rsidRPr="00483310">
        <w:rPr>
          <w:b/>
          <w:bCs/>
        </w:rPr>
        <w:t xml:space="preserve"> b,</w:t>
      </w:r>
      <w:r>
        <w:rPr>
          <w:b/>
          <w:bCs/>
        </w:rPr>
        <w:t xml:space="preserve"> </w:t>
      </w:r>
      <w:r w:rsidRPr="00483310">
        <w:rPr>
          <w:b/>
          <w:bCs/>
        </w:rPr>
        <w:t>e</w:t>
      </w:r>
      <w:r>
        <w:t xml:space="preserve"> japonica accessions; and </w:t>
      </w:r>
      <w:r w:rsidRPr="00483310">
        <w:rPr>
          <w:b/>
          <w:bCs/>
        </w:rPr>
        <w:t>c,</w:t>
      </w:r>
      <w:r>
        <w:rPr>
          <w:b/>
          <w:bCs/>
        </w:rPr>
        <w:t xml:space="preserve"> </w:t>
      </w:r>
      <w:r w:rsidRPr="00483310">
        <w:rPr>
          <w:b/>
          <w:bCs/>
        </w:rPr>
        <w:t>f</w:t>
      </w:r>
      <w:r>
        <w:t xml:space="preserve"> indica accessions</w:t>
      </w:r>
      <w:r w:rsidRPr="00EF1C64">
        <w:t xml:space="preserve">. </w:t>
      </w:r>
      <w:r w:rsidR="00266A67">
        <w:t>The b</w:t>
      </w:r>
      <w:r w:rsidR="00266A67" w:rsidRPr="001F635B">
        <w:t xml:space="preserve">lack </w:t>
      </w:r>
      <w:r w:rsidRPr="001F635B">
        <w:t>horizontal dashed line indicates the genome-wide significance threshold</w:t>
      </w:r>
      <w:r>
        <w:t xml:space="preserve">, </w:t>
      </w:r>
      <w:r w:rsidR="00FD3D12">
        <w:noBreakHyphen/>
      </w:r>
      <w:r w:rsidRPr="00EF1C64">
        <w:t>log</w:t>
      </w:r>
      <w:r w:rsidRPr="00483310">
        <w:rPr>
          <w:vertAlign w:val="subscript"/>
        </w:rPr>
        <w:t>10</w:t>
      </w:r>
      <w:r w:rsidRPr="00EF1C64">
        <w:t>(</w:t>
      </w:r>
      <w:r w:rsidRPr="00483310">
        <w:rPr>
          <w:i/>
          <w:iCs/>
        </w:rPr>
        <w:t>P</w:t>
      </w:r>
      <w:r w:rsidRPr="00EF1C64">
        <w:t>) &gt; 5.69</w:t>
      </w:r>
      <w:r>
        <w:t>.</w:t>
      </w:r>
    </w:p>
    <w:p w14:paraId="678D0A97" w14:textId="7E8226D8" w:rsidR="00024A09" w:rsidRDefault="00157B4C" w:rsidP="001045D9">
      <w:r>
        <w:rPr>
          <w:noProof/>
        </w:rPr>
        <w:lastRenderedPageBreak/>
        <w:drawing>
          <wp:inline distT="0" distB="0" distL="0" distR="0" wp14:anchorId="0A52158F" wp14:editId="26A77928">
            <wp:extent cx="3826976" cy="6488582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8" cy="6495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2117F" w14:textId="20BDF626" w:rsidR="002A42C4" w:rsidRDefault="001F635B">
      <w:pPr>
        <w:sectPr w:rsidR="002A42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3" w:name="_Hlk72440470"/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 w:rsidR="002A42C4">
        <w:rPr>
          <w:rFonts w:hint="eastAsia"/>
          <w:b/>
          <w:bCs/>
        </w:rPr>
        <w:t>6</w:t>
      </w:r>
      <w:r w:rsidRPr="00EF1C64">
        <w:t xml:space="preserve"> Manhattan plots</w:t>
      </w:r>
      <w:r w:rsidR="00EC29D4">
        <w:t xml:space="preserve"> </w:t>
      </w:r>
      <w:r w:rsidRPr="00EF1C64">
        <w:t xml:space="preserve">of GWAS for </w:t>
      </w:r>
      <w:r w:rsidR="00EC29D4">
        <w:t>secondary branch number</w:t>
      </w:r>
      <w:bookmarkEnd w:id="3"/>
      <w:r>
        <w:t xml:space="preserve"> in </w:t>
      </w:r>
      <w:r w:rsidRPr="00483310">
        <w:rPr>
          <w:b/>
          <w:bCs/>
        </w:rPr>
        <w:t>a–c</w:t>
      </w:r>
      <w:r>
        <w:t xml:space="preserve"> 2015 and </w:t>
      </w:r>
      <w:r w:rsidRPr="00483310">
        <w:rPr>
          <w:b/>
          <w:bCs/>
        </w:rPr>
        <w:t>d–f</w:t>
      </w:r>
      <w:r>
        <w:t xml:space="preserve"> 2017 for </w:t>
      </w:r>
      <w:r w:rsidRPr="00483310">
        <w:rPr>
          <w:b/>
          <w:bCs/>
        </w:rPr>
        <w:t>a,</w:t>
      </w:r>
      <w:r>
        <w:rPr>
          <w:b/>
          <w:bCs/>
        </w:rPr>
        <w:t xml:space="preserve"> </w:t>
      </w:r>
      <w:r w:rsidRPr="00483310">
        <w:rPr>
          <w:b/>
          <w:bCs/>
        </w:rPr>
        <w:t>d</w:t>
      </w:r>
      <w:r>
        <w:t xml:space="preserve"> all accessions;</w:t>
      </w:r>
      <w:r w:rsidRPr="00483310">
        <w:rPr>
          <w:b/>
          <w:bCs/>
        </w:rPr>
        <w:t xml:space="preserve"> b,</w:t>
      </w:r>
      <w:r>
        <w:rPr>
          <w:b/>
          <w:bCs/>
        </w:rPr>
        <w:t xml:space="preserve"> </w:t>
      </w:r>
      <w:r w:rsidRPr="00483310">
        <w:rPr>
          <w:b/>
          <w:bCs/>
        </w:rPr>
        <w:t>e</w:t>
      </w:r>
      <w:r>
        <w:t xml:space="preserve"> japonica accessions; and </w:t>
      </w:r>
      <w:r w:rsidRPr="00483310">
        <w:rPr>
          <w:b/>
          <w:bCs/>
        </w:rPr>
        <w:t>c,</w:t>
      </w:r>
      <w:r>
        <w:rPr>
          <w:b/>
          <w:bCs/>
        </w:rPr>
        <w:t xml:space="preserve"> </w:t>
      </w:r>
      <w:r w:rsidRPr="00483310">
        <w:rPr>
          <w:b/>
          <w:bCs/>
        </w:rPr>
        <w:t>f</w:t>
      </w:r>
      <w:r>
        <w:t xml:space="preserve"> indica accessions</w:t>
      </w:r>
      <w:r w:rsidRPr="00EF1C64">
        <w:t xml:space="preserve">. </w:t>
      </w:r>
      <w:r w:rsidR="00266A67">
        <w:t>The b</w:t>
      </w:r>
      <w:r w:rsidRPr="001F635B">
        <w:t>lack horizontal dashed line indicates the genome-wide significance threshold</w:t>
      </w:r>
      <w:r>
        <w:t xml:space="preserve">, </w:t>
      </w:r>
      <w:r w:rsidR="00FD3D12">
        <w:noBreakHyphen/>
      </w:r>
      <w:r w:rsidRPr="00EF1C64">
        <w:t>log</w:t>
      </w:r>
      <w:r w:rsidRPr="00483310">
        <w:rPr>
          <w:vertAlign w:val="subscript"/>
        </w:rPr>
        <w:t>10</w:t>
      </w:r>
      <w:r w:rsidRPr="00EF1C64">
        <w:t>(</w:t>
      </w:r>
      <w:r w:rsidRPr="00483310">
        <w:rPr>
          <w:i/>
          <w:iCs/>
        </w:rPr>
        <w:t>P</w:t>
      </w:r>
      <w:r w:rsidRPr="00EF1C64">
        <w:t>) &gt; 5.69</w:t>
      </w:r>
      <w:r>
        <w:t>.</w:t>
      </w:r>
      <w:r w:rsidR="00164D8D">
        <w:t xml:space="preserve"> </w:t>
      </w:r>
    </w:p>
    <w:p w14:paraId="7F8E369D" w14:textId="6F80C698" w:rsidR="00880AEF" w:rsidRDefault="00733B82" w:rsidP="001045D9">
      <w:r>
        <w:rPr>
          <w:noProof/>
        </w:rPr>
        <w:lastRenderedPageBreak/>
        <w:drawing>
          <wp:inline distT="0" distB="0" distL="0" distR="0" wp14:anchorId="748E443D" wp14:editId="6FE6A1BA">
            <wp:extent cx="5086350" cy="23773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953" cy="2379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F796E" w14:textId="475C0761" w:rsidR="00266A67" w:rsidRDefault="00880AEF">
      <w:bookmarkStart w:id="4" w:name="_Hlk72440498"/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 w:rsidR="002A42C4">
        <w:rPr>
          <w:rFonts w:hint="eastAsia"/>
          <w:b/>
          <w:bCs/>
        </w:rPr>
        <w:t>7</w:t>
      </w:r>
      <w:r w:rsidR="00A04059">
        <w:rPr>
          <w:b/>
          <w:bCs/>
        </w:rPr>
        <w:t xml:space="preserve"> </w:t>
      </w:r>
      <w:r w:rsidR="00CE1AFD">
        <w:t>P</w:t>
      </w:r>
      <w:r w:rsidR="00A04059" w:rsidRPr="00EF1C64">
        <w:t xml:space="preserve">anicle length </w:t>
      </w:r>
      <w:r w:rsidR="00282D57">
        <w:t xml:space="preserve">(PL) </w:t>
      </w:r>
      <w:r w:rsidR="00A04059">
        <w:t>in the two</w:t>
      </w:r>
      <w:r w:rsidR="00A04059" w:rsidRPr="00EF1C64">
        <w:t xml:space="preserve"> haplotypes </w:t>
      </w:r>
      <w:r w:rsidR="00A04059">
        <w:t>of</w:t>
      </w:r>
      <w:r w:rsidR="00A04059" w:rsidRPr="00EF1C64">
        <w:t xml:space="preserve"> </w:t>
      </w:r>
      <w:bookmarkStart w:id="5" w:name="_Hlk72434378"/>
      <w:r w:rsidR="0026563E" w:rsidRPr="006D596B">
        <w:rPr>
          <w:rFonts w:hint="eastAsia"/>
          <w:i/>
          <w:iCs/>
        </w:rPr>
        <w:t>Os</w:t>
      </w:r>
      <w:r w:rsidR="0026563E" w:rsidRPr="006D596B">
        <w:rPr>
          <w:i/>
          <w:iCs/>
        </w:rPr>
        <w:t>GRRP</w:t>
      </w:r>
      <w:r w:rsidR="00A04059" w:rsidRPr="00EF1C64">
        <w:t xml:space="preserve"> </w:t>
      </w:r>
      <w:bookmarkEnd w:id="4"/>
      <w:r w:rsidR="00A04059" w:rsidRPr="00EF1C64">
        <w:t xml:space="preserve">in </w:t>
      </w:r>
      <w:r w:rsidR="00266A67" w:rsidRPr="000E59A1">
        <w:rPr>
          <w:b/>
          <w:bCs/>
        </w:rPr>
        <w:t>a</w:t>
      </w:r>
      <w:r w:rsidR="00266A67">
        <w:t xml:space="preserve"> </w:t>
      </w:r>
      <w:r w:rsidR="00A04059">
        <w:t>all</w:t>
      </w:r>
      <w:r w:rsidR="00266A67" w:rsidRPr="00266A67">
        <w:t xml:space="preserve"> </w:t>
      </w:r>
      <w:r w:rsidR="00266A67">
        <w:t>accessions</w:t>
      </w:r>
      <w:r w:rsidR="00BA666C">
        <w:t xml:space="preserve">, </w:t>
      </w:r>
      <w:r w:rsidR="00266A67" w:rsidRPr="00BA666C">
        <w:rPr>
          <w:b/>
          <w:bCs/>
        </w:rPr>
        <w:t>b</w:t>
      </w:r>
      <w:r w:rsidR="00266A67">
        <w:t xml:space="preserve"> </w:t>
      </w:r>
      <w:r w:rsidR="00A04059">
        <w:t>japonica</w:t>
      </w:r>
      <w:r w:rsidR="00266A67" w:rsidRPr="00266A67">
        <w:t xml:space="preserve"> </w:t>
      </w:r>
      <w:r w:rsidR="00266A67">
        <w:t>accessions,</w:t>
      </w:r>
      <w:r w:rsidR="00BA666C">
        <w:t xml:space="preserve"> and </w:t>
      </w:r>
      <w:r w:rsidR="00266A67" w:rsidRPr="00BA666C">
        <w:rPr>
          <w:b/>
          <w:bCs/>
        </w:rPr>
        <w:t>c</w:t>
      </w:r>
      <w:r w:rsidR="00266A67">
        <w:t xml:space="preserve"> </w:t>
      </w:r>
      <w:r w:rsidR="00BA666C">
        <w:t>indica</w:t>
      </w:r>
      <w:r w:rsidR="00266A67">
        <w:t xml:space="preserve"> </w:t>
      </w:r>
      <w:r w:rsidR="00A04059">
        <w:t>accessions</w:t>
      </w:r>
      <w:r w:rsidR="00A04059" w:rsidRPr="00EF1C64">
        <w:t xml:space="preserve"> </w:t>
      </w:r>
      <w:r w:rsidR="00A04059">
        <w:t xml:space="preserve">in </w:t>
      </w:r>
      <w:r w:rsidR="00A04059" w:rsidRPr="00EF1C64">
        <w:t>2015</w:t>
      </w:r>
      <w:bookmarkEnd w:id="5"/>
      <w:r w:rsidR="00A04059" w:rsidRPr="00EF1C64">
        <w:t>.</w:t>
      </w:r>
      <w:r w:rsidR="00FD3D12">
        <w:t xml:space="preserve"> Number of accessions (n) of each haplotype (Hap) in each panel given under the x-axis</w:t>
      </w:r>
      <w:r w:rsidR="00FD3D12" w:rsidRPr="00C27A88">
        <w:t>.</w:t>
      </w:r>
      <w:r w:rsidR="00A04059" w:rsidRPr="00EF1C64">
        <w:t xml:space="preserve"> </w:t>
      </w:r>
      <w:r w:rsidR="00A04059">
        <w:t xml:space="preserve">Boxes show median, and upper and lower quartiles. Whiskers extend to </w:t>
      </w:r>
      <w:r w:rsidR="00EF1B27" w:rsidRPr="00EF1B27">
        <w:t>1.5</w:t>
      </w:r>
      <w:r w:rsidR="00266A67">
        <w:t>×</w:t>
      </w:r>
      <w:r w:rsidR="00EF1B27" w:rsidRPr="00EF1B27">
        <w:t xml:space="preserve"> the interquartile range</w:t>
      </w:r>
      <w:r w:rsidR="00A04059">
        <w:t xml:space="preserve">, with any remaining points indicated with dots. </w:t>
      </w:r>
      <w:r w:rsidR="00FD3D12">
        <w:t>***</w:t>
      </w:r>
      <w:r w:rsidR="00A04059">
        <w:t xml:space="preserve"> </w:t>
      </w:r>
      <w:r w:rsidR="00266A67">
        <w:rPr>
          <w:i/>
          <w:iCs/>
        </w:rPr>
        <w:t>P</w:t>
      </w:r>
      <w:r w:rsidR="00A04059">
        <w:t>&lt;0.001 (</w:t>
      </w:r>
      <w:r w:rsidR="00A04059" w:rsidRPr="00EF1C64">
        <w:t xml:space="preserve">Welch </w:t>
      </w:r>
      <w:r w:rsidR="00A04059">
        <w:t>t</w:t>
      </w:r>
      <w:r w:rsidR="00A04059" w:rsidRPr="00EF1C64">
        <w:t xml:space="preserve">wo </w:t>
      </w:r>
      <w:r w:rsidR="00A04059">
        <w:t>s</w:t>
      </w:r>
      <w:r w:rsidR="00A04059" w:rsidRPr="00EF1C64">
        <w:t xml:space="preserve">ample </w:t>
      </w:r>
      <w:r w:rsidR="00A04059" w:rsidRPr="00A3697C">
        <w:rPr>
          <w:i/>
          <w:iCs/>
        </w:rPr>
        <w:t>t</w:t>
      </w:r>
      <w:r w:rsidR="00A04059" w:rsidRPr="00EF1C64">
        <w:t>-test</w:t>
      </w:r>
      <w:r w:rsidR="00A04059">
        <w:t>).</w:t>
      </w:r>
    </w:p>
    <w:p w14:paraId="09ADF767" w14:textId="77777777" w:rsidR="00266A67" w:rsidRDefault="00266A67">
      <w:pPr>
        <w:widowControl/>
        <w:spacing w:after="0" w:line="240" w:lineRule="auto"/>
        <w:jc w:val="left"/>
      </w:pPr>
      <w:r>
        <w:br w:type="page"/>
      </w:r>
    </w:p>
    <w:p w14:paraId="00A246DC" w14:textId="6DC4A9F6" w:rsidR="005D12E7" w:rsidRDefault="00EC4293" w:rsidP="00EC4293">
      <w:pPr>
        <w:ind w:right="960"/>
      </w:pPr>
      <w:r>
        <w:rPr>
          <w:noProof/>
        </w:rPr>
        <w:lastRenderedPageBreak/>
        <w:drawing>
          <wp:inline distT="0" distB="0" distL="0" distR="0" wp14:anchorId="0C5BAC0F" wp14:editId="0ADE3E66">
            <wp:extent cx="5410200" cy="633249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45" cy="634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10131" w14:textId="0925888E" w:rsidR="001045D9" w:rsidRPr="00F8121E" w:rsidRDefault="00B86322" w:rsidP="001045D9">
      <w:pPr>
        <w:widowControl/>
      </w:pPr>
      <w:bookmarkStart w:id="6" w:name="_Hlk72440528"/>
      <w:r w:rsidRPr="00EF1C64">
        <w:rPr>
          <w:b/>
          <w:bCs/>
        </w:rPr>
        <w:t>Fig</w:t>
      </w:r>
      <w:r>
        <w:rPr>
          <w:b/>
          <w:bCs/>
        </w:rPr>
        <w:t>ure</w:t>
      </w:r>
      <w:r w:rsidRPr="00EF1C64">
        <w:rPr>
          <w:b/>
          <w:bCs/>
        </w:rPr>
        <w:t xml:space="preserve"> </w:t>
      </w:r>
      <w:r>
        <w:rPr>
          <w:b/>
          <w:bCs/>
        </w:rPr>
        <w:t>S</w:t>
      </w:r>
      <w:r w:rsidR="002A42C4">
        <w:rPr>
          <w:rFonts w:hint="eastAsia"/>
          <w:b/>
          <w:bCs/>
        </w:rPr>
        <w:t>8</w:t>
      </w:r>
      <w:r>
        <w:rPr>
          <w:rFonts w:hint="eastAsia"/>
        </w:rPr>
        <w:t xml:space="preserve"> </w:t>
      </w:r>
      <w:bookmarkEnd w:id="6"/>
      <w:r w:rsidR="00CE1AFD">
        <w:t>R</w:t>
      </w:r>
      <w:r w:rsidR="00F8121E" w:rsidRPr="008E3746">
        <w:t>elative expression</w:t>
      </w:r>
      <w:r w:rsidR="00F8121E" w:rsidRPr="002F0E9E">
        <w:t xml:space="preserve"> of </w:t>
      </w:r>
      <w:r w:rsidR="00FD3D12" w:rsidRPr="00F8121E">
        <w:rPr>
          <w:b/>
          <w:bCs/>
        </w:rPr>
        <w:t>a</w:t>
      </w:r>
      <w:r w:rsidR="00FD3D12">
        <w:rPr>
          <w:rFonts w:hint="eastAsia"/>
          <w:i/>
          <w:iCs/>
        </w:rPr>
        <w:t xml:space="preserve"> </w:t>
      </w:r>
      <w:r w:rsidR="00F8121E">
        <w:rPr>
          <w:rFonts w:hint="eastAsia"/>
          <w:i/>
          <w:iCs/>
        </w:rPr>
        <w:t>OsSWN</w:t>
      </w:r>
      <w:r w:rsidR="00F8121E">
        <w:rPr>
          <w:i/>
          <w:iCs/>
        </w:rPr>
        <w:t xml:space="preserve">5 </w:t>
      </w:r>
      <w:r w:rsidR="00F8121E" w:rsidRPr="00F8121E">
        <w:rPr>
          <w:rFonts w:hint="eastAsia"/>
        </w:rPr>
        <w:t>and</w:t>
      </w:r>
      <w:r w:rsidR="00F8121E">
        <w:rPr>
          <w:i/>
          <w:iCs/>
        </w:rPr>
        <w:t xml:space="preserve"> </w:t>
      </w:r>
      <w:r w:rsidR="00FD3D12">
        <w:rPr>
          <w:b/>
          <w:bCs/>
        </w:rPr>
        <w:t>b</w:t>
      </w:r>
      <w:r w:rsidR="00FD3D12">
        <w:rPr>
          <w:rFonts w:hint="eastAsia"/>
          <w:i/>
          <w:iCs/>
        </w:rPr>
        <w:t xml:space="preserve"> </w:t>
      </w:r>
      <w:r w:rsidR="00F8121E">
        <w:rPr>
          <w:rFonts w:hint="eastAsia"/>
          <w:i/>
          <w:iCs/>
        </w:rPr>
        <w:t>LOC</w:t>
      </w:r>
      <w:r w:rsidR="00F8121E">
        <w:rPr>
          <w:i/>
          <w:iCs/>
        </w:rPr>
        <w:t>_Os03g03260</w:t>
      </w:r>
      <w:r w:rsidR="00F8121E" w:rsidRPr="002F0E9E">
        <w:t xml:space="preserve"> </w:t>
      </w:r>
      <w:r w:rsidR="00CE1AFD">
        <w:t>in</w:t>
      </w:r>
      <w:r w:rsidR="00F8121E" w:rsidRPr="002F0E9E">
        <w:t xml:space="preserve"> </w:t>
      </w:r>
      <w:r w:rsidR="00F8121E" w:rsidRPr="008E3746">
        <w:t>short panicle (SP) and long panicle (LP) accessions</w:t>
      </w:r>
      <w:r w:rsidR="00F8121E" w:rsidRPr="002F0E9E">
        <w:t xml:space="preserve">. </w:t>
      </w:r>
      <w:r w:rsidR="00F8121E">
        <w:t>SP1</w:t>
      </w:r>
      <w:r w:rsidR="00F8121E" w:rsidRPr="00D02341">
        <w:t>:</w:t>
      </w:r>
      <w:r w:rsidR="00F8121E" w:rsidRPr="001A129A">
        <w:rPr>
          <w:rFonts w:hint="eastAsia"/>
        </w:rPr>
        <w:t xml:space="preserve"> </w:t>
      </w:r>
      <w:r w:rsidR="00F8121E" w:rsidRPr="001B03D1">
        <w:rPr>
          <w:rFonts w:hint="eastAsia"/>
        </w:rPr>
        <w:t>IRIS_313-8085</w:t>
      </w:r>
      <w:r w:rsidR="00F8121E" w:rsidRPr="00D02341">
        <w:t xml:space="preserve">; </w:t>
      </w:r>
      <w:r w:rsidR="00F8121E">
        <w:t>SP2</w:t>
      </w:r>
      <w:r w:rsidR="00F8121E" w:rsidRPr="00D02341">
        <w:t xml:space="preserve">: </w:t>
      </w:r>
      <w:r w:rsidR="00F8121E" w:rsidRPr="001B03D1">
        <w:rPr>
          <w:rFonts w:hint="eastAsia"/>
        </w:rPr>
        <w:t>IRIS_313-8096</w:t>
      </w:r>
      <w:r w:rsidR="00F8121E" w:rsidRPr="00D02341">
        <w:t xml:space="preserve">; </w:t>
      </w:r>
      <w:r w:rsidR="00F8121E">
        <w:t>SP3</w:t>
      </w:r>
      <w:r w:rsidR="00F8121E" w:rsidRPr="00D02341">
        <w:t xml:space="preserve">: </w:t>
      </w:r>
      <w:r w:rsidR="00F8121E" w:rsidRPr="001B03D1">
        <w:rPr>
          <w:rFonts w:hint="eastAsia"/>
        </w:rPr>
        <w:t>IRIS_313-8099</w:t>
      </w:r>
      <w:r w:rsidR="00F8121E" w:rsidRPr="00D02341">
        <w:t xml:space="preserve">; </w:t>
      </w:r>
      <w:r w:rsidR="00F8121E">
        <w:t>SP4</w:t>
      </w:r>
      <w:r w:rsidR="00F8121E" w:rsidRPr="00D02341">
        <w:t xml:space="preserve">: </w:t>
      </w:r>
      <w:r w:rsidR="00F8121E" w:rsidRPr="001B03D1">
        <w:rPr>
          <w:rFonts w:hint="eastAsia"/>
        </w:rPr>
        <w:t>IRIS_313-8195</w:t>
      </w:r>
      <w:r w:rsidR="00F8121E" w:rsidRPr="00D02341">
        <w:t xml:space="preserve">; </w:t>
      </w:r>
      <w:r w:rsidR="00F8121E">
        <w:t>SP5</w:t>
      </w:r>
      <w:r w:rsidR="00F8121E" w:rsidRPr="00D02341">
        <w:t>:</w:t>
      </w:r>
      <w:r w:rsidR="00F8121E">
        <w:t xml:space="preserve"> </w:t>
      </w:r>
      <w:r w:rsidR="00F8121E" w:rsidRPr="001B03D1">
        <w:rPr>
          <w:rFonts w:hint="eastAsia"/>
        </w:rPr>
        <w:t>IRIS_313-8048</w:t>
      </w:r>
      <w:r w:rsidR="00F8121E" w:rsidRPr="00D02341">
        <w:t xml:space="preserve">; </w:t>
      </w:r>
      <w:r w:rsidR="00F8121E">
        <w:t>LP1</w:t>
      </w:r>
      <w:r w:rsidR="00F8121E" w:rsidRPr="00D02341">
        <w:t xml:space="preserve">: </w:t>
      </w:r>
      <w:r w:rsidR="00F8121E" w:rsidRPr="001B03D1">
        <w:rPr>
          <w:rFonts w:hint="eastAsia"/>
        </w:rPr>
        <w:t>IRIS_313-8903</w:t>
      </w:r>
      <w:r w:rsidR="00F8121E" w:rsidRPr="00D02341">
        <w:t xml:space="preserve">; </w:t>
      </w:r>
      <w:r w:rsidR="00F8121E">
        <w:t>LP2</w:t>
      </w:r>
      <w:r w:rsidR="00F8121E" w:rsidRPr="00D02341">
        <w:t xml:space="preserve">: </w:t>
      </w:r>
      <w:r w:rsidR="00F8121E" w:rsidRPr="001B03D1">
        <w:rPr>
          <w:rFonts w:hint="eastAsia"/>
        </w:rPr>
        <w:t>B199</w:t>
      </w:r>
      <w:r w:rsidR="00F8121E" w:rsidRPr="00D02341">
        <w:t xml:space="preserve">; </w:t>
      </w:r>
      <w:r w:rsidR="00F8121E">
        <w:t>LP3</w:t>
      </w:r>
      <w:r w:rsidR="00F8121E" w:rsidRPr="00D02341">
        <w:t xml:space="preserve">: </w:t>
      </w:r>
      <w:r w:rsidR="00F8121E" w:rsidRPr="001B03D1">
        <w:rPr>
          <w:rFonts w:hint="eastAsia"/>
        </w:rPr>
        <w:t>IRIS_313-9505</w:t>
      </w:r>
      <w:r w:rsidR="00F8121E" w:rsidRPr="00D02341">
        <w:t xml:space="preserve">; </w:t>
      </w:r>
      <w:r w:rsidR="00F8121E">
        <w:t>LP4</w:t>
      </w:r>
      <w:r w:rsidR="00F8121E" w:rsidRPr="00D02341">
        <w:t xml:space="preserve">: </w:t>
      </w:r>
      <w:r w:rsidR="00F8121E" w:rsidRPr="001B03D1">
        <w:rPr>
          <w:rFonts w:hint="eastAsia"/>
        </w:rPr>
        <w:t>IRIS_313-7993</w:t>
      </w:r>
      <w:r w:rsidR="00F8121E" w:rsidRPr="00D02341">
        <w:t xml:space="preserve">; </w:t>
      </w:r>
      <w:r w:rsidR="00F8121E">
        <w:t>LP5</w:t>
      </w:r>
      <w:r w:rsidR="00F8121E" w:rsidRPr="00D02341">
        <w:t xml:space="preserve">: </w:t>
      </w:r>
      <w:r w:rsidR="00F8121E" w:rsidRPr="001B03D1">
        <w:rPr>
          <w:rFonts w:hint="eastAsia"/>
        </w:rPr>
        <w:t>IRIS_313-799</w:t>
      </w:r>
    </w:p>
    <w:sectPr w:rsidR="001045D9" w:rsidRPr="00F81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365F6" w14:textId="77777777" w:rsidR="00D62AA9" w:rsidRDefault="00D62AA9" w:rsidP="00363F39">
      <w:pPr>
        <w:spacing w:after="0" w:line="240" w:lineRule="auto"/>
      </w:pPr>
      <w:r>
        <w:separator/>
      </w:r>
    </w:p>
  </w:endnote>
  <w:endnote w:type="continuationSeparator" w:id="0">
    <w:p w14:paraId="1EB27D4F" w14:textId="77777777" w:rsidR="00D62AA9" w:rsidRDefault="00D62AA9" w:rsidP="0036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3B925" w14:textId="77777777" w:rsidR="00D62AA9" w:rsidRDefault="00D62AA9" w:rsidP="00363F39">
      <w:pPr>
        <w:spacing w:after="0" w:line="240" w:lineRule="auto"/>
      </w:pPr>
      <w:r>
        <w:separator/>
      </w:r>
    </w:p>
  </w:footnote>
  <w:footnote w:type="continuationSeparator" w:id="0">
    <w:p w14:paraId="53608AC8" w14:textId="77777777" w:rsidR="00D62AA9" w:rsidRDefault="00D62AA9" w:rsidP="00363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77"/>
    <w:rsid w:val="00024A09"/>
    <w:rsid w:val="00081C60"/>
    <w:rsid w:val="000E59A1"/>
    <w:rsid w:val="001045D9"/>
    <w:rsid w:val="00124847"/>
    <w:rsid w:val="00127DB9"/>
    <w:rsid w:val="00157B4C"/>
    <w:rsid w:val="00164D8D"/>
    <w:rsid w:val="001911FC"/>
    <w:rsid w:val="001F14BF"/>
    <w:rsid w:val="001F635B"/>
    <w:rsid w:val="0023580A"/>
    <w:rsid w:val="002515DE"/>
    <w:rsid w:val="0026563E"/>
    <w:rsid w:val="00266A67"/>
    <w:rsid w:val="00282D57"/>
    <w:rsid w:val="002A42C4"/>
    <w:rsid w:val="00363F39"/>
    <w:rsid w:val="003B2659"/>
    <w:rsid w:val="00412590"/>
    <w:rsid w:val="004245EE"/>
    <w:rsid w:val="00447774"/>
    <w:rsid w:val="00485936"/>
    <w:rsid w:val="005778D7"/>
    <w:rsid w:val="005C315D"/>
    <w:rsid w:val="005D12E7"/>
    <w:rsid w:val="006C6CE7"/>
    <w:rsid w:val="00733B82"/>
    <w:rsid w:val="007939D4"/>
    <w:rsid w:val="00795064"/>
    <w:rsid w:val="007D5343"/>
    <w:rsid w:val="00880AEF"/>
    <w:rsid w:val="008B1221"/>
    <w:rsid w:val="008D4F8E"/>
    <w:rsid w:val="00996877"/>
    <w:rsid w:val="009C0FE2"/>
    <w:rsid w:val="009C7AF5"/>
    <w:rsid w:val="00A04059"/>
    <w:rsid w:val="00A41385"/>
    <w:rsid w:val="00AD2B21"/>
    <w:rsid w:val="00B07D49"/>
    <w:rsid w:val="00B86322"/>
    <w:rsid w:val="00BA666C"/>
    <w:rsid w:val="00BD1D78"/>
    <w:rsid w:val="00C4418E"/>
    <w:rsid w:val="00CD509B"/>
    <w:rsid w:val="00CE1AFD"/>
    <w:rsid w:val="00D62AA9"/>
    <w:rsid w:val="00D91CB5"/>
    <w:rsid w:val="00D9366D"/>
    <w:rsid w:val="00DF5D20"/>
    <w:rsid w:val="00E26D2C"/>
    <w:rsid w:val="00E81C77"/>
    <w:rsid w:val="00EA77F6"/>
    <w:rsid w:val="00EC29D4"/>
    <w:rsid w:val="00EC4293"/>
    <w:rsid w:val="00EF1B27"/>
    <w:rsid w:val="00F23A82"/>
    <w:rsid w:val="00F7371E"/>
    <w:rsid w:val="00F80023"/>
    <w:rsid w:val="00F8121E"/>
    <w:rsid w:val="00F852D6"/>
    <w:rsid w:val="00FD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B0EDA17"/>
  <w15:chartTrackingRefBased/>
  <w15:docId w15:val="{8EDA4960-F0AE-4F7E-88DE-A54459F9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F39"/>
    <w:pPr>
      <w:widowControl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F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F3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F3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63F39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363F39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363F39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996877"/>
    <w:rPr>
      <w:color w:val="0563C1" w:themeColor="hyperlink"/>
      <w:u w:val="single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266A67"/>
    <w:pPr>
      <w:spacing w:line="240" w:lineRule="auto"/>
      <w:jc w:val="both"/>
    </w:pPr>
    <w:rPr>
      <w:b/>
      <w:bCs/>
      <w:sz w:val="20"/>
      <w:szCs w:val="20"/>
    </w:rPr>
  </w:style>
  <w:style w:type="character" w:customStyle="1" w:styleId="ac">
    <w:name w:val="批注主题 字符"/>
    <w:basedOn w:val="a9"/>
    <w:link w:val="ab"/>
    <w:uiPriority w:val="99"/>
    <w:semiHidden/>
    <w:rsid w:val="00266A67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 少星</dc:creator>
  <cp:keywords/>
  <dc:description/>
  <cp:lastModifiedBy>baishaoxing@outlook.com</cp:lastModifiedBy>
  <cp:revision>16</cp:revision>
  <dcterms:created xsi:type="dcterms:W3CDTF">2021-06-17T12:04:00Z</dcterms:created>
  <dcterms:modified xsi:type="dcterms:W3CDTF">2021-08-14T04:33:00Z</dcterms:modified>
</cp:coreProperties>
</file>