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F8E4B" w14:textId="18A7F781" w:rsidR="009A0FAE" w:rsidRDefault="009A0FAE" w:rsidP="006E5599">
      <w:pPr>
        <w:widowControl/>
        <w:rPr>
          <w:rFonts w:ascii="Times New Roman" w:eastAsia="SimSun" w:hAnsi="Times New Roman" w:cs="Times New Roman"/>
          <w:szCs w:val="21"/>
        </w:rPr>
      </w:pPr>
      <w:r w:rsidRPr="009A0FAE">
        <w:rPr>
          <w:rFonts w:ascii="Times New Roman" w:eastAsia="SimSun" w:hAnsi="Times New Roman" w:cs="Times New Roman"/>
          <w:szCs w:val="21"/>
        </w:rPr>
        <w:t>Fig. S</w:t>
      </w:r>
      <w:r w:rsidR="006E5599">
        <w:rPr>
          <w:rFonts w:ascii="Times New Roman" w:eastAsia="SimSun" w:hAnsi="Times New Roman" w:cs="Times New Roman"/>
          <w:szCs w:val="21"/>
        </w:rPr>
        <w:t>1</w:t>
      </w:r>
      <w:r w:rsidRPr="009A0FAE">
        <w:rPr>
          <w:rFonts w:ascii="Times New Roman" w:eastAsia="SimSun" w:hAnsi="Times New Roman" w:cs="Times New Roman"/>
          <w:szCs w:val="21"/>
        </w:rPr>
        <w:t>. The score plots generated from the PCA model from GC-MS spectra data, demonstrating the dynamic metabolome change for the sixteen hybrid rice cultivars before and after the 24-month storage period.</w:t>
      </w:r>
    </w:p>
    <w:p w14:paraId="26CF4AA6" w14:textId="78F2017A" w:rsidR="009A0FAE" w:rsidRDefault="009A0FAE" w:rsidP="009A0FAE">
      <w:pPr>
        <w:widowControl/>
        <w:jc w:val="center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noProof/>
          <w:szCs w:val="21"/>
          <w:lang w:val="en-IN" w:eastAsia="en-IN"/>
        </w:rPr>
        <w:drawing>
          <wp:inline distT="0" distB="0" distL="0" distR="0" wp14:anchorId="7634FA4F" wp14:editId="286D4E19">
            <wp:extent cx="3518611" cy="7949497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486" cy="796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0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EC7DA5" w14:textId="77777777" w:rsidR="000F510A" w:rsidRDefault="000F510A" w:rsidP="009A0FAE">
      <w:r>
        <w:separator/>
      </w:r>
    </w:p>
  </w:endnote>
  <w:endnote w:type="continuationSeparator" w:id="0">
    <w:p w14:paraId="18ACF1A3" w14:textId="77777777" w:rsidR="000F510A" w:rsidRDefault="000F510A" w:rsidP="009A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620BD" w14:textId="77777777" w:rsidR="000F510A" w:rsidRDefault="000F510A" w:rsidP="009A0FAE">
      <w:r>
        <w:separator/>
      </w:r>
    </w:p>
  </w:footnote>
  <w:footnote w:type="continuationSeparator" w:id="0">
    <w:p w14:paraId="0902EFA2" w14:textId="77777777" w:rsidR="000F510A" w:rsidRDefault="000F510A" w:rsidP="009A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FFA"/>
    <w:rsid w:val="000F510A"/>
    <w:rsid w:val="0035231E"/>
    <w:rsid w:val="00421562"/>
    <w:rsid w:val="006E5599"/>
    <w:rsid w:val="008A3FFA"/>
    <w:rsid w:val="009A0FAE"/>
    <w:rsid w:val="0E685FA8"/>
    <w:rsid w:val="20DC2434"/>
    <w:rsid w:val="3CA56A73"/>
    <w:rsid w:val="416B7977"/>
    <w:rsid w:val="4316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94DFA65"/>
  <w15:docId w15:val="{22FD7E96-A360-499B-BD6C-4FA91DDA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11">
    <w:name w:val="font11"/>
    <w:basedOn w:val="DefaultParagraphFont"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31">
    <w:name w:val="font31"/>
    <w:basedOn w:val="DefaultParagraphFont"/>
    <w:rPr>
      <w:rFonts w:ascii="SimSun" w:eastAsia="SimSun" w:hAnsi="SimSun" w:cs="SimSun" w:hint="eastAsia"/>
      <w:b/>
      <w:bCs/>
      <w:color w:val="000000"/>
      <w:sz w:val="20"/>
      <w:szCs w:val="20"/>
      <w:u w:val="none"/>
    </w:rPr>
  </w:style>
  <w:style w:type="character" w:customStyle="1" w:styleId="font21">
    <w:name w:val="font21"/>
    <w:basedOn w:val="DefaultParagraphFont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styleId="Header">
    <w:name w:val="header"/>
    <w:basedOn w:val="Normal"/>
    <w:link w:val="HeaderChar"/>
    <w:rsid w:val="009A0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9A0FA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9A0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9A0FA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</dc:creator>
  <cp:lastModifiedBy>Shyam Sundar W.</cp:lastModifiedBy>
  <cp:revision>4</cp:revision>
  <dcterms:created xsi:type="dcterms:W3CDTF">2021-07-30T12:58:00Z</dcterms:created>
  <dcterms:modified xsi:type="dcterms:W3CDTF">2022-01-15T10:45:00Z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398E1F9930DD46E2A0CE78DC6929C81D</vt:lpwstr>
  </property>
</Properties>
</file>