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Supplementary Materials </w:t>
      </w:r>
    </w:p>
    <w:p w:rsidR="00000000" w:rsidDel="00000000" w:rsidP="00000000" w:rsidRDefault="00000000" w:rsidRPr="00000000" w14:paraId="00000002">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A Comparison of Prostate Cancer Detection Rates Between TRUS-GB and MRI-GB: A Systematic Review and Meta-Analysis</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Summary of Contents</w:t>
      </w:r>
    </w:p>
    <w:p w:rsidR="00000000" w:rsidDel="00000000" w:rsidP="00000000" w:rsidRDefault="00000000" w:rsidRPr="00000000" w14:paraId="00000006">
      <w:pPr>
        <w:jc w:val="center"/>
        <w:rPr>
          <w:rFonts w:ascii="Times New Roman" w:cs="Times New Roman" w:eastAsia="Times New Roman" w:hAnsi="Times New Roman"/>
          <w:b w:val="1"/>
          <w:sz w:val="24"/>
          <w:szCs w:val="24"/>
        </w:rPr>
      </w:pPr>
      <w:r w:rsidDel="00000000" w:rsidR="00000000" w:rsidRPr="00000000">
        <w:rPr>
          <w:rtl w:val="0"/>
        </w:rPr>
      </w:r>
    </w:p>
    <w:sdt>
      <w:sdtPr>
        <w:id w:val="1364376023"/>
        <w:docPartObj>
          <w:docPartGallery w:val="Table of Contents"/>
          <w:docPartUnique w:val="1"/>
        </w:docPartObj>
      </w:sdtPr>
      <w:sdtContent>
        <w:p w:rsidR="00000000" w:rsidDel="00000000" w:rsidP="00000000" w:rsidRDefault="00000000" w:rsidRPr="00000000" w14:paraId="00000007">
          <w:pPr>
            <w:tabs>
              <w:tab w:val="right" w:leader="dot" w:pos="15388"/>
            </w:tabs>
            <w:spacing w:after="100" w:lineRule="auto"/>
            <w:rPr>
              <w:rFonts w:ascii="Times New Roman" w:cs="Times New Roman" w:eastAsia="Times New Roman" w:hAnsi="Times New Roman"/>
              <w:sz w:val="24"/>
              <w:szCs w:val="24"/>
            </w:rPr>
          </w:pPr>
          <w:r w:rsidDel="00000000" w:rsidR="00000000" w:rsidRPr="00000000">
            <w:fldChar w:fldCharType="begin"/>
            <w:instrText xml:space="preserve"> TOC \h \u \z \t "Heading 1,1,Heading 2,2,Heading 3,3,"</w:instrText>
            <w:fldChar w:fldCharType="separate"/>
          </w:r>
          <w:hyperlink w:anchor="_3znysh7">
            <w:r w:rsidDel="00000000" w:rsidR="00000000" w:rsidRPr="00000000">
              <w:rPr>
                <w:rFonts w:ascii="Times New Roman" w:cs="Times New Roman" w:eastAsia="Times New Roman" w:hAnsi="Times New Roman"/>
                <w:b w:val="1"/>
                <w:sz w:val="24"/>
                <w:szCs w:val="24"/>
                <w:rtl w:val="0"/>
              </w:rPr>
              <w:t xml:space="preserve">SUPPLEMENTAR</w:t>
            </w:r>
          </w:hyperlink>
          <w:r w:rsidDel="00000000" w:rsidR="00000000" w:rsidRPr="00000000">
            <w:rPr>
              <w:rFonts w:ascii="Times New Roman" w:cs="Times New Roman" w:eastAsia="Times New Roman" w:hAnsi="Times New Roman"/>
              <w:b w:val="1"/>
              <w:sz w:val="24"/>
              <w:szCs w:val="24"/>
              <w:rtl w:val="0"/>
            </w:rPr>
            <w:t xml:space="preserve">Y TABLES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spacing w:after="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1.</w:t>
          </w:r>
          <w:r w:rsidDel="00000000" w:rsidR="00000000" w:rsidRPr="00000000">
            <w:rPr>
              <w:rFonts w:ascii="Times New Roman" w:cs="Times New Roman" w:eastAsia="Times New Roman" w:hAnsi="Times New Roman"/>
              <w:sz w:val="24"/>
              <w:szCs w:val="24"/>
              <w:rtl w:val="0"/>
            </w:rPr>
            <w:t xml:space="preserve"> Detailed baseline data of the included studies..................................................................2 </w:t>
          </w:r>
        </w:p>
        <w:p w:rsidR="00000000" w:rsidDel="00000000" w:rsidP="00000000" w:rsidRDefault="00000000" w:rsidRPr="00000000" w14:paraId="00000009">
          <w:pPr>
            <w:tabs>
              <w:tab w:val="right" w:leader="dot" w:pos="15388"/>
            </w:tabs>
            <w:spacing w:after="100" w:lineRule="auto"/>
            <w:ind w:left="440" w:firstLine="0"/>
            <w:rPr>
              <w:rFonts w:ascii="Times New Roman" w:cs="Times New Roman" w:eastAsia="Times New Roman" w:hAnsi="Times New Roman"/>
              <w:sz w:val="24"/>
              <w:szCs w:val="24"/>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tl w:val="0"/>
        </w:rPr>
      </w:r>
    </w:p>
    <w:sdt>
      <w:sdtPr>
        <w:id w:val="-504494633"/>
        <w:docPartObj>
          <w:docPartGallery w:val="Table of Contents"/>
          <w:docPartUnique w:val="1"/>
        </w:docPartObj>
      </w:sdtPr>
      <w:sdtContent>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5388"/>
            </w:tabs>
            <w:spacing w:after="100" w:before="0" w:line="259" w:lineRule="auto"/>
            <w:ind w:left="0" w:right="0" w:firstLine="0"/>
            <w:jc w:val="left"/>
            <w:rPr>
              <w:rFonts w:ascii="Times New Roman" w:cs="Times New Roman" w:eastAsia="Times New Roman" w:hAnsi="Times New Roman"/>
              <w:b w:val="1"/>
              <w:i w:val="0"/>
              <w:smallCaps w:val="0"/>
              <w:strike w:val="0"/>
              <w:sz w:val="24"/>
              <w:szCs w:val="24"/>
              <w:u w:val="none"/>
              <w:vertAlign w:val="baseline"/>
            </w:rPr>
          </w:pPr>
          <w:r w:rsidDel="00000000" w:rsidR="00000000" w:rsidRPr="00000000">
            <w:fldChar w:fldCharType="begin"/>
            <w:instrText xml:space="preserve"> TOC \h \u \z \t "Heading 1,1,Heading 2,2,Heading 3,3,"</w:instrText>
            <w:fldChar w:fldCharType="separate"/>
          </w:r>
          <w:hyperlink w:anchor="_3znysh7">
            <w:r w:rsidDel="00000000" w:rsidR="00000000" w:rsidRPr="00000000">
              <w:rPr>
                <w:rFonts w:ascii="Times New Roman" w:cs="Times New Roman" w:eastAsia="Times New Roman" w:hAnsi="Times New Roman"/>
                <w:b w:val="1"/>
                <w:i w:val="0"/>
                <w:smallCaps w:val="0"/>
                <w:strike w:val="0"/>
                <w:sz w:val="24"/>
                <w:szCs w:val="24"/>
                <w:u w:val="none"/>
                <w:vertAlign w:val="baseline"/>
                <w:rtl w:val="0"/>
              </w:rPr>
              <w:t xml:space="preserve">SUPPLEMENTARY FIGURE</w:t>
            </w:r>
          </w:hyperlink>
          <w:r w:rsidDel="00000000" w:rsidR="00000000" w:rsidRPr="00000000">
            <w:rPr>
              <w:rFonts w:ascii="Times New Roman" w:cs="Times New Roman" w:eastAsia="Times New Roman" w:hAnsi="Times New Roman"/>
              <w:b w:val="1"/>
              <w:sz w:val="24"/>
              <w:szCs w:val="24"/>
              <w:rtl w:val="0"/>
            </w:rPr>
            <w:t xml:space="preserve">S</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5388"/>
            </w:tabs>
            <w:spacing w:after="100" w:before="0" w:line="259"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2</w:t>
          </w:r>
          <w:hyperlink w:anchor="_2et92p0">
            <w:r w:rsidDel="00000000" w:rsidR="00000000" w:rsidRPr="00000000">
              <w:rPr>
                <w:rFonts w:ascii="Times New Roman" w:cs="Times New Roman" w:eastAsia="Times New Roman" w:hAnsi="Times New Roman"/>
                <w:b w:val="1"/>
                <w:i w:val="0"/>
                <w:smallCaps w:val="0"/>
                <w:strike w:val="0"/>
                <w:sz w:val="24"/>
                <w:szCs w:val="24"/>
                <w:u w:val="none"/>
                <w:vertAlign w:val="baseline"/>
                <w:rtl w:val="0"/>
              </w:rPr>
              <w:t xml:space="preserve">.</w:t>
            </w:r>
          </w:hyperlink>
          <w:r w:rsidDel="00000000" w:rsidR="00000000" w:rsidRPr="00000000">
            <w:rPr>
              <w:rFonts w:ascii="Times New Roman" w:cs="Times New Roman" w:eastAsia="Times New Roman" w:hAnsi="Times New Roman"/>
              <w:sz w:val="24"/>
              <w:szCs w:val="24"/>
              <w:rtl w:val="0"/>
            </w:rPr>
            <w:t xml:space="preserve"> Diagram of Risk of Bias assessment in non-randomised trials using the ROBINS-I tool………………………………………………………………………………………………….………….</w:t>
          </w:r>
          <w:r w:rsidDel="00000000" w:rsidR="00000000" w:rsidRPr="00000000">
            <w:rPr>
              <w:rFonts w:ascii="Times New Roman" w:cs="Times New Roman" w:eastAsia="Times New Roman" w:hAnsi="Times New Roman"/>
              <w:sz w:val="24"/>
              <w:szCs w:val="24"/>
              <w:rtl w:val="0"/>
            </w:rPr>
            <w:t xml:space="preserve">4</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5388"/>
            </w:tabs>
            <w:spacing w:after="100" w:before="0" w:line="259"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3.</w:t>
          </w:r>
          <w:r w:rsidDel="00000000" w:rsidR="00000000" w:rsidRPr="00000000">
            <w:rPr>
              <w:rFonts w:ascii="Times New Roman" w:cs="Times New Roman" w:eastAsia="Times New Roman" w:hAnsi="Times New Roman"/>
              <w:sz w:val="24"/>
              <w:szCs w:val="24"/>
              <w:rtl w:val="0"/>
            </w:rPr>
            <w:t xml:space="preserve"> Subgroup analysis of randomized controlled trials (RCTs) only, assessing the outcomes of overall prostate cancer (PCa) detection rates (1.1), clinically significant prostate cancer (csPCa) detection rates (1.2), and clinically insignificant prostate cancer detection rates (1.3).</w:t>
          </w:r>
          <w:hyperlink w:anchor="_tyjcwt">
            <w:r w:rsidDel="00000000" w:rsidR="00000000" w:rsidRPr="00000000">
              <w:rPr>
                <w:rFonts w:ascii="Times New Roman" w:cs="Times New Roman" w:eastAsia="Times New Roman" w:hAnsi="Times New Roman"/>
                <w:i w:val="0"/>
                <w:smallCaps w:val="0"/>
                <w:strike w:val="0"/>
                <w:sz w:val="24"/>
                <w:szCs w:val="24"/>
                <w:u w:val="none"/>
                <w:vertAlign w:val="baseline"/>
                <w:rtl w:val="0"/>
              </w:rPr>
              <w:tab/>
            </w:r>
          </w:hyperlink>
          <w:r w:rsidDel="00000000" w:rsidR="00000000" w:rsidRPr="00000000">
            <w:rPr>
              <w:rFonts w:ascii="Times New Roman" w:cs="Times New Roman" w:eastAsia="Times New Roman" w:hAnsi="Times New Roman"/>
              <w:sz w:val="24"/>
              <w:szCs w:val="24"/>
              <w:rtl w:val="0"/>
            </w:rPr>
            <w:t xml:space="preserve">5</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5388"/>
            </w:tabs>
            <w:spacing w:after="100" w:before="0" w:line="259"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4.</w:t>
          </w:r>
          <w:r w:rsidDel="00000000" w:rsidR="00000000" w:rsidRPr="00000000">
            <w:rPr>
              <w:rFonts w:ascii="Times New Roman" w:cs="Times New Roman" w:eastAsia="Times New Roman" w:hAnsi="Times New Roman"/>
              <w:sz w:val="24"/>
              <w:szCs w:val="24"/>
              <w:rtl w:val="0"/>
            </w:rPr>
            <w:t xml:space="preserve"> Subgroup analysis of studies with no contamination of systematic biopsies in the intervention group, assessing the outcomes of overall prostate cancer (PCa) detection rates (1.1), clinically significant prostate cancer (csPCa) detection rates (1.2), and clinically insignificant prostate cancer detection rates (1.3)............................................................................................................................................................6</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5388"/>
            </w:tabs>
            <w:spacing w:after="100" w:before="0" w:line="259"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5.</w:t>
          </w:r>
          <w:r w:rsidDel="00000000" w:rsidR="00000000" w:rsidRPr="00000000">
            <w:rPr>
              <w:rFonts w:ascii="Times New Roman" w:cs="Times New Roman" w:eastAsia="Times New Roman" w:hAnsi="Times New Roman"/>
              <w:sz w:val="24"/>
              <w:szCs w:val="24"/>
              <w:rtl w:val="0"/>
            </w:rPr>
            <w:t xml:space="preserve"> Subgroup analysis of overall prostate cancer (PCa) detection rates stratified by biopsy technique subtypes, including (1.1) mpMRI-guided biopsy (mpMRI-GB) subtypes (cognitive, fusion, and in-bore) and (1.2) US-guided biopsy (US-GB) approaches (transrectal and transperineal)..............................7</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5388"/>
            </w:tabs>
            <w:spacing w:after="100" w:before="0" w:line="259"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6.</w:t>
          </w:r>
          <w:r w:rsidDel="00000000" w:rsidR="00000000" w:rsidRPr="00000000">
            <w:rPr>
              <w:rFonts w:ascii="Times New Roman" w:cs="Times New Roman" w:eastAsia="Times New Roman" w:hAnsi="Times New Roman"/>
              <w:sz w:val="24"/>
              <w:szCs w:val="24"/>
              <w:rtl w:val="0"/>
            </w:rPr>
            <w:t xml:space="preserve"> Subgroup analysis of clinically significant prostate cancer (csPCa) detection rates stratified by biopsy technique subtypes, including (1.3) mpMRI-guided biopsy (mpMRI-GB) subtypes (cognitive, fusion, and in-bore) and (1.4) US-guided biopsy (US-GB) approaches (transrectal and transperineal)......................................................................................................................................................8</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5388"/>
            </w:tabs>
            <w:spacing w:after="100" w:before="0" w:line="259"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7. </w:t>
          </w:r>
          <w:r w:rsidDel="00000000" w:rsidR="00000000" w:rsidRPr="00000000">
            <w:rPr>
              <w:rFonts w:ascii="Times New Roman" w:cs="Times New Roman" w:eastAsia="Times New Roman" w:hAnsi="Times New Roman"/>
              <w:sz w:val="24"/>
              <w:szCs w:val="24"/>
              <w:rtl w:val="0"/>
            </w:rPr>
            <w:t xml:space="preserve">Subgroup analysi</w:t>
          </w:r>
          <w:r w:rsidDel="00000000" w:rsidR="00000000" w:rsidRPr="00000000">
            <w:rPr>
              <w:rFonts w:ascii="Times New Roman" w:cs="Times New Roman" w:eastAsia="Times New Roman" w:hAnsi="Times New Roman"/>
              <w:sz w:val="24"/>
              <w:szCs w:val="24"/>
              <w:rtl w:val="0"/>
            </w:rPr>
            <w:t xml:space="preserve">s of clinically insignificant prostate cancer det</w:t>
          </w:r>
          <w:r w:rsidDel="00000000" w:rsidR="00000000" w:rsidRPr="00000000">
            <w:rPr>
              <w:rFonts w:ascii="Times New Roman" w:cs="Times New Roman" w:eastAsia="Times New Roman" w:hAnsi="Times New Roman"/>
              <w:sz w:val="24"/>
              <w:szCs w:val="24"/>
              <w:rtl w:val="0"/>
            </w:rPr>
            <w:t xml:space="preserve">ection rates stratified by biopsy technique subtypes, including (1.5) mpMRI-guided biopsy (mpMRI-GB) subtypes (cognitive, fusion, and in-bore) and (1.6) US-guided biopsy (US-GB) approaches (transrectal and transperineal)......................................................................................................................................................9</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5388"/>
            </w:tabs>
            <w:spacing w:after="100" w:before="0" w:line="259"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8.</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Subgroup analysis of missed diagnostic rates stratified by biopsy technique subtypes, including (1.7) mpMRI-guided biopsy (mpMRI-GB) subtypes (cognitive, fusion, and in-bore) and (1.8) US-guided biopsy (US-GB) approaches (transrectal and transperineal)....................................................................................................................................................10</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5388"/>
            </w:tabs>
            <w:spacing w:after="100" w:before="0" w:line="259" w:lineRule="auto"/>
            <w:ind w:left="0" w:right="0" w:firstLine="0"/>
            <w:jc w:val="left"/>
            <w:rPr>
              <w:rFonts w:ascii="Times New Roman" w:cs="Times New Roman" w:eastAsia="Times New Roman" w:hAnsi="Times New Roman"/>
              <w:sz w:val="24"/>
              <w:szCs w:val="24"/>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4">
      <w:pPr>
        <w:keepNext w:val="0"/>
        <w:keepLines w:val="0"/>
        <w:spacing w:after="120" w:before="480" w:line="360" w:lineRule="auto"/>
        <w:ind w:right="-140"/>
        <w:rPr>
          <w:rFonts w:ascii="Times New Roman" w:cs="Times New Roman" w:eastAsia="Times New Roman" w:hAnsi="Times New Roman"/>
          <w:b w:val="1"/>
          <w:sz w:val="24"/>
          <w:szCs w:val="24"/>
        </w:rPr>
        <w:sectPr>
          <w:footerReference r:id="rId6" w:type="default"/>
          <w:pgSz w:h="16838" w:w="11906" w:orient="portrait"/>
          <w:pgMar w:bottom="720.0000000000001" w:top="720.0000000000001" w:left="720.0000000000001" w:right="720.0000000000001" w:header="708" w:footer="708"/>
          <w:pgNumType w:start="1"/>
        </w:sectPr>
      </w:pPr>
      <w:r w:rsidDel="00000000" w:rsidR="00000000" w:rsidRPr="00000000">
        <w:rPr>
          <w:rtl w:val="0"/>
        </w:rPr>
      </w:r>
    </w:p>
    <w:p w:rsidR="00000000" w:rsidDel="00000000" w:rsidP="00000000" w:rsidRDefault="00000000" w:rsidRPr="00000000" w14:paraId="00000015">
      <w:pPr>
        <w:keepNext w:val="0"/>
        <w:keepLines w:val="0"/>
        <w:spacing w:after="120" w:before="480" w:line="360" w:lineRule="auto"/>
        <w:ind w:right="-1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TABLES</w:t>
      </w:r>
    </w:p>
    <w:p w:rsidR="00000000" w:rsidDel="00000000" w:rsidP="00000000" w:rsidRDefault="00000000" w:rsidRPr="00000000" w14:paraId="00000016">
      <w:pPr>
        <w:spacing w:after="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24"/>
          <w:szCs w:val="24"/>
          <w:rtl w:val="0"/>
        </w:rPr>
        <w:t xml:space="preserve">Online Resource 1.</w:t>
      </w:r>
      <w:r w:rsidDel="00000000" w:rsidR="00000000" w:rsidRPr="00000000">
        <w:rPr>
          <w:rFonts w:ascii="Times New Roman" w:cs="Times New Roman" w:eastAsia="Times New Roman" w:hAnsi="Times New Roman"/>
          <w:sz w:val="24"/>
          <w:szCs w:val="24"/>
          <w:rtl w:val="0"/>
        </w:rPr>
        <w:t xml:space="preserve"> Detailed baseline data of the included studies</w:t>
      </w:r>
      <w:r w:rsidDel="00000000" w:rsidR="00000000" w:rsidRPr="00000000">
        <w:rPr>
          <w:rtl w:val="0"/>
        </w:rPr>
      </w:r>
    </w:p>
    <w:tbl>
      <w:tblPr>
        <w:tblStyle w:val="Table1"/>
        <w:tblpPr w:leftFromText="180" w:rightFromText="180" w:topFromText="180" w:bottomFromText="180" w:vertAnchor="text" w:horzAnchor="text" w:tblpX="0" w:tblpY="0"/>
        <w:tblW w:w="158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0"/>
        <w:gridCol w:w="825"/>
        <w:gridCol w:w="1830"/>
        <w:gridCol w:w="615"/>
        <w:gridCol w:w="2025"/>
        <w:gridCol w:w="2175"/>
        <w:gridCol w:w="2580"/>
        <w:gridCol w:w="2265"/>
        <w:gridCol w:w="2265"/>
        <w:tblGridChange w:id="0">
          <w:tblGrid>
            <w:gridCol w:w="1290"/>
            <w:gridCol w:w="825"/>
            <w:gridCol w:w="1830"/>
            <w:gridCol w:w="615"/>
            <w:gridCol w:w="2025"/>
            <w:gridCol w:w="2175"/>
            <w:gridCol w:w="2580"/>
            <w:gridCol w:w="2265"/>
            <w:gridCol w:w="2265"/>
          </w:tblGrid>
        </w:tblGridChange>
      </w:tblGrid>
      <w:tr>
        <w:trPr>
          <w:cantSplit w:val="1"/>
          <w:trHeight w:val="445.26855468749994" w:hRule="atLeast"/>
          <w:tblHeader w:val="0"/>
        </w:trPr>
        <w:tc>
          <w:tcPr>
            <w:tcBorders>
              <w:top w:color="000000" w:space="0" w:sz="6" w:val="single"/>
              <w:left w:color="cccccc" w:space="0" w:sz="6" w:val="single"/>
              <w:bottom w:color="000000" w:space="0" w:sz="6" w:val="single"/>
              <w:right w:color="cccccc"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17">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Study ID</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18">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Study Design</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19">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MRI Used</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1A">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Coil Used</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1B">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Target Approach</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1C">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Final Baseline Population Size, No.</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1D">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Age, years (mean ± SD)</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1E">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Prostate Volume, mL (mean ± SD)</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1F">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Prebiopsy PSA levels ng/mL (mean ± SD)</w:t>
            </w:r>
            <w:r w:rsidDel="00000000" w:rsidR="00000000" w:rsidRPr="00000000">
              <w:rPr>
                <w:rtl w:val="0"/>
              </w:rPr>
            </w:r>
          </w:p>
        </w:tc>
      </w:tr>
      <w:tr>
        <w:trPr>
          <w:cantSplit w:val="1"/>
          <w:tblHeader w:val="0"/>
        </w:trPr>
        <w:tc>
          <w:tcPr>
            <w:tcBorders>
              <w:top w:color="000000"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0">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Wang X et al., 2022 [9]</w:t>
            </w:r>
          </w:p>
        </w:tc>
        <w:tc>
          <w:tcPr>
            <w:tcBorders>
              <w:top w:color="000000"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1">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RCT</w:t>
            </w:r>
          </w:p>
        </w:tc>
        <w:tc>
          <w:tcPr>
            <w:tcBorders>
              <w:top w:color="000000"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2">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Signa </w:t>
            </w:r>
            <w:r w:rsidDel="00000000" w:rsidR="00000000" w:rsidRPr="00000000">
              <w:rPr>
                <w:rFonts w:ascii="Times New Roman" w:cs="Times New Roman" w:eastAsia="Times New Roman" w:hAnsi="Times New Roman"/>
                <w:sz w:val="16"/>
                <w:szCs w:val="16"/>
                <w:rtl w:val="0"/>
              </w:rPr>
              <w:t xml:space="preserve">HDX</w:t>
            </w:r>
            <w:r w:rsidDel="00000000" w:rsidR="00000000" w:rsidRPr="00000000">
              <w:rPr>
                <w:rFonts w:ascii="Times New Roman" w:cs="Times New Roman" w:eastAsia="Times New Roman" w:hAnsi="Times New Roman"/>
                <w:sz w:val="16"/>
                <w:szCs w:val="16"/>
                <w:rtl w:val="0"/>
              </w:rPr>
              <w:t xml:space="preserve"> 3T</w:t>
            </w:r>
          </w:p>
        </w:tc>
        <w:tc>
          <w:tcPr>
            <w:tcBorders>
              <w:top w:color="000000"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3">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PAC</w:t>
            </w:r>
          </w:p>
        </w:tc>
        <w:tc>
          <w:tcPr>
            <w:tcBorders>
              <w:top w:color="000000"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4">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 Cognitive</w:t>
            </w:r>
          </w:p>
        </w:tc>
        <w:tc>
          <w:tcPr>
            <w:tcBorders>
              <w:top w:color="000000"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5">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267, MpMRI: 134, TRUS: 133</w:t>
            </w:r>
          </w:p>
        </w:tc>
        <w:tc>
          <w:tcPr>
            <w:tcBorders>
              <w:top w:color="000000"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6">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64.9 ± 6.6, TRUS: 64.2 ± 6.6</w:t>
            </w:r>
          </w:p>
        </w:tc>
        <w:tc>
          <w:tcPr>
            <w:tcBorders>
              <w:top w:color="000000"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7">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MpMRI: 45.5 ± 24.4, TRUS: 44.9 ± 27.9</w:t>
            </w:r>
          </w:p>
        </w:tc>
        <w:tc>
          <w:tcPr>
            <w:tcBorders>
              <w:top w:color="000000"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8">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9.5 ± 4.3, TRUS: 9.6 ± 4.2</w:t>
            </w:r>
          </w:p>
        </w:tc>
      </w:tr>
      <w:tr>
        <w:trPr>
          <w:cantSplit w:val="1"/>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9">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Zhang F  et al., 2022 [10]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A">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Non-RCT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B">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Philips Achieva 3T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C">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D">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MpMRI/TRUS Fusion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E">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738, MpMRI: 738, TRUS: 738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F">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70.04 ± 7.96, MpMRI: 70.04 ± 7.96, TRUS: 70.04 ± 7.96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0">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58.06 ± 35.26, MpMRI: 58.06 ± 35.26, TRUS: 58.06 ± 35.26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1">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32.26 ± 128.02, MpMRI: 32.26 ± 128.02, TRUS: 32.26 ± 128.02</w:t>
            </w:r>
          </w:p>
        </w:tc>
      </w:tr>
      <w:tr>
        <w:trPr>
          <w:cantSplit w:val="1"/>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2">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Alkema NG et al., 2022 [11]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3">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Non-RCT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4">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Unknown 3T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5">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6">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MpMRI/TRUS Fusion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7">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353, MpMRI: 263, TRUS: 353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8">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66.9 ± 6.39,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NA, TRUS: 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9">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83.25 ± 35.88*, MpMRI: NA, TRUS: 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A">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8.35 ± 3.26*, MpMRI: NA, TRUS: NA</w:t>
            </w:r>
          </w:p>
        </w:tc>
      </w:tr>
      <w:tr>
        <w:trPr>
          <w:cantSplit w:val="1"/>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B">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Wagensveld IM et al., 2022 [12]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C">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Non-RCT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D">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E">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F">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 In-bore, MpMRI/TRUS Fusion, MpMRI Cognitive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0">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1965, MpMRI: 1015, TRUS: 950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1">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MpMRI: 66.75 ± 1.39*, TRUS: 68.50 ± 1.24*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2">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MpMRI: 47.2 ± 11.4, TRUS: 46.8 ± 12.3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3">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7.28 ± 0.66*, TRUS: 6.88 ± 0.67*</w:t>
            </w:r>
          </w:p>
        </w:tc>
      </w:tr>
      <w:tr>
        <w:trPr>
          <w:cantSplit w:val="1"/>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4">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Thangarasu</w:t>
            </w:r>
            <w:r w:rsidDel="00000000" w:rsidR="00000000" w:rsidRPr="00000000">
              <w:rPr>
                <w:rFonts w:ascii="Times New Roman" w:cs="Times New Roman" w:eastAsia="Times New Roman" w:hAnsi="Times New Roman"/>
                <w:sz w:val="16"/>
                <w:szCs w:val="16"/>
                <w:rtl w:val="0"/>
              </w:rPr>
              <w:t xml:space="preserve"> M et al., 2021 [13]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5">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Non-RCT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6">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Philips Ingenia 3T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Non-ERC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8">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 Cognitive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9">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75, MpMRI: 75, TRUS: 75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A">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66.31 ± 7.9, MpMRI: 66.31 ± 7.9, TRUS: 66.31 ± 7.9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B">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45.67 ± 18.9, MpMRI: 45.67 ± 18.9, TRUS: 45.67 ± 18.9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C">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11.43 ± 3.23*, MpMRI: 11.43 ± 3.23*, TRUS: 11.43 ± 3.23*</w:t>
            </w:r>
          </w:p>
        </w:tc>
      </w:tr>
      <w:tr>
        <w:trPr>
          <w:cantSplit w:val="1"/>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D">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Klotz L et al., 2021 [14]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E">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RCT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F">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Unknown 3T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0">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1">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MpMRI/TRUS fusion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2">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453, MpMRI: 227, TRUS: 226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3">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MpMRI: 65.3 ± 7.6, TRUS: 64.5 ± 8.8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4">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60 ± 45, TRUS: 48 ± 25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5">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7.5 ± 3.6, TRUS: 6.8 ± 3.0</w:t>
            </w:r>
          </w:p>
        </w:tc>
      </w:tr>
      <w:tr>
        <w:trPr>
          <w:cantSplit w:val="1"/>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6">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Bae JH et al., 2020 [15]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7">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Non-RCT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8">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Skyra, </w:t>
            </w:r>
            <w:r w:rsidDel="00000000" w:rsidR="00000000" w:rsidRPr="00000000">
              <w:rPr>
                <w:rFonts w:ascii="Times New Roman" w:cs="Times New Roman" w:eastAsia="Times New Roman" w:hAnsi="Times New Roman"/>
                <w:sz w:val="16"/>
                <w:szCs w:val="16"/>
                <w:rtl w:val="0"/>
              </w:rPr>
              <w:t xml:space="preserve">Achieva</w:t>
            </w:r>
            <w:r w:rsidDel="00000000" w:rsidR="00000000" w:rsidRPr="00000000">
              <w:rPr>
                <w:rFonts w:ascii="Times New Roman" w:cs="Times New Roman" w:eastAsia="Times New Roman" w:hAnsi="Times New Roman"/>
                <w:sz w:val="16"/>
                <w:szCs w:val="16"/>
                <w:rtl w:val="0"/>
              </w:rPr>
              <w:t xml:space="preserve"> and Ingenia CX (Philips), 750W Architect (GE)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9">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A">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MpMRI/TRUS Fusion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B">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1442, MpMRI: 632, TRUS: 810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C">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NA, TRUS: 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D">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NA, TRUS: 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E">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NA, TRUS: NA</w:t>
            </w:r>
          </w:p>
        </w:tc>
      </w:tr>
      <w:tr>
        <w:trPr>
          <w:cantSplit w:val="1"/>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F">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Yalcin S et al., 2019 [16]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Non-RCT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1">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Siemens 3T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2">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3">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MpMRI/TRUS Fusion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4">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344, MpMRI: 206, TRUS: 138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5">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66.45 ± 8.71,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NA, TRUS: 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6">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NA, TRUS: 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7">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MpMRI: 7.13 (median), TRUS: 8.01 (median)</w:t>
            </w:r>
          </w:p>
        </w:tc>
      </w:tr>
      <w:tr>
        <w:trPr>
          <w:cantSplit w:val="1"/>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8">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van der Leest M et al., 2019 [17]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9">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Non-RCT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A">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Siemens Magnetom Skyra 3T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B">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C">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 In-bore;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D">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626, MpMRI: 317, TRUS: 626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E">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64.25 ± 1.45*, MpMRI: NA, TRUS: 64.25 ± 1.45*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F">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57.00 ± 5.83*, MpMRI: NA, TRUS: 57.00 ± 5.83*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0">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6.40 ± 0.58*, MpMRI: NA, TRUS: 6.40 ± 0.58*</w:t>
            </w:r>
          </w:p>
        </w:tc>
      </w:tr>
      <w:tr>
        <w:trPr>
          <w:cantSplit w:val="1"/>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1">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Kaushal R et al., 2019 [18]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2">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Non-RCT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3">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Philips Ingenia 3T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4">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5">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MpMRI/TRUS Fusion;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6">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114, MpMRI: 114, TRUS: 114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7">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NA, TRUS: 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8">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NA, TRUS: 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9">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NA, TRUS: NA</w:t>
            </w:r>
          </w:p>
        </w:tc>
      </w:tr>
      <w:tr>
        <w:trPr>
          <w:cantSplit w:val="1"/>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A">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Wang L et al., 2019 [19]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B">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Non-RCT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C">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GE Signa HDxt 3T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D">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E">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 Cognitive;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F">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126, MpMRI: 79, TRUS: 47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0">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68.7 ± 9.2, MpMRI: 69.7 ± 9.3, TRUS: 66.9 ± 8.7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1">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60.5 ± 50.0, MpMRI: 53.6 ± 38.2, TRUS: 72.1 ± 64.1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2">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13.82 ± 3.62*, MpMRI: 16.58 ± 5.57*, TRUS: 11.13 ± 2.50*</w:t>
            </w:r>
          </w:p>
        </w:tc>
      </w:tr>
      <w:tr>
        <w:trPr>
          <w:cantSplit w:val="1"/>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3">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Choi YH et al., 2019 [20]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4">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Non-RCT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5">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Philips Intera Achieva TX 3T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6">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7">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MpMRI/TRUS Fusion, MpMRI Cognitive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8">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2009, MpMRI: 223, TRUS: 1786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9">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65.72 ± 0.41*, TRUS: 64.00 ± 0.11*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A">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34.48 ± 0.70*, TRUS: 41.23 ± 0.28*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B">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5.09 ± 0.17*, TRUS: 5.21 ± 0.04*</w:t>
            </w:r>
          </w:p>
        </w:tc>
      </w:tr>
      <w:tr>
        <w:trPr>
          <w:cantSplit w:val="1"/>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C">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Alberts AR et al., 2018 [21]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D">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Non-RCT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E">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Discovery MR750 3T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F">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0">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MpMRI/TRUS fusion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1">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153, MpMRI: 74, TRUS: 79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2">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NA, TRUS: 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3">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NA, TRUS: 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4">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NA, TRUS: NA</w:t>
            </w:r>
          </w:p>
        </w:tc>
      </w:tr>
      <w:tr>
        <w:trPr>
          <w:cantSplit w:val="1"/>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5">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Kasivisvanathan</w:t>
            </w:r>
            <w:r w:rsidDel="00000000" w:rsidR="00000000" w:rsidRPr="00000000">
              <w:rPr>
                <w:rFonts w:ascii="Times New Roman" w:cs="Times New Roman" w:eastAsia="Times New Roman" w:hAnsi="Times New Roman"/>
                <w:sz w:val="16"/>
                <w:szCs w:val="16"/>
                <w:rtl w:val="0"/>
              </w:rPr>
              <w:t xml:space="preserve"> V et al., 2018 [22]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6">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RCT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7">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Unknown 1.5T; Unknown 3T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8">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PAC AND ERC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9">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MpMRI/TRUS fusion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A">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500, MpMRI: 252, TRUS: 248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B">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64.4 ± 7.8, MpMRI: 64.4 ± 7.5, TRUS: 64.5 ± 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C">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NA, TRUS: NA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D">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Overall: NA, </w:t>
            </w:r>
            <w:r w:rsidDel="00000000" w:rsidR="00000000" w:rsidRPr="00000000">
              <w:rPr>
                <w:rFonts w:ascii="Times New Roman" w:cs="Times New Roman" w:eastAsia="Times New Roman" w:hAnsi="Times New Roman"/>
                <w:sz w:val="16"/>
                <w:szCs w:val="16"/>
                <w:rtl w:val="0"/>
              </w:rPr>
              <w:t xml:space="preserve">MpMRI</w:t>
            </w:r>
            <w:r w:rsidDel="00000000" w:rsidR="00000000" w:rsidRPr="00000000">
              <w:rPr>
                <w:rFonts w:ascii="Times New Roman" w:cs="Times New Roman" w:eastAsia="Times New Roman" w:hAnsi="Times New Roman"/>
                <w:sz w:val="16"/>
                <w:szCs w:val="16"/>
                <w:rtl w:val="0"/>
              </w:rPr>
              <w:t xml:space="preserve">: 7.00 ± 0.74*, TRUS: 6.70 ± 0.62*</w:t>
            </w:r>
          </w:p>
        </w:tc>
      </w:tr>
    </w:tbl>
    <w:p w:rsidR="00000000" w:rsidDel="00000000" w:rsidP="00000000" w:rsidRDefault="00000000" w:rsidRPr="00000000" w14:paraId="0000009E">
      <w:pPr>
        <w:spacing w:after="0"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9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ERC = endorectal coil; Mp = multiparametric; MRI = magnetic resonance imaging; NA = not available; PAC = phased array coil; PSA = prostate-specific antigen; RCT = randomized controlled trial;  T = tesla;  TRUS = transrectal ultrasound.</w:t>
      </w:r>
    </w:p>
    <w:p w:rsidR="00000000" w:rsidDel="00000000" w:rsidP="00000000" w:rsidRDefault="00000000" w:rsidRPr="00000000" w14:paraId="000000A0">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16"/>
          <w:szCs w:val="16"/>
          <w:rtl w:val="0"/>
        </w:rPr>
        <w:t xml:space="preserve">* Mean and standard deviation (SD) estimated from median and interquartile range.</w:t>
      </w: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sz w:val="24"/>
          <w:szCs w:val="24"/>
        </w:rPr>
        <w:sectPr>
          <w:type w:val="nextPage"/>
          <w:pgSz w:h="11906" w:w="16838" w:orient="landscape"/>
          <w:pgMar w:bottom="720" w:top="720" w:left="720" w:right="720" w:header="708" w:footer="708"/>
        </w:sectPr>
      </w:pPr>
      <w:r w:rsidDel="00000000" w:rsidR="00000000" w:rsidRPr="00000000">
        <w:rPr>
          <w:rtl w:val="0"/>
        </w:rPr>
      </w:r>
    </w:p>
    <w:p w:rsidR="00000000" w:rsidDel="00000000" w:rsidP="00000000" w:rsidRDefault="00000000" w:rsidRPr="00000000" w14:paraId="000000AC">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FIGURES</w:t>
      </w:r>
    </w:p>
    <w:p w:rsidR="00000000" w:rsidDel="00000000" w:rsidP="00000000" w:rsidRDefault="00000000" w:rsidRPr="00000000" w14:paraId="000000A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2.</w:t>
      </w:r>
      <w:r w:rsidDel="00000000" w:rsidR="00000000" w:rsidRPr="00000000">
        <w:rPr>
          <w:rFonts w:ascii="Times New Roman" w:cs="Times New Roman" w:eastAsia="Times New Roman" w:hAnsi="Times New Roman"/>
          <w:sz w:val="24"/>
          <w:szCs w:val="24"/>
          <w:rtl w:val="0"/>
        </w:rPr>
        <w:t xml:space="preserve"> Diagram of Risk of Bias assessment in non-randomised trials using the ROBINS-I tool.</w:t>
      </w:r>
    </w:p>
    <w:p w:rsidR="00000000" w:rsidDel="00000000" w:rsidP="00000000" w:rsidRDefault="00000000" w:rsidRPr="00000000" w14:paraId="000000A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096000" cy="6953250"/>
            <wp:effectExtent b="0" l="0" r="0" t="0"/>
            <wp:docPr id="5"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96000" cy="6953250"/>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after="0" w:line="360" w:lineRule="auto"/>
        <w:jc w:val="both"/>
        <w:rPr/>
      </w:pPr>
      <w:r w:rsidDel="00000000" w:rsidR="00000000" w:rsidRPr="00000000">
        <w:rPr>
          <w:rFonts w:ascii="Times New Roman" w:cs="Times New Roman" w:eastAsia="Times New Roman" w:hAnsi="Times New Roman"/>
          <w:b w:val="1"/>
          <w:sz w:val="24"/>
          <w:szCs w:val="24"/>
          <w:rtl w:val="0"/>
        </w:rPr>
        <w:t xml:space="preserve">Online Resource 3.</w:t>
      </w:r>
      <w:r w:rsidDel="00000000" w:rsidR="00000000" w:rsidRPr="00000000">
        <w:rPr>
          <w:rFonts w:ascii="Times New Roman" w:cs="Times New Roman" w:eastAsia="Times New Roman" w:hAnsi="Times New Roman"/>
          <w:sz w:val="24"/>
          <w:szCs w:val="24"/>
          <w:rtl w:val="0"/>
        </w:rPr>
        <w:t xml:space="preserve"> Subgroup analysis of randomized controlled trials (RCTs) only, assessing the outcomes of overall prostate cancer (PCa) detection rates (1.1), clinically significant prostate cancer (csPCa) detection rates (1.2), and clinically insignificant prostate cancer detection rates (1.3).</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jc w:val="center"/>
        <w:rPr/>
      </w:pPr>
      <w:r w:rsidDel="00000000" w:rsidR="00000000" w:rsidRPr="00000000">
        <w:rPr/>
        <w:drawing>
          <wp:inline distB="114300" distT="114300" distL="114300" distR="114300">
            <wp:extent cx="4619625" cy="3924300"/>
            <wp:effectExtent b="0" l="0" r="0" t="0"/>
            <wp:docPr id="7"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4619625" cy="3924300"/>
                    </a:xfrm>
                    <a:prstGeom prst="rect"/>
                    <a:ln/>
                  </pic:spPr>
                </pic:pic>
              </a:graphicData>
            </a:graphic>
          </wp:inline>
        </w:drawing>
      </w: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4.</w:t>
      </w:r>
      <w:r w:rsidDel="00000000" w:rsidR="00000000" w:rsidRPr="00000000">
        <w:rPr>
          <w:rFonts w:ascii="Times New Roman" w:cs="Times New Roman" w:eastAsia="Times New Roman" w:hAnsi="Times New Roman"/>
          <w:sz w:val="24"/>
          <w:szCs w:val="24"/>
          <w:rtl w:val="0"/>
        </w:rPr>
        <w:t xml:space="preserve"> Subgroup analysis of studies with no contamination of systematic biopsies in the intervention group, assessing the outcomes of overall prostate cancer (PCa) detection rates (1.1), clinically significant prostate cancer (csPCa) detection rates (1.2), and clinically insignificant prostate cancer detection rates (1.3).</w:t>
      </w:r>
    </w:p>
    <w:p w:rsidR="00000000" w:rsidDel="00000000" w:rsidP="00000000" w:rsidRDefault="00000000" w:rsidRPr="00000000" w14:paraId="000000C9">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638675" cy="5038725"/>
            <wp:effectExtent b="0" l="0" r="0" t="0"/>
            <wp:docPr id="4"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4638675" cy="5038725"/>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tabs>
          <w:tab w:val="right" w:leader="dot" w:pos="15388"/>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5.</w:t>
      </w:r>
      <w:r w:rsidDel="00000000" w:rsidR="00000000" w:rsidRPr="00000000">
        <w:rPr>
          <w:rFonts w:ascii="Times New Roman" w:cs="Times New Roman" w:eastAsia="Times New Roman" w:hAnsi="Times New Roman"/>
          <w:sz w:val="24"/>
          <w:szCs w:val="24"/>
          <w:rtl w:val="0"/>
        </w:rPr>
        <w:t xml:space="preserve"> Subgroup analysis of overall prostate cancer (PCa) detection rates stratified by biopsy technique subtypes, including (1.1) mpMRI-guided biopsy (mpMRI-GB) subtypes (cognitive, fusion, and in-bore) and (1.2) US-guided biopsy (US-GB) approaches (transrectal and transperineal).</w:t>
      </w:r>
    </w:p>
    <w:p w:rsidR="00000000" w:rsidDel="00000000" w:rsidP="00000000" w:rsidRDefault="00000000" w:rsidRPr="00000000" w14:paraId="000000D6">
      <w:pPr>
        <w:tabs>
          <w:tab w:val="right" w:leader="dot" w:pos="15388"/>
        </w:tabs>
        <w:spacing w:after="0" w:line="360" w:lineRule="auto"/>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860587</wp:posOffset>
            </wp:positionH>
            <wp:positionV relativeFrom="paragraph">
              <wp:posOffset>161925</wp:posOffset>
            </wp:positionV>
            <wp:extent cx="4920157" cy="7986713"/>
            <wp:effectExtent b="0" l="0" r="0" t="0"/>
            <wp:wrapTopAndBottom distB="114300" distT="114300"/>
            <wp:docPr id="3"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920157" cy="7986713"/>
                    </a:xfrm>
                    <a:prstGeom prst="rect"/>
                    <a:ln/>
                  </pic:spPr>
                </pic:pic>
              </a:graphicData>
            </a:graphic>
          </wp:anchor>
        </w:drawing>
      </w:r>
    </w:p>
    <w:p w:rsidR="00000000" w:rsidDel="00000000" w:rsidP="00000000" w:rsidRDefault="00000000" w:rsidRPr="00000000" w14:paraId="000000D7">
      <w:pPr>
        <w:tabs>
          <w:tab w:val="right" w:leader="dot" w:pos="15388"/>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6.</w:t>
      </w:r>
      <w:r w:rsidDel="00000000" w:rsidR="00000000" w:rsidRPr="00000000">
        <w:rPr>
          <w:rFonts w:ascii="Times New Roman" w:cs="Times New Roman" w:eastAsia="Times New Roman" w:hAnsi="Times New Roman"/>
          <w:sz w:val="24"/>
          <w:szCs w:val="24"/>
          <w:rtl w:val="0"/>
        </w:rPr>
        <w:t xml:space="preserve"> Subgroup analysis of clinically significant prostate cancer (csPCa) detection rates stratified by biopsy technique subtypes, including (1.3) mpMRI-guided biopsy (mpMRI-GB) subtypes (cognitive, fusion, and in-bore) and (1.4) US-guided biopsy (US-GB) approaches (transrectal and transperineal).</w:t>
      </w:r>
      <w:r w:rsidDel="00000000" w:rsidR="00000000" w:rsidRPr="00000000">
        <w:drawing>
          <wp:anchor allowOverlap="1" behindDoc="0" distB="114300" distT="114300" distL="114300" distR="114300" hidden="0" layoutInCell="1" locked="0" relativeHeight="0" simplePos="0">
            <wp:simplePos x="0" y="0"/>
            <wp:positionH relativeFrom="column">
              <wp:posOffset>612937</wp:posOffset>
            </wp:positionH>
            <wp:positionV relativeFrom="paragraph">
              <wp:posOffset>1242561</wp:posOffset>
            </wp:positionV>
            <wp:extent cx="5421710" cy="8262938"/>
            <wp:effectExtent b="0" l="0" r="0" t="0"/>
            <wp:wrapTopAndBottom distB="114300" distT="114300"/>
            <wp:docPr id="6"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421710" cy="8262938"/>
                    </a:xfrm>
                    <a:prstGeom prst="rect"/>
                    <a:ln/>
                  </pic:spPr>
                </pic:pic>
              </a:graphicData>
            </a:graphic>
          </wp:anchor>
        </w:drawing>
      </w:r>
    </w:p>
    <w:p w:rsidR="00000000" w:rsidDel="00000000" w:rsidP="00000000" w:rsidRDefault="00000000" w:rsidRPr="00000000" w14:paraId="000000D8">
      <w:pPr>
        <w:tabs>
          <w:tab w:val="right" w:leader="dot" w:pos="15388"/>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tabs>
          <w:tab w:val="right" w:leader="dot" w:pos="15388"/>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7. </w:t>
      </w:r>
      <w:r w:rsidDel="00000000" w:rsidR="00000000" w:rsidRPr="00000000">
        <w:rPr>
          <w:rFonts w:ascii="Times New Roman" w:cs="Times New Roman" w:eastAsia="Times New Roman" w:hAnsi="Times New Roman"/>
          <w:sz w:val="24"/>
          <w:szCs w:val="24"/>
          <w:rtl w:val="0"/>
        </w:rPr>
        <w:t xml:space="preserve">Subgroup analysis of clinically insignificant prostate cancer detection rates stratified by biopsy technique subtypes, including (1.5) mpMRI-guided biopsy (mpMRI-GB) subtypes (cognitive, fusion, and in-bore) and (1.6) US-guided biopsy (US-GB) approaches (transrectal and transperineal).</w:t>
      </w:r>
      <w:r w:rsidDel="00000000" w:rsidR="00000000" w:rsidRPr="00000000">
        <w:drawing>
          <wp:anchor allowOverlap="1" behindDoc="0" distB="114300" distT="114300" distL="114300" distR="114300" hidden="0" layoutInCell="1" locked="0" relativeHeight="0" simplePos="0">
            <wp:simplePos x="0" y="0"/>
            <wp:positionH relativeFrom="column">
              <wp:posOffset>595313</wp:posOffset>
            </wp:positionH>
            <wp:positionV relativeFrom="paragraph">
              <wp:posOffset>932069</wp:posOffset>
            </wp:positionV>
            <wp:extent cx="5451854" cy="8310563"/>
            <wp:effectExtent b="0" l="0" r="0" t="0"/>
            <wp:wrapTopAndBottom distB="114300" distT="114300"/>
            <wp:docPr id="1"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5451854" cy="8310563"/>
                    </a:xfrm>
                    <a:prstGeom prst="rect"/>
                    <a:ln/>
                  </pic:spPr>
                </pic:pic>
              </a:graphicData>
            </a:graphic>
          </wp:anchor>
        </w:drawing>
      </w:r>
    </w:p>
    <w:p w:rsidR="00000000" w:rsidDel="00000000" w:rsidP="00000000" w:rsidRDefault="00000000" w:rsidRPr="00000000" w14:paraId="000000DA">
      <w:pPr>
        <w:tabs>
          <w:tab w:val="right" w:leader="dot" w:pos="15388"/>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tabs>
          <w:tab w:val="right" w:leader="dot" w:pos="15388"/>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Online Resource 8.</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Subgroup analysis of missed diagnostic rates stratified by biopsy technique subtypes, including (1.7) mpMRI-guided biopsy (mpMRI-GB) subtypes (cognitive, fusion, and in-bore) and (1.8) US-guided biopsy (US-GB) approaches (transrectal and transperineal).</w:t>
      </w:r>
      <w:r w:rsidDel="00000000" w:rsidR="00000000" w:rsidRPr="00000000">
        <w:drawing>
          <wp:anchor allowOverlap="1" behindDoc="0" distB="114300" distT="114300" distL="114300" distR="114300" hidden="0" layoutInCell="1" locked="0" relativeHeight="0" simplePos="0">
            <wp:simplePos x="0" y="0"/>
            <wp:positionH relativeFrom="column">
              <wp:posOffset>174787</wp:posOffset>
            </wp:positionH>
            <wp:positionV relativeFrom="paragraph">
              <wp:posOffset>885825</wp:posOffset>
            </wp:positionV>
            <wp:extent cx="6297755" cy="7542870"/>
            <wp:effectExtent b="0" l="0" r="0" t="0"/>
            <wp:wrapTopAndBottom distB="114300" distT="114300"/>
            <wp:docPr id="2"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6297755" cy="7542870"/>
                    </a:xfrm>
                    <a:prstGeom prst="rect"/>
                    <a:ln/>
                  </pic:spPr>
                </pic:pic>
              </a:graphicData>
            </a:graphic>
          </wp:anchor>
        </w:drawing>
      </w:r>
    </w:p>
    <w:p w:rsidR="00000000" w:rsidDel="00000000" w:rsidP="00000000" w:rsidRDefault="00000000" w:rsidRPr="00000000" w14:paraId="000000DC">
      <w:pPr>
        <w:tabs>
          <w:tab w:val="right" w:leader="dot" w:pos="15388"/>
        </w:tabs>
        <w:spacing w:after="0" w:line="360" w:lineRule="auto"/>
        <w:jc w:val="both"/>
        <w:rPr>
          <w:rFonts w:ascii="Times New Roman" w:cs="Times New Roman" w:eastAsia="Times New Roman" w:hAnsi="Times New Roman"/>
          <w:sz w:val="24"/>
          <w:szCs w:val="24"/>
        </w:rPr>
      </w:pPr>
      <w:r w:rsidDel="00000000" w:rsidR="00000000" w:rsidRPr="00000000">
        <w:rPr>
          <w:rtl w:val="0"/>
        </w:rPr>
      </w:r>
    </w:p>
    <w:sectPr>
      <w:type w:val="nextPage"/>
      <w:pgSz w:h="16838" w:w="11906" w:orient="portrait"/>
      <w:pgMar w:bottom="720" w:top="720" w:left="720" w:right="72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b w:val="1"/>
    </w:rPr>
  </w:style>
  <w:style w:type="paragraph" w:styleId="Heading2">
    <w:name w:val="heading 2"/>
    <w:basedOn w:val="Normal"/>
    <w:next w:val="Normal"/>
    <w:pPr>
      <w:keepNext w:val="1"/>
      <w:keepLines w:val="1"/>
      <w:spacing w:after="0" w:before="40" w:lineRule="auto"/>
    </w:pPr>
    <w:rPr>
      <w:u w:val="single"/>
    </w:rPr>
  </w:style>
  <w:style w:type="paragraph" w:styleId="Heading3">
    <w:name w:val="heading 3"/>
    <w:basedOn w:val="Normal"/>
    <w:next w:val="Normal"/>
    <w:pPr>
      <w:keepNext w:val="1"/>
      <w:keepLines w:val="1"/>
      <w:spacing w:after="0" w:before="40" w:lineRule="auto"/>
    </w:pPr>
    <w:rPr>
      <w:b w:val="1"/>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1.png"/><Relationship Id="rId13" Type="http://schemas.openxmlformats.org/officeDocument/2006/relationships/image" Target="media/image3.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image" Target="media/image2.jp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