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388" w:rsidRPr="000D766E" w:rsidRDefault="00F32388" w:rsidP="00F32388">
      <w:pPr>
        <w:rPr>
          <w:rFonts w:ascii="Arial" w:eastAsiaTheme="minorHAnsi" w:hAnsi="Arial" w:cs="Arial"/>
          <w:b/>
          <w:bCs/>
          <w:sz w:val="20"/>
          <w:szCs w:val="20"/>
          <w:lang w:val="en-US"/>
        </w:rPr>
      </w:pPr>
      <w:r>
        <w:rPr>
          <w:rFonts w:ascii="Arial" w:eastAsiaTheme="minorHAnsi" w:hAnsi="Arial" w:cs="Arial"/>
          <w:b/>
          <w:bCs/>
          <w:sz w:val="20"/>
          <w:szCs w:val="20"/>
          <w:lang w:val="en-US"/>
        </w:rPr>
        <w:t xml:space="preserve">S3     Additional details of the </w:t>
      </w:r>
      <w:r w:rsidRPr="000D766E">
        <w:rPr>
          <w:rFonts w:ascii="Arial" w:eastAsiaTheme="minorHAnsi" w:hAnsi="Arial" w:cs="Arial"/>
          <w:b/>
          <w:bCs/>
          <w:sz w:val="20"/>
          <w:szCs w:val="20"/>
          <w:lang w:val="en-US"/>
        </w:rPr>
        <w:t>QSPR methods</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KOWWIN:</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Available in </w:t>
      </w:r>
      <w:proofErr w:type="spellStart"/>
      <w:r w:rsidRPr="00141010">
        <w:rPr>
          <w:rFonts w:ascii="Arial" w:eastAsiaTheme="minorHAnsi" w:hAnsi="Arial" w:cs="Arial"/>
          <w:bCs/>
          <w:sz w:val="20"/>
          <w:szCs w:val="20"/>
          <w:lang w:val="en-US"/>
        </w:rPr>
        <w:t>EPISuite</w:t>
      </w:r>
      <w:proofErr w:type="spellEnd"/>
      <w:r w:rsidRPr="00141010">
        <w:rPr>
          <w:rFonts w:ascii="Arial" w:eastAsiaTheme="minorHAnsi" w:hAnsi="Arial" w:cs="Arial"/>
          <w:bCs/>
          <w:sz w:val="20"/>
          <w:szCs w:val="20"/>
          <w:lang w:val="en-US"/>
        </w:rPr>
        <w:t xml:space="preserve"> (US EPA). Incorporates the </w:t>
      </w:r>
      <w:proofErr w:type="spellStart"/>
      <w:r w:rsidRPr="00141010">
        <w:rPr>
          <w:rFonts w:ascii="Arial" w:eastAsiaTheme="minorHAnsi" w:hAnsi="Arial" w:cs="Arial"/>
          <w:bCs/>
          <w:sz w:val="20"/>
          <w:szCs w:val="20"/>
          <w:lang w:val="en-US"/>
        </w:rPr>
        <w:t>Meylan</w:t>
      </w:r>
      <w:proofErr w:type="spellEnd"/>
      <w:r w:rsidRPr="00141010">
        <w:rPr>
          <w:rFonts w:ascii="Arial" w:eastAsiaTheme="minorHAnsi" w:hAnsi="Arial" w:cs="Arial"/>
          <w:bCs/>
          <w:sz w:val="20"/>
          <w:szCs w:val="20"/>
          <w:lang w:val="en-US"/>
        </w:rPr>
        <w:t xml:space="preserve"> and Howard (1995) </w:t>
      </w:r>
      <w:r>
        <w:rPr>
          <w:rFonts w:ascii="Arial" w:eastAsiaTheme="minorHAnsi" w:hAnsi="Arial" w:cs="Arial"/>
          <w:bCs/>
          <w:sz w:val="20"/>
          <w:szCs w:val="20"/>
          <w:lang w:val="en-US"/>
        </w:rPr>
        <w:t xml:space="preserve">[9] </w:t>
      </w:r>
      <w:r w:rsidRPr="00141010">
        <w:rPr>
          <w:rFonts w:ascii="Arial" w:eastAsiaTheme="minorHAnsi" w:hAnsi="Arial" w:cs="Arial"/>
          <w:bCs/>
          <w:sz w:val="20"/>
          <w:szCs w:val="20"/>
          <w:lang w:val="en-US"/>
        </w:rPr>
        <w:t xml:space="preserve">reductionist approach. Available via </w:t>
      </w:r>
      <w:proofErr w:type="spellStart"/>
      <w:r w:rsidRPr="00141010">
        <w:rPr>
          <w:rFonts w:ascii="Arial" w:eastAsiaTheme="minorHAnsi" w:hAnsi="Arial" w:cs="Arial"/>
          <w:bCs/>
          <w:sz w:val="20"/>
          <w:szCs w:val="20"/>
          <w:lang w:val="en-US"/>
        </w:rPr>
        <w:t>EPISuite</w:t>
      </w:r>
      <w:proofErr w:type="spellEnd"/>
      <w:r w:rsidRPr="00141010">
        <w:rPr>
          <w:rFonts w:ascii="Arial" w:eastAsiaTheme="minorHAnsi" w:hAnsi="Arial" w:cs="Arial"/>
          <w:bCs/>
          <w:sz w:val="20"/>
          <w:szCs w:val="20"/>
          <w:lang w:val="en-US"/>
        </w:rPr>
        <w:t xml:space="preserve"> program which is a free download from EPA website (http://www.epa.gov/oppt/exposure/pubs/episuitedl.htm)</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CLOGP:</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Incorporates the fragment approach of </w:t>
      </w:r>
      <w:proofErr w:type="spellStart"/>
      <w:r w:rsidRPr="00141010">
        <w:rPr>
          <w:rFonts w:ascii="Arial" w:eastAsiaTheme="minorHAnsi" w:hAnsi="Arial" w:cs="Arial"/>
          <w:bCs/>
          <w:sz w:val="20"/>
          <w:szCs w:val="20"/>
          <w:lang w:val="en-US"/>
        </w:rPr>
        <w:t>Hansch</w:t>
      </w:r>
      <w:proofErr w:type="spellEnd"/>
      <w:r w:rsidRPr="00141010">
        <w:rPr>
          <w:rFonts w:ascii="Arial" w:eastAsiaTheme="minorHAnsi" w:hAnsi="Arial" w:cs="Arial"/>
          <w:bCs/>
          <w:sz w:val="20"/>
          <w:szCs w:val="20"/>
          <w:lang w:val="en-US"/>
        </w:rPr>
        <w:t xml:space="preserve"> and Leo (1979)</w:t>
      </w:r>
      <w:r>
        <w:rPr>
          <w:rFonts w:ascii="Arial" w:eastAsiaTheme="minorHAnsi" w:hAnsi="Arial" w:cs="Arial"/>
          <w:bCs/>
          <w:sz w:val="20"/>
          <w:szCs w:val="20"/>
          <w:lang w:val="en-US"/>
        </w:rPr>
        <w:t xml:space="preserve"> [10]</w:t>
      </w:r>
      <w:r w:rsidRPr="00141010">
        <w:rPr>
          <w:rFonts w:ascii="Arial" w:eastAsiaTheme="minorHAnsi" w:hAnsi="Arial" w:cs="Arial"/>
          <w:bCs/>
          <w:sz w:val="20"/>
          <w:szCs w:val="20"/>
          <w:lang w:val="en-US"/>
        </w:rPr>
        <w:t xml:space="preserve">. This is widely accepted as ‘Gold Standard’ for log </w:t>
      </w:r>
      <w:proofErr w:type="spellStart"/>
      <w:r w:rsidRPr="00141010">
        <w:rPr>
          <w:rFonts w:ascii="Arial" w:eastAsiaTheme="minorHAnsi" w:hAnsi="Arial" w:cs="Arial"/>
          <w:bCs/>
          <w:sz w:val="20"/>
          <w:szCs w:val="20"/>
          <w:lang w:val="en-US"/>
        </w:rPr>
        <w:t>K</w:t>
      </w:r>
      <w:r w:rsidRPr="009B1D66">
        <w:rPr>
          <w:rFonts w:ascii="Arial" w:eastAsiaTheme="minorHAnsi" w:hAnsi="Arial" w:cs="Arial"/>
          <w:bCs/>
          <w:sz w:val="20"/>
          <w:szCs w:val="20"/>
          <w:vertAlign w:val="subscript"/>
          <w:lang w:val="en-US"/>
        </w:rPr>
        <w:t>ow</w:t>
      </w:r>
      <w:proofErr w:type="spellEnd"/>
      <w:r w:rsidRPr="00141010">
        <w:rPr>
          <w:rFonts w:ascii="Arial" w:eastAsiaTheme="minorHAnsi" w:hAnsi="Arial" w:cs="Arial"/>
          <w:bCs/>
          <w:sz w:val="20"/>
          <w:szCs w:val="20"/>
          <w:lang w:val="en-US"/>
        </w:rPr>
        <w:t xml:space="preserve"> predictions though more suited to very small molecules in the range of 1−20 atoms. Available commercially via BIOLOOM for Windows (v1.6) or </w:t>
      </w:r>
      <w:proofErr w:type="spellStart"/>
      <w:r w:rsidRPr="00141010">
        <w:rPr>
          <w:rFonts w:ascii="Arial" w:eastAsiaTheme="minorHAnsi" w:hAnsi="Arial" w:cs="Arial"/>
          <w:bCs/>
          <w:sz w:val="20"/>
          <w:szCs w:val="20"/>
          <w:lang w:val="en-US"/>
        </w:rPr>
        <w:t>Chemdraw</w:t>
      </w:r>
      <w:proofErr w:type="spellEnd"/>
      <w:r w:rsidRPr="00141010">
        <w:rPr>
          <w:rFonts w:ascii="Arial" w:eastAsiaTheme="minorHAnsi" w:hAnsi="Arial" w:cs="Arial"/>
          <w:bCs/>
          <w:sz w:val="20"/>
          <w:szCs w:val="20"/>
          <w:lang w:val="en-US"/>
        </w:rPr>
        <w:t xml:space="preserve">. Both require licence purchase.  </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Molinspiration:</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Developed by Bratislava University. </w:t>
      </w:r>
      <w:proofErr w:type="gramStart"/>
      <w:r w:rsidRPr="00141010">
        <w:rPr>
          <w:rFonts w:ascii="Arial" w:eastAsiaTheme="minorHAnsi" w:hAnsi="Arial" w:cs="Arial"/>
          <w:bCs/>
          <w:sz w:val="20"/>
          <w:szCs w:val="20"/>
          <w:lang w:val="en-US"/>
        </w:rPr>
        <w:t>Similar to CLOGP.</w:t>
      </w:r>
      <w:proofErr w:type="gramEnd"/>
      <w:r w:rsidRPr="00141010">
        <w:rPr>
          <w:rFonts w:ascii="Arial" w:eastAsiaTheme="minorHAnsi" w:hAnsi="Arial" w:cs="Arial"/>
          <w:bCs/>
          <w:sz w:val="20"/>
          <w:szCs w:val="20"/>
          <w:lang w:val="en-US"/>
        </w:rPr>
        <w:t xml:space="preserve"> Available via website (http://www.molinspiration.com/cgi-bin/properties). Limited to 1000 free calculations per month.</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H&amp;L:</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Calculated using </w:t>
      </w:r>
      <w:proofErr w:type="spellStart"/>
      <w:r w:rsidRPr="00141010">
        <w:rPr>
          <w:rFonts w:ascii="Arial" w:eastAsiaTheme="minorHAnsi" w:hAnsi="Arial" w:cs="Arial"/>
          <w:bCs/>
          <w:sz w:val="20"/>
          <w:szCs w:val="20"/>
          <w:lang w:val="en-US"/>
        </w:rPr>
        <w:t>Hansch</w:t>
      </w:r>
      <w:proofErr w:type="spellEnd"/>
      <w:r w:rsidRPr="00141010">
        <w:rPr>
          <w:rFonts w:ascii="Arial" w:eastAsiaTheme="minorHAnsi" w:hAnsi="Arial" w:cs="Arial"/>
          <w:bCs/>
          <w:sz w:val="20"/>
          <w:szCs w:val="20"/>
          <w:lang w:val="en-US"/>
        </w:rPr>
        <w:t xml:space="preserve"> and Leo (1979) </w:t>
      </w:r>
      <w:r>
        <w:rPr>
          <w:rFonts w:ascii="Arial" w:eastAsiaTheme="minorHAnsi" w:hAnsi="Arial" w:cs="Arial"/>
          <w:bCs/>
          <w:sz w:val="20"/>
          <w:szCs w:val="20"/>
          <w:lang w:val="en-US"/>
        </w:rPr>
        <w:t xml:space="preserve">[10] </w:t>
      </w:r>
      <w:r w:rsidRPr="00141010">
        <w:rPr>
          <w:rFonts w:ascii="Arial" w:eastAsiaTheme="minorHAnsi" w:hAnsi="Arial" w:cs="Arial"/>
          <w:bCs/>
          <w:sz w:val="20"/>
          <w:szCs w:val="20"/>
          <w:lang w:val="en-US"/>
        </w:rPr>
        <w:t xml:space="preserve">approach incorporating surfactant specific modifications as detailed in: Roberts et al. (2007) </w:t>
      </w:r>
      <w:r>
        <w:rPr>
          <w:rFonts w:ascii="Arial" w:eastAsiaTheme="minorHAnsi" w:hAnsi="Arial" w:cs="Arial"/>
          <w:bCs/>
          <w:sz w:val="20"/>
          <w:szCs w:val="20"/>
          <w:lang w:val="en-US"/>
        </w:rPr>
        <w:t xml:space="preserve">[11] </w:t>
      </w:r>
      <w:r w:rsidRPr="00141010">
        <w:rPr>
          <w:rFonts w:ascii="Arial" w:eastAsiaTheme="minorHAnsi" w:hAnsi="Arial" w:cs="Arial"/>
          <w:bCs/>
          <w:sz w:val="20"/>
          <w:szCs w:val="20"/>
          <w:lang w:val="en-US"/>
        </w:rPr>
        <w:t>and Roberts and Marshall (1995) (non-ionic)</w:t>
      </w:r>
      <w:r>
        <w:rPr>
          <w:rFonts w:ascii="Arial" w:eastAsiaTheme="minorHAnsi" w:hAnsi="Arial" w:cs="Arial"/>
          <w:bCs/>
          <w:sz w:val="20"/>
          <w:szCs w:val="20"/>
          <w:lang w:val="en-US"/>
        </w:rPr>
        <w:t xml:space="preserve"> [12]</w:t>
      </w:r>
      <w:r w:rsidRPr="00141010">
        <w:rPr>
          <w:rFonts w:ascii="Arial" w:eastAsiaTheme="minorHAnsi" w:hAnsi="Arial" w:cs="Arial"/>
          <w:bCs/>
          <w:sz w:val="20"/>
          <w:szCs w:val="20"/>
          <w:lang w:val="en-US"/>
        </w:rPr>
        <w:t>; Roberts (1991) (anionic)</w:t>
      </w:r>
      <w:r>
        <w:rPr>
          <w:rFonts w:ascii="Arial" w:eastAsiaTheme="minorHAnsi" w:hAnsi="Arial" w:cs="Arial"/>
          <w:bCs/>
          <w:sz w:val="20"/>
          <w:szCs w:val="20"/>
          <w:lang w:val="en-US"/>
        </w:rPr>
        <w:t xml:space="preserve"> [13]</w:t>
      </w:r>
      <w:r w:rsidRPr="00141010">
        <w:rPr>
          <w:rFonts w:ascii="Arial" w:eastAsiaTheme="minorHAnsi" w:hAnsi="Arial" w:cs="Arial"/>
          <w:bCs/>
          <w:sz w:val="20"/>
          <w:szCs w:val="20"/>
          <w:lang w:val="en-US"/>
        </w:rPr>
        <w:t>; Roberts (2000)</w:t>
      </w:r>
      <w:r>
        <w:rPr>
          <w:rFonts w:ascii="Arial" w:eastAsiaTheme="minorHAnsi" w:hAnsi="Arial" w:cs="Arial"/>
          <w:bCs/>
          <w:sz w:val="20"/>
          <w:szCs w:val="20"/>
          <w:lang w:val="en-US"/>
        </w:rPr>
        <w:t xml:space="preserve"> [14]</w:t>
      </w:r>
      <w:r w:rsidRPr="00141010">
        <w:rPr>
          <w:rFonts w:ascii="Arial" w:eastAsiaTheme="minorHAnsi" w:hAnsi="Arial" w:cs="Arial"/>
          <w:bCs/>
          <w:sz w:val="20"/>
          <w:szCs w:val="20"/>
          <w:lang w:val="en-US"/>
        </w:rPr>
        <w:t xml:space="preserve">, Roberts and Costello (2003) </w:t>
      </w:r>
      <w:r>
        <w:rPr>
          <w:rFonts w:ascii="Arial" w:eastAsiaTheme="minorHAnsi" w:hAnsi="Arial" w:cs="Arial"/>
          <w:bCs/>
          <w:sz w:val="20"/>
          <w:szCs w:val="20"/>
          <w:lang w:val="en-US"/>
        </w:rPr>
        <w:t xml:space="preserve">[15] </w:t>
      </w:r>
      <w:r w:rsidRPr="00141010">
        <w:rPr>
          <w:rFonts w:ascii="Arial" w:eastAsiaTheme="minorHAnsi" w:hAnsi="Arial" w:cs="Arial"/>
          <w:bCs/>
          <w:sz w:val="20"/>
          <w:szCs w:val="20"/>
          <w:lang w:val="en-US"/>
        </w:rPr>
        <w:t>and Roberts et al. (2013) (cationic)</w:t>
      </w:r>
      <w:r>
        <w:rPr>
          <w:rFonts w:ascii="Arial" w:eastAsiaTheme="minorHAnsi" w:hAnsi="Arial" w:cs="Arial"/>
          <w:bCs/>
          <w:sz w:val="20"/>
          <w:szCs w:val="20"/>
          <w:lang w:val="en-US"/>
        </w:rPr>
        <w:t xml:space="preserve"> [16]</w:t>
      </w:r>
      <w:r w:rsidRPr="00141010">
        <w:rPr>
          <w:rFonts w:ascii="Arial" w:eastAsiaTheme="minorHAnsi" w:hAnsi="Arial" w:cs="Arial"/>
          <w:bCs/>
          <w:sz w:val="20"/>
          <w:szCs w:val="20"/>
          <w:lang w:val="en-US"/>
        </w:rPr>
        <w:t>; Short et al. (2010) (amphoteric)</w:t>
      </w:r>
      <w:r>
        <w:rPr>
          <w:rFonts w:ascii="Arial" w:eastAsiaTheme="minorHAnsi" w:hAnsi="Arial" w:cs="Arial"/>
          <w:bCs/>
          <w:sz w:val="20"/>
          <w:szCs w:val="20"/>
          <w:lang w:val="en-US"/>
        </w:rPr>
        <w:t xml:space="preserve"> [17]</w:t>
      </w:r>
      <w:r w:rsidRPr="00141010">
        <w:rPr>
          <w:rFonts w:ascii="Arial" w:eastAsiaTheme="minorHAnsi" w:hAnsi="Arial" w:cs="Arial"/>
          <w:bCs/>
          <w:sz w:val="20"/>
          <w:szCs w:val="20"/>
          <w:lang w:val="en-US"/>
        </w:rPr>
        <w:t>.</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ALOGP:</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Results are almost comparable to CLOGP in the range of 21−45 atoms, though better accuracy is shown for molecules with more than 45 atoms. Freely available via website (http://www.vcclab.org/lab/alogps/)</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Pr>
          <w:rFonts w:ascii="Arial" w:eastAsiaTheme="minorHAnsi" w:hAnsi="Arial" w:cs="Arial"/>
          <w:bCs/>
          <w:sz w:val="20"/>
          <w:szCs w:val="20"/>
          <w:lang w:val="en-US"/>
        </w:rPr>
        <w:t xml:space="preserve"> </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ACD Labs:</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Calculated values are based on an experimental data set of over 18,000 reliable log </w:t>
      </w:r>
      <w:proofErr w:type="spellStart"/>
      <w:r w:rsidRPr="00141010">
        <w:rPr>
          <w:rFonts w:ascii="Arial" w:eastAsiaTheme="minorHAnsi" w:hAnsi="Arial" w:cs="Arial"/>
          <w:bCs/>
          <w:sz w:val="20"/>
          <w:szCs w:val="20"/>
          <w:lang w:val="en-US"/>
        </w:rPr>
        <w:t>K</w:t>
      </w:r>
      <w:r w:rsidRPr="009B1D66">
        <w:rPr>
          <w:rFonts w:ascii="Arial" w:eastAsiaTheme="minorHAnsi" w:hAnsi="Arial" w:cs="Arial"/>
          <w:bCs/>
          <w:sz w:val="20"/>
          <w:szCs w:val="20"/>
          <w:vertAlign w:val="subscript"/>
          <w:lang w:val="en-US"/>
        </w:rPr>
        <w:t>ow</w:t>
      </w:r>
      <w:proofErr w:type="spellEnd"/>
      <w:r w:rsidRPr="00141010">
        <w:rPr>
          <w:rFonts w:ascii="Arial" w:eastAsiaTheme="minorHAnsi" w:hAnsi="Arial" w:cs="Arial"/>
          <w:bCs/>
          <w:sz w:val="20"/>
          <w:szCs w:val="20"/>
          <w:lang w:val="en-US"/>
        </w:rPr>
        <w:t xml:space="preserve"> measurements (http://www.acdlabs.com/products/percepta/predictors/logp/). Requires licen</w:t>
      </w:r>
      <w:r>
        <w:rPr>
          <w:rFonts w:ascii="Arial" w:eastAsiaTheme="minorHAnsi" w:hAnsi="Arial" w:cs="Arial"/>
          <w:bCs/>
          <w:sz w:val="20"/>
          <w:szCs w:val="20"/>
          <w:lang w:val="en-US"/>
        </w:rPr>
        <w:t>s</w:t>
      </w:r>
      <w:r w:rsidRPr="00141010">
        <w:rPr>
          <w:rFonts w:ascii="Arial" w:eastAsiaTheme="minorHAnsi" w:hAnsi="Arial" w:cs="Arial"/>
          <w:bCs/>
          <w:sz w:val="20"/>
          <w:szCs w:val="20"/>
          <w:lang w:val="en-US"/>
        </w:rPr>
        <w:t>e purchase.</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Crippen Fragmentation:</w:t>
      </w:r>
      <w:r w:rsidRPr="00141010">
        <w:rPr>
          <w:rFonts w:ascii="Arial" w:eastAsiaTheme="minorHAnsi" w:hAnsi="Arial" w:cs="Arial"/>
          <w:bCs/>
          <w:sz w:val="20"/>
          <w:szCs w:val="20"/>
          <w:lang w:val="en-US"/>
        </w:rPr>
        <w:tab/>
        <w:t>Atomic fragment approach based upon Ghose and Crippen (1987)</w:t>
      </w:r>
      <w:r>
        <w:rPr>
          <w:rFonts w:ascii="Arial" w:eastAsiaTheme="minorHAnsi" w:hAnsi="Arial" w:cs="Arial"/>
          <w:bCs/>
          <w:sz w:val="20"/>
          <w:szCs w:val="20"/>
          <w:lang w:val="en-US"/>
        </w:rPr>
        <w:t xml:space="preserve"> [18]</w:t>
      </w:r>
      <w:r w:rsidRPr="00141010">
        <w:rPr>
          <w:rFonts w:ascii="Arial" w:eastAsiaTheme="minorHAnsi" w:hAnsi="Arial" w:cs="Arial"/>
          <w:bCs/>
          <w:sz w:val="20"/>
          <w:szCs w:val="20"/>
          <w:lang w:val="en-US"/>
        </w:rPr>
        <w:t xml:space="preserve">. Applicable to structures up to 200 heavy atoms. Incorporated into </w:t>
      </w:r>
      <w:proofErr w:type="spellStart"/>
      <w:r w:rsidRPr="00141010">
        <w:rPr>
          <w:rFonts w:ascii="Arial" w:eastAsiaTheme="minorHAnsi" w:hAnsi="Arial" w:cs="Arial"/>
          <w:bCs/>
          <w:sz w:val="20"/>
          <w:szCs w:val="20"/>
          <w:lang w:val="en-US"/>
        </w:rPr>
        <w:t>Chemdraw</w:t>
      </w:r>
      <w:proofErr w:type="spellEnd"/>
      <w:r w:rsidRPr="00141010">
        <w:rPr>
          <w:rFonts w:ascii="Arial" w:eastAsiaTheme="minorHAnsi" w:hAnsi="Arial" w:cs="Arial"/>
          <w:bCs/>
          <w:sz w:val="20"/>
          <w:szCs w:val="20"/>
          <w:lang w:val="en-US"/>
        </w:rPr>
        <w:t>. Requires licen</w:t>
      </w:r>
      <w:r>
        <w:rPr>
          <w:rFonts w:ascii="Arial" w:eastAsiaTheme="minorHAnsi" w:hAnsi="Arial" w:cs="Arial"/>
          <w:bCs/>
          <w:sz w:val="20"/>
          <w:szCs w:val="20"/>
          <w:lang w:val="en-US"/>
        </w:rPr>
        <w:t>s</w:t>
      </w:r>
      <w:r w:rsidRPr="00141010">
        <w:rPr>
          <w:rFonts w:ascii="Arial" w:eastAsiaTheme="minorHAnsi" w:hAnsi="Arial" w:cs="Arial"/>
          <w:bCs/>
          <w:sz w:val="20"/>
          <w:szCs w:val="20"/>
          <w:lang w:val="en-US"/>
        </w:rPr>
        <w:t>e purchase.</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roofErr w:type="spellStart"/>
      <w:r w:rsidRPr="00141010">
        <w:rPr>
          <w:rFonts w:ascii="Arial" w:eastAsiaTheme="minorHAnsi" w:hAnsi="Arial" w:cs="Arial"/>
          <w:bCs/>
          <w:sz w:val="20"/>
          <w:szCs w:val="20"/>
          <w:lang w:val="en-US"/>
        </w:rPr>
        <w:lastRenderedPageBreak/>
        <w:t>Viswanadhan’s</w:t>
      </w:r>
      <w:proofErr w:type="spellEnd"/>
      <w:r w:rsidRPr="00141010">
        <w:rPr>
          <w:rFonts w:ascii="Arial" w:eastAsiaTheme="minorHAnsi" w:hAnsi="Arial" w:cs="Arial"/>
          <w:bCs/>
          <w:sz w:val="20"/>
          <w:szCs w:val="20"/>
          <w:lang w:val="en-US"/>
        </w:rPr>
        <w:t xml:space="preserve"> Fragmentation:</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Atomic fragment approach based upon </w:t>
      </w:r>
      <w:proofErr w:type="spellStart"/>
      <w:r w:rsidRPr="00141010">
        <w:rPr>
          <w:rFonts w:ascii="Arial" w:eastAsiaTheme="minorHAnsi" w:hAnsi="Arial" w:cs="Arial"/>
          <w:bCs/>
          <w:sz w:val="20"/>
          <w:szCs w:val="20"/>
          <w:lang w:val="en-US"/>
        </w:rPr>
        <w:t>Viswanadhan</w:t>
      </w:r>
      <w:proofErr w:type="spellEnd"/>
      <w:r w:rsidRPr="00141010">
        <w:rPr>
          <w:rFonts w:ascii="Arial" w:eastAsiaTheme="minorHAnsi" w:hAnsi="Arial" w:cs="Arial"/>
          <w:bCs/>
          <w:sz w:val="20"/>
          <w:szCs w:val="20"/>
          <w:lang w:val="en-US"/>
        </w:rPr>
        <w:t xml:space="preserve"> et al. (1989)</w:t>
      </w:r>
      <w:r>
        <w:rPr>
          <w:rFonts w:ascii="Arial" w:eastAsiaTheme="minorHAnsi" w:hAnsi="Arial" w:cs="Arial"/>
          <w:bCs/>
          <w:sz w:val="20"/>
          <w:szCs w:val="20"/>
          <w:lang w:val="en-US"/>
        </w:rPr>
        <w:t xml:space="preserve"> [19]</w:t>
      </w:r>
      <w:r w:rsidRPr="00141010">
        <w:rPr>
          <w:rFonts w:ascii="Arial" w:eastAsiaTheme="minorHAnsi" w:hAnsi="Arial" w:cs="Arial"/>
          <w:bCs/>
          <w:sz w:val="20"/>
          <w:szCs w:val="20"/>
          <w:lang w:val="en-US"/>
        </w:rPr>
        <w:t xml:space="preserve">. Applicable to structures up to 200 heavy atoms. Incorporated into </w:t>
      </w:r>
      <w:proofErr w:type="spellStart"/>
      <w:r w:rsidRPr="00141010">
        <w:rPr>
          <w:rFonts w:ascii="Arial" w:eastAsiaTheme="minorHAnsi" w:hAnsi="Arial" w:cs="Arial"/>
          <w:bCs/>
          <w:sz w:val="20"/>
          <w:szCs w:val="20"/>
          <w:lang w:val="en-US"/>
        </w:rPr>
        <w:t>Chemdraw</w:t>
      </w:r>
      <w:proofErr w:type="spellEnd"/>
      <w:r w:rsidRPr="00141010">
        <w:rPr>
          <w:rFonts w:ascii="Arial" w:eastAsiaTheme="minorHAnsi" w:hAnsi="Arial" w:cs="Arial"/>
          <w:bCs/>
          <w:sz w:val="20"/>
          <w:szCs w:val="20"/>
          <w:lang w:val="en-US"/>
        </w:rPr>
        <w:t>. Requires licen</w:t>
      </w:r>
      <w:r>
        <w:rPr>
          <w:rFonts w:ascii="Arial" w:eastAsiaTheme="minorHAnsi" w:hAnsi="Arial" w:cs="Arial"/>
          <w:bCs/>
          <w:sz w:val="20"/>
          <w:szCs w:val="20"/>
          <w:lang w:val="en-US"/>
        </w:rPr>
        <w:t>s</w:t>
      </w:r>
      <w:r w:rsidRPr="00141010">
        <w:rPr>
          <w:rFonts w:ascii="Arial" w:eastAsiaTheme="minorHAnsi" w:hAnsi="Arial" w:cs="Arial"/>
          <w:bCs/>
          <w:sz w:val="20"/>
          <w:szCs w:val="20"/>
          <w:lang w:val="en-US"/>
        </w:rPr>
        <w:t>e purchase.</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proofErr w:type="spellStart"/>
      <w:r w:rsidRPr="00141010">
        <w:rPr>
          <w:rFonts w:ascii="Arial" w:eastAsiaTheme="minorHAnsi" w:hAnsi="Arial" w:cs="Arial"/>
          <w:bCs/>
          <w:sz w:val="20"/>
          <w:szCs w:val="20"/>
          <w:lang w:val="en-US"/>
        </w:rPr>
        <w:t>Broto</w:t>
      </w:r>
      <w:proofErr w:type="spellEnd"/>
      <w:r w:rsidRPr="00141010">
        <w:rPr>
          <w:rFonts w:ascii="Arial" w:eastAsiaTheme="minorHAnsi" w:hAnsi="Arial" w:cs="Arial"/>
          <w:bCs/>
          <w:sz w:val="20"/>
          <w:szCs w:val="20"/>
          <w:lang w:val="en-US"/>
        </w:rPr>
        <w:t>:</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Atomic fragment approach based upon </w:t>
      </w:r>
      <w:proofErr w:type="spellStart"/>
      <w:r w:rsidRPr="00141010">
        <w:rPr>
          <w:rFonts w:ascii="Arial" w:eastAsiaTheme="minorHAnsi" w:hAnsi="Arial" w:cs="Arial"/>
          <w:bCs/>
          <w:sz w:val="20"/>
          <w:szCs w:val="20"/>
          <w:lang w:val="en-US"/>
        </w:rPr>
        <w:t>Broto</w:t>
      </w:r>
      <w:proofErr w:type="spellEnd"/>
      <w:r w:rsidRPr="00141010">
        <w:rPr>
          <w:rFonts w:ascii="Arial" w:eastAsiaTheme="minorHAnsi" w:hAnsi="Arial" w:cs="Arial"/>
          <w:bCs/>
          <w:sz w:val="20"/>
          <w:szCs w:val="20"/>
          <w:lang w:val="en-US"/>
        </w:rPr>
        <w:t xml:space="preserve"> et al. (1984)</w:t>
      </w:r>
      <w:r>
        <w:rPr>
          <w:rFonts w:ascii="Arial" w:eastAsiaTheme="minorHAnsi" w:hAnsi="Arial" w:cs="Arial"/>
          <w:bCs/>
          <w:sz w:val="20"/>
          <w:szCs w:val="20"/>
          <w:lang w:val="en-US"/>
        </w:rPr>
        <w:t xml:space="preserve"> [20]</w:t>
      </w:r>
      <w:r w:rsidRPr="00141010">
        <w:rPr>
          <w:rFonts w:ascii="Arial" w:eastAsiaTheme="minorHAnsi" w:hAnsi="Arial" w:cs="Arial"/>
          <w:bCs/>
          <w:sz w:val="20"/>
          <w:szCs w:val="20"/>
          <w:lang w:val="en-US"/>
        </w:rPr>
        <w:t xml:space="preserve">. Applicable to structures up to 200 heavy atoms. Incorporated into </w:t>
      </w:r>
      <w:proofErr w:type="spellStart"/>
      <w:r w:rsidRPr="00141010">
        <w:rPr>
          <w:rFonts w:ascii="Arial" w:eastAsiaTheme="minorHAnsi" w:hAnsi="Arial" w:cs="Arial"/>
          <w:bCs/>
          <w:sz w:val="20"/>
          <w:szCs w:val="20"/>
          <w:lang w:val="en-US"/>
        </w:rPr>
        <w:t>Chemdraw</w:t>
      </w:r>
      <w:proofErr w:type="spellEnd"/>
      <w:r w:rsidRPr="00141010">
        <w:rPr>
          <w:rFonts w:ascii="Arial" w:eastAsiaTheme="minorHAnsi" w:hAnsi="Arial" w:cs="Arial"/>
          <w:bCs/>
          <w:sz w:val="20"/>
          <w:szCs w:val="20"/>
          <w:lang w:val="en-US"/>
        </w:rPr>
        <w:t>. Requires licen</w:t>
      </w:r>
      <w:r>
        <w:rPr>
          <w:rFonts w:ascii="Arial" w:eastAsiaTheme="minorHAnsi" w:hAnsi="Arial" w:cs="Arial"/>
          <w:bCs/>
          <w:sz w:val="20"/>
          <w:szCs w:val="20"/>
          <w:lang w:val="en-US"/>
        </w:rPr>
        <w:t>s</w:t>
      </w:r>
      <w:r w:rsidRPr="00141010">
        <w:rPr>
          <w:rFonts w:ascii="Arial" w:eastAsiaTheme="minorHAnsi" w:hAnsi="Arial" w:cs="Arial"/>
          <w:bCs/>
          <w:sz w:val="20"/>
          <w:szCs w:val="20"/>
          <w:lang w:val="en-US"/>
        </w:rPr>
        <w:t xml:space="preserve">e purchase. </w:t>
      </w:r>
    </w:p>
    <w:p w:rsidR="00F32388" w:rsidRPr="00141010"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ab/>
      </w:r>
    </w:p>
    <w:p w:rsidR="00F32388" w:rsidRDefault="00F32388" w:rsidP="00F32388">
      <w:pPr>
        <w:autoSpaceDE w:val="0"/>
        <w:autoSpaceDN w:val="0"/>
        <w:adjustRightInd w:val="0"/>
        <w:spacing w:after="0"/>
        <w:rPr>
          <w:rFonts w:ascii="Arial" w:eastAsiaTheme="minorHAnsi" w:hAnsi="Arial" w:cs="Arial"/>
          <w:bCs/>
          <w:sz w:val="20"/>
          <w:szCs w:val="20"/>
          <w:lang w:val="en-US"/>
        </w:rPr>
      </w:pPr>
      <w:r w:rsidRPr="00141010">
        <w:rPr>
          <w:rFonts w:ascii="Arial" w:eastAsiaTheme="minorHAnsi" w:hAnsi="Arial" w:cs="Arial"/>
          <w:bCs/>
          <w:sz w:val="20"/>
          <w:szCs w:val="20"/>
          <w:lang w:val="en-US"/>
        </w:rPr>
        <w:t>SPARC:</w:t>
      </w:r>
      <w:r>
        <w:rPr>
          <w:rFonts w:ascii="Arial" w:eastAsiaTheme="minorHAnsi" w:hAnsi="Arial" w:cs="Arial"/>
          <w:bCs/>
          <w:sz w:val="20"/>
          <w:szCs w:val="20"/>
          <w:lang w:val="en-US"/>
        </w:rPr>
        <w:t xml:space="preserve"> </w:t>
      </w:r>
      <w:r w:rsidRPr="00141010">
        <w:rPr>
          <w:rFonts w:ascii="Arial" w:eastAsiaTheme="minorHAnsi" w:hAnsi="Arial" w:cs="Arial"/>
          <w:bCs/>
          <w:sz w:val="20"/>
          <w:szCs w:val="20"/>
          <w:lang w:val="en-US"/>
        </w:rPr>
        <w:t xml:space="preserve">Uses computational algorithms based on fundamental chemical structure theory to estimate a wide variety of reactivity parameters strictly from molecular structure. Developed by </w:t>
      </w:r>
      <w:proofErr w:type="spellStart"/>
      <w:proofErr w:type="gramStart"/>
      <w:r w:rsidRPr="00F775AB">
        <w:rPr>
          <w:rFonts w:ascii="Arial" w:eastAsiaTheme="minorHAnsi" w:hAnsi="Arial" w:cs="Arial"/>
          <w:bCs/>
          <w:sz w:val="20"/>
          <w:szCs w:val="20"/>
          <w:lang w:val="en-US"/>
        </w:rPr>
        <w:t>ARChem</w:t>
      </w:r>
      <w:proofErr w:type="spellEnd"/>
      <w:r>
        <w:rPr>
          <w:rFonts w:ascii="Arial" w:eastAsiaTheme="minorHAnsi" w:hAnsi="Arial" w:cs="Arial"/>
          <w:bCs/>
          <w:sz w:val="20"/>
          <w:szCs w:val="20"/>
          <w:lang w:val="en-US"/>
        </w:rPr>
        <w:t xml:space="preserve"> </w:t>
      </w:r>
      <w:r w:rsidRPr="00F775AB">
        <w:rPr>
          <w:rFonts w:ascii="Arial" w:eastAsiaTheme="minorHAnsi" w:hAnsi="Arial" w:cs="Arial"/>
          <w:bCs/>
          <w:sz w:val="20"/>
          <w:szCs w:val="20"/>
          <w:lang w:val="en-US"/>
        </w:rPr>
        <w:t xml:space="preserve"> Commercial</w:t>
      </w:r>
      <w:proofErr w:type="gramEnd"/>
      <w:r w:rsidRPr="00F775AB">
        <w:rPr>
          <w:rFonts w:ascii="Arial" w:eastAsiaTheme="minorHAnsi" w:hAnsi="Arial" w:cs="Arial"/>
          <w:bCs/>
          <w:sz w:val="20"/>
          <w:szCs w:val="20"/>
          <w:lang w:val="en-US"/>
        </w:rPr>
        <w:t xml:space="preserve"> web</w:t>
      </w:r>
      <w:r>
        <w:rPr>
          <w:rFonts w:ascii="Arial" w:eastAsiaTheme="minorHAnsi" w:hAnsi="Arial" w:cs="Arial"/>
          <w:bCs/>
          <w:sz w:val="20"/>
          <w:szCs w:val="20"/>
          <w:lang w:val="en-US"/>
        </w:rPr>
        <w:t>-</w:t>
      </w:r>
      <w:r w:rsidRPr="00F775AB">
        <w:rPr>
          <w:rFonts w:ascii="Arial" w:eastAsiaTheme="minorHAnsi" w:hAnsi="Arial" w:cs="Arial"/>
          <w:bCs/>
          <w:sz w:val="20"/>
          <w:szCs w:val="20"/>
          <w:lang w:val="en-US"/>
        </w:rPr>
        <w:t>based tool, requires licen</w:t>
      </w:r>
      <w:r>
        <w:rPr>
          <w:rFonts w:ascii="Arial" w:eastAsiaTheme="minorHAnsi" w:hAnsi="Arial" w:cs="Arial"/>
          <w:bCs/>
          <w:sz w:val="20"/>
          <w:szCs w:val="20"/>
          <w:lang w:val="en-US"/>
        </w:rPr>
        <w:t>s</w:t>
      </w:r>
      <w:r w:rsidRPr="00F775AB">
        <w:rPr>
          <w:rFonts w:ascii="Arial" w:eastAsiaTheme="minorHAnsi" w:hAnsi="Arial" w:cs="Arial"/>
          <w:bCs/>
          <w:sz w:val="20"/>
          <w:szCs w:val="20"/>
          <w:lang w:val="en-US"/>
        </w:rPr>
        <w:t>e purchase.</w:t>
      </w:r>
    </w:p>
    <w:p w:rsidR="00F32388" w:rsidRPr="00192409" w:rsidRDefault="00F32388" w:rsidP="00F32388">
      <w:pPr>
        <w:autoSpaceDE w:val="0"/>
        <w:autoSpaceDN w:val="0"/>
        <w:adjustRightInd w:val="0"/>
        <w:spacing w:after="0"/>
        <w:rPr>
          <w:rFonts w:ascii="Arial" w:hAnsi="Arial" w:cs="Arial"/>
          <w:sz w:val="20"/>
          <w:szCs w:val="20"/>
        </w:rPr>
      </w:pPr>
      <w:r>
        <w:rPr>
          <w:rFonts w:ascii="Arial" w:eastAsiaTheme="minorHAnsi" w:hAnsi="Arial" w:cs="Arial"/>
          <w:bCs/>
          <w:sz w:val="20"/>
          <w:szCs w:val="20"/>
          <w:lang w:val="en-US"/>
        </w:rPr>
        <w:br/>
      </w:r>
      <w:r w:rsidRPr="00192409">
        <w:rPr>
          <w:rFonts w:ascii="Arial" w:hAnsi="Arial" w:cs="Arial"/>
          <w:sz w:val="20"/>
          <w:szCs w:val="20"/>
        </w:rPr>
        <w:t xml:space="preserve">One of the key limitations to KOWWIN is its inability to handle charged </w:t>
      </w:r>
      <w:r>
        <w:rPr>
          <w:rFonts w:ascii="Arial" w:hAnsi="Arial" w:cs="Arial"/>
          <w:sz w:val="20"/>
          <w:szCs w:val="20"/>
        </w:rPr>
        <w:t>compound</w:t>
      </w:r>
      <w:r w:rsidRPr="00192409">
        <w:rPr>
          <w:rFonts w:ascii="Arial" w:hAnsi="Arial" w:cs="Arial"/>
          <w:sz w:val="20"/>
          <w:szCs w:val="20"/>
        </w:rPr>
        <w:t xml:space="preserve">s. Whilst it will accept a SMILES </w:t>
      </w:r>
      <w:r>
        <w:rPr>
          <w:rFonts w:ascii="Arial" w:hAnsi="Arial" w:cs="Arial"/>
          <w:sz w:val="20"/>
          <w:szCs w:val="20"/>
        </w:rPr>
        <w:t>notation</w:t>
      </w:r>
      <w:r w:rsidRPr="00192409">
        <w:rPr>
          <w:rFonts w:ascii="Arial" w:hAnsi="Arial" w:cs="Arial"/>
          <w:sz w:val="20"/>
          <w:szCs w:val="20"/>
        </w:rPr>
        <w:t xml:space="preserve"> for a charged structure it will always 'correct' to give a neutral structure. For negatively charged (anionic) structures, where no counter ion has been included in the SMILES </w:t>
      </w:r>
      <w:r>
        <w:rPr>
          <w:rFonts w:ascii="Arial" w:hAnsi="Arial" w:cs="Arial"/>
          <w:sz w:val="20"/>
          <w:szCs w:val="20"/>
        </w:rPr>
        <w:t>notation</w:t>
      </w:r>
      <w:r w:rsidRPr="00192409">
        <w:rPr>
          <w:rFonts w:ascii="Arial" w:hAnsi="Arial" w:cs="Arial"/>
          <w:sz w:val="20"/>
          <w:szCs w:val="20"/>
        </w:rPr>
        <w:t xml:space="preserve">, an 'H' atom is automatically bonded to the negatively charged atom. Where a counter ion has been included, e.g. [Na+], this will be bound to the negatively charged atom instead. Similarly, for positively charged (cationic) structures, where no counter ion is included, an additional ‘H’ atom is added to the N+ making a </w:t>
      </w:r>
      <w:r>
        <w:rPr>
          <w:rFonts w:ascii="Arial" w:hAnsi="Arial" w:cs="Arial"/>
          <w:sz w:val="20"/>
          <w:szCs w:val="20"/>
        </w:rPr>
        <w:t>pentavalent</w:t>
      </w:r>
      <w:r w:rsidRPr="00192409">
        <w:rPr>
          <w:rFonts w:ascii="Arial" w:hAnsi="Arial" w:cs="Arial"/>
          <w:sz w:val="20"/>
          <w:szCs w:val="20"/>
        </w:rPr>
        <w:t xml:space="preserve"> N atom. Where a counter ion is included, e.g. [Cl-], this will be bonded to the N atom to make a </w:t>
      </w:r>
      <w:r>
        <w:rPr>
          <w:rFonts w:ascii="Arial" w:hAnsi="Arial" w:cs="Arial"/>
          <w:sz w:val="20"/>
          <w:szCs w:val="20"/>
        </w:rPr>
        <w:t>pentavalent</w:t>
      </w:r>
      <w:r w:rsidRPr="00192409">
        <w:rPr>
          <w:rFonts w:ascii="Arial" w:hAnsi="Arial" w:cs="Arial"/>
          <w:sz w:val="20"/>
          <w:szCs w:val="20"/>
        </w:rPr>
        <w:t xml:space="preserve"> N atom. Inclusion (or not) of the counter ions can lead to significant differences in the predicted log K</w:t>
      </w:r>
      <w:r w:rsidRPr="00192409">
        <w:rPr>
          <w:rFonts w:ascii="Arial" w:hAnsi="Arial" w:cs="Arial"/>
          <w:sz w:val="20"/>
          <w:szCs w:val="20"/>
          <w:vertAlign w:val="subscript"/>
        </w:rPr>
        <w:t>ow</w:t>
      </w:r>
      <w:r w:rsidRPr="00192409">
        <w:rPr>
          <w:rFonts w:ascii="Arial" w:hAnsi="Arial" w:cs="Arial"/>
          <w:sz w:val="20"/>
          <w:szCs w:val="20"/>
        </w:rPr>
        <w:t xml:space="preserve"> values generated by KOWWIN. Inclusion (or not) of the counter ion appears to make no difference in any of the other software used in this exercise. To further complicate matters the use of a [N+] or [N] in </w:t>
      </w:r>
      <w:r>
        <w:rPr>
          <w:rFonts w:ascii="Arial" w:hAnsi="Arial" w:cs="Arial"/>
          <w:sz w:val="20"/>
          <w:szCs w:val="20"/>
        </w:rPr>
        <w:t xml:space="preserve">SMILES notation for </w:t>
      </w:r>
      <w:r w:rsidRPr="00192409">
        <w:rPr>
          <w:rFonts w:ascii="Arial" w:hAnsi="Arial" w:cs="Arial"/>
          <w:sz w:val="20"/>
          <w:szCs w:val="20"/>
        </w:rPr>
        <w:t xml:space="preserve">quaternary nitrogen structures can lead to significantly different fragment values in both KOWWIN and CLOGP. </w:t>
      </w: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F32388" w:rsidRDefault="00F32388" w:rsidP="00F32388">
      <w:pPr>
        <w:autoSpaceDE w:val="0"/>
        <w:autoSpaceDN w:val="0"/>
        <w:adjustRightInd w:val="0"/>
        <w:spacing w:after="0"/>
        <w:rPr>
          <w:rFonts w:ascii="Arial" w:eastAsiaTheme="minorHAnsi" w:hAnsi="Arial" w:cs="Arial"/>
          <w:b/>
          <w:bCs/>
          <w:sz w:val="20"/>
          <w:szCs w:val="20"/>
          <w:lang w:val="en-US"/>
        </w:rPr>
      </w:pPr>
    </w:p>
    <w:p w:rsidR="007042A2" w:rsidRDefault="007042A2">
      <w:bookmarkStart w:id="0" w:name="_GoBack"/>
      <w:bookmarkEnd w:id="0"/>
    </w:p>
    <w:sectPr w:rsidR="007042A2" w:rsidSect="006379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32388"/>
    <w:rsid w:val="00302B26"/>
    <w:rsid w:val="00637924"/>
    <w:rsid w:val="007042A2"/>
    <w:rsid w:val="00F323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388"/>
    <w:pPr>
      <w:spacing w:line="48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Eadsforth</dc:creator>
  <cp:keywords/>
  <dc:description/>
  <cp:lastModifiedBy>0013359</cp:lastModifiedBy>
  <cp:revision>2</cp:revision>
  <dcterms:created xsi:type="dcterms:W3CDTF">2018-11-15T14:52:00Z</dcterms:created>
  <dcterms:modified xsi:type="dcterms:W3CDTF">2018-11-20T04:24:00Z</dcterms:modified>
</cp:coreProperties>
</file>