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041A" w:rsidRPr="00C215EB" w:rsidRDefault="00B9658F" w:rsidP="008E041A">
      <w:pPr>
        <w:widowControl w:val="0"/>
        <w:autoSpaceDE w:val="0"/>
        <w:autoSpaceDN w:val="0"/>
        <w:adjustRightInd w:val="0"/>
        <w:spacing w:after="120" w:line="480" w:lineRule="auto"/>
        <w:rPr>
          <w:rFonts w:ascii="Times New Roman" w:hAnsi="Times New Roman" w:cs="Times New Roman"/>
          <w:b/>
          <w:iCs/>
          <w:sz w:val="32"/>
          <w:lang w:val="en-US"/>
        </w:rPr>
      </w:pPr>
      <w:r>
        <w:rPr>
          <w:rFonts w:ascii="Times New Roman" w:hAnsi="Times New Roman" w:cs="Times New Roman"/>
          <w:b/>
          <w:iCs/>
          <w:sz w:val="32"/>
          <w:lang w:val="en-US"/>
        </w:rPr>
        <w:t>Additional</w:t>
      </w:r>
      <w:r w:rsidR="008E041A" w:rsidRPr="00C215EB">
        <w:rPr>
          <w:rFonts w:ascii="Times New Roman" w:hAnsi="Times New Roman" w:cs="Times New Roman"/>
          <w:b/>
          <w:iCs/>
          <w:sz w:val="32"/>
          <w:lang w:val="en-US"/>
        </w:rPr>
        <w:t xml:space="preserve"> materials</w:t>
      </w:r>
    </w:p>
    <w:p w:rsidR="008E041A" w:rsidRPr="00C215EB" w:rsidRDefault="008E041A" w:rsidP="008E041A">
      <w:pPr>
        <w:spacing w:after="120" w:line="480" w:lineRule="auto"/>
        <w:jc w:val="both"/>
        <w:rPr>
          <w:rFonts w:ascii="Times New Roman" w:hAnsi="Times New Roman" w:cs="Times New Roman"/>
          <w:iCs/>
          <w:sz w:val="24"/>
          <w:szCs w:val="24"/>
          <w:lang w:val="en-US"/>
        </w:rPr>
      </w:pPr>
      <w:bookmarkStart w:id="0" w:name="_Ref15982119"/>
      <w:r w:rsidRPr="00C215EB">
        <w:rPr>
          <w:rFonts w:ascii="Times New Roman" w:hAnsi="Times New Roman" w:cs="Times New Roman"/>
          <w:iCs/>
          <w:sz w:val="24"/>
          <w:szCs w:val="24"/>
          <w:lang w:val="en-US"/>
        </w:rPr>
        <w:t>Table S1. Overview of application(s) of test compounds, affected organ(s) and biological effects as described in literature</w:t>
      </w:r>
    </w:p>
    <w:tbl>
      <w:tblPr>
        <w:tblStyle w:val="EinfacheTabelle21"/>
        <w:tblW w:w="5000" w:type="pct"/>
        <w:jc w:val="center"/>
        <w:tblBorders>
          <w:top w:val="none" w:sz="0" w:space="0" w:color="auto"/>
          <w:bottom w:val="none" w:sz="0" w:space="0" w:color="auto"/>
        </w:tblBorders>
        <w:tblLayout w:type="fixed"/>
        <w:tblLook w:val="0420" w:firstRow="1" w:lastRow="0" w:firstColumn="0" w:lastColumn="0" w:noHBand="0" w:noVBand="1"/>
      </w:tblPr>
      <w:tblGrid>
        <w:gridCol w:w="2828"/>
        <w:gridCol w:w="1700"/>
        <w:gridCol w:w="1907"/>
        <w:gridCol w:w="1907"/>
        <w:gridCol w:w="5618"/>
      </w:tblGrid>
      <w:tr w:rsidR="008E041A" w:rsidRPr="00C215EB" w:rsidTr="00A04BA8">
        <w:trPr>
          <w:cnfStyle w:val="100000000000" w:firstRow="1" w:lastRow="0" w:firstColumn="0" w:lastColumn="0" w:oddVBand="0" w:evenVBand="0" w:oddHBand="0" w:evenHBand="0" w:firstRowFirstColumn="0" w:firstRowLastColumn="0" w:lastRowFirstColumn="0" w:lastRowLastColumn="0"/>
          <w:trHeight w:val="908"/>
          <w:tblHeader/>
          <w:jc w:val="center"/>
        </w:trPr>
        <w:tc>
          <w:tcPr>
            <w:tcW w:w="1013" w:type="pct"/>
            <w:tcBorders>
              <w:top w:val="single" w:sz="4" w:space="0" w:color="auto"/>
              <w:bottom w:val="single" w:sz="4" w:space="0" w:color="auto"/>
            </w:tcBorders>
            <w:vAlign w:val="center"/>
            <w:hideMark/>
          </w:tcPr>
          <w:p w:rsidR="008E041A" w:rsidRPr="00C215EB" w:rsidRDefault="008E041A" w:rsidP="00A04BA8">
            <w:pPr>
              <w:spacing w:before="20" w:after="20"/>
              <w:rPr>
                <w:rFonts w:ascii="Times New Roman" w:hAnsi="Times New Roman" w:cs="Times New Roman"/>
                <w:bCs w:val="0"/>
                <w:sz w:val="24"/>
                <w:szCs w:val="24"/>
                <w:lang w:val="en-US"/>
              </w:rPr>
            </w:pPr>
            <w:r w:rsidRPr="00C215EB">
              <w:rPr>
                <w:rFonts w:ascii="Times New Roman" w:hAnsi="Times New Roman" w:cs="Times New Roman"/>
                <w:sz w:val="24"/>
                <w:szCs w:val="24"/>
                <w:lang w:val="en-US"/>
              </w:rPr>
              <w:t>Compound name</w:t>
            </w:r>
          </w:p>
        </w:tc>
        <w:tc>
          <w:tcPr>
            <w:tcW w:w="609" w:type="pct"/>
            <w:tcBorders>
              <w:top w:val="single" w:sz="4" w:space="0" w:color="auto"/>
              <w:bottom w:val="single" w:sz="4" w:space="0" w:color="auto"/>
            </w:tcBorders>
            <w:vAlign w:val="center"/>
          </w:tcPr>
          <w:p w:rsidR="008E041A" w:rsidRPr="00C215EB" w:rsidRDefault="008E041A" w:rsidP="00A04BA8">
            <w:pPr>
              <w:spacing w:before="20" w:after="20"/>
              <w:rPr>
                <w:rFonts w:ascii="Times New Roman" w:hAnsi="Times New Roman" w:cs="Times New Roman"/>
                <w:sz w:val="24"/>
                <w:szCs w:val="24"/>
                <w:lang w:val="en-US"/>
              </w:rPr>
            </w:pPr>
            <w:r w:rsidRPr="00C215EB">
              <w:rPr>
                <w:rFonts w:ascii="Times New Roman" w:hAnsi="Times New Roman" w:cs="Times New Roman"/>
                <w:sz w:val="24"/>
                <w:szCs w:val="24"/>
                <w:lang w:val="en-US"/>
              </w:rPr>
              <w:t>Chemical class</w:t>
            </w:r>
          </w:p>
        </w:tc>
        <w:tc>
          <w:tcPr>
            <w:tcW w:w="683" w:type="pct"/>
            <w:tcBorders>
              <w:top w:val="single" w:sz="4" w:space="0" w:color="auto"/>
              <w:bottom w:val="single" w:sz="4" w:space="0" w:color="auto"/>
            </w:tcBorders>
            <w:vAlign w:val="center"/>
            <w:hideMark/>
          </w:tcPr>
          <w:p w:rsidR="008E041A" w:rsidRPr="00C215EB" w:rsidRDefault="008E041A" w:rsidP="00A04BA8">
            <w:pPr>
              <w:spacing w:before="20" w:after="20"/>
              <w:rPr>
                <w:rFonts w:ascii="Times New Roman" w:hAnsi="Times New Roman" w:cs="Times New Roman"/>
                <w:bCs w:val="0"/>
                <w:sz w:val="24"/>
                <w:szCs w:val="24"/>
                <w:lang w:val="en-US"/>
              </w:rPr>
            </w:pPr>
            <w:r w:rsidRPr="00C215EB">
              <w:rPr>
                <w:rFonts w:ascii="Times New Roman" w:hAnsi="Times New Roman" w:cs="Times New Roman"/>
                <w:sz w:val="24"/>
                <w:szCs w:val="24"/>
                <w:lang w:val="en-US"/>
              </w:rPr>
              <w:t>Application(s)</w:t>
            </w:r>
          </w:p>
        </w:tc>
        <w:tc>
          <w:tcPr>
            <w:tcW w:w="683" w:type="pct"/>
            <w:tcBorders>
              <w:top w:val="single" w:sz="4" w:space="0" w:color="auto"/>
              <w:bottom w:val="single" w:sz="4" w:space="0" w:color="auto"/>
            </w:tcBorders>
            <w:vAlign w:val="center"/>
            <w:hideMark/>
          </w:tcPr>
          <w:p w:rsidR="008E041A" w:rsidRPr="00C215EB" w:rsidRDefault="008E041A" w:rsidP="00A04BA8">
            <w:pPr>
              <w:spacing w:before="20" w:after="20"/>
              <w:rPr>
                <w:rFonts w:ascii="Times New Roman" w:hAnsi="Times New Roman" w:cs="Times New Roman"/>
                <w:sz w:val="24"/>
                <w:szCs w:val="24"/>
                <w:lang w:val="en-US"/>
              </w:rPr>
            </w:pPr>
            <w:r w:rsidRPr="00C215EB">
              <w:rPr>
                <w:rFonts w:ascii="Times New Roman" w:hAnsi="Times New Roman" w:cs="Times New Roman"/>
                <w:sz w:val="24"/>
                <w:szCs w:val="24"/>
                <w:lang w:val="en-US"/>
              </w:rPr>
              <w:t>Affected</w:t>
            </w:r>
            <w:r w:rsidRPr="00C215EB">
              <w:rPr>
                <w:rFonts w:ascii="Times New Roman" w:hAnsi="Times New Roman" w:cs="Times New Roman"/>
                <w:sz w:val="24"/>
                <w:szCs w:val="24"/>
                <w:lang w:val="en-US"/>
              </w:rPr>
              <w:br/>
              <w:t>organ(s)</w:t>
            </w:r>
          </w:p>
        </w:tc>
        <w:tc>
          <w:tcPr>
            <w:tcW w:w="2012" w:type="pct"/>
            <w:tcBorders>
              <w:top w:val="single" w:sz="4" w:space="0" w:color="auto"/>
              <w:bottom w:val="single" w:sz="4" w:space="0" w:color="auto"/>
            </w:tcBorders>
            <w:vAlign w:val="center"/>
            <w:hideMark/>
          </w:tcPr>
          <w:p w:rsidR="008E041A" w:rsidRPr="00C215EB" w:rsidRDefault="008E041A" w:rsidP="00A04BA8">
            <w:pPr>
              <w:spacing w:before="20" w:after="20"/>
              <w:rPr>
                <w:rFonts w:ascii="Times New Roman" w:hAnsi="Times New Roman" w:cs="Times New Roman"/>
                <w:sz w:val="24"/>
                <w:szCs w:val="24"/>
                <w:lang w:val="en-US"/>
              </w:rPr>
            </w:pPr>
            <w:r w:rsidRPr="00C215EB">
              <w:rPr>
                <w:rFonts w:ascii="Times New Roman" w:hAnsi="Times New Roman" w:cs="Times New Roman"/>
                <w:sz w:val="24"/>
                <w:szCs w:val="24"/>
                <w:lang w:val="en-US"/>
              </w:rPr>
              <w:t>Molecular/Biochemical effect(s)</w:t>
            </w:r>
          </w:p>
        </w:tc>
      </w:tr>
      <w:tr w:rsidR="008E041A" w:rsidRPr="00C215EB" w:rsidTr="00A04BA8">
        <w:trPr>
          <w:cnfStyle w:val="000000100000" w:firstRow="0" w:lastRow="0" w:firstColumn="0" w:lastColumn="0" w:oddVBand="0" w:evenVBand="0" w:oddHBand="1" w:evenHBand="0" w:firstRowFirstColumn="0" w:firstRowLastColumn="0" w:lastRowFirstColumn="0" w:lastRowLastColumn="0"/>
          <w:cantSplit/>
          <w:trHeight w:val="152"/>
          <w:jc w:val="center"/>
        </w:trPr>
        <w:tc>
          <w:tcPr>
            <w:tcW w:w="1013" w:type="pct"/>
            <w:tcBorders>
              <w:top w:val="single" w:sz="4"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Acrylamide</w:t>
            </w:r>
          </w:p>
        </w:tc>
        <w:tc>
          <w:tcPr>
            <w:tcW w:w="609" w:type="pct"/>
            <w:tcBorders>
              <w:top w:val="single" w:sz="4"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Amide</w:t>
            </w:r>
          </w:p>
        </w:tc>
        <w:tc>
          <w:tcPr>
            <w:tcW w:w="683" w:type="pct"/>
            <w:tcBorders>
              <w:top w:val="single" w:sz="4"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Plastic thickener</w:t>
            </w:r>
          </w:p>
        </w:tc>
        <w:tc>
          <w:tcPr>
            <w:tcW w:w="683" w:type="pct"/>
            <w:tcBorders>
              <w:top w:val="single" w:sz="4"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Liver, nervous system</w:t>
            </w:r>
          </w:p>
        </w:tc>
        <w:tc>
          <w:tcPr>
            <w:tcW w:w="2012" w:type="pct"/>
            <w:tcBorders>
              <w:top w:val="single" w:sz="4" w:space="0" w:color="auto"/>
              <w:bottom w:val="none" w:sz="0" w:space="0" w:color="auto"/>
            </w:tcBorders>
          </w:tcPr>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Endocrine disruption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{"citationItems":[{"id":"ITEM-1","itemData":{"DOI":"10.1016/S0890-6238(02)00078-3","ISBN":"0890-6238","ISSN":"08906238","PMID":"12507653","abstract":"Acrylamide monomer causes peripheral neurotoxicity, mutagenicity, clastogenicity, male reproductive toxicity, prenatal lethality, and endocrine-related tumors in rodents. Acrylamide (and/or its metabolite glycidamide) binds to dopamine receptors and spermatid protamines and inhibits activity of kinesin and dyneine, resulting in interference with neuronal intracellular transport and sperm motility. Glycidamide binds to various proteins and DNA. Acrylamide at low doses decreases litter size, with rats more sensitive than mice. At higher doses, sperm morphology and motility and neurotoxicity are affected, which decreases mating frequency. Acrylamide does not affect female reproduction (females exhibit neurotoxicity). Dominant lethal mutations cause decreased newborn litter size. The mechanisms of action appear to be: (1) acrylamide/glycidamide binding to spermatid protamines, causing dominant lethality and effects on sperm morphology; and (2) acrylamide binding to motor proteins, causing distal axonopathy, including hindlimb weakness/paresis, and effects on mounting, sperm motility, and intromission. Glycidamide-induced mutations appear to play no role in reproductive or neurologic toxicity. © 2002 Elsevier Science Inc. All rights reserved.","author":[{"dropping-particle":"","family":"Tyl","given":"Rochelle W.","non-dropping-particle":"","parse-names":false,"suffix":""},{"dropping-particle":"","family":"Friedman","given":"Marvin A.","non-dropping-particle":"","parse-names":false,"suffix":""}],"container-title":"Reproductive Toxicology","id":"ITEM-1","issue":"1","issued":{"date-parts":[["2003"]]},"page":"1-13","title":"Effects of acrylamide on rodent reproductive performance","type":"article-journal","volume":"17"},"uris":["http://www.mendeley.com/documents/?uuid=b28b5428-f268-430d-9732-2be36a069633"]}],"mendeley":{"formattedCitation":"[1]","plainTextFormattedCitation":"[1]","previouslyFormattedCitation":"[1]"},"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[1]</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Potassium channel inhibition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{"citationItems":[{"id":"ITEM-1","itemData":{"DOI":"10.1038/s41598-018-26343-2","ISBN":"4159801826343","ISSN":"20452322","abstract":"Acute exposure to acrylamide (ACR), a type-2 alkene, may lead to a ataxia, skeletal muscles weakness and numbness of the extremities in human and laboratory animals. In the present manuscript, ACR acute neurotoxicity has been characterized in adult zebrafish, a vertebrate model increasingly used in human neuropharmacology and toxicology research. At behavioral level, ACR-treated animals exhibited “depression-like” phenotype comorbid with anxiety behavior. At transcriptional level, ACR induced down-regulation of regeneration-associated genes and up-regulation of oligodendrocytes and reactive astrocytes markers, altering also the expression of genes involved in the presynaptic vesicle cycling. ACR induced also significant changes in zebrafish brain proteome and formed adducts with selected cysteine residues of specific proteins, some of them essential for the presynaptic function. Finally, the metabolomics analysis shows a depletion in the monoamine neurotransmitters, consistent with the comorbid depression and anxiety disorder, in the brain of the exposed fish.","author":[{"dropping-particle":"","family":"Faria","given":"Melissa","non-dropping-particle":"","parse-names":false,"suffix":""},{"dropping-particle":"","family":"Ziv","given":"Tamar","non-dropping-particle":"","parse-names":false,"suffix":""},{"dropping-particle":"","family":"Gómez-Canela","given":"Cristian","non-dropping-particle":"","parse-names":false,"suffix":""},{"dropping-particle":"","family":"Ben-Lulu","given":"Shani","non-dropping-particle":"","parse-names":false,"suffix":""},{"dropping-particle":"","family":"Prats","given":"Eva","non-dropping-particle":"","parse-names":false,"suffix":""},{"dropping-particle":"","family":"Novoa-Luna","given":"Karen Adriana","non-dropping-particle":"","parse-names":false,"suffix":""},{"dropping-particle":"","family":"Admon","given":"Arie","non-dropping-particle":"","parse-names":false,"suffix":""},{"dropping-particle":"","family":"Piña","given":"Benjamin","non-dropping-particle":"","parse-names":false,"suffix":""},{"dropping-particle":"","family":"Tauler","given":"Romà","non-dropping-particle":"","parse-names":false,"suffix":""},{"dropping-particle":"","family":"Gómez-Oliván","given":"Leobardo Manuel","non-dropping-particle":"","parse-names":false,"suffix":""},{"dropping-particle":"","family":"Raldúa","given":"Demetrio","non-dropping-particle":"","parse-names":false,"suffix":""}],"container-title":"Scientific Reports","id":"ITEM-1","issue":"1","issued":{"date-parts":[["2018"]]},"page":"1-14","title":"Acrylamide acute neurotoxicity in adult zebrafish","type":"article-journal","volume":"8"},"uris":["http://www.mendeley.com/documents/?uuid=e78cb19f-f957-46b2-98a1-7e3ce5714660"]}],"mendeley":{"formattedCitation":"[2]","plainTextFormattedCitation":"[2]","previouslyFormattedCitation":"[2]"},"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[2]</w:t>
            </w:r>
            <w:r w:rsidRPr="00C215EB">
              <w:rPr>
                <w:rFonts w:ascii="Times New Roman" w:hAnsi="Times New Roman" w:cs="Times New Roman"/>
                <w:bCs/>
                <w:sz w:val="24"/>
                <w:szCs w:val="24"/>
                <w:lang w:val="en-US"/>
              </w:rPr>
              <w:fldChar w:fldCharType="end"/>
            </w:r>
          </w:p>
        </w:tc>
      </w:tr>
      <w:tr w:rsidR="008E041A" w:rsidRPr="00C215EB" w:rsidTr="00A04BA8">
        <w:trPr>
          <w:cantSplit/>
          <w:trHeight w:val="152"/>
          <w:jc w:val="center"/>
        </w:trPr>
        <w:tc>
          <w:tcPr>
            <w:tcW w:w="101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Carbamazepine</w:t>
            </w:r>
          </w:p>
        </w:tc>
        <w:tc>
          <w:tcPr>
            <w:tcW w:w="609"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Dibenz</w:t>
            </w:r>
            <w:bookmarkStart w:id="1" w:name="_GoBack"/>
            <w:bookmarkEnd w:id="1"/>
            <w:r w:rsidRPr="00C215EB">
              <w:rPr>
                <w:rFonts w:ascii="Times New Roman" w:hAnsi="Times New Roman" w:cs="Times New Roman"/>
                <w:bCs/>
                <w:sz w:val="24"/>
                <w:szCs w:val="24"/>
                <w:lang w:val="en-US"/>
              </w:rPr>
              <w:t>azepine</w:t>
            </w:r>
          </w:p>
        </w:tc>
        <w:tc>
          <w:tcPr>
            <w:tcW w:w="68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Anti-epileptic drug</w:t>
            </w:r>
          </w:p>
        </w:tc>
        <w:tc>
          <w:tcPr>
            <w:tcW w:w="68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Liver, kidney</w:t>
            </w:r>
          </w:p>
        </w:tc>
        <w:tc>
          <w:tcPr>
            <w:tcW w:w="2012" w:type="pct"/>
          </w:tcPr>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Serotonin release increase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{"citationItems":[{"id":"ITEM-1","itemData":{"DOI":"10.1038/sj.bjp.0704104","ISBN":"0007-1188 (Print)\\r0007-1188 (Linking)","ISSN":"00071188","PMID":"11399673","abstract":"To elucidate mechanisms of hippocampal serotonin release and possible mechanisms of clinical action of carbamazepine (CBZ), we determined interaction between antagonists of N-type (omega-conotoxin GVIA:GVIA), P-type (omega-agatoxin IVA:IVA) Ca(2+) channels, Na(+) channel (tetrodotoxin: TTX) and CBZ on hippocampal basal, Ca(2+)- and K(+)-evoked serotonin releases, using microdialysis in freely moving rats. Basal release was reduced by TTX, GVIA and IVA (GVIA&gt;IVA). Ca(2+)-evoked release was reduced by GVIA but unaffected by TTX and IVA. K(+)-evoked release was reduced by TTX, GVIA and IVA (GVIA&lt;IVA). TTX inhibited actions of IVA and GVIA on respective basal and K(+)-evoked releases, without affecting Ca(2+)-evoked release. Perfusion with 100 microM CBZ (estimated-concentration in hippocampal tissue: 19+/-2 microM) enhanced basal and Ca(2+)-evoked releases, but reduced K(+)-evoked release, whereas 1000 microM CBZ (estimated-concentration in hippocampal tissue: 188+/-16 microM) reduced three types of releases. Under condition of pretreatment with 100 and 1000 microM CBZ, TTX unaffected basal and K(+)-evoked releases. Under condition of pretreatment with 100 microM CBZ, IVA and GVIA unaffected basal and K(+)-evoked releases, respectively, but GVIA reduced basal, Ca(2+)-evoked releases and IVA also reduced K(+)-evoked release. Under condition of pretreatment with 1000 microM CBZ, GVIA unaffected three types of releases, and IVA unaffected basal release but reduced K(+)-evoked release. These findings contribute towards the possible mechanisms of concentration-dependent antiepileptic action of CBZ, which possibly inhibits Na(+) channel related neurotransmitter release mechanisms during K(+)-evoked stage, and simultaneously enhances N-type Ca(2+) channel related basal serotonin release at the resting stage.","author":[{"dropping-particle":"","family":"Kawata","given":"Yuko","non-dropping-particle":"","parse-names":false,"suffix":""},{"dropping-particle":"","family":"Okada","given":"Motohiro","non-dropping-particle":"","parse-names":false,"suffix":""},{"dropping-particle":"","family":"Murakami","given":"Takuya","non-dropping-particle":"","parse-names":false,"suffix":""},{"dropping-particle":"","family":"Kamata","given":"Akihisa","non-dropping-particle":"","parse-names":false,"suffix":""},{"dropping-particle":"","family":"Zhu","given":"Gang","non-dropping-particle":"","parse-names":false,"suffix":""},{"dropping-particle":"","family":"Kaneko","given":"Sunao","non-dropping-particle":"","parse-names":false,"suffix":""}],"container-title":"British Journal of Pharmacology","id":"ITEM-1","issue":"4","issued":{"date-parts":[["2001"]]},"page":"557-567","title":"Pharmacological discrimination between effects of carbamazepine on hippocampal basal, Ca2+- and K+-evoked serotonin release","type":"article-journal","volume":"133"},"uris":["http://www.mendeley.com/documents/?uuid=feb8de93-1d26-4180-b4c1-3e0487312a2b"]}],"mendeley":{"formattedCitation":"[3]","plainTextFormattedCitation":"[3]","previouslyFormattedCitation":"[3]"},"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[3]</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Use-dependent sodium channel inactivation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{"citationItems":[{"id":"ITEM-1","itemData":{"DOI":"10.1038/sj.bjp.0704104","ISBN":"0007-1188 (Print)\\r0007-1188 (Linking)","ISSN":"00071188","PMID":"11399673","abstract":"To elucidate mechanisms of hippocampal serotonin release and possible mechanisms of clinical action of carbamazepine (CBZ), we determined interaction between antagonists of N-type (omega-conotoxin GVIA:GVIA), P-type (omega-agatoxin IVA:IVA) Ca(2+) channels, Na(+) channel (tetrodotoxin: TTX) and CBZ on hippocampal basal, Ca(2+)- and K(+)-evoked serotonin releases, using microdialysis in freely moving rats. Basal release was reduced by TTX, GVIA and IVA (GVIA&gt;IVA). Ca(2+)-evoked release was reduced by GVIA but unaffected by TTX and IVA. K(+)-evoked release was reduced by TTX, GVIA and IVA (GVIA&lt;IVA). TTX inhibited actions of IVA and GVIA on respective basal and K(+)-evoked releases, without affecting Ca(2+)-evoked release. Perfusion with 100 microM CBZ (estimated-concentration in hippocampal tissue: 19+/-2 microM) enhanced basal and Ca(2+)-evoked releases, but reduced K(+)-evoked release, whereas 1000 microM CBZ (estimated-concentration in hippocampal tissue: 188+/-16 microM) reduced three types of releases. Under condition of pretreatment with 100 and 1000 microM CBZ, TTX unaffected basal and K(+)-evoked releases. Under condition of pretreatment with 100 microM CBZ, IVA and GVIA unaffected basal and K(+)-evoked releases, respectively, but GVIA reduced basal, Ca(2+)-evoked releases and IVA also reduced K(+)-evoked release. Under condition of pretreatment with 1000 microM CBZ, GVIA unaffected three types of releases, and IVA unaffected basal release but reduced K(+)-evoked release. These findings contribute towards the possible mechanisms of concentration-dependent antiepileptic action of CBZ, which possibly inhibits Na(+) channel related neurotransmitter release mechanisms during K(+)-evoked stage, and simultaneously enhances N-type Ca(2+) channel related basal serotonin release at the resting stage.","author":[{"dropping-particle":"","family":"Kawata","given":"Yuko","non-dropping-particle":"","parse-names":false,"suffix":""},{"dropping-particle":"","family":"Okada","given":"Motohiro","non-dropping-particle":"","parse-names":false,"suffix":""},{"dropping-particle":"","family":"Murakami","given":"Takuya","non-dropping-particle":"","parse-names":false,"suffix":""},{"dropping-particle":"","family":"Kamata","given":"Akihisa","non-dropping-particle":"","parse-names":false,"suffix":""},{"dropping-particle":"","family":"Zhu","given":"Gang","non-dropping-particle":"","parse-names":false,"suffix":""},{"dropping-particle":"","family":"Kaneko","given":"Sunao","non-dropping-particle":"","parse-names":false,"suffix":""}],"container-title":"British Journal of Pharmacology","id":"ITEM-1","issue":"4","issued":{"date-parts":[["2001"]]},"page":"557-567","title":"Pharmacological discrimination between effects of carbamazepine on hippocampal basal, Ca2+- and K+-evoked serotonin release","type":"article-journal","volume":"133"},"uris":["http://www.mendeley.com/documents/?uuid=feb8de93-1d26-4180-b4c1-3e0487312a2b"]}],"mendeley":{"formattedCitation":"[3]","plainTextFormattedCitation":"[3]","previouslyFormattedCitation":"[3]"},"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[3]</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γ-Aminobutyric acid (GABA) ß receptor involvement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{"citationItems":[{"id":"ITEM-1","itemData":{"DOI":"10.1101/cshperspect.a022780","ISBN":"2157-1422 (Electronic) 2157-1422 (Linking)","ISSN":"2157-1422","PMID":"26801895","abstract":"Antiseizure drugs (ASDs), also termed antiepileptic drugs, are the main form of symptomatic treatment for people with epilepsy, but not all patients become free of seizures. The ketogenic diet is one treatment option for drug-resistant patients. Both types of therapy exert their clinical effects through interactions with one or more of a diverse set of molecular targets in the brain. ASDs act by modulation of voltage-gated ion channels, including sodium, calcium, and potassium channels; by enhancement of γ-aminobutyric acid (GABA)-mediated inhibition through effects on GABAA receptors, the GABA transporter 1 (GAT1) GABA uptake transporter, or GABA transaminase; through interactions with elements of the synaptic release machinery, including synaptic vesicle 2A (SV2A) and α2δ; or by blockade of ionotropic glutamate receptors, including α-amino-3-hydroxy-5-methyl-4-isoxazole-propionate (AMPA) receptors. The ketogenic diet leads to increases in circulating ketones, which may contribute to the efficacy in treating pharmacoresistant seizures. Production in the brain of inhibitory mediators, such as adenosine, or ion channel modulators, such as polyunsaturated fatty acids, may also play a role. Metabolic effects, including diversion from glycolysis, are a further postulated mechanism. For some ASDs and the ketogenic diet, effects on multiple targets may contribute to activity. Better understanding of the ketogenic diet will inform the development of improved drug therapies to treat refractory seizures.","author":[{"dropping-particle":"","family":"Rogawski","given":"Michael A.","non-dropping-particle":"","parse-names":false,"suffix":""},{"dropping-particle":"","family":"Löscher","given":"Wolfgang","non-dropping-particle":"","parse-names":false,"suffix":""},{"dropping-particle":"","family":"Rho","given":"Jong M.","non-dropping-particle":"","parse-names":false,"suffix":""}],"container-title":"Cold Spring Harbor Perspectives in Medicine","id":"ITEM-1","issued":{"date-parts":[["2016","5"]]},"title":"Mechanisms of Action of Antiseizure Drugs and the Ketogenic Diet","type":"article-journal"},"uris":["http://www.mendeley.com/documents/?uuid=150298d2-f3b0-4ee2-a880-9aa58aaabcb2"]}],"mendeley":{"formattedCitation":"[4]","plainTextFormattedCitation":"[4]","previouslyFormattedCitation":"[4]"},"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[4]</w:t>
            </w:r>
            <w:r w:rsidRPr="00C215EB">
              <w:rPr>
                <w:rFonts w:ascii="Times New Roman" w:hAnsi="Times New Roman" w:cs="Times New Roman"/>
                <w:bCs/>
                <w:sz w:val="24"/>
                <w:szCs w:val="24"/>
                <w:lang w:val="en-US"/>
              </w:rPr>
              <w:fldChar w:fldCharType="end"/>
            </w:r>
          </w:p>
        </w:tc>
      </w:tr>
      <w:tr w:rsidR="008E041A" w:rsidRPr="00C215EB" w:rsidTr="00A04BA8">
        <w:trPr>
          <w:cnfStyle w:val="000000100000" w:firstRow="0" w:lastRow="0" w:firstColumn="0" w:lastColumn="0" w:oddVBand="0" w:evenVBand="0" w:oddHBand="1" w:evenHBand="0" w:firstRowFirstColumn="0" w:firstRowLastColumn="0" w:lastRowFirstColumn="0" w:lastRowLastColumn="0"/>
          <w:cantSplit/>
          <w:trHeight w:val="152"/>
          <w:jc w:val="center"/>
        </w:trPr>
        <w:tc>
          <w:tcPr>
            <w:tcW w:w="101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Carbaryl</w:t>
            </w:r>
          </w:p>
        </w:tc>
        <w:tc>
          <w:tcPr>
            <w:tcW w:w="609"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Carbamate</w:t>
            </w:r>
          </w:p>
        </w:tc>
        <w:tc>
          <w:tcPr>
            <w:tcW w:w="68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Insecticide</w:t>
            </w:r>
          </w:p>
        </w:tc>
        <w:tc>
          <w:tcPr>
            <w:tcW w:w="68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Nervous system</w:t>
            </w:r>
          </w:p>
        </w:tc>
        <w:tc>
          <w:tcPr>
            <w:tcW w:w="2012" w:type="pct"/>
            <w:tcBorders>
              <w:top w:val="none" w:sz="0" w:space="0" w:color="auto"/>
              <w:bottom w:val="none" w:sz="0" w:space="0" w:color="auto"/>
            </w:tcBorders>
          </w:tcPr>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Acetylcholinesterase inhibition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{"citationItems":[{"id":"ITEM-1","itemData":{"DOI":"10.1089/zeb.2012.0747","ISSN":"1545-8547","PMID":"23094693","abstract":"In the United States, Sevin(™) brand insecticide is one of the most commonly used insecticides. The active ingredient in Sevin(™), carbaryl (1-napthyl-N-methylcarbamate), is a known acetylcholinesterase (AChE) inhibitor that prevents the breakdown of acetylcholine to acetate and choline at the synapse. While carbaryl successfully causes the death of insects by paralysis, it has also been shown to have negative effects on the development of several nontarget species. To study the effects of carbaryl on nontarget species, zebrafish (Danio rerio) were used, as they are a good model for both toxicology and development studies. Our study suggests that carbaryl induces changes in morphology, specifically in embryo size and shape. Additionally, carbaryl causes defects in heart formation that is characterized by a decrease in heart rate and a developmental delay/defect in cardiac looping. A significant decrease in the number of spinal cord neurons present was also observed. Further investigation showed that there was an increase in cell death in carbaryl-treated embryos. The results indicate that carbaryl may have a greater environmental impact than initially intended. Our study, which was conducted solely by undergraduates at a liberal arts college, indicates that carbaryl may be detrimental to the development of nontarget species.","author":[{"dropping-particle":"","family":"Schock","given":"Elizabeth N","non-dropping-particle":"","parse-names":false,"suffix":""},{"dropping-particle":"","family":"Ford","given":"Windsor C","non-dropping-particle":"","parse-names":false,"suffix":""},{"dropping-particle":"","family":"Midgley","given":"Kirsten J","non-dropping-particle":"","parse-names":false,"suffix":""},{"dropping-particle":"","family":"Fader","given":"Joseph G","non-dropping-particle":"","parse-names":false,"suffix":""},{"dropping-particle":"","family":"Giavasis","given":"Michael N","non-dropping-particle":"","parse-names":false,"suffix":""},{"dropping-particle":"","family":"McWhorter","given":"Michelle L","non-dropping-particle":"","parse-names":false,"suffix":""}],"container-title":"Zebrafish","id":"ITEM-1","issue":"4","issued":{"date-parts":[["2012"]]},"page":"169-178","title":"The Effects of Carbaryl on the Development of Zebrafish (Danio rerio) Embryos","type":"article-journal","volume":"9"},"uris":["http://www.mendeley.com/documents/?uuid=24d2fd86-af9d-429e-aa7c-d4db9577a996"]}],"mendeley":{"formattedCitation":"[5]","plainTextFormattedCitation":"[5]","previouslyFormattedCitation":"[5]"},"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[5]</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Cytochrome P450 (CPY450) induction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{"citationItems":[{"id":"ITEM-1","itemData":{"DOI":"NEL300709R01 [pii]","ISBN":"0172-780X (Print)\\n0172-780X (Linking)","ISSN":"0172-780X","PMID":"20027135","abstract":"The knowledge in oxidative stress in fish has a great importance for environmental and aquatic toxicology. Because oxidative stress is evoked by many chemicals including some pesticides, pro-oxidant factors' action in fish organism can be used to assess specific area pollution or world sea pollution. Hepatotoxic effect of DDT may be related with lipid peroxidation. Releasing of reactive oxygen species (ROS) after HCB exposure can be realized via two ways: via the uncoupling of the electron transport chain from monooxygenase activity and via metabolism of HCB major metabolite pentachlorophenol. Chlorothalonil disrupts mitochondrial metabolism due to the impairment of NADPH oxidase function. Activation of spleen macrophages and a decrease of catalase (CAT) activity have been observed after endosulfan exposure. Excessive release of superoxide radicals after etoxazole exposure can cause a decrease of CAT activity and increase phagocytic activity of splenocytes. Anticholinergic activity of organophosphates leads to the accumulation of ROS and resulting lipid peroxidation. Carbaryl induces changes in the content of glutathione and antioxidant enzymes activities. The antioxidant enzymes changes have been observed after actuation of pesticides deltamethrin and cypermethrin. Bipyridyl herbicides are able to form redox cycles and thereby cause oxidative stress. Low concentrations of simazine do not cause oxidative stress in carps during sub-chronic tests while sublethal concentrations of atrazin can induce oxidative stress in bluegill sunfish. Butachlor causes increased activity of superoxide dismutase -catalase system in the kidney. Rotenon can inhibit the electron transport in mitochondria and thereby increase ROS production. Dichloroaniline, the metabolite of diuron, has oxidative effects. Oxidative damage from fenpyroximate actuation is related to the disruption of mitochondrial redox respiratory chain. Low concentration of glyphosate can cause mild oxidative stress.","author":[{"dropping-particle":"","family":"Slaninova","given":"Andrea","non-dropping-particle":"","parse-names":false,"suffix":""},{"dropping-particle":"","family":"Smutna","given":"Miriam","non-dropping-particle":"","parse-names":false,"suffix":""},{"dropping-particle":"","family":"Modra","given":"Helena","non-dropping-particle":"","parse-names":false,"suffix":""},{"dropping-particle":"","family":"Svobodova","given":"Zdenka","non-dropping-particle":"","parse-names":false,"suffix":""}],"container-title":"Neuro endocrinology letters","id":"ITEM-1","issue":"Suppl 1","issued":{"date-parts":[["2009"]]},"page":"2-12","title":"A review: oxidative stress in fish induced by pesticides.","type":"article-journal","volume":"30 Suppl 1"},"uris":["http://www.mendeley.com/documents/?uuid=431ac41b-57ae-44b4-91a8-0cff2dad8664"]}],"mendeley":{"formattedCitation":"[6]","plainTextFormattedCitation":"[6]","previouslyFormattedCitation":"[6]"},"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[6]</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Competitive binding to melatonin receptors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{"citationItems":[{"id":"ITEM-1","itemData":{"DOI":"10.1021/acs.chemrestox.6b00301","ISBN":"1520-5010","ISSN":"15205010","PMID":"28027439","abstract":"Carbaryl (1-naphthyl methylcarbamate) and carbofuran (2,3-dihydro-2,2-dimethyl-7-benzofuranyl methylcarbamate) are among the most toxic insecticides, implicated in a variety of diseases including diabetes and cancer among others. Using an integrated pharmacoinformatics based screening approach, we have identified these insecticides to be structural mimics of the neurohormone melatonin and were able to bind to the putative melatonin binding sites in MT1 and MT2 melatonin receptors in silico. Carbaryl and carbofuran then were tested for competition with 2-[125I]-iodomelatonin (300 pM) binding to hMT1 or hMT2 receptors stably expressed in CHO cells. Carbaryl and carbofuran showed higher affinity for competition with 2-[125I]-iodomelatonin binding to the hMT2 compared to the hMT1 melatonin receptor (33 and 35-fold difference, respectively) as predicted by the molecular modeling. In the presence of GTP (100 μM), which decouples the G-protein linked receptors to modulate signaling, the apparent efficacy of carb...","author":[{"dropping-particle":"","family":"Popovska-Gorevski","given":"Marina","non-dropping-particle":"","parse-names":false,"suffix":""},{"dropping-particle":"","family":"Dubocovich","given":"Margarita L.","non-dropping-particle":"","parse-names":false,"suffix":""},{"dropping-particle":"V.","family":"Rajnarayanan","given":"Rajendram","non-dropping-particle":"","parse-names":false,"suffix":""}],"container-title":"Chemical Research in Toxicology","id":"ITEM-1","issue":"2","issued":{"date-parts":[["2017"]]},"page":"574-582","title":"Carbamate Insecticides Target Human Melatonin Receptors","type":"article-journal","volume":"30"},"uris":["http://www.mendeley.com/documents/?uuid=fafb3c08-4af6-46d4-9746-1cdeca10500c"]}],"mendeley":{"formattedCitation":"[7]","plainTextFormattedCitation":"[7]","previouslyFormattedCitation":"[7]"},"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[7]</w:t>
            </w:r>
            <w:r w:rsidRPr="00C215EB">
              <w:rPr>
                <w:rFonts w:ascii="Times New Roman" w:hAnsi="Times New Roman" w:cs="Times New Roman"/>
                <w:bCs/>
                <w:sz w:val="24"/>
                <w:szCs w:val="24"/>
                <w:lang w:val="en-US"/>
              </w:rPr>
              <w:fldChar w:fldCharType="end"/>
            </w:r>
          </w:p>
        </w:tc>
      </w:tr>
      <w:tr w:rsidR="008E041A" w:rsidRPr="00C215EB" w:rsidTr="00A04BA8">
        <w:trPr>
          <w:cantSplit/>
          <w:trHeight w:val="152"/>
          <w:jc w:val="center"/>
        </w:trPr>
        <w:tc>
          <w:tcPr>
            <w:tcW w:w="101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Clofibrate</w:t>
            </w:r>
          </w:p>
        </w:tc>
        <w:tc>
          <w:tcPr>
            <w:tcW w:w="609"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Fibrate</w:t>
            </w:r>
          </w:p>
        </w:tc>
        <w:tc>
          <w:tcPr>
            <w:tcW w:w="68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Antihyperlipidemic</w:t>
            </w:r>
          </w:p>
        </w:tc>
        <w:tc>
          <w:tcPr>
            <w:tcW w:w="68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Liver</w:t>
            </w:r>
          </w:p>
        </w:tc>
        <w:tc>
          <w:tcPr>
            <w:tcW w:w="2012" w:type="pct"/>
          </w:tcPr>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Peroxisome proliferator-activated receptor (PPAR) α agonist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{"citationItems":[{"id":"ITEM-1","itemData":{"DOI":"10.1007/s11356-014-3466-7","ISBN":"1614-7499 (Electronic)\\r0944-1344 (Linking)","ISSN":"0944-1344","PMID":"25172464","abstract":"Environmental epigenetics is a rapidly growing field which studies the effects of environmental factors such as nutrition, stress, and exposure to compounds on epigenetic gene regulation. Recent studies have shown that exposure to toxicants in vertebrates is associated with changes in DNA methylation, a major epigenetic mechanism affecting gene transcription. Zebra fish, a well-known model in toxicology and developmental biology, are emerging as a model species in environmental epigenetics despite their evolutionary distance to rodents and humans. In this review, recent insights in DNA methylation during zebra fish development are discussed and compared to mammalian models in order to evaluate zebra fish as a model to study the role of DNA methylation in environmental toxicology. Differences exist in DNA methylation reprogramming during early development, whereas in later developmental stages, tissue distribution of both 5-methylcytosine and 5-hydroxymethylcytosine seems more conserved between species, as well as basic DNA (de)methylation mechanisms. All DNA methyl transferases identified so far in mammals are present in zebra fish, as well as a number of major demethylation pathways. However, zebra fish appear to lack some methylation pathways present in mammals, such as parental imprinting. Several studies report effects on DNA methylation in zebra fish following exposure to environmental contaminants, such as arsenic, benzo[a]pyrene, and tris(1,3-dichloro-2-propyl)phosphate. Though more research is needed to examine heritable effects of contaminant exposure on DNA methylation, recent data suggests the usefulness of the zebra fish as a model in environmental epigenetics.","author":[{"dropping-particle":"","family":"Kamstra","given":"Jorke H","non-dropping-particle":"","parse-names":false,"suffix":""},{"dropping-particle":"","family":"Aleström","given":"Peter","non-dropping-particle":"","parse-names":false,"suffix":""},{"dropping-particle":"","family":"Kooter","given":"Jan M","non-dropping-particle":"","parse-names":false,"suffix":""},{"dropping-particle":"","family":"Legler","given":"Juliette","non-dropping-particle":"","parse-names":false,"suffix":""}],"container-title":"Environmental Science and Pollution Research","id":"ITEM-1","issue":"21","issued":{"date-parts":[["2015","11"]]},"page":"16262-16276","title":"Zebrafish as a model to study the role of DNA methylation in environmental toxicology","type":"article-journal","volume":"22"},"uris":["http://www.mendeley.com/documents/?uuid=65b26a35-f579-4ec9-b975-e8409f01dc54"]}],"mendeley":{"formattedCitation":"[8]","plainTextFormattedCitation":"[8]","previouslyFormattedCitation":"[8]"},"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[8]</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Cytochrome P450 (CYP) induction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{"citationItems":[{"id":"ITEM-1","itemData":{"DOI":"10.1016/j.tox.2003.11.002","ISBN":"0300-483X","ISSN":"0300483X","PMID":"15036755","abstract":"Pharmaceuticals are found in the aquatic environment but their potential effects on non-target species like fish remain unknown. This in vitro study is a first approach in the toxicity assessment of human drugs on fish. Nine pharmaceuticals were tested on two fish hepatocyte models: primary cultures of rainbow trout hepatocytes (PRTH) and PLHC-1 fish cell line. Cell viability, interaction with cytochrome P450 1A (CYP1A) enzyme and oxidative stress were assessed by using 3-(4,5-dimethylthiazol-2-yl)-2,5-diphenyltetrasodium bromide tetrazolium (MTT), 7-ethoxyresorufin-o-deethylase (EROD) and dichlorofluorescein (DCFH-DA) assays, respectively. The tested drugs were clofibrate (CF), fenofibrate (FF), carbamazepine (CBZ), fluoxetine (FX), diclofenac (DiCF), propranolol (POH), sulfamethoxazole (SFX), amoxicillin (AMX) and gadolinium chloride (GdCl3). All substances were cytotoxic, except AMX at concentration up to 500μM. The calculated MTT EC50values ranged from 2μM (CF) to 651μM (CBZ) in PLHC-1, and from 53μM (FF) to 962μM (GdCl3) in PRTH. CF, FF, and FX were the most cytotoxic drugs and induced oxidative stress before being cytotoxic. Compared to hepatocytes from human and dog, fish hepatocytes seemed to be more susceptible to the peroxisome proliferators (PPs) CF and FF. In PLHC-1 cells none of the tested drugs induced the EROD activity whereas POH appeared as a weak EROD inducer in PRTH. Moreover, in PRTH, SFX, DiCF, CBZ and to a lesser extend, FF and CF inhibited the basal EROD activity at clearly sublethal concentrations which may be of concern at the biological and chemical levels in a multipollution context. © 2003 Elsevier Ireland Ltd. All rights reserved.","author":[{"dropping-particle":"","family":"Laville","given":"N.","non-dropping-particle":"","parse-names":false,"suffix":""},{"dropping-particle":"","family":"Aït-Ässa","given":"S.","non-dropping-particle":"","parse-names":false,"suffix":""},{"dropping-particle":"","family":"Gomez","given":"E.","non-dropping-particle":"","parse-names":false,"suffix":""},{"dropping-particle":"","family":"Casellas","given":"C.","non-dropping-particle":"","parse-names":false,"suffix":""},{"dropping-particle":"","family":"Porcher","given":"J. M.","non-dropping-particle":"","parse-names":false,"suffix":""}],"container-title":"Toxicology","id":"ITEM-1","issue":"1-2","issued":{"date-parts":[["2004"]]},"page":"41-55","title":"Effects of human pharmaceuticals on cytotoxicity, EROD activity and ROS production in fish hepatocytes","type":"article-journal","volume":"196"},"uris":["http://www.mendeley.com/documents/?uuid=cbbf8376-9bb1-4da5-b284-f5ca2a47a29f"]}],"mendeley":{"formattedCitation":"[9]","plainTextFormattedCitation":"[9]","previouslyFormattedCitation":"[9]"},"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[9]</w:t>
            </w:r>
            <w:r w:rsidRPr="00C215EB">
              <w:rPr>
                <w:rFonts w:ascii="Times New Roman" w:hAnsi="Times New Roman" w:cs="Times New Roman"/>
                <w:bCs/>
                <w:sz w:val="24"/>
                <w:szCs w:val="24"/>
                <w:lang w:val="en-US"/>
              </w:rPr>
              <w:fldChar w:fldCharType="end"/>
            </w:r>
          </w:p>
        </w:tc>
      </w:tr>
      <w:tr w:rsidR="008E041A" w:rsidRPr="00C215EB" w:rsidTr="00A04BA8">
        <w:trPr>
          <w:cnfStyle w:val="000000100000" w:firstRow="0" w:lastRow="0" w:firstColumn="0" w:lastColumn="0" w:oddVBand="0" w:evenVBand="0" w:oddHBand="1" w:evenHBand="0" w:firstRowFirstColumn="0" w:firstRowLastColumn="0" w:lastRowFirstColumn="0" w:lastRowLastColumn="0"/>
          <w:cantSplit/>
          <w:trHeight w:val="152"/>
          <w:jc w:val="center"/>
        </w:trPr>
        <w:tc>
          <w:tcPr>
            <w:tcW w:w="101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Colchicine</w:t>
            </w:r>
          </w:p>
        </w:tc>
        <w:tc>
          <w:tcPr>
            <w:tcW w:w="609"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Alkaloid</w:t>
            </w:r>
          </w:p>
        </w:tc>
        <w:tc>
          <w:tcPr>
            <w:tcW w:w="68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Anti-inflammatory, antineoplastic</w:t>
            </w:r>
          </w:p>
        </w:tc>
        <w:tc>
          <w:tcPr>
            <w:tcW w:w="68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Neuronal system</w:t>
            </w:r>
          </w:p>
        </w:tc>
        <w:tc>
          <w:tcPr>
            <w:tcW w:w="2012" w:type="pct"/>
            <w:tcBorders>
              <w:top w:val="none" w:sz="0" w:space="0" w:color="auto"/>
              <w:bottom w:val="none" w:sz="0" w:space="0" w:color="auto"/>
            </w:tcBorders>
          </w:tcPr>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Microtubule inhibition </w:t>
            </w:r>
            <w:r w:rsidRPr="00C215EB">
              <w:rPr>
                <w:rFonts w:ascii="Times New Roman" w:hAnsi="Times New Roman" w:cs="Times New Roman"/>
                <w:bCs/>
                <w:i/>
                <w:sz w:val="24"/>
                <w:szCs w:val="24"/>
                <w:lang w:val="en-US"/>
              </w:rPr>
              <w:t>via</w:t>
            </w:r>
            <w:r w:rsidRPr="00C215EB">
              <w:rPr>
                <w:rFonts w:ascii="Times New Roman" w:hAnsi="Times New Roman" w:cs="Times New Roman"/>
                <w:bCs/>
                <w:sz w:val="24"/>
                <w:szCs w:val="24"/>
                <w:lang w:val="en-US"/>
              </w:rPr>
              <w:t xml:space="preserve"> tubulin binding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{"citationItems":[{"id":"ITEM-1","itemData":{"DOI":"10.1007/BF00229373","ISSN":"0300-8177","PMID":"3543651","abstract":"Limited proteolysis of tubulin with subtilisin results in the cleavage of both tubulin subunits yielding S-tubulin heterodimer and 4 kDa peptide fragments containing the carboxyl-terminal domains of alpha- and beta-polypeptide chains. S-tubulin binds colchicine and the characterization of the binding of colchicine to S-tubulin molecules showed a decreased rate of decay of colchicine binding activity as compared to that of undigested tubulin. However, S-tubulin exhibited a lower colchicine binding constant than tubulin. Peptide fragments resulting from the controlled tryptic proteolysis of both pure tubulin and S-tubulin were purified by filtration chromatography and presented a strong colchicine binding activity with association constants of 4.5 X 10(6) and 2.7 X 10(6) M-1, respectively. Furthermore, these studies support our initial findings on the localization of the tubulin site for colchicine (Serrano L, Avila J, Maccioni RB: J Biol Chem 259:6607-6611, 1984) and define the colchicine binding domain in a domain of alpha-subunit from the point of limited tryptic cleavage to the site of subtilisin controlled proteolysis of that tubulin subunit. On the basis of these alterations in the interaction of colchicine upon removal of the C-terminal moiety of tubulin and since no change in the number of binding sites was found after subtilisin digestion, we suggest that the carboxyl-terminal region of tubulin subunits modulates the binding of colchicine.","author":[{"dropping-particle":"","family":"Avila","given":"Jesús","non-dropping-particle":"","parse-names":false,"suffix":""},{"dropping-particle":"","family":"Serrano","given":"Luis","non-dropping-particle":"","parse-names":false,"suffix":""},{"dropping-particle":"","family":"Maccioni","given":"Ricardo B.","non-dropping-particle":"","parse-names":false,"suffix":""}],"container-title":"Molecular and cellular biochemistry","id":"ITEM-1","issue":"1","issued":{"date-parts":[["1987","1"]]},"page":"29-36","title":"Regulatory aspects of the colchicine interactions with tubulin.","type":"article-journal","volume":"73"},"uris":["http://www.mendeley.com/documents/?uuid=c5ae7947-6d00-49ca-943c-b0e89d8ddcc7"]}],"mendeley":{"formattedCitation":"[10]","plainTextFormattedCitation":"[10]","previouslyFormattedCitation":"[10]"},"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[10]</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Neutrophil adhesion inhibition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{"citationItems":[{"id":"ITEM-1","itemData":{"DOI":"10.1016/j.clinthera.2014.07.017","ISSN":"1879114X","PMID":"25151572","abstract":"Purpose The aims of this article were to systematically review the literature about the mechanism of action of colchicine in the multimodal pathology of acute inflammation associated with gout and to consider the clinical utility of colchicine in other chronic inflammatory diseases.\nMethods The English-language literature on PubMed was searched for articles published between 1990 and October 2013, with a cross-reference to citations across all years. Relevant articles pertaining to the mechanism of action of colchicine and the clinical applications of colchicine in gout and other inflammatory conditions were identified and reviewed.\nFindings The molecular pathology of acute inflammation associated with gouty arthritis involves several concurrent pathways triggered by a variety of interactions between monosodium urate crystals and the surface of cells. Colchicine modulates multiple pro- and antiinflammatory pathways associated with gouty arthritis. Colchicine prevents microtubule assembly and thereby disrupts inflammasome activation, microtubule-based inflammatory cell chemotaxis, generation of leukotrienes and cytokines, and phagocytosis. Many of these cellular processes can be found in other diseases involving chronic inflammation. The multimodal mechanism of action of colchicine suggests potential efficacy of colchicine in other comorbid conditions associated with gout, such as osteoarthritis and cardiovascular disease.\nImplications Colchicine has multiple mechanisms of action that affect inflammatory processes and result in its utility for treating and preventing acute gout flare. Other chronic inflammatory diseases that invoke these molecular pathways may represent new therapeutic applications for colchicine.","author":[{"dropping-particle":"","family":"Dalbeth","given":"Nicola","non-dropping-particle":"","parse-names":false,"suffix":""},{"dropping-particle":"","family":"Lauterio","given":"Thomas J.","non-dropping-particle":"","parse-names":false,"suffix":""},{"dropping-particle":"","family":"Wolfe","given":"Henry R.","non-dropping-particle":"","parse-names":false,"suffix":""}],"container-title":"Clinical Therapeutics","id":"ITEM-1","issue":"10","issued":{"date-parts":[["2014"]]},"page":"1465-1479","publisher":"Elsevier","title":"Mechanism of action of colchicine in the treatment of gout","type":"article-journal","volume":"36"},"uris":["http://www.mendeley.com/documents/?uuid=ff241c46-05f2-4748-9e20-b2f969e2f1b9"]}],"mendeley":{"formattedCitation":"[11]","plainTextFormattedCitation":"[11]","previouslyFormattedCitation":"[11]"},"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[11]</w:t>
            </w:r>
            <w:r w:rsidRPr="00C215EB">
              <w:rPr>
                <w:rFonts w:ascii="Times New Roman" w:hAnsi="Times New Roman" w:cs="Times New Roman"/>
                <w:bCs/>
                <w:sz w:val="24"/>
                <w:szCs w:val="24"/>
                <w:lang w:val="en-US"/>
              </w:rPr>
              <w:fldChar w:fldCharType="end"/>
            </w:r>
          </w:p>
        </w:tc>
      </w:tr>
      <w:tr w:rsidR="008E041A" w:rsidRPr="00C215EB" w:rsidTr="00A04BA8">
        <w:trPr>
          <w:cantSplit/>
          <w:trHeight w:val="152"/>
          <w:jc w:val="center"/>
        </w:trPr>
        <w:tc>
          <w:tcPr>
            <w:tcW w:w="101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Copper II sulphate pentahydrate</w:t>
            </w:r>
          </w:p>
        </w:tc>
        <w:tc>
          <w:tcPr>
            <w:tcW w:w="609"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Heavy metal</w:t>
            </w:r>
          </w:p>
        </w:tc>
        <w:tc>
          <w:tcPr>
            <w:tcW w:w="68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Fungicide</w:t>
            </w:r>
          </w:p>
        </w:tc>
        <w:tc>
          <w:tcPr>
            <w:tcW w:w="68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Neuronal system</w:t>
            </w:r>
          </w:p>
        </w:tc>
        <w:tc>
          <w:tcPr>
            <w:tcW w:w="2012" w:type="pct"/>
          </w:tcPr>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Chromosomal aberrations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{"citationItems":[{"id":"ITEM-1","itemData":{"DOI":"10.1508/cytologia.65.235","ISSN":"0011-4545","author":[{"dropping-particle":"","family":"Fahmy","given":"Maha A","non-dropping-particle":"","parse-names":false,"suffix":""}],"container-title":"CYTOLOGIA","id":"ITEM-1","issue":"3","issued":{"date-parts":[["2000"]]},"page":"235-242","title":"Potential Genotoxicity in Copper Sulphate Treated Mice.","type":"article-journal","volume":"65"},"uris":["http://www.mendeley.com/documents/?uuid=4b2cf39c-2e1e-4335-b9c4-2d615b4544f3"]}],"mendeley":{"formattedCitation":"[12]","plainTextFormattedCitation":"[12]","previouslyFormattedCitation":"[12]"},"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[12]</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Oxidative stress promotion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{"citationItems":[{"id":"ITEM-1","itemData":{"DOI":"10.1016/S0009-2797(01)00287-3","ISBN":"4116355062","ISSN":"00092797","PMID":"11803028","abstract":"We have studied the mechanism of copper uptake by the cells, its oxidative action and effects on ion transport systems using rainbow trout erythrocytes. Cupric ions enter trout erythrocytes as negatively charged complexes with chloride and hydroxyl anions via the band 3-mediated Cl-/HCO3-exchanger. Replacement of Cl-by gluconate, and complexation of cupric ions with histidine abolish rapid Cu2+uptake. Within the cell cupric ions interact with haemoglobin, causing methaemoglobin formation by direct electron transfer from heme Fe2+to Cu2+, and consecutive proton release. Ascorbate-mediated reduction of cupric ions to cuprous decreases copper-induced metHb formation and proton release. Moreover, cuprous ions stimulate Na+/H+exchange and residual Na+transport causing net Na+accumulation in the cells. The effect requires copper binding to an externally facing thiol group. Copper-induced Na+accumulation is accompanied by K+loss occurring mainly via K+-Cl-cotransporter. Taurine efflux is also stimulated by copper exposure. However, net loss of osmolytes is not as pronounced as Na+uptake and modest swelling of the cells occurs after 5 min of copper exposure. Taken together the results indicate that copper toxicity, including copper transport into the cells and its interactions with ion transport processes, depend on the valency and complex formation of copper ions. © 2002 Published by Elsevier Science B.V.","author":[{"dropping-particle":"","family":"Bogdanova","given":"Anna Yu","non-dropping-particle":"","parse-names":false,"suffix":""},{"dropping-particle":"","family":"Gassmann","given":"Max","non-dropping-particle":"","parse-names":false,"suffix":""},{"dropping-particle":"","family":"Nikinmaa","given":"Mikko","non-dropping-particle":"","parse-names":false,"suffix":""}],"container-title":"Chemico-Biological Interactions","id":"ITEM-1","issue":"1","issued":{"date-parts":[["2002"]]},"page":"43-59","title":"Copper ion redox state is critical for its effects on ion transport pathways and methaemoglobin formation in trout erythrocytes","type":"article-journal","volume":"139"},"uris":["http://www.mendeley.com/documents/?uuid=0824c728-e031-4872-8cd9-60e51a4ec72d"]}],"mendeley":{"formattedCitation":"[13]","plainTextFormattedCitation":"[13]","previouslyFormattedCitation":"[13]"},"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[13]</w:t>
            </w:r>
            <w:r w:rsidRPr="00C215EB">
              <w:rPr>
                <w:rFonts w:ascii="Times New Roman" w:hAnsi="Times New Roman" w:cs="Times New Roman"/>
                <w:bCs/>
                <w:sz w:val="24"/>
                <w:szCs w:val="24"/>
                <w:lang w:val="en-US"/>
              </w:rPr>
              <w:fldChar w:fldCharType="end"/>
            </w:r>
          </w:p>
        </w:tc>
      </w:tr>
      <w:tr w:rsidR="008E041A" w:rsidRPr="00C215EB" w:rsidTr="00A04BA8">
        <w:trPr>
          <w:cnfStyle w:val="000000100000" w:firstRow="0" w:lastRow="0" w:firstColumn="0" w:lastColumn="0" w:oddVBand="0" w:evenVBand="0" w:oddHBand="1" w:evenHBand="0" w:firstRowFirstColumn="0" w:firstRowLastColumn="0" w:lastRowFirstColumn="0" w:lastRowLastColumn="0"/>
          <w:cantSplit/>
          <w:trHeight w:val="152"/>
          <w:jc w:val="center"/>
        </w:trPr>
        <w:tc>
          <w:tcPr>
            <w:tcW w:w="101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Dibutyl maleate</w:t>
            </w:r>
          </w:p>
        </w:tc>
        <w:tc>
          <w:tcPr>
            <w:tcW w:w="609"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Ester</w:t>
            </w:r>
          </w:p>
        </w:tc>
        <w:tc>
          <w:tcPr>
            <w:tcW w:w="68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Plasticizer</w:t>
            </w:r>
          </w:p>
        </w:tc>
        <w:tc>
          <w:tcPr>
            <w:tcW w:w="68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No information available</w:t>
            </w:r>
          </w:p>
        </w:tc>
        <w:tc>
          <w:tcPr>
            <w:tcW w:w="2012" w:type="pct"/>
            <w:tcBorders>
              <w:top w:val="none" w:sz="0" w:space="0" w:color="auto"/>
              <w:bottom w:val="none" w:sz="0" w:space="0" w:color="auto"/>
            </w:tcBorders>
          </w:tcPr>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Allergic contact dermatitis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10.1111/j.1600-0536.2009.01539.x","ISSN":"01051873","author":[{"dropping-particle":"","family":"Sasseville","given":"Denis","non-dropping-particle":"","parse-names":false,"suffix":""},{"dropping-particle":"","family":"Lafaille","given":"Philippe","non-dropping-particle":"","parse-names":false,"suffix":""},{"dropping-particle":"","family":"Joncas","given":"Valérie","non-dropping-particle":"","parse-names":false,"suffix":""}],"container-title":"Contact Dermatitis","id":"ITEM-1","issue":"5","issued":{"date-parts":[["2009","5"]]},"page":"298-300","title":"Allergic contact dermatitis from occupational exposure to dibutyl maleate","type":"article-journal","volume":"60"},"uris":["http://www.mendeley.com/documents/?uuid=824dc112-7aae-4b22-9e69-29e85bae9f44"]}],"mendeley":{"formattedCitation":"[14]","plainTextFormattedCitation":"[14]","previouslyFormattedCitation":"[14]"},"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[14]</w:t>
            </w:r>
            <w:r w:rsidRPr="00C215EB">
              <w:rPr>
                <w:rFonts w:ascii="Times New Roman" w:hAnsi="Times New Roman" w:cs="Times New Roman"/>
                <w:bCs/>
                <w:sz w:val="24"/>
                <w:szCs w:val="24"/>
                <w:lang w:val="en-US"/>
              </w:rPr>
              <w:fldChar w:fldCharType="end"/>
            </w:r>
          </w:p>
        </w:tc>
      </w:tr>
      <w:tr w:rsidR="008E041A" w:rsidRPr="00C215EB" w:rsidTr="00A04BA8">
        <w:trPr>
          <w:cantSplit/>
          <w:trHeight w:val="152"/>
          <w:jc w:val="center"/>
        </w:trPr>
        <w:tc>
          <w:tcPr>
            <w:tcW w:w="101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lastRenderedPageBreak/>
              <w:t>3,4-Dichloroaniline</w:t>
            </w:r>
          </w:p>
        </w:tc>
        <w:tc>
          <w:tcPr>
            <w:tcW w:w="609"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Aromatic compound</w:t>
            </w:r>
          </w:p>
        </w:tc>
        <w:tc>
          <w:tcPr>
            <w:tcW w:w="68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Solvent, dye, pesticide</w:t>
            </w:r>
          </w:p>
        </w:tc>
        <w:tc>
          <w:tcPr>
            <w:tcW w:w="68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Liver, kidney</w:t>
            </w:r>
          </w:p>
        </w:tc>
        <w:tc>
          <w:tcPr>
            <w:tcW w:w="2012" w:type="pct"/>
          </w:tcPr>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Nephrotoxic and genotoxic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{"citationItems":[{"id":"ITEM-1","itemData":{"DOI":"10.1021/jf034230j","ISBN":"0021-8561 (Print)\\r0021-8561 (Linking)","ISSN":"00218561","PMID":"14705901","abstract":"The uptake and metabolism of [14C]-2,4-dichlorophenol (DCP) and [14C]-2,4-dichloroaniline (DCA) were investigated in wheat and soybean. Seeds were exposed to a nutrient solution containing 50 microM of one of two radiolabeled compounds, and plant organs were harvested separately after 18 days of growth. In wheat, uptake of [14C]-2,4-DCP was 16.67 +/- 2.65 and 15.50 +/- 2.60% of [14C]-2,4-DCA. In soybean, uptake of [14C]-2,4-DCP was significantly higher than [14C]-2,4-DCA uptake, 38.39 +/- 2.56 and 18.98 +/- 1.64%, respectively. In the case of [14C]-2,4-DCP, the radioactivity absorbed by both species was found mainly associated with roots, whereas [14C]-2,4-DCA and related metabolites were associated with aerial parts, especially in soybean. In wheat, nonextractable residues represented 7.8 and 8.7% of the applied radioactivity in the case of [14C]-2,4-DCP and [14C]-2,4-DCA, respectively. In soybean, nonextractable residues amounted to 11.8 and 5.8% of the total radioactivity for [14C]-2,4-DCP and [14C]-2,4-DCA, respectively. In wheat, nonextractable residues were nearly equivalent to extractable residues for [14C]-2,4-DCP, whereas they were greater for [14C]-2,4-DCA. In soybean, the amount of extractable residues was significantly greater for both chemicals. However, in both species, nonextractable residues were mainly associated with roots. Isolation of soluble residues was next undertaken using excised shoots (wheat) or excised fully expanded leaves including petioles (soybean). Identification of metabolite structures was made by comparison with authentic standards, by enzymatic hydrolyses, and by electrospray ionization-mass spectrometric analyses. Both plant species shared a common metabolism for [14C]-2,4-DCP and [14C]-2,4-DCA since the malonylated glucoside conjugates were found as the final major metabolites.","author":[{"dropping-particle":"","family":"Pascal-Lorber","given":"Sophie","non-dropping-particle":"","parse-names":false,"suffix":""},{"dropping-particle":"","family":"Rathahao","given":"Estelle","non-dropping-particle":"","parse-names":false,"suffix":""},{"dropping-particle":"","family":"Cravedi","given":"Jean Pierre","non-dropping-particle":"","parse-names":false,"suffix":""},{"dropping-particle":"","family":"Laurent","given":"Francois","non-dropping-particle":"","parse-names":false,"suffix":""}],"container-title":"Journal of Agricultural and Food Chemistry","id":"ITEM-1","issue":"16","issued":{"date-parts":[["2003"]]},"page":"4712-4718","title":"Uptake and metabolic fate of [14C]-2,4-dichlorophenol and [14C]-2,4-dichloroaniline in wheat (Triticum aestivum) and soybean (Glycine max)","type":"article-journal","volume":"51"},"uris":["http://www.mendeley.com/documents/?uuid=0ad31333-4ad1-42f3-b050-90dd074a5103"]}],"mendeley":{"formattedCitation":"[15]","plainTextFormattedCitation":"[15]","previouslyFormattedCitation":"[15]"},"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[15]</w:t>
            </w:r>
            <w:r w:rsidRPr="00C215EB">
              <w:rPr>
                <w:rFonts w:ascii="Times New Roman" w:hAnsi="Times New Roman" w:cs="Times New Roman"/>
                <w:bCs/>
                <w:sz w:val="24"/>
                <w:szCs w:val="24"/>
                <w:lang w:val="en-US"/>
              </w:rPr>
              <w:fldChar w:fldCharType="end"/>
            </w:r>
          </w:p>
        </w:tc>
      </w:tr>
      <w:tr w:rsidR="008E041A" w:rsidRPr="00C215EB" w:rsidTr="00A04BA8">
        <w:trPr>
          <w:cnfStyle w:val="000000100000" w:firstRow="0" w:lastRow="0" w:firstColumn="0" w:lastColumn="0" w:oddVBand="0" w:evenVBand="0" w:oddHBand="1" w:evenHBand="0" w:firstRowFirstColumn="0" w:firstRowLastColumn="0" w:lastRowFirstColumn="0" w:lastRowLastColumn="0"/>
          <w:cantSplit/>
          <w:trHeight w:val="152"/>
          <w:jc w:val="center"/>
        </w:trPr>
        <w:tc>
          <w:tcPr>
            <w:tcW w:w="101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Dimethyl sulfoxide</w:t>
            </w:r>
          </w:p>
        </w:tc>
        <w:tc>
          <w:tcPr>
            <w:tcW w:w="609"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Organosulfur</w:t>
            </w:r>
          </w:p>
        </w:tc>
        <w:tc>
          <w:tcPr>
            <w:tcW w:w="68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Solvent</w:t>
            </w:r>
          </w:p>
        </w:tc>
        <w:tc>
          <w:tcPr>
            <w:tcW w:w="68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Eyes, nervous system</w:t>
            </w:r>
          </w:p>
        </w:tc>
        <w:tc>
          <w:tcPr>
            <w:tcW w:w="2012" w:type="pct"/>
            <w:tcBorders>
              <w:top w:val="none" w:sz="0" w:space="0" w:color="auto"/>
              <w:bottom w:val="none" w:sz="0" w:space="0" w:color="auto"/>
            </w:tcBorders>
          </w:tcPr>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Developmental neurotoxin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{"citationItems":[{"id":"ITEM-1","itemData":{"DOI":"10.1016/j.nbd.2008.11.006.Dimethyl","ISSN":"1095-953X","PMID":"1000164124","abstract":"Dimethyl sulfoxide (DMSO) is a solvent that is routinely used as a cryopreservative in allogous bone marrow and organ transplantion. We exposed C57Bl/6 mice of varying postnatal ages (P0–P30) to DMSO in order to study whether DMSO could produce apoptotic degeneration in the developing CNS. DMSO produced widespread apoptosis in the developing mouse brain at all ages tested. Damage was greatest at P7. Significant elevations above the background rate of apoptosis occurred at the lowest dose tested, 0.3 ml/kg. In an in vitro rat hippocampal culture preparation, DMSO produced neuronal loss at concentrations of 0.5% and 1.0%. The ability of DMSO to damage neurons in dissociated cultures indicates that the toxicity likely results from a direct cellular effect. Because children, who undergo bone marrow transplantation, are routinely exposed to DMSO at doses higher than 0.3 ml/kg, there is concern that DMSO might be producing similar damage in human children.","author":[{"dropping-particle":"","family":"Hanslick","given":"Jennifer L","non-dropping-particle":"","parse-names":false,"suffix":""},{"dropping-particle":"","family":"Lau","given":"Karen","non-dropping-particle":"","parse-names":false,"suffix":""},{"dropping-particle":"","family":"Noguchi","given":"Kevin K","non-dropping-particle":"","parse-names":false,"suffix":""},{"dropping-particle":"","family":"Olney","given":"John W","non-dropping-particle":"","parse-names":false,"suffix":""},{"dropping-particle":"","family":"Charles","given":"F","non-dropping-particle":"","parse-names":false,"suffix":""},{"dropping-particle":"","family":"Mennerick","given":"Steven","non-dropping-particle":"","parse-names":false,"suffix":""},{"dropping-particle":"","family":"Farber","given":"Nuri B","non-dropping-particle":"","parse-names":false,"suffix":""}],"container-title":"Neurobiology of Disease","id":"ITEM-1","issue":"1","issued":{"date-parts":[["2009"]]},"page":"1-10","title":"Dimethyl Sulfoxide (DMSO) Produces Widespread Apoptosis in the Developing Central Nervous System","type":"article-journal","volume":"34"},"uris":["http://www.mendeley.com/documents/?uuid=8aaad39b-4a95-48a7-a0e5-860c035d855c"]}],"mendeley":{"formattedCitation":"[16]","plainTextFormattedCitation":"[16]","previouslyFormattedCitation":"[16]"},"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[16]</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Retinal apoptosis induction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{"citationItems":[{"id":"ITEM-1","itemData":{"DOI":"10.1096/fj.13-235440","ISBN":"1530-6860 (Electronic) 0892-6638 (Linking)","ISSN":"15306860","PMID":"24327606","abstract":"Dimethyl sulfoxide (DMSO) is an important aprotic solvent that can solubilize a wide variety of otherwise poorly soluble polar and nonpolar molecules. This, coupled with its apparent low toxicity at concentrations &lt;10%, has led to its ubiquitous use and widespread application. Here, we demonstrate that DMSO induces retinal apoptosis in vivo at low concentrations (5 μl intravitreally dosed DMSO in rat from a stock concentration of 1, 2, 4, and 8% v/v). Toxicity was confirmed in vitro in a retinal neuronal cell line, at DMSO concentrations &gt;1% (v/v), using annexin V, terminal deoxynucleotidyl transferase dUTP nick end labeling (TUNEL), 3-(4,5-dimethylthiazol-2-yl)-2,5-diphenyltetrazolium bromide (MTT), and AlamarBlue cell viability assays. DMSO concentrations &gt;10% (v/v) have recently been reported to cause cellular toxicity through plasma membrane pore formation. Here, we show the mechanism by which low concentrations (2-4% DMSO) induce caspase-3 independent neuronal death that involves apoptosis-inducing factor (AIF) translocation from mitochondria to the nucleus and poly-(ADP-ribose)-polymerase (PARP) activation. These results highlight safety concerns of using low concentrations of DMSO as a solvent for in vivo administration and in biological assays. We recommend that methods other than DMSO are employed for solubilizing drugs but, where no alternative exists, researchers compute absolute DMSO final concentrations and include an untreated control group in addition to DMSO vehicle control to check for solvent toxicity.","author":[{"dropping-particle":"","family":"Galvao","given":"Joana","non-dropping-particle":"","parse-names":false,"suffix":""},{"dropping-particle":"","family":"Davis","given":"Benjamin","non-dropping-particle":"","parse-names":false,"suffix":""},{"dropping-particle":"","family":"Tilley","given":"Mark","non-dropping-particle":"","parse-names":false,"suffix":""},{"dropping-particle":"","family":"Normando","given":"Eduardo","non-dropping-particle":"","parse-names":false,"suffix":""},{"dropping-particle":"","family":"Duchen","given":"Michael R.","non-dropping-particle":"","parse-names":false,"suffix":""},{"dropping-particle":"","family":"Cordeiro","given":"M. Francesca","non-dropping-particle":"","parse-names":false,"suffix":""}],"container-title":"FASEB Journal","id":"ITEM-1","issue":"3","issued":{"date-parts":[["2014"]]},"page":"1317-1330","title":"Unexpected low-dose toxicity of the universal solvent DMSO","type":"article-journal","volume":"28"},"uris":["http://www.mendeley.com/documents/?uuid=7d9d8915-6af1-42f9-882e-a05c6ca74835"]}],"mendeley":{"formattedCitation":"[17]","plainTextFormattedCitation":"[17]","previouslyFormattedCitation":"[17]"},"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[17]</w:t>
            </w:r>
            <w:r w:rsidRPr="00C215EB">
              <w:rPr>
                <w:rFonts w:ascii="Times New Roman" w:hAnsi="Times New Roman" w:cs="Times New Roman"/>
                <w:bCs/>
                <w:sz w:val="24"/>
                <w:szCs w:val="24"/>
                <w:lang w:val="en-US"/>
              </w:rPr>
              <w:fldChar w:fldCharType="end"/>
            </w:r>
          </w:p>
        </w:tc>
      </w:tr>
      <w:tr w:rsidR="008E041A" w:rsidRPr="00C215EB" w:rsidTr="00A04BA8">
        <w:trPr>
          <w:cantSplit/>
          <w:trHeight w:val="152"/>
          <w:jc w:val="center"/>
        </w:trPr>
        <w:tc>
          <w:tcPr>
            <w:tcW w:w="101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2,2-Dimethylvaleric acid</w:t>
            </w:r>
          </w:p>
        </w:tc>
        <w:tc>
          <w:tcPr>
            <w:tcW w:w="609"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Fatty acid</w:t>
            </w:r>
          </w:p>
        </w:tc>
        <w:tc>
          <w:tcPr>
            <w:tcW w:w="68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VPA metabolite / analogue</w:t>
            </w:r>
          </w:p>
        </w:tc>
        <w:tc>
          <w:tcPr>
            <w:tcW w:w="68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Liver, nervous system</w:t>
            </w:r>
          </w:p>
        </w:tc>
        <w:tc>
          <w:tcPr>
            <w:tcW w:w="2012" w:type="pct"/>
          </w:tcPr>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GABA transaminase inhibition </w:t>
            </w:r>
            <w:r w:rsidRPr="00C215EB">
              <w:rPr>
                <w:rFonts w:ascii="Times New Roman" w:hAnsi="Times New Roman" w:cs="Times New Roman"/>
                <w:bCs/>
                <w:i/>
                <w:sz w:val="24"/>
                <w:szCs w:val="24"/>
                <w:lang w:val="en-US"/>
              </w:rPr>
              <w:t>in vitro</w:t>
            </w:r>
            <w:r w:rsidRPr="00C215EB">
              <w:rPr>
                <w:rFonts w:ascii="Times New Roman" w:hAnsi="Times New Roman" w:cs="Times New Roman"/>
                <w:bCs/>
                <w:sz w:val="24"/>
                <w:szCs w:val="24"/>
                <w:lang w:val="en-US"/>
              </w:rPr>
              <w:t xml:space="preserve">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10.1016/0006-2952(74)90225-1","ISSN":"00062952","author":[{"dropping-particle":"","family":"Maitre","given":"M.","non-dropping-particle":"","parse-names":false,"suffix":""},{"dropping-particle":"","family":"Ciesbelski","given":"L.","non-dropping-particle":"","parse-names":false,"suffix":""},{"dropping-particle":"","family":"Mandel","given":"P.","non-dropping-particle":"","parse-names":false,"suffix":""}],"container-title":"Biochemical Pharmacology","id":"ITEM-1","issue":"17","issued":{"date-parts":[["1974","9"]]},"page":"2363-2368","title":"Effect of 2-methyl 2-ethyl caproic acid and 2-2-dimethyl valeric acid on audiogenic seizures and brain gamma aminobutyric acid","type":"article-journal","volume":"23"},"uris":["http://www.mendeley.com/documents/?uuid=083d006e-d130-48af-8783-96328bc569f9"]}],"mendeley":{"formattedCitation":"[18]","plainTextFormattedCitation":"[18]","previouslyFormattedCitation":"[18]"},"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[18]</w:t>
            </w:r>
            <w:r w:rsidRPr="00C215EB">
              <w:rPr>
                <w:rFonts w:ascii="Times New Roman" w:hAnsi="Times New Roman" w:cs="Times New Roman"/>
                <w:bCs/>
                <w:sz w:val="24"/>
                <w:szCs w:val="24"/>
                <w:lang w:val="en-US"/>
              </w:rPr>
              <w:fldChar w:fldCharType="end"/>
            </w:r>
          </w:p>
        </w:tc>
      </w:tr>
      <w:tr w:rsidR="008E041A" w:rsidRPr="00C215EB" w:rsidTr="00A04BA8">
        <w:trPr>
          <w:cnfStyle w:val="000000100000" w:firstRow="0" w:lastRow="0" w:firstColumn="0" w:lastColumn="0" w:oddVBand="0" w:evenVBand="0" w:oddHBand="1" w:evenHBand="0" w:firstRowFirstColumn="0" w:firstRowLastColumn="0" w:lastRowFirstColumn="0" w:lastRowLastColumn="0"/>
          <w:cantSplit/>
          <w:trHeight w:val="152"/>
          <w:jc w:val="center"/>
        </w:trPr>
        <w:tc>
          <w:tcPr>
            <w:tcW w:w="101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Dinitro-</w:t>
            </w:r>
            <w:r w:rsidRPr="00C215EB">
              <w:rPr>
                <w:rFonts w:ascii="Times New Roman" w:hAnsi="Times New Roman" w:cs="Times New Roman"/>
                <w:bCs/>
                <w:i/>
                <w:sz w:val="24"/>
                <w:szCs w:val="24"/>
                <w:lang w:val="en-US"/>
              </w:rPr>
              <w:t>o</w:t>
            </w:r>
            <w:r w:rsidRPr="00C215EB">
              <w:rPr>
                <w:rFonts w:ascii="Times New Roman" w:hAnsi="Times New Roman" w:cs="Times New Roman"/>
                <w:bCs/>
                <w:sz w:val="24"/>
                <w:szCs w:val="24"/>
                <w:lang w:val="en-US"/>
              </w:rPr>
              <w:t>-cresol</w:t>
            </w:r>
          </w:p>
        </w:tc>
        <w:tc>
          <w:tcPr>
            <w:tcW w:w="609"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Phenol</w:t>
            </w:r>
          </w:p>
        </w:tc>
        <w:tc>
          <w:tcPr>
            <w:tcW w:w="68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Herbicide</w:t>
            </w:r>
          </w:p>
        </w:tc>
        <w:tc>
          <w:tcPr>
            <w:tcW w:w="68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Liver and heart</w:t>
            </w:r>
          </w:p>
        </w:tc>
        <w:tc>
          <w:tcPr>
            <w:tcW w:w="2012" w:type="pct"/>
            <w:tcBorders>
              <w:top w:val="none" w:sz="0" w:space="0" w:color="auto"/>
              <w:bottom w:val="none" w:sz="0" w:space="0" w:color="auto"/>
            </w:tcBorders>
          </w:tcPr>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Oxidative metabolism increase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{"citationItems":[{"id":"ITEM-1","itemData":{"DOI":"10.1136/oem.8.4.226","ISSN":"1351-0711","abstract":"This paper records experimental work with animals on the toxicity and mode of action of dinitro-ortho-cresol (DNOC or DNC), a compound widely used in agriculture, and occasionally responsible for the death of men handling it in the field. Most of the data on the toxicity of the related compound dinitro-phenol (DNP) was published in the decade after the 1914-18 war. During that war DNP had been manufactured in large quantities, and many cases of poisoning had occurred among the munition workers who handled it. Both DNOC and DNP were widely used for a few years as \" slimming agents \". A number of deaths, as well as many cases of cataract, followed the use of these drugs for this purpose. This earlier work on the toxic properties of DNP and DNOC has been fully reviewed by Magne, Mayer, and Plantefol (1932), by Tainter and Cutting (1933), and by Heymans and Casier (1935). More recently, Ambrose (1942) has published some observations on the toxicity of DNOC, including the effects of repeated injections and the cutaneous application of the drug. In recent times the use of DNOC in agriculture has been greatly extended. Weak solutions (0-01 %) are used as ovicides for insect pests and applied as \"winter washes\" to fruit trees. No casualties of any kind have been reported from among the thousands of people who have used DNOC in this way. Stronger solutions containing up to 20% DNOC have also been used as insecticides and sprayed from aircraft to destroy locusts (Gunn, 1948). Solutions of DNOC (0-5%) are also used as selective herbicides. Such solutions are applied in the early summer to young cereal crops to check weeds. In many cases the solutions have been applied for individual farmers by firms of contract sprayers, among the employees of these firms a number of deaths have occurred within recent years (Hunter, 1950). The deaths amongst agricultural workers have shown that there are a number of problems to be solved. These accidental deaths often occurred with dramatic suddenness among men who had been handling the material for a considerable time. The possibility of cumulative action of DNOC, the value of estimations of blood levels of DNOC in diagnosis and prognosis, and the effect of environmental factors, such as a high external temperature, nutritional state, and alcohol consumption required investigation. In this paper these aspects of DNOC poisoning are examined. The distribution of DNOC in blood and tissues of poisoned animals was observed, and an att…","author":[{"dropping-particle":"","family":"Parker","given":"V H","non-dropping-particle":"","parse-names":false,"suffix":""},{"dropping-particle":"","family":"Barnes","given":"J M","non-dropping-particle":"","parse-names":false,"suffix":""},{"dropping-particle":"","family":"Denz","given":"F A","non-dropping-particle":"","parse-names":false,"suffix":""}],"container-title":"Occupational and Environmental Medicine","id":"ITEM-1","issue":"4","issued":{"date-parts":[["1951","10","1"]]},"page":"226-235","title":"Some Observations on the Toxic Properties of 3:5-Dinitro-Ortho-Cresol","type":"article-journal","volume":"8"},"uris":["http://www.mendeley.com/documents/?uuid=e3db9cde-10d9-46b1-bc83-643fe0a2b0cf"]}],"mendeley":{"formattedCitation":"[19]","plainTextFormattedCitation":"[19]","previouslyFormattedCitation":"[19]"},"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[19]</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Cell membrane disruption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{"citationItems":[{"id":"ITEM-1","itemData":{"author":[{"dropping-particle":"","family":"WHO","given":"","non-dropping-particle":"","parse-names":false,"suffix":""}],"container-title":"Environmental Health Criteria 220","id":"ITEM-1","issued":{"date-parts":[["2000"]]},"number-of-pages":"1-195","title":"DINITRO- ortho -CRESOL","type":"report"},"uris":["http://www.mendeley.com/documents/?uuid=7c1c2f47-f164-4326-8fa7-fd43360c2e4d"]}],"mendeley":{"formattedCitation":"[20]","plainTextFormattedCitation":"[20]","previouslyFormattedCitation":"[20]"},"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[20]</w:t>
            </w:r>
            <w:r w:rsidRPr="00C215EB">
              <w:rPr>
                <w:rFonts w:ascii="Times New Roman" w:hAnsi="Times New Roman" w:cs="Times New Roman"/>
                <w:bCs/>
                <w:sz w:val="24"/>
                <w:szCs w:val="24"/>
                <w:lang w:val="en-US"/>
              </w:rPr>
              <w:fldChar w:fldCharType="end"/>
            </w:r>
          </w:p>
        </w:tc>
      </w:tr>
      <w:tr w:rsidR="008E041A" w:rsidRPr="00C215EB" w:rsidTr="00A04BA8">
        <w:trPr>
          <w:cantSplit/>
          <w:trHeight w:val="152"/>
          <w:jc w:val="center"/>
        </w:trPr>
        <w:tc>
          <w:tcPr>
            <w:tcW w:w="101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2,4-Dinitrophenol (2,4-DNP)</w:t>
            </w:r>
          </w:p>
        </w:tc>
        <w:tc>
          <w:tcPr>
            <w:tcW w:w="609"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Phenol</w:t>
            </w:r>
          </w:p>
        </w:tc>
        <w:tc>
          <w:tcPr>
            <w:tcW w:w="68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Pesticide, antiseptic</w:t>
            </w:r>
          </w:p>
        </w:tc>
        <w:tc>
          <w:tcPr>
            <w:tcW w:w="68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Bone marrow, nervous system, heart, liver</w:t>
            </w:r>
          </w:p>
        </w:tc>
        <w:tc>
          <w:tcPr>
            <w:tcW w:w="2012" w:type="pct"/>
          </w:tcPr>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Uncoupling of oxidative phosphorylation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{"citationItems":[{"id":"ITEM-1","itemData":{"DOI":"10.1007/s13181-011-0162-6","ISBN":"1556-9039","ISSN":"15569039","PMID":"21739343","abstract":"2,4-Dinitrophenol (DNP) is reported to cause rapid loss of weight, but unfortunately is associated with an unacceptably high rate of significant adverse effects. DNP is sold mostly over the internet under a number of different names as a weight loss/slimming aid. It causes uncoupling of oxidative phosphorylation; the classic symptom complex associated with toxicity of phenol-based products such as DNP is a combination of hyperthermia, tachycardia, diaphoresis and tachypnoea, eventually leading to death. Fatalities related to exposure to DNP have been reported since the turn of the twentieth century. To date, there have been 62 published deaths in the medical literature attributed to DNP. In this review, we will describe the pattern and pathophysiology of DNP toxicity and summarise the previous fatalities associated with exposure to DNP.","author":[{"dropping-particle":"","family":"Grundlingh","given":"Johann","non-dropping-particle":"","parse-names":false,"suffix":""},{"dropping-particle":"","family":"Dargan","given":"Paul I.","non-dropping-particle":"","parse-names":false,"suffix":""},{"dropping-particle":"","family":"El-Zanfaly","given":"Marwa","non-dropping-particle":"","parse-names":false,"suffix":""},{"dropping-particle":"","family":"Wood","given":"David M.","non-dropping-particle":"","parse-names":false,"suffix":""}],"container-title":"Journal of Medical Toxicology","id":"ITEM-1","issue":"3","issued":{"date-parts":[["2011"]]},"page":"205-212","title":"2,4-Dinitrophenol (DNP): A Weight Loss Agent with Significant Acute Toxicity and Risk of Death","type":"article-journal","volume":"7"},"uris":["http://www.mendeley.com/documents/?uuid=61d2657a-4de3-4f40-88bc-7e807f4bd697"]}],"mendeley":{"formattedCitation":"[21]","plainTextFormattedCitation":"[21]","previouslyFormattedCitation":"[21]"},"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[21]</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Glycolysis stimulation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{"citationItems":[{"id":"ITEM-1","itemData":{"DOI":"10.1007/s13181-011-0162-6","ISBN":"1556-9039","ISSN":"15569039","PMID":"21739343","abstract":"2,4-Dinitrophenol (DNP) is reported to cause rapid loss of weight, but unfortunately is associated with an unacceptably high rate of significant adverse effects. DNP is sold mostly over the internet under a number of different names as a weight loss/slimming aid. It causes uncoupling of oxidative phosphorylation; the classic symptom complex associated with toxicity of phenol-based products such as DNP is a combination of hyperthermia, tachycardia, diaphoresis and tachypnoea, eventually leading to death. Fatalities related to exposure to DNP have been reported since the turn of the twentieth century. To date, there have been 62 published deaths in the medical literature attributed to DNP. In this review, we will describe the pattern and pathophysiology of DNP toxicity and summarise the previous fatalities associated with exposure to DNP.","author":[{"dropping-particle":"","family":"Grundlingh","given":"Johann","non-dropping-particle":"","parse-names":false,"suffix":""},{"dropping-particle":"","family":"Dargan","given":"Paul I.","non-dropping-particle":"","parse-names":false,"suffix":""},{"dropping-particle":"","family":"El-Zanfaly","given":"Marwa","non-dropping-particle":"","parse-names":false,"suffix":""},{"dropping-particle":"","family":"Wood","given":"David M.","non-dropping-particle":"","parse-names":false,"suffix":""}],"container-title":"Journal of Medical Toxicology","id":"ITEM-1","issue":"3","issued":{"date-parts":[["2011"]]},"page":"205-212","title":"2,4-Dinitrophenol (DNP): A Weight Loss Agent with Significant Acute Toxicity and Risk of Death","type":"article-journal","volume":"7"},"uris":["http://www.mendeley.com/documents/?uuid=61d2657a-4de3-4f40-88bc-7e807f4bd697"]}],"mendeley":{"formattedCitation":"[21]","plainTextFormattedCitation":"[21]","previouslyFormattedCitation":"[21]"},"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[21]</w:t>
            </w:r>
            <w:r w:rsidRPr="00C215EB">
              <w:rPr>
                <w:rFonts w:ascii="Times New Roman" w:hAnsi="Times New Roman" w:cs="Times New Roman"/>
                <w:bCs/>
                <w:sz w:val="24"/>
                <w:szCs w:val="24"/>
                <w:lang w:val="en-US"/>
              </w:rPr>
              <w:fldChar w:fldCharType="end"/>
            </w:r>
          </w:p>
        </w:tc>
      </w:tr>
      <w:tr w:rsidR="008E041A" w:rsidRPr="00C215EB" w:rsidTr="00A04BA8">
        <w:trPr>
          <w:cnfStyle w:val="000000100000" w:firstRow="0" w:lastRow="0" w:firstColumn="0" w:lastColumn="0" w:oddVBand="0" w:evenVBand="0" w:oddHBand="1" w:evenHBand="0" w:firstRowFirstColumn="0" w:firstRowLastColumn="0" w:lastRowFirstColumn="0" w:lastRowLastColumn="0"/>
          <w:cantSplit/>
          <w:trHeight w:val="152"/>
          <w:jc w:val="center"/>
        </w:trPr>
        <w:tc>
          <w:tcPr>
            <w:tcW w:w="101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Ethanol</w:t>
            </w:r>
          </w:p>
        </w:tc>
        <w:tc>
          <w:tcPr>
            <w:tcW w:w="609"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Alcohol</w:t>
            </w:r>
          </w:p>
        </w:tc>
        <w:tc>
          <w:tcPr>
            <w:tcW w:w="68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Solvent, disinfectant</w:t>
            </w:r>
          </w:p>
        </w:tc>
        <w:tc>
          <w:tcPr>
            <w:tcW w:w="68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Neuronal system</w:t>
            </w:r>
          </w:p>
        </w:tc>
        <w:tc>
          <w:tcPr>
            <w:tcW w:w="2012" w:type="pct"/>
            <w:tcBorders>
              <w:top w:val="none" w:sz="0" w:space="0" w:color="auto"/>
              <w:bottom w:val="none" w:sz="0" w:space="0" w:color="auto"/>
            </w:tcBorders>
          </w:tcPr>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GABA receptor interaction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{"citationItems":[{"id":"ITEM-1","itemData":{"DOI":"10.1007/s00213-009-1562-z","ISBN":"1432-2072 (Electronic)\\r0033-3158 (Linking)","ISSN":"00333158","PMID":"19455309","abstract":"The past decade has brought many advances in our understanding of GABA(A) receptor-mediated ethanol action in the central nervous system. We now know that specific GABA(A) receptor subtypes are sensitive to ethanol at doses attained during social drinking while other subtypes respond to ethanol at doses attained by severe intoxication. Furthermore, ethanol increases GABAergic neurotransmission through indirect effects, including the elevation of endogenous GABAergic neuroactive steroids, presynaptic release of GABA, and dephosphorylation of GABA(A) receptors promoting increases in GABA sensitivity. Ethanol's effects on intracellular signaling also influence GABAergic transmission in multiple ways that vary across brain regions and cell types. The effects of chronic ethanol administration are influenced by adaptations in GABA(A) receptor function, expression, trafficking, and subcellular localization that contribute to ethanol tolerance, dependence, and withdrawal hyperexcitability. Adolescents exhibit altered sensitivity to ethanol actions, the tendency for higher drinking and longer lasting GABAergic adaptations to chronic ethanol administration. The elucidation of the mechanisms that underlie adaptations to ethanol exposure are leading to a better understanding of the regulation of inhibitory transmission and new targets for therapies to support recovery from ethanol withdrawal and alcoholism.","author":[{"dropping-particle":"","family":"Kumar","given":"Sandeep","non-dropping-particle":"","parse-names":false,"suffix":""},{"dropping-particle":"","family":"Porcu","given":"Patrizia","non-dropping-particle":"","parse-names":false,"suffix":""},{"dropping-particle":"","family":"Werner","given":"David F.","non-dropping-particle":"","parse-names":false,"suffix":""},{"dropping-particle":"","family":"Matthews","given":"Douglas B.","non-dropping-particle":"","parse-names":false,"suffix":""},{"dropping-particle":"","family":"Diaz-Granados","given":"Jaime L.","non-dropping-particle":"","parse-names":false,"suffix":""},{"dropping-particle":"","family":"Helfand","given":"Rebecca S.","non-dropping-particle":"","parse-names":false,"suffix":""},{"dropping-particle":"","family":"Morrow","given":"A. Leslie","non-dropping-particle":"","parse-names":false,"suffix":""}],"container-title":"Psychopharmacology","id":"ITEM-1","issue":"4","issued":{"date-parts":[["2009"]]},"page":"529-564","title":"The role of GABAAreceptors in the acute and chronic effects of ethanol: A decade of progress","type":"article-journal","volume":"205"},"uris":["http://www.mendeley.com/documents/?uuid=d853c23d-8dc2-46fe-aef6-74b7ee7c2629"]}],"mendeley":{"formattedCitation":"[22]","plainTextFormattedCitation":"[22]","previouslyFormattedCitation":"[22]"},"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[22]</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Serotonin receptor interaction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{"citationItems":[{"id":"ITEM-1","itemData":{"DOI":"10.1007/s00213-009-1562-z","ISBN":"1432-2072 (Electronic)\\r0033-3158 (Linking)","ISSN":"00333158","PMID":"19455309","abstract":"The past decade has brought many advances in our understanding of GABA(A) receptor-mediated ethanol action in the central nervous system. We now know that specific GABA(A) receptor subtypes are sensitive to ethanol at doses attained during social drinking while other subtypes respond to ethanol at doses attained by severe intoxication. Furthermore, ethanol increases GABAergic neurotransmission through indirect effects, including the elevation of endogenous GABAergic neuroactive steroids, presynaptic release of GABA, and dephosphorylation of GABA(A) receptors promoting increases in GABA sensitivity. Ethanol's effects on intracellular signaling also influence GABAergic transmission in multiple ways that vary across brain regions and cell types. The effects of chronic ethanol administration are influenced by adaptations in GABA(A) receptor function, expression, trafficking, and subcellular localization that contribute to ethanol tolerance, dependence, and withdrawal hyperexcitability. Adolescents exhibit altered sensitivity to ethanol actions, the tendency for higher drinking and longer lasting GABAergic adaptations to chronic ethanol administration. The elucidation of the mechanisms that underlie adaptations to ethanol exposure are leading to a better understanding of the regulation of inhibitory transmission and new targets for therapies to support recovery from ethanol withdrawal and alcoholism.","author":[{"dropping-particle":"","family":"Kumar","given":"Sandeep","non-dropping-particle":"","parse-names":false,"suffix":""},{"dropping-particle":"","family":"Porcu","given":"Patrizia","non-dropping-particle":"","parse-names":false,"suffix":""},{"dropping-particle":"","family":"Werner","given":"David F.","non-dropping-particle":"","parse-names":false,"suffix":""},{"dropping-particle":"","family":"Matthews","given":"Douglas B.","non-dropping-particle":"","parse-names":false,"suffix":""},{"dropping-particle":"","family":"Diaz-Granados","given":"Jaime L.","non-dropping-particle":"","parse-names":false,"suffix":""},{"dropping-particle":"","family":"Helfand","given":"Rebecca S.","non-dropping-particle":"","parse-names":false,"suffix":""},{"dropping-particle":"","family":"Morrow","given":"A. Leslie","non-dropping-particle":"","parse-names":false,"suffix":""}],"container-title":"Psychopharmacology","id":"ITEM-1","issue":"4","issued":{"date-parts":[["2009"]]},"page":"529-564","title":"The role of GABAAreceptors in the acute and chronic effects of ethanol: A decade of progress","type":"article-journal","volume":"205"},"uris":["http://www.mendeley.com/documents/?uuid=d853c23d-8dc2-46fe-aef6-74b7ee7c2629"]}],"mendeley":{"formattedCitation":"[22]","plainTextFormattedCitation":"[22]","previouslyFormattedCitation":"[22]"},"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[22]</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sz w:val="24"/>
                <w:szCs w:val="24"/>
                <w:lang w:val="en-US"/>
              </w:rPr>
            </w:pPr>
            <w:r w:rsidRPr="00C215EB">
              <w:rPr>
                <w:rFonts w:ascii="Times New Roman" w:hAnsi="Times New Roman" w:cs="Times New Roman"/>
                <w:bCs/>
                <w:sz w:val="24"/>
                <w:szCs w:val="24"/>
                <w:lang w:val="en-US"/>
              </w:rPr>
              <w:t xml:space="preserve">Acetylcholine receptor (AChE) interaction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{"citationItems":[{"id":"ITEM-1","itemData":{"DOI":"10.1016/S0197-0186(99)00054-6","ISBN":"0197-0186 (Print)\\r0197-0186 (Linking)","ISSN":"01970186","PMID":"10405996","abstract":"The 5-HT3receptor is a ligand-gated ion channel activated by the neurotransmitter serotonin. Receptors of this subtype have been localized to several regions of the brain, and appear to be involved in many neuronal functions including responses to alcohol and other drugs of abuse. There is an extensive and growing literature indicating that 5-HT3receptors are involved in several facets of alcohol seeking behavior, alcohol intoxication and addiction. In addition, there is strong evidence that alcohols, including ethanol, alter the function of the 5-HT3receptor, possibly through actions on the receptor protein itself. In this article, our current understanding of the role of the 5-HT3receptor in alcohol abuse and alcoholism will be reviewed. In addition, an overview of current understanding of the mechanism of alcohol actions of the receptor is provided. Copyright (C) 1999 Elsevier Science Ltd.","author":[{"dropping-particle":"","family":"Lovinger","given":"David M.","non-dropping-particle":"","parse-names":false,"suffix":""}],"container-title":"Neurochemistry International","id":"ITEM-1","issue":"2","issued":{"date-parts":[["1999"]]},"page":"125-130","title":"5-HT3 receptors and the neural actions of alcohols: An increasingly exciting topic","type":"article-journal","volume":"35"},"uris":["http://www.mendeley.com/documents/?uuid=7f60ff9e-0a3f-4372-920e-65ba69235c69"]}],"mendeley":{"formattedCitation":"[23]","plainTextFormattedCitation":"[23]","previouslyFormattedCitation":"[23]"},"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[23]</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i/>
                <w:iCs/>
                <w:sz w:val="24"/>
                <w:szCs w:val="24"/>
                <w:lang w:val="en-US"/>
              </w:rPr>
              <w:t>N</w:t>
            </w:r>
            <w:r w:rsidRPr="00C215EB">
              <w:rPr>
                <w:rFonts w:ascii="Times New Roman" w:hAnsi="Times New Roman" w:cs="Times New Roman"/>
                <w:sz w:val="24"/>
                <w:szCs w:val="24"/>
                <w:lang w:val="en-US"/>
              </w:rPr>
              <w:t xml:space="preserve">-Methyl-D-aspartic acid </w:t>
            </w:r>
            <w:r w:rsidRPr="00C215EB">
              <w:rPr>
                <w:rFonts w:ascii="Times New Roman" w:hAnsi="Times New Roman" w:cs="Times New Roman"/>
                <w:bCs/>
                <w:sz w:val="24"/>
                <w:szCs w:val="24"/>
                <w:lang w:val="en-US"/>
              </w:rPr>
              <w:t xml:space="preserve">(NMDA) receptor functioning inhibition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{"citationItems":[{"id":"ITEM-1","itemData":{"DOI":"10.1016/S0197-0186(99)00054-6","ISBN":"0197-0186 (Print)\\r0197-0186 (Linking)","ISSN":"01970186","PMID":"10405996","abstract":"The 5-HT3receptor is a ligand-gated ion channel activated by the neurotransmitter serotonin. Receptors of this subtype have been localized to several regions of the brain, and appear to be involved in many neuronal functions including responses to alcohol and other drugs of abuse. There is an extensive and growing literature indicating that 5-HT3receptors are involved in several facets of alcohol seeking behavior, alcohol intoxication and addiction. In addition, there is strong evidence that alcohols, including ethanol, alter the function of the 5-HT3receptor, possibly through actions on the receptor protein itself. In this article, our current understanding of the role of the 5-HT3receptor in alcohol abuse and alcoholism will be reviewed. In addition, an overview of current understanding of the mechanism of alcohol actions of the receptor is provided. Copyright (C) 1999 Elsevier Science Ltd.","author":[{"dropping-particle":"","family":"Lovinger","given":"David M.","non-dropping-particle":"","parse-names":false,"suffix":""}],"container-title":"Neurochemistry International","id":"ITEM-1","issue":"2","issued":{"date-parts":[["1999"]]},"page":"125-130","title":"5-HT3 receptors and the neural actions of alcohols: An increasingly exciting topic","type":"article-journal","volume":"35"},"uris":["http://www.mendeley.com/documents/?uuid=7f60ff9e-0a3f-4372-920e-65ba69235c69"]}],"mendeley":{"formattedCitation":"[23]","plainTextFormattedCitation":"[23]","previouslyFormattedCitation":"[23]"},"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[23]</w:t>
            </w:r>
            <w:r w:rsidRPr="00C215EB">
              <w:rPr>
                <w:rFonts w:ascii="Times New Roman" w:hAnsi="Times New Roman" w:cs="Times New Roman"/>
                <w:bCs/>
                <w:sz w:val="24"/>
                <w:szCs w:val="24"/>
                <w:lang w:val="en-US"/>
              </w:rPr>
              <w:fldChar w:fldCharType="end"/>
            </w:r>
          </w:p>
        </w:tc>
      </w:tr>
      <w:tr w:rsidR="008E041A" w:rsidRPr="00C215EB" w:rsidTr="00A04BA8">
        <w:trPr>
          <w:cantSplit/>
          <w:trHeight w:val="231"/>
          <w:jc w:val="center"/>
        </w:trPr>
        <w:tc>
          <w:tcPr>
            <w:tcW w:w="101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2-Ethylbutyric acid</w:t>
            </w:r>
          </w:p>
        </w:tc>
        <w:tc>
          <w:tcPr>
            <w:tcW w:w="609"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Fatty acid</w:t>
            </w:r>
          </w:p>
        </w:tc>
        <w:tc>
          <w:tcPr>
            <w:tcW w:w="68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VPA metabolite / analogue</w:t>
            </w:r>
          </w:p>
        </w:tc>
        <w:tc>
          <w:tcPr>
            <w:tcW w:w="2695" w:type="pct"/>
            <w:gridSpan w:val="2"/>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No published effects available on affected organs or biological effects.</w:t>
            </w:r>
          </w:p>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Substance selected for structural similarity to valproic acid.</w:t>
            </w:r>
          </w:p>
        </w:tc>
      </w:tr>
      <w:tr w:rsidR="008E041A" w:rsidRPr="00C215EB" w:rsidTr="00A04BA8">
        <w:trPr>
          <w:cnfStyle w:val="000000100000" w:firstRow="0" w:lastRow="0" w:firstColumn="0" w:lastColumn="0" w:oddVBand="0" w:evenVBand="0" w:oddHBand="1" w:evenHBand="0" w:firstRowFirstColumn="0" w:firstRowLastColumn="0" w:lastRowFirstColumn="0" w:lastRowLastColumn="0"/>
          <w:cantSplit/>
          <w:trHeight w:val="1088"/>
          <w:jc w:val="center"/>
        </w:trPr>
        <w:tc>
          <w:tcPr>
            <w:tcW w:w="101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2-Ethylhexanoic acid</w:t>
            </w:r>
          </w:p>
        </w:tc>
        <w:tc>
          <w:tcPr>
            <w:tcW w:w="609"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Fatty acid</w:t>
            </w:r>
          </w:p>
        </w:tc>
        <w:tc>
          <w:tcPr>
            <w:tcW w:w="68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VPA metabolite, artificial flavoring, preserving agent</w:t>
            </w:r>
          </w:p>
        </w:tc>
        <w:tc>
          <w:tcPr>
            <w:tcW w:w="68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Liver, kidney, neuronal system</w:t>
            </w:r>
          </w:p>
        </w:tc>
        <w:tc>
          <w:tcPr>
            <w:tcW w:w="2012" w:type="pct"/>
            <w:tcBorders>
              <w:top w:val="none" w:sz="0" w:space="0" w:color="auto"/>
              <w:bottom w:val="none" w:sz="0" w:space="0" w:color="auto"/>
            </w:tcBorders>
          </w:tcPr>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Peroxisome proliferation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{"citationItems":[{"id":"ITEM-1","itemData":{"DOI":"10.1016/s0378-4274(00)00243-5","ISSN":"0378-4274","PMID":"11033236","abstract":"2-Ethylhexanoic acid (2-EHA), is an industrial chemical and a toxic biotransformation product of the plasticizer di(2-ethylhexyl)phthalate. Its immunological effects are unknown. 2-EHA resembles structurally C18 fatty acids, which are known activators of respiratory burst in human polymorphonuclear leukocytes (PMNL). Therefore, we exposed PMNL to 2-EHA in vitro and measured the production of reactive oxygen species (ROS) and explored the associated cellular mechanisms. 2-EHA (10-2000 microM) inhibited dose-dependently formyl-methionyl-leucyl-phenylalanine (FMLP)-induced respiratory burst in PMNL. Moreover, 2-EHA decreased oxidative burst evoked by the protein kinase C (PKC) activators, phorbol myristate acetate (PMA) and dioctanoyl-s,n-glycerol (DIC(8)). 2-EHA affected neither the levels of free intracellular calcium nor inhibited PKC. The results indicate that 2-EHA inhibits activation of PMNL to produce ROS, i.e. has an immunosuppressive effect in vitro. The site of action in the PKC is after activation of this enzyme.","author":[{"dropping-particle":"","family":"Pennanen","given":"S M","non-dropping-particle":"","parse-names":false,"suffix":""},{"dropping-particle":"","family":"Heiskanen","given":"Kaisa M","non-dropping-particle":"","parse-names":false,"suffix":""},{"dropping-particle":"","family":"Savolainen","given":"Kai M","non-dropping-particle":"","parse-names":false,"suffix":""},{"dropping-particle":"","family":"Komulainen","given":"H","non-dropping-particle":"","parse-names":false,"suffix":""}],"container-title":"Toxicology letters","id":"ITEM-1","issue":"1-2","issued":{"date-parts":[["2000","9","30"]]},"page":"79-84","title":"Effects of 2-ethylhexanoic acid on the production of reactive oxygen species in human polymorphonuclear leukocytes in vitro.","type":"article-journal","volume":"117"},"uris":["http://www.mendeley.com/documents/?uuid=3f9bc20b-d5d3-47dd-997d-31b2834f6a91"]}],"mendeley":{"formattedCitation":"[24]","plainTextFormattedCitation":"[24]","previouslyFormattedCitation":"[24]"},"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[24]</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Urea cycle inhibition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10.1007/BF00316441","ISSN":"0340-5761","author":[{"dropping-particle":"","family":"Manninen","given":"A.","non-dropping-particle":"","parse-names":false,"suffix":""},{"dropping-particle":"","family":"Kröger","given":"S.","non-dropping-particle":"","parse-names":false,"suffix":""},{"dropping-particle":"","family":"Liesivuori","given":"J.","non-dropping-particle":"","parse-names":false,"suffix":""},{"dropping-particle":"","family":"Savolainen","given":"H.","non-dropping-particle":"","parse-names":false,"suffix":""}],"container-title":"Archives of Toxicology","id":"ITEM-1","issue":"2","issued":{"date-parts":[["1989","4"]]},"page":"160-161","title":"2-Ethylhexanoic acid inhibits urea synthesis and stimulates carnitine acetyltransferase activity in rat liver mitochondria","type":"article-journal","volume":"63"},"uris":["http://www.mendeley.com/documents/?uuid=1ef42aea-adce-4658-a6a1-53ee670d28df"]}],"mendeley":{"formattedCitation":"[25]","plainTextFormattedCitation":"[25]","previouslyFormattedCitation":"[25]"},"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[25]</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PPARα activation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{"citationItems":[{"id":"ITEM-1","itemData":{"DOI":"10.1006/taap.1999.8809","ISSN":"0041008X","author":[{"dropping-particle":"","family":"Maloney","given":"Erin K","non-dropping-particle":"","parse-names":false,"suffix":""},{"dropping-particle":"","family":"Waxman","given":"David J","non-dropping-particle":"","parse-names":false,"suffix":""}],"container-title":"Toxicology and Applied Pharmacology","id":"ITEM-1","issue":"2","issued":{"date-parts":[["1999","12"]]},"page":"209-218","title":"trans-Activation of PPARα and PPARγ by Structurally Diverse Environmental Chemicals","type":"article-journal","volume":"161"},"uris":["http://www.mendeley.com/documents/?uuid=a6c21142-f9a5-4c2b-9ebd-db2bbc254997"]}],"mendeley":{"formattedCitation":"[26]","plainTextFormattedCitation":"[26]","previouslyFormattedCitation":"[26]"},"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[26]</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CYP induction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10.1006/taap.1995.1066","ISSN":"0041008X","author":[{"dropping-particle":"","family":"Hamdoune","given":"Mohamed","non-dropping-particle":"","parse-names":false,"suffix":""},{"dropping-particle":"","family":"Duclos","given":"Sandrine","non-dropping-particle":"","parse-names":false,"suffix":""},{"dropping-particle":"","family":"Mounie","given":"Jacques","non-dropping-particle":"","parse-names":false,"suffix":""},{"dropping-particle":"","family":"Santona","given":"Lionel","non-dropping-particle":"","parse-names":false,"suffix":""},{"dropping-particle":"","family":"Lhuguenot","given":"J.C.","non-dropping-particle":"","parse-names":false,"suffix":""},{"dropping-particle":"","family":"Magdalou","given":"Jaques","non-dropping-particle":"","parse-names":false,"suffix":""},{"dropping-particle":"","family":"Goudonnet","given":"H.","non-dropping-particle":"","parse-names":false,"suffix":""}],"container-title":"Toxicology and Applied Pharmacology","id":"ITEM-1","issue":"2","issued":{"date-parts":[["1995","4"]]},"page":"235-243","title":"In Vitro Glucuronidation of Peroxisomal Proliferators: 2-Ethylhexanoic Acid Enantiomers and Their Structural Analogs","type":"article-journal","volume":"131"},"uris":["http://www.mendeley.com/documents/?uuid=503e7e99-16e1-49ee-9f79-bc70f4f6073e"]}],"mendeley":{"formattedCitation":"[27]","plainTextFormattedCitation":"[27]","previouslyFormattedCitation":"[27]"},"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[27]</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Histone deacetylases (HDAC) inhibition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{"citationItems":[{"id":"ITEM-1","itemData":{"DOI":"10.1096/fj.04-3425fje","ISSN":"0892-6638","abstract":"Chemically induced birth defects are an important public health and human problem. Here we use Xenopus and zebrafish as models to investigate the mechanism of action of a well-known teratogen, valproic acid (VPA). VPA is a drug used in treatment of epilepsy and bipolar disorder but causes spina bifida if taken during pregnancy. VPA has several biochemical activities, including inhibition of histone deacetylases (HDACs). To investigate the mechanism of action of VPA, we compared its effects in Xenopus and zebrafish embryos with those of known HDAC inhibitors and noninhibitory VPA analogs. We found that VPA and other HDAC inhibitors cause very similar and characteristic developmental defects whereas VPA analogs with poor inhibitory activity in vivo have little teratogenic effect. Unbiased microarray analysis revealed that the effects of VPA and trichostatin A (TSA), a structurally unrelated HDAC inhibitor, are strikingly concordant. The concordance is apparent both by en masse correlation of fold-changes and by detailed similarity of dose-response profiles of individual genes. Together, the results demonstrate that the teratogenic effects of VPA are very likely mediated specifically by inhibition of HDACs.","author":[{"dropping-particle":"","family":"Gurvich","given":"Nadia","non-dropping-particle":"","parse-names":false,"suffix":""},{"dropping-particle":"","family":"Berman","given":"Melissa G.","non-dropping-particle":"","parse-names":false,"suffix":""},{"dropping-particle":"","family":"Wittner","given":"Ben S.","non-dropping-particle":"","parse-names":false,"suffix":""},{"dropping-particle":"","family":"Gentleman","given":"Robert C.","non-dropping-particle":"","parse-names":false,"suffix":""},{"dropping-particle":"","family":"Klein","given":"Peter S.","non-dropping-particle":"","parse-names":false,"suffix":""},{"dropping-particle":"","family":"Green","given":"Jeremy B. A.","non-dropping-particle":"","parse-names":false,"suffix":""}],"container-title":"The FASEB Journal","id":"ITEM-1","issue":"9","issued":{"date-parts":[["2005","7","18"]]},"page":"1166-1168","title":"Association of valproate‐induced teratogenesis with histone deacetylase inhibition in vivo","type":"article-journal","volume":"19"},"uris":["http://www.mendeley.com/documents/?uuid=c689fdf0-af31-4f38-864a-b3d0e323dd8e"]}],"mendeley":{"formattedCitation":"[28]","plainTextFormattedCitation":"[28]","previouslyFormattedCitation":"[28]"},"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[28]</w:t>
            </w:r>
            <w:r w:rsidRPr="00C215EB">
              <w:rPr>
                <w:rFonts w:ascii="Times New Roman" w:hAnsi="Times New Roman" w:cs="Times New Roman"/>
                <w:bCs/>
                <w:sz w:val="24"/>
                <w:szCs w:val="24"/>
                <w:lang w:val="en-US"/>
              </w:rPr>
              <w:fldChar w:fldCharType="end"/>
            </w:r>
          </w:p>
        </w:tc>
      </w:tr>
      <w:tr w:rsidR="008E041A" w:rsidRPr="00C215EB" w:rsidTr="00A04BA8">
        <w:trPr>
          <w:cantSplit/>
          <w:trHeight w:val="152"/>
          <w:jc w:val="center"/>
        </w:trPr>
        <w:tc>
          <w:tcPr>
            <w:tcW w:w="101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lastRenderedPageBreak/>
              <w:t>Hexachlorophene</w:t>
            </w:r>
          </w:p>
        </w:tc>
        <w:tc>
          <w:tcPr>
            <w:tcW w:w="609"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Organochlorine</w:t>
            </w:r>
          </w:p>
        </w:tc>
        <w:tc>
          <w:tcPr>
            <w:tcW w:w="68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Fungicide, acaricide, antibiotic, flukicide</w:t>
            </w:r>
          </w:p>
        </w:tc>
        <w:tc>
          <w:tcPr>
            <w:tcW w:w="68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Liver, kidney, nervous system</w:t>
            </w:r>
          </w:p>
        </w:tc>
        <w:tc>
          <w:tcPr>
            <w:tcW w:w="2012" w:type="pct"/>
          </w:tcPr>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Membrane-bound electron transport chain inhibition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{"citationItems":[{"id":"ITEM-1","itemData":{"DOI":"10.1371/journal.pone.0051820","ISBN":"1932-6203 (Electronic)\\r1932-6203 (Linking)","ISSN":"19326203","PMID":"23251633","abstract":"The voltage-gated KCNQ1 potassium channel is expressed in cardiac tissues, and coassembly of KCNQ1 with an auxiliary KCNE1 subunit mediates a slowly activating current that accelerates the repolarization of action potential in cardiomyocytes. Mutations of KCNQ1 genes that result in reduction or loss of channel activity cause prolongation of repolarization during action potential, thereby causing long QT syndrome (LQTs). Small molecule activators of KCNQ1/KCNE1 are useful both for understanding the mechanism of the complex activity and for developing therapeutics for LQTs. In this study we report that hexachlorophene (HCP), the active component of the topical anti-infective prescription drug pHisoHex, is a KCNQ1/KCNE1 activator. HCP potently increases the current amplitude of KCNQ1/KCNE1 expressed by stabilizing the channel in an open state with an EC(50) of 4.61 ± 1.29 μM. Further studies in cardiomyocytes showed that HCP significantly shortens the action potential duration at 1 μM. In addition, HCP is capable of rescuing the loss of function of the LQTs mutants caused by either impaired activation gating or phosphatidylinositol-4,5-bisphosphate (PIP2) binding affinity. Our results indicate HCP is a novel KCNQ1/KCNE1 activator and may be a useful tool compound for the development of LQTs therapeutics.","author":[{"dropping-particle":"","family":"Zheng","given":"Yueming","non-dropping-particle":"","parse-names":false,"suffix":""},{"dropping-particle":"","family":"Zhu","given":"Xuejing","non-dropping-particle":"","parse-names":false,"suffix":""},{"dropping-particle":"","family":"Zhou","given":"Pingzheng","non-dropping-particle":"","parse-names":false,"suffix":""},{"dropping-particle":"","family":"Lan","given":"Xi","non-dropping-particle":"","parse-names":false,"suffix":""},{"dropping-particle":"","family":"Xu","given":"Haiyan","non-dropping-particle":"","parse-names":false,"suffix":""},{"dropping-particle":"","family":"Li","given":"Min","non-dropping-particle":"","parse-names":false,"suffix":""},{"dropping-particle":"","family":"Gao","given":"Zhaobing","non-dropping-particle":"","parse-names":false,"suffix":""}],"container-title":"PLoS ONE","id":"ITEM-1","issue":"12","issued":{"date-parts":[["2012"]]},"page":"1-9","title":"Hexachlorophene Is a Potent KCNQ1/KCNE1 Potassium Channel Activator Which Rescues LQTs Mutants","type":"article-journal","volume":"7"},"uris":["http://www.mendeley.com/documents/?uuid=a67eb50a-63d3-411d-be9d-e10ec8d1f7c8"]}],"mendeley":{"formattedCitation":"[29]","plainTextFormattedCitation":"[29]","previouslyFormattedCitation":"[29]"},"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[29]</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Lesions in white matter of neural cord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{"citationItems":[{"id":"ITEM-1","itemData":{"DOI":"10.1007/BF00697186","ISSN":"00016322","PMID":"7211199","abstract":"A study on hexachlorophene encephalopathy in mice and baboons is reported. By light microscopy, a severe spongiform lesion of the central nervous system (CNS) was localized in the white matter, without myelin breakdown or cellular reaction. By electron microscopy, the myelin alteration was characterized by wide intralamellar spaces or \"splitting\" developed in the intraperiod line of compact sheaths. The acute changes described were induced by administration of the drug by the digestive or cutaneous routes at various dosage levels in an aqueous solution or in talcum powder. The toxic effects depended on the age of the animals, the survival times and the concentrations of hexachlorophene, i.e., 6%, 3%, and 0.5%. The findings are compared with previous reports on the neurotoxicity of hexachlorophene and other chemicals in human and experimental animals. Hexachlorophene cannot be recommended for use in young infants because of its neurotoxicity in very low doses as demonstrated in the present report.","author":[{"dropping-particle":"","family":"Tripier","given":"M. F.","non-dropping-particle":"","parse-names":false,"suffix":""},{"dropping-particle":"","family":"Bérard","given":"M.","non-dropping-particle":"","parse-names":false,"suffix":""},{"dropping-particle":"","family":"Toga","given":"M.","non-dropping-particle":"","parse-names":false,"suffix":""},{"dropping-particle":"","family":"Martin-Bouyer","given":"G.","non-dropping-particle":"","parse-names":false,"suffix":""},{"dropping-particle":"","family":"Breton","given":"R.","non-dropping-particle":"Le","parse-names":false,"suffix":""},{"dropping-particle":"","family":"Garat","given":"J.","non-dropping-particle":"","parse-names":false,"suffix":""}],"container-title":"Acta Neuropathologica","id":"ITEM-1","issue":"1","issued":{"date-parts":[["1981"]]},"page":"65-74","title":"Hexachlorophene and the central nervous system - Toxic effects in mice and baboons","type":"article-journal","volume":"53"},"uris":["http://www.mendeley.com/documents/?uuid=f4edcee2-0233-4044-9962-47c4bbf93346"]}],"mendeley":{"formattedCitation":"[30]","plainTextFormattedCitation":"[30]","previouslyFormattedCitation":"[30]"},"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[30]</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Vacuolar degeneration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{"citationItems":[{"id":"ITEM-1","itemData":{"author":[{"dropping-particle":"","family":"WHO","given":"","non-dropping-particle":"","parse-names":false,"suffix":""}],"container-title":"World Health Publications","id":"ITEM-1","issued":{"date-parts":[["2006"]]},"number-of-pages":"1-216","title":"World Alliance for Patient Safety WHO Guidelines on Hand Hygene in Helath Care Global Patient safety challenge 2005-2006: Clean Care is Safer Care","type":"report"},"uris":["http://www.mendeley.com/documents/?uuid=1636451e-6d61-4634-9482-6cec3085a8d7"]}],"mendeley":{"formattedCitation":"[31]","plainTextFormattedCitation":"[31]","previouslyFormattedCitation":"[31]"},"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[31]</w:t>
            </w:r>
            <w:r w:rsidRPr="00C215EB">
              <w:rPr>
                <w:rFonts w:ascii="Times New Roman" w:hAnsi="Times New Roman" w:cs="Times New Roman"/>
                <w:bCs/>
                <w:sz w:val="24"/>
                <w:szCs w:val="24"/>
                <w:lang w:val="en-US"/>
              </w:rPr>
              <w:fldChar w:fldCharType="end"/>
            </w:r>
          </w:p>
        </w:tc>
      </w:tr>
      <w:tr w:rsidR="008E041A" w:rsidRPr="00C215EB" w:rsidTr="00A04BA8">
        <w:trPr>
          <w:cnfStyle w:val="000000100000" w:firstRow="0" w:lastRow="0" w:firstColumn="0" w:lastColumn="0" w:oddVBand="0" w:evenVBand="0" w:oddHBand="1" w:evenHBand="0" w:firstRowFirstColumn="0" w:firstRowLastColumn="0" w:lastRowFirstColumn="0" w:lastRowLastColumn="0"/>
          <w:cantSplit/>
          <w:trHeight w:val="152"/>
          <w:jc w:val="center"/>
        </w:trPr>
        <w:tc>
          <w:tcPr>
            <w:tcW w:w="101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Hexanoic acid</w:t>
            </w:r>
          </w:p>
        </w:tc>
        <w:tc>
          <w:tcPr>
            <w:tcW w:w="609"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Fatty acid</w:t>
            </w:r>
          </w:p>
        </w:tc>
        <w:tc>
          <w:tcPr>
            <w:tcW w:w="68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Valproic acid metabolite / analogue, artificial flavoring</w:t>
            </w:r>
          </w:p>
        </w:tc>
        <w:tc>
          <w:tcPr>
            <w:tcW w:w="68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Liver, intestines</w:t>
            </w:r>
          </w:p>
        </w:tc>
        <w:tc>
          <w:tcPr>
            <w:tcW w:w="2012" w:type="pct"/>
            <w:tcBorders>
              <w:top w:val="none" w:sz="0" w:space="0" w:color="auto"/>
              <w:bottom w:val="none" w:sz="0" w:space="0" w:color="auto"/>
            </w:tcBorders>
          </w:tcPr>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Fatty acid synthase promotion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{"citationItems":[{"id":"ITEM-1","itemData":{"ISSN":"0021-9258","PMID":"1634532","abstract":"Hexanoate and octanoate inhibit the triiodothyronine (T3)-induced increases in the activities of malic enzyme and fatty acid synthase in chick embryo hepatocytes in culture. Butanoate was less effective as an inhibitor, and palmitate, stearate, and oleate had no effect or small stimulatory effects. Hexanoate and octanoate inhibited the lipogenic enzyme activities at a transcriptional step, and did so within 30 min of addition. Incubation for 2 h in the absence of fatty acid reversed the inhibition of transcription caused by hexanoate. The inhibitory effect of hexanoate was selective because DNA content and transcription of the glyceraldehyde-3-phosphate dehydrogenase and beta-actin genes were not inhibited. Hexanoate-mediated inhibition of transcription rates of the lipogenic genes was not correlated with an inhibition of binding of T3 to its nuclear receptor. 2-Bromooctanoate and carnitine stimulated the T3-induced accumulation of the mRNAs for malic enzyme and fatty acid synthase. The presence of hexanoate stimulated by 2- to 3-fold the increase caused by carnitine, suggesting that hexanoate and carnitine may regulate lipogenic gene expression by a common pathway. Hexanedioate, acetoacetate, beta-hydroxybutyrate, branched chain fatty acids, and branched chain keto acids had little or no effect on abundance of the lipogenic mRNAs. We suggest that the active inhibitor is a metabolite derived from hexanoate or octanoate, possibly an intermediate derived from an acyl-CoA derivative.","author":[{"dropping-particle":"","family":"Roncero","given":"Cesar","non-dropping-particle":"","parse-names":false,"suffix":""},{"dropping-particle":"","family":"Goodridge","given":"Alan G","non-dropping-particle":"","parse-names":false,"suffix":""}],"container-title":"The Journal of biological chemistry","id":"ITEM-1","issue":"21","issued":{"date-parts":[["1992","7","25"]]},"page":"14918-27","title":"Hexanoate and octanoate inhibit transcription of the malic enzyme and fatty acid synthase genes in chick embryo hepatocytes in culture.","type":"article-journal","volume":"267"},"uris":["http://www.mendeley.com/documents/?uuid=208bf26b-624b-4f24-b25a-e418d7bcefe0"]}],"mendeley":{"formattedCitation":"[32]","plainTextFormattedCitation":"[32]","previouslyFormattedCitation":"[32]"},"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[32]</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Medium chain acyl-CoA dehydrogenase deficiency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{"citationItems":[{"id":"ITEM-1","itemData":{"DOI":"10.1172/JCI200111294","ISSN":"0021-9738","author":[{"dropping-particle":"","family":"Clayton","given":"Peter T","non-dropping-particle":"","parse-names":false,"suffix":""},{"dropping-particle":"","family":"Eaton","given":"Simon","non-dropping-particle":"","parse-names":false,"suffix":""},{"dropping-particle":"","family":"Aynsley-Green","given":"Albert","non-dropping-particle":"","parse-names":false,"suffix":""},{"dropping-particle":"","family":"Edginton","given":"Mark","non-dropping-particle":"","parse-names":false,"suffix":""},{"dropping-particle":"","family":"Hussain","given":"Khalid","non-dropping-particle":"","parse-names":false,"suffix":""},{"dropping-particle":"","family":"Krywawych","given":"Steve","non-dropping-particle":"","parse-names":false,"suffix":""},{"dropping-particle":"","family":"Datta","given":"Vipan","non-dropping-particle":"","parse-names":false,"suffix":""},{"dropping-particle":"","family":"Malingré","given":"Helga E.M.","non-dropping-particle":"","parse-names":false,"suffix":""},{"dropping-particle":"","family":"Berger","given":"Ruud","non-dropping-particle":"","parse-names":false,"suffix":""},{"dropping-particle":"","family":"Berg","given":"Inge E.T.","non-dropping-particle":"van den","parse-names":false,"suffix":""}],"container-title":"Journal of Clinical Investigation","id":"ITEM-1","issue":"3","issued":{"date-parts":[["2001","8","1"]]},"page":"457-465","title":"Hyperinsulinism in short-chain L-3-hydroxyacyl-CoA dehydrogenase deficiency reveals the importance of β-oxidation in insulin secretion","type":"article-journal","volume":"108"},"uris":["http://www.mendeley.com/documents/?uuid=6a9f6f31-ce2b-4ceb-a242-d3837c649f04"]}],"mendeley":{"formattedCitation":"[33]","plainTextFormattedCitation":"[33]","previouslyFormattedCitation":"[33]"},"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[33]</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Non-alcoholic fatty liver disease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10.1016/j.cgh.2013.02.015","ISSN":"15423565","author":[{"dropping-particle":"","family":"Raman","given":"Maitreyi","non-dropping-particle":"","parse-names":false,"suffix":""},{"dropping-particle":"","family":"Ahmed","given":"Iftikhar","non-dropping-particle":"","parse-names":false,"suffix":""},{"dropping-particle":"","family":"Gillevet","given":"Patrick M","non-dropping-particle":"","parse-names":false,"suffix":""},{"dropping-particle":"","family":"Probert","given":"Chris S","non-dropping-particle":"","parse-names":false,"suffix":""},{"dropping-particle":"","family":"Ratcliffe","given":"Norman M","non-dropping-particle":"","parse-names":false,"suffix":""},{"dropping-particle":"","family":"Smith","given":"Steve","non-dropping-particle":"","parse-names":false,"suffix":""},{"dropping-particle":"","family":"Greenwood","given":"Rosemary","non-dropping-particle":"","parse-names":false,"suffix":""},{"dropping-particle":"","family":"Sikaroodi","given":"Masoumeh","non-dropping-particle":"","parse-names":false,"suffix":""},{"dropping-particle":"","family":"Lam","given":"Victor","non-dropping-particle":"","parse-names":false,"suffix":""},{"dropping-particle":"","family":"Crotty","given":"Pam","non-dropping-particle":"","parse-names":false,"suffix":""},{"dropping-particle":"","family":"Bailey","given":"Jennifer","non-dropping-particle":"","parse-names":false,"suffix":""},{"dropping-particle":"","family":"Myers","given":"Robert P","non-dropping-particle":"","parse-names":false,"suffix":""},{"dropping-particle":"","family":"Rioux","given":"Kevin P","non-dropping-particle":"","parse-names":false,"suffix":""}],"container-title":"Clinical Gastroenterology and Hepatology","id":"ITEM-1","issue":"7","issued":{"date-parts":[["2013","7"]]},"page":"868-875","publisher":"Elsevier Inc.","title":"Fecal Microbiome and Volatile Organic Compound Metabolome in Obese Humans With Nonalcoholic Fatty Liver Disease","type":"article-journal","volume":"11"},"uris":["http://www.mendeley.com/documents/?uuid=0900b9ac-d6df-46ae-bfa3-6899f76b7b9b"]}],"mendeley":{"formattedCitation":"[34]","plainTextFormattedCitation":"[34]","previouslyFormattedCitation":"[34]"},"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[34]</w:t>
            </w:r>
            <w:r w:rsidRPr="00C215EB">
              <w:rPr>
                <w:rFonts w:ascii="Times New Roman" w:hAnsi="Times New Roman" w:cs="Times New Roman"/>
                <w:bCs/>
                <w:sz w:val="24"/>
                <w:szCs w:val="24"/>
                <w:lang w:val="en-US"/>
              </w:rPr>
              <w:fldChar w:fldCharType="end"/>
            </w:r>
          </w:p>
        </w:tc>
      </w:tr>
      <w:tr w:rsidR="008E041A" w:rsidRPr="00C215EB" w:rsidTr="00A04BA8">
        <w:trPr>
          <w:cantSplit/>
          <w:trHeight w:val="152"/>
          <w:jc w:val="center"/>
        </w:trPr>
        <w:tc>
          <w:tcPr>
            <w:tcW w:w="101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Ibuprofen</w:t>
            </w:r>
          </w:p>
        </w:tc>
        <w:tc>
          <w:tcPr>
            <w:tcW w:w="609"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Propionic acid</w:t>
            </w:r>
          </w:p>
        </w:tc>
        <w:tc>
          <w:tcPr>
            <w:tcW w:w="68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Painkiller (non-steroidal anti-inflammatory)</w:t>
            </w:r>
          </w:p>
        </w:tc>
        <w:tc>
          <w:tcPr>
            <w:tcW w:w="68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Kidney, nervous system, intestines</w:t>
            </w:r>
          </w:p>
        </w:tc>
        <w:tc>
          <w:tcPr>
            <w:tcW w:w="2012" w:type="pct"/>
          </w:tcPr>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Direct cyclooxygenase (COX) inhibition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{"citationItems":[{"id":"ITEM-1","itemData":{"DOI":"10.1016/j.etap.2009.01.002","ISSN":"13826689","PMID":"21783969","abstract":"Effects of ibuprofen (a non-selective COX inhibitor) on the embryonic development, hatching success, larval growth, behavioral pattern and survival competence were studied in Danio rerio. Embryos at 2/4 celled stage were exposed to graded doses (0, 1, 5, 10, 50 and 100 ??g/L distilled water) of ibuprofen in triplicate sets (n = 30). The experiment was repeated thrice. The results indicate that developing embryos tolerated lower (1 and 5 ??g/L) doses of the drug readily but, exposure to higher doses (&gt;10 ??g/L) caused retarded development, decreased hatching rate and growth, cardiac anomalies, spinal curvature, pectoral fin malformation and behavioral alterations resulting in greater mortality of experimental embryos. This study suggests that, ibuprofen which is marketed as over-the-counter (OTC) drug is embryotoxic at least at higher (&gt;10 ??g/L) dose level to zebrafish embryos. ?? 2009 Elsevier B.V. All rights reserved.","author":[{"dropping-particle":"","family":"David","given":"A.","non-dropping-particle":"","parse-names":false,"suffix":""},{"dropping-particle":"","family":"Pancharatna","given":"K.","non-dropping-particle":"","parse-names":false,"suffix":""}],"container-title":"Environmental Toxicology and Pharmacology","id":"ITEM-1","issue":"3","issued":{"date-parts":[["2009"]]},"page":"390-395","title":"Developmental anomalies induced by a non-selective COX inhibitor (ibuprofen) in zebrafish (Danio rerio)","type":"article-journal","volume":"27"},"uris":["http://www.mendeley.com/documents/?uuid=bf4037f4-10d5-45ce-9083-2b637bd13e09"]}],"mendeley":{"formattedCitation":"[35]","plainTextFormattedCitation":"[35]","previouslyFormattedCitation":"[35]"},"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[35]</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PPARα and γ activation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{"citationItems":[{"id":"ITEM-1","itemData":{"DOI":"10.1621/nrs.13004","ISSN":"1550-7629","PMID":"26445566","abstract":"Non-steroidal anti-inflammatory drugs (NSAIDs) display anti-inflammatory, antipyretic and analgesic properties by inhibiting cyclooxygenases and blocking prostaglandin production. Previous studies, however, suggested that some NSAIDs also modulate peroxisome proliferator activated receptors (PPARs), raising the possibility that such off target effects contribute to the spectrum of clinically relevant NSAID actions. In this study, we set out to understand how peroxisome proliferator activated receptor-γ (PPARγ/PPARG) interacts with NSAIDs using X-ray crystallography and to relate ligand binding modes to effects on receptor activity. We find that several NSAIDs (sulindac sulfide, diclofenac, indomethacin and ibuprofen) bind PPARγ and modulate PPARγ activity at pharmacologically relevant concentrations. Diclofenac acts as a partial agonist and binds to the PPARγ ligand binding pocket (LBP) in typical partial agonist mode, near the β-sheets and helix 3. By contrast, two copies of indomethacin and sulindac sulfide bind the LBP and, in aggregate, these ligands engage in LBP contacts that resemble agonists. Accordingly, both compounds, and ibuprofen, act as strong partial agonists. Assessment of NSAID activities in PPARγ-dependent 3T3-L1 cells reveals that NSAIDs display adipogenic activities and exclusively regulate PPARγ-dependent target genes in a manner that is consistent with their observed binding modes. Further, PPARγ knockdown eliminates indomethacin activities at selected endogenous genes, confirming receptor-dependence of observed effects. We propose that it is important to consider how individual NSAIDs interact with PPARγ to understand their activities, and that it will be interesting to determine whether high dose NSAID therapies result in PPAR activation.","author":[{"dropping-particle":"","family":"Puhl","given":"Ana C","non-dropping-particle":"","parse-names":false,"suffix":""},{"dropping-particle":"","family":"Milton","given":"Flora A","non-dropping-particle":"","parse-names":false,"suffix":""},{"dropping-particle":"","family":"Cvoro","given":"Aleksandra","non-dropping-particle":"","parse-names":false,"suffix":""},{"dropping-particle":"","family":"Sieglaff","given":"Douglas H","non-dropping-particle":"","parse-names":false,"suffix":""},{"dropping-particle":"","family":"Campos","given":"Jéssica C.L.","non-dropping-particle":"","parse-names":false,"suffix":""},{"dropping-particle":"","family":"Bernardes","given":"Amanda","non-dropping-particle":"","parse-names":false,"suffix":""},{"dropping-particle":"","family":"Filgueira","given":"Carly S","non-dropping-particle":"","parse-names":false,"suffix":""},{"dropping-particle":"","family":"Lindemann","given":"Jan Lammel","non-dropping-particle":"","parse-names":false,"suffix":""},{"dropping-particle":"","family":"Deng","given":"Tuo","non-dropping-particle":"","parse-names":false,"suffix":""},{"dropping-particle":"","family":"Neves","given":"Francisco A.R.","non-dropping-particle":"","parse-names":false,"suffix":""},{"dropping-particle":"","family":"Polikarpov","given":"Igor","non-dropping-particle":"","parse-names":false,"suffix":""},{"dropping-particle":"","family":"Webb","given":"Paul","non-dropping-particle":"","parse-names":false,"suffix":""}],"container-title":"Nuclear Receptor Signaling","id":"ITEM-1","issued":{"date-parts":[["2015","1","24"]]},"title":"Mechanisms of Peroxisome Proliferator Activated Receptor γ Regulation by Non-steroidal Anti-inflammatory Drugs","type":"article-journal"},"uris":["http://www.mendeley.com/documents/?uuid=4760a82e-50c7-4ecc-9c99-707e26af64f7"]}],"mendeley":{"formattedCitation":"[36]","plainTextFormattedCitation":"[36]","previouslyFormattedCitation":"[36]"},"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[36]</w:t>
            </w:r>
            <w:r w:rsidRPr="00C215EB">
              <w:rPr>
                <w:rFonts w:ascii="Times New Roman" w:hAnsi="Times New Roman" w:cs="Times New Roman"/>
                <w:bCs/>
                <w:sz w:val="24"/>
                <w:szCs w:val="24"/>
                <w:lang w:val="en-US"/>
              </w:rPr>
              <w:fldChar w:fldCharType="end"/>
            </w:r>
          </w:p>
        </w:tc>
      </w:tr>
      <w:tr w:rsidR="008E041A" w:rsidRPr="00C215EB" w:rsidTr="00A04BA8">
        <w:trPr>
          <w:cnfStyle w:val="000000100000" w:firstRow="0" w:lastRow="0" w:firstColumn="0" w:lastColumn="0" w:oddVBand="0" w:evenVBand="0" w:oddHBand="1" w:evenHBand="0" w:firstRowFirstColumn="0" w:firstRowLastColumn="0" w:lastRowFirstColumn="0" w:lastRowLastColumn="0"/>
          <w:cantSplit/>
          <w:trHeight w:val="154"/>
          <w:jc w:val="center"/>
        </w:trPr>
        <w:tc>
          <w:tcPr>
            <w:tcW w:w="101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Luviquat HM 552</w:t>
            </w:r>
          </w:p>
        </w:tc>
        <w:tc>
          <w:tcPr>
            <w:tcW w:w="609"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Polymer</w:t>
            </w:r>
          </w:p>
        </w:tc>
        <w:tc>
          <w:tcPr>
            <w:tcW w:w="68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Preservative</w:t>
            </w:r>
          </w:p>
        </w:tc>
        <w:tc>
          <w:tcPr>
            <w:tcW w:w="2695" w:type="pct"/>
            <w:gridSpan w:val="2"/>
            <w:tcBorders>
              <w:top w:val="none" w:sz="0" w:space="0" w:color="auto"/>
              <w:bottom w:val="none" w:sz="0" w:space="0" w:color="auto"/>
            </w:tcBorders>
          </w:tcPr>
          <w:p w:rsidR="008E041A" w:rsidRPr="00C215EB" w:rsidRDefault="008E041A" w:rsidP="00A04BA8">
            <w:pPr>
              <w:spacing w:before="40" w:after="40"/>
              <w:ind w:left="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No published effects available on affected organs or biological effects.</w:t>
            </w:r>
          </w:p>
        </w:tc>
      </w:tr>
      <w:tr w:rsidR="008E041A" w:rsidRPr="00C215EB" w:rsidTr="00A04BA8">
        <w:trPr>
          <w:cantSplit/>
          <w:trHeight w:val="91"/>
          <w:jc w:val="center"/>
        </w:trPr>
        <w:tc>
          <w:tcPr>
            <w:tcW w:w="101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Malathion</w:t>
            </w:r>
          </w:p>
        </w:tc>
        <w:tc>
          <w:tcPr>
            <w:tcW w:w="609"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Organophosphate</w:t>
            </w:r>
          </w:p>
        </w:tc>
        <w:tc>
          <w:tcPr>
            <w:tcW w:w="68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Insecticide</w:t>
            </w:r>
          </w:p>
        </w:tc>
        <w:tc>
          <w:tcPr>
            <w:tcW w:w="68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Liver</w:t>
            </w:r>
          </w:p>
        </w:tc>
        <w:tc>
          <w:tcPr>
            <w:tcW w:w="2012" w:type="pct"/>
          </w:tcPr>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AChE inhibition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{"citationItems":[{"id":"ITEM-1","itemData":{"DOI":"10.1016/s0140-6736(78)90375-6","ISSN":"0140-6736","PMID":"74508","abstract":"In 1976, epidemic organophosphate insecticide poisoning due to malathion occurred among 7500 field workers in the Pakistan malaria control programme. In July, the peak month of the epidemic, it is estimated that there were about 2800 cases. In field studies low red-cell cholinesterase activities were associated with the signs and symptoms of organophosphate insecticide intoxication. Toxicity was seen with 3 different formulations of the insecticide and was greatest with the products containing increased amounts of isomalathion, a toxic malathion degradation product. Poor work practices, which had developed when D.D.T. was the primary insecticide for malaria control, resulted in excessive skin contact with and percutaneous absorption of the pesticide. Airborne malathion concentrations were very low. Implementation of good work practices and proscription of use of the 2 pesticide formulations most contaminated with isomalathion halted the epidemic in September. An extensive training programme and surveillance system for pesticide toxicity preceded 1977 spraying operations.","author":[{"dropping-particle":"","family":"Baker","given":"E L","non-dropping-particle":"","parse-names":false,"suffix":""},{"dropping-particle":"","family":"Warren","given":"Mcwilson","non-dropping-particle":"","parse-names":false,"suffix":""},{"dropping-particle":"","family":"Zack","given":"Matthew","non-dropping-particle":"","parse-names":false,"suffix":""},{"dropping-particle":"","family":"Dobbin","given":"Ronald D.","non-dropping-particle":"","parse-names":false,"suffix":""},{"dropping-particle":"","family":"Miles","given":"James W.","non-dropping-particle":"","parse-names":false,"suffix":""},{"dropping-particle":"","family":"Miller","given":"Steven","non-dropping-particle":"","parse-names":false,"suffix":""},{"dropping-particle":"","family":"Alderman","given":"Lee","non-dropping-particle":"","parse-names":false,"suffix":""},{"dropping-particle":"","family":"Teeters","given":"Winnie R.","non-dropping-particle":"","parse-names":false,"suffix":""}],"container-title":"Lancet","id":"ITEM-1","issue":"8054","issued":{"date-parts":[["1978","1","7"]]},"page":"31-4","title":"Epidemic malathion poisoning in Pakistan malaria workers.","type":"article-journal","volume":"1"},"uris":["http://www.mendeley.com/documents/?uuid=12d66961-b9b2-4435-8fdc-a53c931d8567"]}],"mendeley":{"formattedCitation":"[37]","plainTextFormattedCitation":"[37]","previouslyFormattedCitation":"[37]"},"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[37]</w:t>
            </w:r>
            <w:r w:rsidRPr="00C215EB">
              <w:rPr>
                <w:rFonts w:ascii="Times New Roman" w:hAnsi="Times New Roman" w:cs="Times New Roman"/>
                <w:bCs/>
                <w:sz w:val="24"/>
                <w:szCs w:val="24"/>
                <w:lang w:val="en-US"/>
              </w:rPr>
              <w:fldChar w:fldCharType="end"/>
            </w:r>
          </w:p>
        </w:tc>
      </w:tr>
      <w:tr w:rsidR="008E041A" w:rsidRPr="00C215EB" w:rsidTr="00A04BA8">
        <w:trPr>
          <w:cnfStyle w:val="000000100000" w:firstRow="0" w:lastRow="0" w:firstColumn="0" w:lastColumn="0" w:oddVBand="0" w:evenVBand="0" w:oddHBand="1" w:evenHBand="0" w:firstRowFirstColumn="0" w:firstRowLastColumn="0" w:lastRowFirstColumn="0" w:lastRowLastColumn="0"/>
          <w:cantSplit/>
          <w:trHeight w:val="70"/>
          <w:jc w:val="center"/>
        </w:trPr>
        <w:tc>
          <w:tcPr>
            <w:tcW w:w="101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Merquat 100</w:t>
            </w:r>
          </w:p>
        </w:tc>
        <w:tc>
          <w:tcPr>
            <w:tcW w:w="609"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Polymer</w:t>
            </w:r>
          </w:p>
        </w:tc>
        <w:tc>
          <w:tcPr>
            <w:tcW w:w="68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Preservative</w:t>
            </w:r>
          </w:p>
        </w:tc>
        <w:tc>
          <w:tcPr>
            <w:tcW w:w="68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Liver</w:t>
            </w:r>
          </w:p>
        </w:tc>
        <w:tc>
          <w:tcPr>
            <w:tcW w:w="2012" w:type="pct"/>
            <w:tcBorders>
              <w:top w:val="none" w:sz="0" w:space="0" w:color="auto"/>
              <w:bottom w:val="none" w:sz="0" w:space="0" w:color="auto"/>
            </w:tcBorders>
          </w:tcPr>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Allergic contact dermatitis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10.1111/j.1365-2133.1995.tb16949.x","ISSN":"00070963","author":[{"dropping-particle":"","family":"Ginkel","given":"C.J.W.","non-dropping-particle":"","parse-names":false,"suffix":""},{"dropping-particle":"","family":"Rundervoort","given":"G.J.","non-dropping-particle":"","parse-names":false,"suffix":""}],"container-title":"British Journal of Dermatology","id":"ITEM-1","issue":"6","issued":{"date-parts":[["2010","9","6"]]},"page":"918-920","title":"Increasing incidence of contact allergy to the new preservative 1,2-dibromo-2,4-dicyanobutane (methyldibromoglutaronitrile)","type":"article-journal","volume":"132"},"uris":["http://www.mendeley.com/documents/?uuid=6efccc5e-a0a6-4057-b272-691a9b312c75"]}],"mendeley":{"formattedCitation":"[38]","plainTextFormattedCitation":"[38]","previouslyFormattedCitation":"[38]"},"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[38]</w:t>
            </w:r>
            <w:r w:rsidRPr="00C215EB">
              <w:rPr>
                <w:rFonts w:ascii="Times New Roman" w:hAnsi="Times New Roman" w:cs="Times New Roman"/>
                <w:bCs/>
                <w:sz w:val="24"/>
                <w:szCs w:val="24"/>
                <w:lang w:val="en-US"/>
              </w:rPr>
              <w:fldChar w:fldCharType="end"/>
            </w:r>
          </w:p>
        </w:tc>
      </w:tr>
      <w:tr w:rsidR="008E041A" w:rsidRPr="00C215EB" w:rsidTr="00A04BA8">
        <w:trPr>
          <w:cantSplit/>
          <w:trHeight w:val="70"/>
          <w:jc w:val="center"/>
        </w:trPr>
        <w:tc>
          <w:tcPr>
            <w:tcW w:w="101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2-Methylhexanoic acid</w:t>
            </w:r>
          </w:p>
        </w:tc>
        <w:tc>
          <w:tcPr>
            <w:tcW w:w="609"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Fatty acid</w:t>
            </w:r>
          </w:p>
        </w:tc>
        <w:tc>
          <w:tcPr>
            <w:tcW w:w="68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Valproic acid metabolite / analogue</w:t>
            </w:r>
          </w:p>
        </w:tc>
        <w:tc>
          <w:tcPr>
            <w:tcW w:w="2695" w:type="pct"/>
            <w:gridSpan w:val="2"/>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No published effects available on affected organs or biological effects.</w:t>
            </w:r>
          </w:p>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Substance selected for structural similarity to valproic acid.</w:t>
            </w:r>
          </w:p>
        </w:tc>
      </w:tr>
      <w:tr w:rsidR="008E041A" w:rsidRPr="00C215EB" w:rsidTr="00A04BA8">
        <w:trPr>
          <w:cnfStyle w:val="000000100000" w:firstRow="0" w:lastRow="0" w:firstColumn="0" w:lastColumn="0" w:oddVBand="0" w:evenVBand="0" w:oddHBand="1" w:evenHBand="0" w:firstRowFirstColumn="0" w:firstRowLastColumn="0" w:lastRowFirstColumn="0" w:lastRowLastColumn="0"/>
          <w:cantSplit/>
          <w:trHeight w:val="70"/>
          <w:jc w:val="center"/>
        </w:trPr>
        <w:tc>
          <w:tcPr>
            <w:tcW w:w="101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6-Methyl-5-heptene-2-one</w:t>
            </w:r>
          </w:p>
        </w:tc>
        <w:tc>
          <w:tcPr>
            <w:tcW w:w="609"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Aliphatic ketone</w:t>
            </w:r>
          </w:p>
        </w:tc>
        <w:tc>
          <w:tcPr>
            <w:tcW w:w="68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Artificial flavoring</w:t>
            </w:r>
          </w:p>
        </w:tc>
        <w:tc>
          <w:tcPr>
            <w:tcW w:w="2695" w:type="pct"/>
            <w:gridSpan w:val="2"/>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No published effects available on affected organs or biological effects.</w:t>
            </w:r>
          </w:p>
        </w:tc>
      </w:tr>
      <w:tr w:rsidR="008E041A" w:rsidRPr="00C215EB" w:rsidTr="00A04BA8">
        <w:trPr>
          <w:cantSplit/>
          <w:trHeight w:val="140"/>
          <w:jc w:val="center"/>
        </w:trPr>
        <w:tc>
          <w:tcPr>
            <w:tcW w:w="101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lastRenderedPageBreak/>
              <w:t>Methylmercury (II) chloride</w:t>
            </w:r>
          </w:p>
        </w:tc>
        <w:tc>
          <w:tcPr>
            <w:tcW w:w="609"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Heavy metal</w:t>
            </w:r>
          </w:p>
        </w:tc>
        <w:tc>
          <w:tcPr>
            <w:tcW w:w="68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Industrial use (banned)</w:t>
            </w:r>
          </w:p>
        </w:tc>
        <w:tc>
          <w:tcPr>
            <w:tcW w:w="68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Kidney, liver, nervous system</w:t>
            </w:r>
          </w:p>
        </w:tc>
        <w:tc>
          <w:tcPr>
            <w:tcW w:w="2012" w:type="pct"/>
          </w:tcPr>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CYP expression modification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{"citationItems":[{"id":"ITEM-1","itemData":{"DOI":"10.1016/j.jtemb.2018.01.019","ISSN":"18783252","abstract":"Fishes are the first group of vertebrates that respond when the environment is contaminated with pollutants resulted from anthropogenic activities. The development of the toxicity tests is bringing new evidence about the toxicological effects of the pollutants upon the life forms. Behavioural abnormalities in the swimming performance and cognitive processes were well associated with the response of organisms to pollutants from environment. The aim of the paper was to study the behavioural changes of zebrafish (memory, swimming performances and aggression) and oxidative stress (superoxide dismutase and malondialdehyde) during 32 h of acute exposure with methylmercury (II) chloride to measure its neurotoxicity effects upon fish community. The experiments from this study tested and measured the fish community response to methylmercury concentrations (1 μg L−1and 15 μg L−1) in the first hours after it contamination based on zebrafish model. The changes of the behaviour in the case of a fish species may lead in the end to their population reduction based on less reproductive success, lower food resource exploitation and problems in the predator avoidance. The behavioural tests described in the present study can be applied to measure the neurotoxicity of other metals compounds, to do plans and protocols for avoiding future ecological disasters. The behavioural changes of zebrafish exposed to methylmercury (II) chloride were similar to mammal models and they will have applications in future research.","author":[{"dropping-particle":"","family":"Strungaru","given":"Stefan-Adrian","non-dropping-particle":"","parse-names":false,"suffix":""},{"dropping-particle":"","family":"Robea","given":"Madalina Andreea","non-dropping-particle":"","parse-names":false,"suffix":""},{"dropping-particle":"","family":"Plavan","given":"Gabriel","non-dropping-particle":"","parse-names":false,"suffix":""},{"dropping-particle":"","family":"Todirascu-Ciornea","given":"Elena","non-dropping-particle":"","parse-names":false,"suffix":""},{"dropping-particle":"","family":"Ciobica","given":"Alin","non-dropping-particle":"","parse-names":false,"suffix":""},{"dropping-particle":"","family":"Nicoara","given":"Mircea","non-dropping-particle":"","parse-names":false,"suffix":""}],"container-title":"Journal of Trace Elements in Medicine and Biology","id":"ITEM-1","issued":{"date-parts":[["2018"]]},"page":"115-123","publisher":"Elsevier","title":"Acute exposure to methylmercury chloride induces fast changes in swimming performance, cognitive processes and oxidative stress of zebrafish (Danio rerio) as reference model for fish community","type":"article-journal","volume":"47"},"uris":["http://www.mendeley.com/documents/?uuid=632443e3-07b5-4085-a089-dc5a7abff157"]}],"mendeley":{"formattedCitation":"[39]","plainTextFormattedCitation":"[39]","previouslyFormattedCitation":"[39]"},"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[39]</w:t>
            </w:r>
            <w:r w:rsidRPr="00C215EB">
              <w:rPr>
                <w:rFonts w:ascii="Times New Roman" w:hAnsi="Times New Roman" w:cs="Times New Roman"/>
                <w:bCs/>
                <w:sz w:val="24"/>
                <w:szCs w:val="24"/>
                <w:lang w:val="en-US"/>
              </w:rPr>
              <w:fldChar w:fldCharType="end"/>
            </w:r>
            <w:r w:rsidRPr="00C215EB">
              <w:rPr>
                <w:rFonts w:ascii="Times New Roman" w:hAnsi="Times New Roman" w:cs="Times New Roman"/>
                <w:bCs/>
                <w:sz w:val="24"/>
                <w:szCs w:val="24"/>
                <w:lang w:val="en-US"/>
              </w:rPr>
              <w:t xml:space="preserve"> </w:t>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Formation/disruption of microtubule assembly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{"citationItems":[{"id":"ITEM-1","itemData":{"DOI":"10.1016/j.tiv.2013.06.023","ISBN":"1879-3177 (Electronic)\\r0887-2333 (Linking)","ISSN":"08872333","PMID":"23872426","abstract":"Sensitivity of neural stem cells viability, proliferation and differentiation upon exposure to methylmercury chloride (MeHgCl) was investigated on different types of biofunctional surfaces. Patterns of biodomains created by microprinting/microspotting of poly-. l-lysine or extracellular matrix proteins (fibronectin and vitronectin) allowed for non-specific electrostatic or specific, receptor mediated interactions, respectively, between stem cells and the surface. The neural stem cell line HUCB-NSC has been previously shown to be susceptible to MeHgCl in developmentally dependent manner. Here we demonstrated that developmental sensitivity of HUCB-NSC to MeHgCl depends upon the type of adhesive biomolecules and the geometry of biodomains. Proliferation of HUCB-NSC was diminished in time and MeHgCl concentration dependent manner. In addition, the response to MeHgCl was found to be cell-type dependent. Undifferentiated cells were the most sensitive independently of the type of bioactive domain. Significant decrease of GFAP+ cells was detected among cells growing on poly-. l-lysine, while on fibronectin and vitronectin, this effect was observed only in the highest (1. μM) concentration of MeHgCl. β-Tubulin III expressing cells were most sensitive on fibronectin domains. In addition, limited bioactive domains to μm in size, as compared to non-patterned larger area of the same adhesive substrate, exerted protective role. Thus, the surface area and type of cell/biofunctional surface interaction exerted significant influence on developmental stage and cell-type specific response of HUCB-NSC to MeHgCl. © 2013 Elsevier Ltd.","author":[{"dropping-particle":"","family":"Zychowicz","given":"M.","non-dropping-particle":"","parse-names":false,"suffix":""},{"dropping-particle":"","family":"Dziedzicka","given":"D.","non-dropping-particle":"","parse-names":false,"suffix":""},{"dropping-particle":"","family":"Mehn","given":"D.","non-dropping-particle":"","parse-names":false,"suffix":""},{"dropping-particle":"","family":"Kozlowska","given":"H.","non-dropping-particle":"","parse-names":false,"suffix":""},{"dropping-particle":"","family":"Kinsner-Ovaskainen","given":"A.","non-dropping-particle":"","parse-names":false,"suffix":""},{"dropping-particle":"","family":"Stepień","given":"P. P.","non-dropping-particle":"","parse-names":false,"suffix":""},{"dropping-particle":"","family":"Rossi","given":"F.","non-dropping-particle":"","parse-names":false,"suffix":""},{"dropping-particle":"","family":"Buzanska","given":"L.","non-dropping-particle":"","parse-names":false,"suffix":""}],"container-title":"Toxicology in Vitro","id":"ITEM-1","issued":{"date-parts":[["2014"]]},"page":"76-87","title":"Developmental stage dependent neural stem cells sensitivity to methylmercury chloride on different biofunctional surfaces","type":"article-journal","volume":"28"},"uris":["http://www.mendeley.com/documents/?uuid=94ede719-58b1-438f-8e33-dca0fc760f5b"]}],"mendeley":{"formattedCitation":"[40]","plainTextFormattedCitation":"[40]","previouslyFormattedCitation":"[40]"},"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[40]</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Retinal damage and visual impairment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{"citationItems":[{"id":"ITEM-1","itemData":{"DOI":"10.1016/j.neuro.2016.05.018","ISBN":"0161-813X","ISSN":"0161813X","PMID":"27241350","abstract":"Environmental exposure to methylmercury (MeHg) during development is of concern because it is easily incorporated in children's body both pre- and post-natal, it acts at several levels of neural pathways (mitochondria, cytoskeleton, neurotransmission) and it causes behavioral impairment in child. We evaluated the effects of prolonged exposure to 10–600 nM MeHg on primary cultures of mouse cortical (CCN) and of cerebellar granule cells (CGC) during their differentiation period. In addition, it was studied if prenatal MeHg exposure correlated with altered antioxidant defenses and cofilin phosphorylation in human placentas (n = 12) from the INMA cohort (Spain). Exposure to MeHg for 9 days in vitro (DIV) resulted in protein carbonylation and in cell death at concentrations ≥200 nM and ≥300 nM, respectively. Exposure of CCN and CGC to non-cytotoxic MeHg concentrations for 5 DIV induced an early concentration-dependent decrease in cofilin phosphorylation. Furthermore, in both cell types actin was translocated from the cytosol to the mitochondria whereas cofilin translocation was found only in CGC. Translocation of cofilin and actin to mitochondria in CGC occurred from 30 nM MeHg onwards. We also found an increased expression of cortactin and LIMK1 mRNA in CGC but not in CCN. All these effects were prevented by the antioxidant probucol. Cofilin phosphorylation was significantly decreased and a trend for decreased activity of glutathione reductase and glutathione peroxidase was found in the fetal side of human placental samples from the highest (20–40 μg/L) MeHg-exposed group when compared with the low (&lt;7 μg/L) MeHg-exposed group. In summary, cofilin dephosphorylation and oxidative stress are hallmarks of MeHg exposure in both experimental and human systems.","author":[{"dropping-particle":"","family":"Caballero","given":"Beatriz","non-dropping-particle":"","parse-names":false,"suffix":""},{"dropping-particle":"","family":"Olguin","given":"Nair","non-dropping-particle":"","parse-names":false,"suffix":""},{"dropping-particle":"","family":"Campos","given":"Francisco","non-dropping-particle":"","parse-names":false,"suffix":""},{"dropping-particle":"","family":"Farina","given":"Marcelo","non-dropping-particle":"","parse-names":false,"suffix":""},{"dropping-particle":"","family":"Ballester","given":"Ferran","non-dropping-particle":"","parse-names":false,"suffix":""},{"dropping-particle":"","family":"Lopez-Espinosa","given":"Maria-Jose","non-dropping-particle":"","parse-names":false,"suffix":""},{"dropping-particle":"","family":"Llop","given":"Sabrina","non-dropping-particle":"","parse-names":false,"suffix":""},{"dropping-particle":"","family":"Rodríguez-Farré","given":"Eduard","non-dropping-particle":"","parse-names":false,"suffix":""},{"dropping-particle":"","family":"Suñol","given":"Cristina","non-dropping-particle":"","parse-names":false,"suffix":""}],"container-title":"NeuroToxicology","id":"ITEM-1","issued":{"date-parts":[["2017","3"]]},"page":"197-209","publisher":"Elsevier B.V.","title":"Methylmercury-induced developmental toxicity is associated with oxidative stress and cofilin phosphorylation. Cellular and human studies","type":"article-journal","volume":"59"},"uris":["http://www.mendeley.com/documents/?uuid=4c005c2d-f248-4a51-b335-9db9c539d036"]}],"mendeley":{"formattedCitation":"[41]","plainTextFormattedCitation":"[41]","previouslyFormattedCitation":"[41]"},"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[41]</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Oxidative stress promotion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{"citationItems":[{"id":"ITEM-1","itemData":{"DOI":"10.1016/j.neuro.2010.05.012","ISBN":"1872-9711 (Electronic)\\r0161-813X (Linking)","ISSN":"0161813X","PMID":"20566354","abstract":"Methylmercury (MeHg), a potent neurotoxicant, easily passes through the blood-brain barrier and accumulates in brain causing severe irreversible damage. However, the underlying neurotoxic mechanisms elicited by MeHg are still not completed defined. In this study, we aimed to investigate the in vitro toxic effects elicited by crescent concentrations (0-1500. μM) of MeHg on creatine kinase (CK) activity, thiol content (NPSH) and protein carbonyl content (PCC) in mouse brain preparations. In addition, CK activity, MTT reduction and DCFH-DA oxidation (reactive oxygen species (ROS) formation) were also measured in C6 glioma cell linage. CK activity was severely reduced by MeHg treatment in mouse brain preparations. This inhibitory effect was positively correlated to the MeHg-induced reduction of NPSH levels and increment in PCC. Moreover, the positive correlation between brain CK activity and NPSH levels was observed at either 15 or 60 min of MeHg pre-incubation. In addition, MeHg-treated C6 cells showed also a significant inhibition of CK activity at MeHg concentrations, as low as, 50. μM in parallel to reduced mitochondrial function and increased ROS production. Taking together, these data demonstrate that MeHg severely affects CK activity, an essential enzyme for brain energy buffering to maintain cellular energy homeostasis. This effect appears to be mediated by oxidation of thiol groups that might cause subsequent oxidative stress. © 2010 Elsevier Inc.","author":[{"dropping-particle":"","family":"Glaser","given":"Viviane","non-dropping-particle":"","parse-names":false,"suffix":""},{"dropping-particle":"","family":"Leipnitz","given":"Guilhian","non-dropping-particle":"","parse-names":false,"suffix":""},{"dropping-particle":"","family":"Straliotto","given":"Marcos Raniel","non-dropping-particle":"","parse-names":false,"suffix":""},{"dropping-particle":"","family":"Oliveira","given":"Jade","non-dropping-particle":"","parse-names":false,"suffix":""},{"dropping-particle":"","family":"Santos","given":"Vanessa Valgas","non-dropping-particle":"dos","parse-names":false,"suffix":""},{"dropping-particle":"","family":"Wannmacher","given":"Clóvis Milton Duval","non-dropping-particle":"","parse-names":false,"suffix":""},{"dropping-particle":"","family":"Bem","given":"Andreza Fabro","non-dropping-particle":"de","parse-names":false,"suffix":""},{"dropping-particle":"","family":"Rocha","given":"João Batista Teixeira","non-dropping-particle":"","parse-names":false,"suffix":""},{"dropping-particle":"","family":"Farina","given":"Marcelo","non-dropping-particle":"","parse-names":false,"suffix":""},{"dropping-particle":"","family":"Latini","given":"Alexandra","non-dropping-particle":"","parse-names":false,"suffix":""}],"container-title":"NeuroToxicology","id":"ITEM-1","issue":"5","issued":{"date-parts":[["2010","9"]]},"page":"454-460","title":"Oxidative stress-mediated inhibition of brain creatine kinase activity by methylmercury","type":"article-journal","volume":"31"},"uris":["http://www.mendeley.com/documents/?uuid=874c3101-a86e-423e-a2b5-48131e22acce"]}],"mendeley":{"formattedCitation":"[42]","plainTextFormattedCitation":"[42]","previouslyFormattedCitation":"[42]"},"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[42]</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Lipid peroxidation involvement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{"citationItems":[{"id":"ITEM-1","itemData":{"DOI":"10.1016/j.jtemb.2018.01.019","ISSN":"18783252","abstract":"Fishes are the first group of vertebrates that respond when the environment is contaminated with pollutants resulted from anthropogenic activities. The development of the toxicity tests is bringing new evidence about the toxicological effects of the pollutants upon the life forms. Behavioural abnormalities in the swimming performance and cognitive processes were well associated with the response of organisms to pollutants from environment. The aim of the paper was to study the behavioural changes of zebrafish (memory, swimming performances and aggression) and oxidative stress (superoxide dismutase and malondialdehyde) during 32 h of acute exposure with methylmercury (II) chloride to measure its neurotoxicity effects upon fish community. The experiments from this study tested and measured the fish community response to methylmercury concentrations (1 μg L−1and 15 μg L−1) in the first hours after it contamination based on zebrafish model. The changes of the behaviour in the case of a fish species may lead in the end to their population reduction based on less reproductive success, lower food resource exploitation and problems in the predator avoidance. The behavioural tests described in the present study can be applied to measure the neurotoxicity of other metals compounds, to do plans and protocols for avoiding future ecological disasters. The behavioural changes of zebrafish exposed to methylmercury (II) chloride were similar to mammal models and they will have applications in future research.","author":[{"dropping-particle":"","family":"Strungaru","given":"Stefan-Adrian","non-dropping-particle":"","parse-names":false,"suffix":""},{"dropping-particle":"","family":"Robea","given":"Madalina Andreea","non-dropping-particle":"","parse-names":false,"suffix":""},{"dropping-particle":"","family":"Plavan","given":"Gabriel","non-dropping-particle":"","parse-names":false,"suffix":""},{"dropping-particle":"","family":"Todirascu-Ciornea","given":"Elena","non-dropping-particle":"","parse-names":false,"suffix":""},{"dropping-particle":"","family":"Ciobica","given":"Alin","non-dropping-particle":"","parse-names":false,"suffix":""},{"dropping-particle":"","family":"Nicoara","given":"Mircea","non-dropping-particle":"","parse-names":false,"suffix":""}],"container-title":"Journal of Trace Elements in Medicine and Biology","id":"ITEM-1","issued":{"date-parts":[["2018"]]},"page":"115-123","publisher":"Elsevier","title":"Acute exposure to methylmercury chloride induces fast changes in swimming performance, cognitive processes and oxidative stress of zebrafish (Danio rerio) as reference model for fish community","type":"article-journal","volume":"47"},"uris":["http://www.mendeley.com/documents/?uuid=632443e3-07b5-4085-a089-dc5a7abff157"]}],"mendeley":{"formattedCitation":"[39]","plainTextFormattedCitation":"[39]","previouslyFormattedCitation":"[39]"},"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[39]</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Glutathione level reduction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{"citationItems":[{"id":"ITEM-1","itemData":{"DOI":"10.1016/j.neuro.2010.05.012","ISBN":"1872-9711 (Electronic)\\r0161-813X (Linking)","ISSN":"0161813X","PMID":"20566354","abstract":"Methylmercury (MeHg), a potent neurotoxicant, easily passes through the blood-brain barrier and accumulates in brain causing severe irreversible damage. However, the underlying neurotoxic mechanisms elicited by MeHg are still not completed defined. In this study, we aimed to investigate the in vitro toxic effects elicited by crescent concentrations (0-1500. μM) of MeHg on creatine kinase (CK) activity, thiol content (NPSH) and protein carbonyl content (PCC) in mouse brain preparations. In addition, CK activity, MTT reduction and DCFH-DA oxidation (reactive oxygen species (ROS) formation) were also measured in C6 glioma cell linage. CK activity was severely reduced by MeHg treatment in mouse brain preparations. This inhibitory effect was positively correlated to the MeHg-induced reduction of NPSH levels and increment in PCC. Moreover, the positive correlation between brain CK activity and NPSH levels was observed at either 15 or 60 min of MeHg pre-incubation. In addition, MeHg-treated C6 cells showed also a significant inhibition of CK activity at MeHg concentrations, as low as, 50. μM in parallel to reduced mitochondrial function and increased ROS production. Taking together, these data demonstrate that MeHg severely affects CK activity, an essential enzyme for brain energy buffering to maintain cellular energy homeostasis. This effect appears to be mediated by oxidation of thiol groups that might cause subsequent oxidative stress. © 2010 Elsevier Inc.","author":[{"dropping-particle":"","family":"Glaser","given":"Viviane","non-dropping-particle":"","parse-names":false,"suffix":""},{"dropping-particle":"","family":"Leipnitz","given":"Guilhian","non-dropping-particle":"","parse-names":false,"suffix":""},{"dropping-particle":"","family":"Straliotto","given":"Marcos Raniel","non-dropping-particle":"","parse-names":false,"suffix":""},{"dropping-particle":"","family":"Oliveira","given":"Jade","non-dropping-particle":"","parse-names":false,"suffix":""},{"dropping-particle":"","family":"Santos","given":"Vanessa Valgas","non-dropping-particle":"dos","parse-names":false,"suffix":""},{"dropping-particle":"","family":"Wannmacher","given":"Clóvis Milton Duval","non-dropping-particle":"","parse-names":false,"suffix":""},{"dropping-particle":"","family":"Bem","given":"Andreza Fabro","non-dropping-particle":"de","parse-names":false,"suffix":""},{"dropping-particle":"","family":"Rocha","given":"João Batista Teixeira","non-dropping-particle":"","parse-names":false,"suffix":""},{"dropping-particle":"","family":"Farina","given":"Marcelo","non-dropping-particle":"","parse-names":false,"suffix":""},{"dropping-particle":"","family":"Latini","given":"Alexandra","non-dropping-particle":"","parse-names":false,"suffix":""}],"container-title":"NeuroToxicology","id":"ITEM-1","issue":"5","issued":{"date-parts":[["2010","9"]]},"page":"454-460","title":"Oxidative stress-mediated inhibition of brain creatine kinase activity by methylmercury","type":"article-journal","volume":"31"},"uris":["http://www.mendeley.com/documents/?uuid=874c3101-a86e-423e-a2b5-48131e22acce"]}],"mendeley":{"formattedCitation":"[42]","plainTextFormattedCitation":"[42]","previouslyFormattedCitation":"[42]"},"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[42]</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Intracellular calcium homeostasis impairment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{"citationItems":[{"id":"ITEM-1","itemData":{"DOI":"10.1016/j.jtemb.2018.01.019","ISSN":"18783252","abstract":"Fishes are the first group of vertebrates that respond when the environment is contaminated with pollutants resulted from anthropogenic activities. The development of the toxicity tests is bringing new evidence about the toxicological effects of the pollutants upon the life forms. Behavioural abnormalities in the swimming performance and cognitive processes were well associated with the response of organisms to pollutants from environment. The aim of the paper was to study the behavioural changes of zebrafish (memory, swimming performances and aggression) and oxidative stress (superoxide dismutase and malondialdehyde) during 32 h of acute exposure with methylmercury (II) chloride to measure its neurotoxicity effects upon fish community. The experiments from this study tested and measured the fish community response to methylmercury concentrations (1 μg L−1and 15 μg L−1) in the first hours after it contamination based on zebrafish model. The changes of the behaviour in the case of a fish species may lead in the end to their population reduction based on less reproductive success, lower food resource exploitation and problems in the predator avoidance. The behavioural tests described in the present study can be applied to measure the neurotoxicity of other metals compounds, to do plans and protocols for avoiding future ecological disasters. The behavioural changes of zebrafish exposed to methylmercury (II) chloride were similar to mammal models and they will have applications in future research.","author":[{"dropping-particle":"","family":"Strungaru","given":"Stefan-Adrian","non-dropping-particle":"","parse-names":false,"suffix":""},{"dropping-particle":"","family":"Robea","given":"Madalina Andreea","non-dropping-particle":"","parse-names":false,"suffix":""},{"dropping-particle":"","family":"Plavan","given":"Gabriel","non-dropping-particle":"","parse-names":false,"suffix":""},{"dropping-particle":"","family":"Todirascu-Ciornea","given":"Elena","non-dropping-particle":"","parse-names":false,"suffix":""},{"dropping-particle":"","family":"Ciobica","given":"Alin","non-dropping-particle":"","parse-names":false,"suffix":""},{"dropping-particle":"","family":"Nicoara","given":"Mircea","non-dropping-particle":"","parse-names":false,"suffix":""}],"container-title":"Journal of Trace Elements in Medicine and Biology","id":"ITEM-1","issued":{"date-parts":[["2018"]]},"page":"115-123","publisher":"Elsevier","title":"Acute exposure to methylmercury chloride induces fast changes in swimming performance, cognitive processes and oxidative stress of zebrafish (Danio rerio) as reference model for fish community","type":"article-journal","volume":"47"},"uris":["http://www.mendeley.com/documents/?uuid=632443e3-07b5-4085-a089-dc5a7abff157"]}],"mendeley":{"formattedCitation":"[39]","plainTextFormattedCitation":"[39]","previouslyFormattedCitation":"[39]"},"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[39]</w:t>
            </w:r>
            <w:r w:rsidRPr="00C215EB">
              <w:rPr>
                <w:rFonts w:ascii="Times New Roman" w:hAnsi="Times New Roman" w:cs="Times New Roman"/>
                <w:bCs/>
                <w:sz w:val="24"/>
                <w:szCs w:val="24"/>
                <w:lang w:val="en-US"/>
              </w:rPr>
              <w:fldChar w:fldCharType="end"/>
            </w:r>
          </w:p>
        </w:tc>
      </w:tr>
      <w:tr w:rsidR="008E041A" w:rsidRPr="00C215EB" w:rsidTr="00A04BA8">
        <w:trPr>
          <w:cnfStyle w:val="000000100000" w:firstRow="0" w:lastRow="0" w:firstColumn="0" w:lastColumn="0" w:oddVBand="0" w:evenVBand="0" w:oddHBand="1" w:evenHBand="0" w:firstRowFirstColumn="0" w:firstRowLastColumn="0" w:lastRowFirstColumn="0" w:lastRowLastColumn="0"/>
          <w:cantSplit/>
          <w:trHeight w:val="152"/>
          <w:jc w:val="center"/>
        </w:trPr>
        <w:tc>
          <w:tcPr>
            <w:tcW w:w="101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2-Methylpentanoic acid</w:t>
            </w:r>
          </w:p>
        </w:tc>
        <w:tc>
          <w:tcPr>
            <w:tcW w:w="609"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Fatty acid</w:t>
            </w:r>
          </w:p>
        </w:tc>
        <w:tc>
          <w:tcPr>
            <w:tcW w:w="68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Valproic acid metabolite / analogue</w:t>
            </w:r>
          </w:p>
        </w:tc>
        <w:tc>
          <w:tcPr>
            <w:tcW w:w="2695" w:type="pct"/>
            <w:gridSpan w:val="2"/>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No published effects available on affected organs or biological effects.</w:t>
            </w:r>
          </w:p>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Substance selected for structural similarity to valproic acid.</w:t>
            </w:r>
          </w:p>
        </w:tc>
      </w:tr>
      <w:tr w:rsidR="008E041A" w:rsidRPr="00C215EB" w:rsidTr="00A04BA8">
        <w:trPr>
          <w:cantSplit/>
          <w:trHeight w:val="152"/>
          <w:jc w:val="center"/>
        </w:trPr>
        <w:tc>
          <w:tcPr>
            <w:tcW w:w="101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1-Methyl-4-phenyl-pyridinium iodide (MPP</w:t>
            </w:r>
            <w:r w:rsidRPr="00C215EB">
              <w:rPr>
                <w:rFonts w:ascii="Times New Roman" w:hAnsi="Times New Roman" w:cs="Times New Roman"/>
                <w:bCs/>
                <w:sz w:val="24"/>
                <w:szCs w:val="24"/>
                <w:vertAlign w:val="superscript"/>
                <w:lang w:val="en-US"/>
              </w:rPr>
              <w:t>+</w:t>
            </w:r>
            <w:r w:rsidRPr="00C215EB">
              <w:rPr>
                <w:rFonts w:ascii="Times New Roman" w:hAnsi="Times New Roman" w:cs="Times New Roman"/>
                <w:bCs/>
                <w:sz w:val="24"/>
                <w:szCs w:val="24"/>
                <w:lang w:val="en-US"/>
              </w:rPr>
              <w:t>)</w:t>
            </w:r>
          </w:p>
        </w:tc>
        <w:tc>
          <w:tcPr>
            <w:tcW w:w="609"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Metabolite of a tetrahydropyridine</w:t>
            </w:r>
          </w:p>
        </w:tc>
        <w:tc>
          <w:tcPr>
            <w:tcW w:w="68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Herbicide</w:t>
            </w:r>
          </w:p>
        </w:tc>
        <w:tc>
          <w:tcPr>
            <w:tcW w:w="68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Nervous system</w:t>
            </w:r>
          </w:p>
        </w:tc>
        <w:tc>
          <w:tcPr>
            <w:tcW w:w="2012" w:type="pct"/>
          </w:tcPr>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Oxidative stress promotion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{"citationItems":[{"id":"ITEM-1","itemData":{"DOI":"10.1186/1742-2094-8-129","ISBN":"1742-2094 (Electronic)\\r1742-2094 (Linking)","ISSN":"1742-2094","PMID":"21975039","abstract":"BACKGROUND Reactive oxygen species (ROS), superoxide and hydrogen peroxide (H2O2), are necessary for appropriate responses to immune challenges. In the brain, excess superoxide production predicts neuronal cell loss, suggesting that Parkinson's disease (PD) with its wholesale death of dopaminergic neurons in substantia nigra pars compacta (nigra) may be a case in point. Although microglial NADPH oxidase-produced superoxide contributes to dopaminergic neuron death in an MPTP mouse model of PD, this is secondary to an initial die off of such neurons, suggesting that the initial MPTP-induced death of neurons may be via activation of NADPH oxidase in neurons themselves, thus providing an early therapeutic target. METHODS NADPH oxidase subunits were visualized in adult mouse nigra neurons and in N27 rat dopaminergic cells by immunofluorescence. NADPH oxidase subunits in N27 cell cultures were detected by immunoblots and RT-PCR. Superoxide was measured by flow cytometric detection of H2O2-induced carboxy-H2-DCFDA fluorescence. Cells were treated with MPP+ (MPTP metabolite) following siRNA silencing of the Nox2-stabilizing subunit p22phox, or simultaneously with NADPH oxidase pharmacological inhibitors or with losartan to antagonize angiotensin II type 1 receptor-induced NADPH oxidase activation. RESULTS Nigral dopaminergic neurons in situ expressed three subunits necessary for NADPH oxidase activation, and these as well as several other NADPH oxidase subunits and their encoding mRNAs were detected in unstimulated N27 cells. Overnight MPP+ treatment of N27 cells induced Nox2 protein and superoxide generation, which was counteracted by NADPH oxidase inhibitors, by siRNA silencing of p22phox, or losartan. A two-wave ROS cascade was identified: 1) as a first wave, mitochondrial H2O2 production was first noted at three hours of MPP+ treatment; and 2) as a second wave, H2O2 levels were further increased by 24 hours. This second wave was eliminated by pharmacological inhibitors and a blocker of protein synthesis. CONCLUSIONS A two-wave cascade of ROS production is active in nigral dopaminergic neurons in response to neurotoxicity-induced superoxide. Our findings allow us to conclude that superoxide generated by NADPH oxidase present in nigral neurons contributes to the loss of such neurons in PD. Losartan suppression of nigral-cell superoxide production suggests that angiotensin receptor blockers have potential as PD preventatives.","author":[{"dropping-particle":"","family":"Zawada","given":"W. Michael","non-dropping-particle":"","parse-names":false,"suffix":""},{"dropping-particle":"","family":"Banninger","given":"Gregg P.","non-dropping-particle":"","parse-names":false,"suffix":""},{"dropping-particle":"","family":"Thornton","given":"Jennifer","non-dropping-particle":"","parse-names":false,"suffix":""},{"dropping-particle":"","family":"Marriott","given":"Beth","non-dropping-particle":"","parse-names":false,"suffix":""},{"dropping-particle":"","family":"Cantu","given":"David","non-dropping-particle":"","parse-names":false,"suffix":""},{"dropping-particle":"","family":"Rachubinski","given":"Angela L.","non-dropping-particle":"","parse-names":false,"suffix":""},{"dropping-particle":"","family":"Das","given":"Mita","non-dropping-particle":"","parse-names":false,"suffix":""},{"dropping-particle":"","family":"Griffin","given":"W. Sue T.","non-dropping-particle":"","parse-names":false,"suffix":""},{"dropping-particle":"","family":"Jones","given":"Susan M.","non-dropping-particle":"","parse-names":false,"suffix":""}],"container-title":"Journal of Neuroinflammation","id":"ITEM-1","issued":{"date-parts":[["2011"]]},"publisher":"BioMed Central Ltd","title":"Generation of reactive oxygen species in 1-methyl-4-phenylpyridinium (MPP+) treated dopaminergic neurons occurs as an NADPH oxidase-dependent two-wave cascade","type":"article-journal"},"uris":["http://www.mendeley.com/documents/?uuid=faf0b2f3-210e-4df1-b77e-52549adb7cb6"]}],"mendeley":{"formattedCitation":"[43]","plainTextFormattedCitation":"[43]","previouslyFormattedCitation":"[43]"},"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[43]</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Mitochondrial complex I inhibition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{"citationItems":[{"id":"ITEM-1","itemData":{"DOI":"10.1016/j.freeradbiomed.2015.08.013","ISSN":"1873-4596","PMID":"26415025","abstract":"Progressive degeneration and death of neurons are main causes of neurodegenerative disorders such as Parkinson's disease and Alzheimer's disease. Although some current medicines may temporarily improve their symptoms, no treatments can slow or halt the progression of neuronal death. In this study, a pyrimidine derivative, benzyl 7-(4-hydroxy-3-methoxyphenyl)-5-methyl-4,7-dihydrotetrazolo[1,5-a]pyrimidine-6-carboxylate (BHDPC), was found to attenuate dramatically the MPTP-induced death of dopaminergic neurons and improve behavior movement deficiency in zebrafish, supporting its potential neuroprotective activity in vivo. Further study in rat organotypic cerebellar cultures indicated that BHDPC was able to suppress MPP(+)-induced cell death of brain tissue slices ex vivo. The protective effect of BHDPC against MPP(+) toxicity was also effective in human neuroblastoma SH-SY5Y cells through restoring abnormal changes in mitochondrial membrane potential and numerous apoptotic regulators. Western blotting analysis indicated that BHDPC was able to activate PKA/CREB survival signaling and further up-regulate Bcl2 expression. However, BHDPC failed to suppress MPP(+)-induced cytotoxicity and the increase of caspase 3 activity in the presence of the PKA inhibitor H89. Taken together, these results suggest that BHDPC is a potential neuroprotectant with prosurvival effects in multiple models of neurodegenerative disease in vitro, ex vivo, and in vivo.","author":[{"dropping-particle":"","family":"Chong","given":"Cheong-Meng","non-dropping-particle":"","parse-names":false,"suffix":""},{"dropping-particle":"","family":"Ma","given":"Dan","non-dropping-particle":"","parse-names":false,"suffix":""},{"dropping-particle":"","family":"Zhao","given":"Chao","non-dropping-particle":"","parse-names":false,"suffix":""},{"dropping-particle":"","family":"Franklin","given":"Robin J M","non-dropping-particle":"","parse-names":false,"suffix":""},{"dropping-particle":"","family":"Zhou","given":"Zhong-Yan","non-dropping-particle":"","parse-names":false,"suffix":""},{"dropping-particle":"","family":"Ai","given":"Nana","non-dropping-particle":"","parse-names":false,"suffix":""},{"dropping-particle":"","family":"Li","given":"Chuwen","non-dropping-particle":"","parse-names":false,"suffix":""},{"dropping-particle":"","family":"Yu","given":"Huidong","non-dropping-particle":"","parse-names":false,"suffix":""},{"dropping-particle":"","family":"Hou","given":"Tingjun","non-dropping-particle":"","parse-names":false,"suffix":""},{"dropping-particle":"","family":"Sa","given":"Fei","non-dropping-particle":"","parse-names":false,"suffix":""},{"dropping-particle":"","family":"Lee","given":"Simon Ming-Yuen","non-dropping-particle":"","parse-names":false,"suffix":""}],"container-title":"Free radical biology &amp; medicine","id":"ITEM-1","issued":{"date-parts":[["2015","12"]]},"page":"1057-1066","publisher":"Elsevier","title":"Discovery of a novel neuroprotectant, BHDPC, that protects against MPP+/MPTP-induced neuronal death in multiple experimental models.","type":"article-journal","volume":"89"},"uris":["http://www.mendeley.com/documents/?uuid=4a9e84a1-9cbe-4911-9a0c-18c248949a4e"]}],"mendeley":{"formattedCitation":"[44]","plainTextFormattedCitation":"[44]","previouslyFormattedCitation":"[44]"},"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[44]</w:t>
            </w:r>
            <w:r w:rsidRPr="00C215EB">
              <w:rPr>
                <w:rFonts w:ascii="Times New Roman" w:hAnsi="Times New Roman" w:cs="Times New Roman"/>
                <w:bCs/>
                <w:sz w:val="24"/>
                <w:szCs w:val="24"/>
                <w:lang w:val="en-US"/>
              </w:rPr>
              <w:fldChar w:fldCharType="end"/>
            </w:r>
          </w:p>
        </w:tc>
      </w:tr>
      <w:tr w:rsidR="008E041A" w:rsidRPr="00C215EB" w:rsidTr="00A04BA8">
        <w:trPr>
          <w:cnfStyle w:val="000000100000" w:firstRow="0" w:lastRow="0" w:firstColumn="0" w:lastColumn="0" w:oddVBand="0" w:evenVBand="0" w:oddHBand="1" w:evenHBand="0" w:firstRowFirstColumn="0" w:firstRowLastColumn="0" w:lastRowFirstColumn="0" w:lastRowLastColumn="0"/>
          <w:cantSplit/>
          <w:trHeight w:val="152"/>
          <w:jc w:val="center"/>
        </w:trPr>
        <w:tc>
          <w:tcPr>
            <w:tcW w:w="101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1-Octanol</w:t>
            </w:r>
          </w:p>
        </w:tc>
        <w:tc>
          <w:tcPr>
            <w:tcW w:w="609"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Alcohol</w:t>
            </w:r>
          </w:p>
        </w:tc>
        <w:tc>
          <w:tcPr>
            <w:tcW w:w="68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Solvent, artificial flavoring, biocide</w:t>
            </w:r>
          </w:p>
        </w:tc>
        <w:tc>
          <w:tcPr>
            <w:tcW w:w="68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Nervous system</w:t>
            </w:r>
          </w:p>
        </w:tc>
        <w:tc>
          <w:tcPr>
            <w:tcW w:w="2012" w:type="pct"/>
            <w:tcBorders>
              <w:top w:val="none" w:sz="0" w:space="0" w:color="auto"/>
              <w:bottom w:val="none" w:sz="0" w:space="0" w:color="auto"/>
            </w:tcBorders>
          </w:tcPr>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Potential γ-aminobutyric acid interaction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{"citationItems":[{"id":"ITEM-1","itemData":{"DOI":"10.1212/01.WNL.0000101722.95137.19","ISBN":"1526-632X (Electronic)","ISSN":"00283878","PMID":"14718713","abstract":"1-Octanol (an 8-C alcohol currently used as a food-flavoring agent) is known to inhibit tremor in essential tremor (ET) animal models at a much lower dose than ethyl alcohol. The authors conducted a randomized, placebo-controlled pilot trial of a single oral dose of 1 mg/kg of 1-octanol in 12 patients with ET. No significant side effects or signs of intoxication were observed. 1-Octanol significantly decreased tremor amplitude for up to 90 minutes. The results suggest 1-octanol as a well-tolerated and safe potential treatment for ET. Further trials are warranted.","author":[{"dropping-particle":"","family":"Bushara","given":"K. O.","non-dropping-particle":"","parse-names":false,"suffix":""},{"dropping-particle":"","family":"Goldstein","given":"S. R.","non-dropping-particle":"","parse-names":false,"suffix":""},{"dropping-particle":"","family":"Grimes","given":"G. J.","non-dropping-particle":"","parse-names":false,"suffix":""},{"dropping-particle":"","family":"Burstein","given":"A. H.","non-dropping-particle":"","parse-names":false,"suffix":""},{"dropping-particle":"","family":"Hallett","given":"M.","non-dropping-particle":"","parse-names":false,"suffix":""}],"container-title":"Neurology","id":"ITEM-1","issue":"1","issued":{"date-parts":[["2004"]]},"page":"122-124","title":"Pilot trial of 1-octanol in essential tremor","type":"article-journal","volume":"62"},"uris":["http://www.mendeley.com/documents/?uuid=37312244-0a58-46ab-9bd2-39525e0c3862"]}],"mendeley":{"formattedCitation":"[45]","plainTextFormattedCitation":"[45]","previouslyFormattedCitation":"[45]"},"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[45]</w:t>
            </w:r>
            <w:r w:rsidRPr="00C215EB">
              <w:rPr>
                <w:rFonts w:ascii="Times New Roman" w:hAnsi="Times New Roman" w:cs="Times New Roman"/>
                <w:bCs/>
                <w:sz w:val="24"/>
                <w:szCs w:val="24"/>
                <w:lang w:val="en-US"/>
              </w:rPr>
              <w:fldChar w:fldCharType="end"/>
            </w:r>
          </w:p>
        </w:tc>
      </w:tr>
      <w:tr w:rsidR="008E041A" w:rsidRPr="00C215EB" w:rsidTr="00A04BA8">
        <w:trPr>
          <w:cantSplit/>
          <w:trHeight w:val="152"/>
          <w:jc w:val="center"/>
        </w:trPr>
        <w:tc>
          <w:tcPr>
            <w:tcW w:w="101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Paracetamol</w:t>
            </w:r>
          </w:p>
        </w:tc>
        <w:tc>
          <w:tcPr>
            <w:tcW w:w="609"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Para-aminophenol</w:t>
            </w:r>
          </w:p>
        </w:tc>
        <w:tc>
          <w:tcPr>
            <w:tcW w:w="68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Antipyretic</w:t>
            </w:r>
          </w:p>
        </w:tc>
        <w:tc>
          <w:tcPr>
            <w:tcW w:w="68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Liver, kidney, nervous system</w:t>
            </w:r>
          </w:p>
        </w:tc>
        <w:tc>
          <w:tcPr>
            <w:tcW w:w="2012" w:type="pct"/>
          </w:tcPr>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Oxidative stress promotion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{"citationItems":[{"id":"ITEM-1","itemData":{"DOI":"10.1016/j.redox.2016.10.001","ISBN":"2213-2317 (Electronic)\r2213-2317 (Linking)","ISSN":"22132317","PMID":"27744120","abstract":"Acetaminophen (APAP) hepatotoxicity is characterized by an extensive oxidative stress. However, its source, pathophysiological role and possible therapeutic potential if targeted, have been controversially described. Earlier studies argued for cytochrome P450-generated reactive oxygen species (ROS) during APAP metabolism, which resulted in massive lipid peroxidation and subsequent liver injury. However, subsequent studies convincingly challenged this assumption and the current paradigm suggests that mitochondria are the main source of ROS, which impair mitochondrial function and are responsible for cell signaling resulting in cell death. Although immune cells can be a source of ROS in other models, no reliable evidence exists to support a role for immune cell-derived ROS in APAP hepatotoxicity. Recent studies suggest that mitochondrial targeted antioxidants can be viable therapeutic agents against hepatotoxicity induced by APAP overdose, and re-purposing existing drugs to target oxidative stress and other concurrent signaling events can be a promising strategy to increase its potential application in patients with APAP overdose.","author":[{"dropping-particle":"","family":"Du","given":"Kuo","non-dropping-particle":"","parse-names":false,"suffix":""},{"dropping-particle":"","family":"Ramachandran","given":"Anup","non-dropping-particle":"","parse-names":false,"suffix":""},{"dropping-particle":"","family":"Jaeschke","given":"Hartmut","non-dropping-particle":"","parse-names":false,"suffix":""}],"container-title":"Redox Biology","id":"ITEM-1","issue":"September","issued":{"date-parts":[["2016"]]},"page":"148-156","publisher":"Elsevier","title":"Oxidative stress during acetaminophen hepatotoxicity: Sources, pathophysiological role and therapeutic potential","type":"article-journal","volume":"10"},"uris":["http://www.mendeley.com/documents/?uuid=0db773be-2d74-4e07-96a0-cca80b313fb1"]}],"mendeley":{"formattedCitation":"[46]","plainTextFormattedCitation":"[46]","previouslyFormattedCitation":"[46]"},"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[46]</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Indirect COX-2 inhibition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10.1002/jat.1446","ISSN":"0260437X","PMID":"19533668","author":[{"dropping-particle":"","family":"David","given":"A.","non-dropping-particle":"","parse-names":false,"suffix":""},{"dropping-particle":"","family":"Pancharatna","given":"K.","non-dropping-particle":"","parse-names":false,"suffix":""}],"container-title":"Journal of Applied Toxicology","id":"ITEM-1","issue":"7","issued":{"date-parts":[["2009"]]},"page":"597-602","title":"Effects of acetaminophen (paracetamol) in the embryonic development of zebrafish, Danio rerio","type":"article-journal","volume":"29"},"uris":["http://www.mendeley.com/documents/?uuid=62b36a18-75ee-462f-8564-0ac351d56743"]}],"mendeley":{"formattedCitation":"[47]","plainTextFormattedCitation":"[47]","previouslyFormattedCitation":"[47]"},"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[47]</w:t>
            </w:r>
            <w:r w:rsidRPr="00C215EB">
              <w:rPr>
                <w:rFonts w:ascii="Times New Roman" w:hAnsi="Times New Roman" w:cs="Times New Roman"/>
                <w:bCs/>
                <w:sz w:val="24"/>
                <w:szCs w:val="24"/>
                <w:lang w:val="en-US"/>
              </w:rPr>
              <w:fldChar w:fldCharType="end"/>
            </w:r>
          </w:p>
        </w:tc>
      </w:tr>
      <w:tr w:rsidR="008E041A" w:rsidRPr="00C215EB" w:rsidTr="00A04BA8">
        <w:trPr>
          <w:cnfStyle w:val="000000100000" w:firstRow="0" w:lastRow="0" w:firstColumn="0" w:lastColumn="0" w:oddVBand="0" w:evenVBand="0" w:oddHBand="1" w:evenHBand="0" w:firstRowFirstColumn="0" w:firstRowLastColumn="0" w:lastRowFirstColumn="0" w:lastRowLastColumn="0"/>
          <w:cantSplit/>
          <w:trHeight w:val="152"/>
          <w:jc w:val="center"/>
        </w:trPr>
        <w:tc>
          <w:tcPr>
            <w:tcW w:w="101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Paraquat</w:t>
            </w:r>
          </w:p>
        </w:tc>
        <w:tc>
          <w:tcPr>
            <w:tcW w:w="609"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proofErr w:type="spellStart"/>
            <w:r w:rsidRPr="00C215EB">
              <w:rPr>
                <w:rFonts w:ascii="Times New Roman" w:hAnsi="Times New Roman" w:cs="Times New Roman"/>
                <w:bCs/>
                <w:sz w:val="24"/>
                <w:szCs w:val="24"/>
                <w:lang w:val="en-US"/>
              </w:rPr>
              <w:t>Bipyridylium</w:t>
            </w:r>
            <w:proofErr w:type="spellEnd"/>
          </w:p>
        </w:tc>
        <w:tc>
          <w:tcPr>
            <w:tcW w:w="68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Herbicide</w:t>
            </w:r>
          </w:p>
        </w:tc>
        <w:tc>
          <w:tcPr>
            <w:tcW w:w="68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Lung, liver, kidney, neuronal system</w:t>
            </w:r>
          </w:p>
        </w:tc>
        <w:tc>
          <w:tcPr>
            <w:tcW w:w="2012" w:type="pct"/>
            <w:tcBorders>
              <w:top w:val="none" w:sz="0" w:space="0" w:color="auto"/>
              <w:bottom w:val="none" w:sz="0" w:space="0" w:color="auto"/>
            </w:tcBorders>
          </w:tcPr>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Oxidative stress promotion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{"citationItems":[{"id":"ITEM-1","itemData":{"DOI":"NEL300709R01 [pii]","ISBN":"0172-780X (Print)\\n0172-780X (Linking)","ISSN":"0172-780X","PMID":"20027135","abstract":"The knowledge in oxidative stress in fish has a great importance for environmental and aquatic toxicology. Because oxidative stress is evoked by many chemicals including some pesticides, pro-oxidant factors' action in fish organism can be used to assess specific area pollution or world sea pollution. Hepatotoxic effect of DDT may be related with lipid peroxidation. Releasing of reactive oxygen species (ROS) after HCB exposure can be realized via two ways: via the uncoupling of the electron transport chain from monooxygenase activity and via metabolism of HCB major metabolite pentachlorophenol. Chlorothalonil disrupts mitochondrial metabolism due to the impairment of NADPH oxidase function. Activation of spleen macrophages and a decrease of catalase (CAT) activity have been observed after endosulfan exposure. Excessive release of superoxide radicals after etoxazole exposure can cause a decrease of CAT activity and increase phagocytic activity of splenocytes. Anticholinergic activity of organophosphates leads to the accumulation of ROS and resulting lipid peroxidation. Carbaryl induces changes in the content of glutathione and antioxidant enzymes activities. The antioxidant enzymes changes have been observed after actuation of pesticides deltamethrin and cypermethrin. Bipyridyl herbicides are able to form redox cycles and thereby cause oxidative stress. Low concentrations of simazine do not cause oxidative stress in carps during sub-chronic tests while sublethal concentrations of atrazin can induce oxidative stress in bluegill sunfish. Butachlor causes increased activity of superoxide dismutase -catalase system in the kidney. Rotenon can inhibit the electron transport in mitochondria and thereby increase ROS production. Dichloroaniline, the metabolite of diuron, has oxidative effects. Oxidative damage from fenpyroximate actuation is related to the disruption of mitochondrial redox respiratory chain. Low concentration of glyphosate can cause mild oxidative stress.","author":[{"dropping-particle":"","family":"Slaninova","given":"Andrea","non-dropping-particle":"","parse-names":false,"suffix":""},{"dropping-particle":"","family":"Smutna","given":"Miriam","non-dropping-particle":"","parse-names":false,"suffix":""},{"dropping-particle":"","family":"Modra","given":"Helena","non-dropping-particle":"","parse-names":false,"suffix":""},{"dropping-particle":"","family":"Svobodova","given":"Zdenka","non-dropping-particle":"","parse-names":false,"suffix":""}],"container-title":"Neuro endocrinology letters","id":"ITEM-1","issue":"Suppl 1","issued":{"date-parts":[["2009"]]},"page":"2-12","title":"A review: oxidative stress in fish induced by pesticides.","type":"article-journal","volume":"30 Suppl 1"},"uris":["http://www.mendeley.com/documents/?uuid=431ac41b-57ae-44b4-91a8-0cff2dad8664"]},{"id":"ITEM-2","itemData":{"DOI":"10.1007/s10695-015-0171-5","ISBN":"0920-1742","ISSN":"15735168","PMID":"26607273","abstract":"The presence of reactive oxygen species (ROS) in living organisms was described more than 60 years ago and virtually immediately it was suggested that ROS were involved in various pathological processes and aging. The state when ROS generation exceeds elimination leading to an increased steady-state ROS level has been called \"oxidative stress.\" Although ROS association with many pathological states in animals is well established, the question of ROS responsibility for the development of these states is still open. Fish represent the largest group of vertebrates and they inhabit a broad range of ecosystems where they are subjected to many different aquatic contaminants. In many cases, the deleterious effects of contaminants have been connected to induction of oxidative stress. Therefore, deciphering of molecular mechanisms leading to such contaminant effects and organisms' response may let prevent or minimize deleterious impacts of oxidative stress. This review describes general aspects of ROS homeostasis, in particular highlighting its basic aspects, modification of cellular constituents, operation of defense systems and ROS-based signaling with an emphasis on fish systems. A brief introduction to oxidative stress theory is accompanied by the description of a recently developed classification system for oxidative stress based on its intensity and time course. Specific information on contaminant-induced oxidative stress in fish is covered in sections devoted to such pollutants as metal ions (particularly iron, copper, chromium, mercury, arsenic, nickel, etc.), pesticides (insecticides, herbicides, and fungicides) and oil with accompanying pollutants. In the last section, certain problems and perspectives in studies of oxidative stress in fish are described.","author":[{"dropping-particle":"","family":"Lushchak","given":"Volodymyr I.","non-dropping-particle":"","parse-names":false,"suffix":""}],"container-title":"Fish Physiology and Biochemistry","id":"ITEM-2","issue":"2","issued":{"date-parts":[["2016"]]},"page":"711-747","publisher":"Springer Netherlands","title":"Contaminant-induced oxidative stress in fish: a mechanistic approach","type":"article-journal","volume":"42"},"uris":["http://www.mendeley.com/documents/?uuid=3ae8bf52-aaec-4d37-93a6-0741169b6cc9"]}],"mendeley":{"formattedCitation":"[6, 48]","plainTextFormattedCitation":"[6, 48]","previouslyFormattedCitation":"[6, 48]"},"properties":{"noteIndex":0},"schema":"https://github.com/citation-style-language/schema/raw/master/csl-citation.json"}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[6, 48]</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Permanent neuronal damage (Parkinson’s)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{"citationItems":[{"id":"ITEM-1","itemData":{"DOI":"10.1016/j.ntt.2004.06.014","ISBN":"0892-0362","ISSN":"0892-0362","PMID":"15451049","abstract":"Parkinson's disease (PD) is characterized by the progressive loss of dopaminergic (DA) neurons in the substantia nigra and movement defects, including bradykinesia, tremor, and postural imbalance. Whereas the etiology and pathogenesis of PD is still poorly understood, studies in animal models are providing important insights. One valuable type of animal model for PD is established by treating animals with PD-inducing neurotoxins, including 1-methyl-4-phenyl-1,2,3,6-tetrahydropyridine (MPTP), rotenone, and paraquat. These neurotoxins are thought to inhibit mitochondrial complex I activity leading to oxidative stress, impaired energy metabolism, proteasomal dysfunction, and, eventually, dopamine neuronal loss. However, the genes and pathways that underlie the neurotoxicity of these agents are not known. In this study, we explored the effect of MPTP, rotenone, and paraquat in both adult and larval zebrafish, which are highly amenable to genetic analysis that can lead to the identification of the underlying genes and pathways. Here, we report that adult zebrafish display behavioral alterations, including decreased locomotor activity in response to MPTP, whereas larval zebrafish exhibited developmental, behavioral, and DA sensitivity to these agents. Taken together, these findings suggest that zebrafish could be a valuable model for genetically dissecting the molecular mechanisms underlying the neurotoxicity of PD-inducing agents.","author":[{"dropping-particle":"","family":"Bretaud","given":"Sandrine","non-dropping-particle":"","parse-names":false,"suffix":""},{"dropping-particle":"","family":"Lee","given":"Susie","non-dropping-particle":"","parse-names":false,"suffix":""},{"dropping-particle":"","family":"Guo","given":"Su","non-dropping-particle":"","parse-names":false,"suffix":""}],"container-title":"Neurotoxicology and teratology","id":"ITEM-1","issue":"6","issued":{"date-parts":[["2004"]]},"page":"857-864","title":"Sensitivity of zebrafish to environmental toxins implicated in Parkinson's disease.","type":"article-journal","volume":"26"},"uris":["http://www.mendeley.com/documents/?uuid=45dba483-5cd4-4da8-b6bf-6e4e7ef4ee34"]}],"mendeley":{"formattedCitation":"[49]","plainTextFormattedCitation":"[49]","previouslyFormattedCitation":"[49]"},"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[49]</w:t>
            </w:r>
            <w:r w:rsidRPr="00C215EB">
              <w:rPr>
                <w:rFonts w:ascii="Times New Roman" w:hAnsi="Times New Roman" w:cs="Times New Roman"/>
                <w:bCs/>
                <w:sz w:val="24"/>
                <w:szCs w:val="24"/>
                <w:lang w:val="en-US"/>
              </w:rPr>
              <w:fldChar w:fldCharType="end"/>
            </w:r>
          </w:p>
        </w:tc>
      </w:tr>
      <w:tr w:rsidR="008E041A" w:rsidRPr="00C215EB" w:rsidTr="00A04BA8">
        <w:trPr>
          <w:cantSplit/>
          <w:trHeight w:val="152"/>
          <w:jc w:val="center"/>
        </w:trPr>
        <w:tc>
          <w:tcPr>
            <w:tcW w:w="101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lastRenderedPageBreak/>
              <w:t>4-Pentenoic acid</w:t>
            </w:r>
          </w:p>
        </w:tc>
        <w:tc>
          <w:tcPr>
            <w:tcW w:w="609"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Fatty acid</w:t>
            </w:r>
          </w:p>
        </w:tc>
        <w:tc>
          <w:tcPr>
            <w:tcW w:w="68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Valproic acid analogue / metabolite, artificial flavoring</w:t>
            </w:r>
          </w:p>
        </w:tc>
        <w:tc>
          <w:tcPr>
            <w:tcW w:w="68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Liver, kidney</w:t>
            </w:r>
          </w:p>
        </w:tc>
        <w:tc>
          <w:tcPr>
            <w:tcW w:w="2012" w:type="pct"/>
          </w:tcPr>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Fatty acid oxidation inhibition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10.1016/0006-291X(69)90838-9","ISSN":"0006291X","author":[{"dropping-particle":"","family":"Brendel","given":"Klaus","non-dropping-particle":"","parse-names":false,"suffix":""},{"dropping-particle":"","family":"Corredor","given":"Carlos F.","non-dropping-particle":"","parse-names":false,"suffix":""},{"dropping-particle":"","family":"Bressler","given":"Rubin","non-dropping-particle":"","parse-names":false,"suffix":""}],"container-title":"Biochemical and Biophysical Research Communications","id":"ITEM-1","issue":"3","issued":{"date-parts":[["1969","2"]]},"page":"340-347","title":"The effect of 4-pentenoic acid on fatty acid oxidation","type":"article-journal","volume":"34"},"uris":["http://www.mendeley.com/documents/?uuid=33c60dbb-750d-417b-9e7f-71142a3e11bb"]}],"mendeley":{"formattedCitation":"[50]","plainTextFormattedCitation":"[50]","previouslyFormattedCitation":"[50]"},"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[50]</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HDAC inhibition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{"citationItems":[{"id":"ITEM-1","itemData":{"DOI":"10.1096/fj.04-3425fje","ISSN":"0892-6638","abstract":"Chemically induced birth defects are an important public health and human problem. Here we use Xenopus and zebrafish as models to investigate the mechanism of action of a well-known teratogen, valproic acid (VPA). VPA is a drug used in treatment of epilepsy and bipolar disorder but causes spina bifida if taken during pregnancy. VPA has several biochemical activities, including inhibition of histone deacetylases (HDACs). To investigate the mechanism of action of VPA, we compared its effects in Xenopus and zebrafish embryos with those of known HDAC inhibitors and noninhibitory VPA analogs. We found that VPA and other HDAC inhibitors cause very similar and characteristic developmental defects whereas VPA analogs with poor inhibitory activity in vivo have little teratogenic effect. Unbiased microarray analysis revealed that the effects of VPA and trichostatin A (TSA), a structurally unrelated HDAC inhibitor, are strikingly concordant. The concordance is apparent both by en masse correlation of fold-changes and by detailed similarity of dose-response profiles of individual genes. Together, the results demonstrate that the teratogenic effects of VPA are very likely mediated specifically by inhibition of HDACs.","author":[{"dropping-particle":"","family":"Gurvich","given":"Nadia","non-dropping-particle":"","parse-names":false,"suffix":""},{"dropping-particle":"","family":"Berman","given":"Melissa G.","non-dropping-particle":"","parse-names":false,"suffix":""},{"dropping-particle":"","family":"Wittner","given":"Ben S.","non-dropping-particle":"","parse-names":false,"suffix":""},{"dropping-particle":"","family":"Gentleman","given":"Robert C.","non-dropping-particle":"","parse-names":false,"suffix":""},{"dropping-particle":"","family":"Klein","given":"Peter S.","non-dropping-particle":"","parse-names":false,"suffix":""},{"dropping-particle":"","family":"Green","given":"Jeremy B. A.","non-dropping-particle":"","parse-names":false,"suffix":""}],"container-title":"The FASEB Journal","id":"ITEM-1","issue":"9","issued":{"date-parts":[["2005","7","18"]]},"page":"1166-1168","title":"Association of valproate‐induced teratogenesis with histone deacetylase inhibition in vivo","type":"article-journal","volume":"19"},"uris":["http://www.mendeley.com/documents/?uuid=c689fdf0-af31-4f38-864a-b3d0e323dd8e"]}],"mendeley":{"formattedCitation":"[28]","plainTextFormattedCitation":"[28]","previouslyFormattedCitation":"[28]"},"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[28]</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Microvascular steatosis induction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{"citationItems":[{"id":"ITEM-1","itemData":{"DOI":"10.1021/tx00047a006","author":[{"dropping-particle":"","family":"Tang","given":"Wei","non-dropping-particle":"","parse-names":false,"suffix":""},{"dropping-particle":"","family":"Borel","given":"Anthony G","non-dropping-particle":"","parse-names":false,"suffix":""},{"dropping-particle":"","family":"Fujimiya","given":"Tatsuya","non-dropping-particle":"","parse-names":false,"suffix":""},{"dropping-particle":"","family":"Abbott","given":"Frank S","non-dropping-particle":"","parse-names":false,"suffix":""}],"container-title":"Chemical Research in Toxicology","id":"ITEM-1","issued":{"date-parts":[["1995"]]},"page":"671-682","title":"Fluorinated Analogues as Mechanistic Probes in Valproic Acid Hepatotoxicity : Hepatic Microvesicular Steatosis and Glutathione Status","type":"article-journal","volume":"8"},"uris":["http://www.mendeley.com/documents/?uuid=339f4d62-0a02-4db8-baea-b68ee03bb97f"]}],"mendeley":{"formattedCitation":"[51]","plainTextFormattedCitation":"[51]","previouslyFormattedCitation":"[51]"},"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[51]</w:t>
            </w:r>
            <w:r w:rsidRPr="00C215EB">
              <w:rPr>
                <w:rFonts w:ascii="Times New Roman" w:hAnsi="Times New Roman" w:cs="Times New Roman"/>
                <w:bCs/>
                <w:sz w:val="24"/>
                <w:szCs w:val="24"/>
                <w:lang w:val="en-US"/>
              </w:rPr>
              <w:fldChar w:fldCharType="end"/>
            </w:r>
          </w:p>
        </w:tc>
      </w:tr>
      <w:tr w:rsidR="008E041A" w:rsidRPr="00C215EB" w:rsidTr="00A04BA8">
        <w:trPr>
          <w:cnfStyle w:val="000000100000" w:firstRow="0" w:lastRow="0" w:firstColumn="0" w:lastColumn="0" w:oddVBand="0" w:evenVBand="0" w:oddHBand="1" w:evenHBand="0" w:firstRowFirstColumn="0" w:firstRowLastColumn="0" w:lastRowFirstColumn="0" w:lastRowLastColumn="0"/>
          <w:cantSplit/>
          <w:trHeight w:val="152"/>
          <w:jc w:val="center"/>
        </w:trPr>
        <w:tc>
          <w:tcPr>
            <w:tcW w:w="101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sz w:val="24"/>
                <w:szCs w:val="24"/>
                <w:lang w:val="en-US"/>
              </w:rPr>
              <w:t>Polychlorinated biphenyl 180 (PCB 180)</w:t>
            </w:r>
          </w:p>
        </w:tc>
        <w:tc>
          <w:tcPr>
            <w:tcW w:w="609"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Non-volatile chlorinated hydrocarbon</w:t>
            </w:r>
          </w:p>
        </w:tc>
        <w:tc>
          <w:tcPr>
            <w:tcW w:w="68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Industrial coolant, plasticizer (banned)</w:t>
            </w:r>
          </w:p>
        </w:tc>
        <w:tc>
          <w:tcPr>
            <w:tcW w:w="68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Liver</w:t>
            </w:r>
          </w:p>
        </w:tc>
        <w:tc>
          <w:tcPr>
            <w:tcW w:w="2012" w:type="pct"/>
            <w:tcBorders>
              <w:top w:val="none" w:sz="0" w:space="0" w:color="auto"/>
              <w:bottom w:val="none" w:sz="0" w:space="0" w:color="auto"/>
            </w:tcBorders>
          </w:tcPr>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Glutamate-NO-cGMP pathway inhibition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{"citationItems":[{"id":"ITEM-1","itemData":{"DOI":"10.1007/s12640-009-9055-8","abstract":"Polychlorinated biphenyls (PCBs) are persistent organic pollutants that accumulate in the food chain and are present in human blood and milk. Children born to mothers exposed to PCBs show cognitive deficits, which are reproduced in rats perinatally exposed to PCBs. It has been proposed that PCB- induced cognitive impairment is due to impairment of the glutamate-nitric oxide (NO)-cGMP pathway. The aim of the present work was to assess whether chronic exposure to the nondioxin-like PCB52, PCB138, or PCB180 alters the function of this pathway in primary cultures of rat cerebellar neurons and to assess whether different PCBs have similar or different mechanisms of action. PCB180 and PCB138 impair the function of the glutamate-NO-cGMP pathway at nanomolar concentrations, and PCB52 impairs the function of the glutamate-NO-cGMP pathway at micromolar concentrations. The mechanisms by which different PCBs impair the function of the glutamate-NO-cGMP pathway are different. Each PCB affects the pathway at more than one step but with different potency and, for some steps, in opposite ways. Exposure to the PCBs alters the basal concentrations of intracellular calcium, NO, and cGMP. The three PCBs increase NO; however, PCB52 and PCB138 increase basal cGMP, while PCB180 decreases it. PCB52 and PCB138 decrease the activation of soluble guanylate cyclase by NO, and PCB180 increases it. Long-term exposure to PCB52, PCB180, or PCB138 reduces the activation of NO synthase and the whole glutamate-NO-cGMP pathway in response to activation of N-methyl-D-aspartate receptors. The EC50 was 300 nM for PCB52 and 2 nMfor PCB138 or PCB180. These results show that chronic exposure to nondioxin like PCBs impairs the function of the glutamate-NO-cGMP pathway in cerebellar neurons by different mechanisms and with different potencies. Impaired function of this pathway would contribute to the cognitive alterations induced by perinatal exposure to PCBs in humans. 813 Introduction","author":[{"dropping-particle":"","family":"Llansola","given":"Marta","non-dropping-particle":"","parse-names":false,"suffix":""},{"dropping-particle":"","family":"Piedrafita","given":"Á Blanca","non-dropping-particle":"","parse-names":false,"suffix":""},{"dropping-particle":"","family":"Rodrigo","given":"Á Regina","non-dropping-particle":"","parse-names":false,"suffix":""},{"dropping-particle":"","family":"Montoliu","given":"Á Carmina","non-dropping-particle":"","parse-names":false,"suffix":""},{"dropping-particle":"","family":"Felipo","given":"Á Vicente","non-dropping-particle":"","parse-names":false,"suffix":""}],"container-title":"Chemical Research in Toxicology","id":"ITEM-1","issued":{"date-parts":[["2009"]]},"page":"813-820","title":"Polychlorinated Biphenyls PCB 153 and PCB 126 Impair the Glutamate- Nitric Oxide-CgmpGlutamate – Nitric Oxide – cGMP Pathway in Cerebellar Neurons in Culture by Different Mechanisms","type":"article-journal","volume":"23"},"uris":["http://www.mendeley.com/documents/?uuid=8ecbc10a-c1ee-4ef1-92b8-618a79a7c675"]}],"mendeley":{"formattedCitation":"[52]","plainTextFormattedCitation":"[52]","previouslyFormattedCitation":"[52]"},"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[52]</w:t>
            </w:r>
            <w:r w:rsidRPr="00C215EB">
              <w:rPr>
                <w:rFonts w:ascii="Times New Roman" w:hAnsi="Times New Roman" w:cs="Times New Roman"/>
                <w:bCs/>
                <w:sz w:val="24"/>
                <w:szCs w:val="24"/>
                <w:lang w:val="en-US"/>
              </w:rPr>
              <w:fldChar w:fldCharType="end"/>
            </w:r>
          </w:p>
        </w:tc>
      </w:tr>
      <w:tr w:rsidR="008E041A" w:rsidRPr="00C215EB" w:rsidTr="00A04BA8">
        <w:trPr>
          <w:cantSplit/>
          <w:trHeight w:val="152"/>
          <w:jc w:val="center"/>
        </w:trPr>
        <w:tc>
          <w:tcPr>
            <w:tcW w:w="101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Prochloraz</w:t>
            </w:r>
          </w:p>
        </w:tc>
        <w:tc>
          <w:tcPr>
            <w:tcW w:w="609"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Phenol</w:t>
            </w:r>
          </w:p>
        </w:tc>
        <w:tc>
          <w:tcPr>
            <w:tcW w:w="68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Fungicide</w:t>
            </w:r>
          </w:p>
        </w:tc>
        <w:tc>
          <w:tcPr>
            <w:tcW w:w="68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Liver</w:t>
            </w:r>
          </w:p>
        </w:tc>
        <w:tc>
          <w:tcPr>
            <w:tcW w:w="2012" w:type="pct"/>
          </w:tcPr>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Androgen and estrogen receptor antagonist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{"citationItems":[{"id":"ITEM-1","itemData":{"DOI":"10.1111/j.1365-2605.2005.00604.x","ISBN":"0105-6263 (Print) 0105-6263 (Linking)","ISSN":"01056263","PMID":"16466539","abstract":"Prochloraz is an imidazole fungicide that is widely used in Europe, Australia, Asia and South America within gardening and agriculture. Screening studies have shown that prochloraz elicits multiple mechanisms of action in vitro, as it antagonizes the androgen and the oestrogen receptor, agonizes the Ah receptor and inhibits aromatase activity. In vivo prochloraz acts as an antiandrogen in the Hershberger assay by reducing weights of reproductive organs, affecting androgen-regulated gene expressions in the prostate and increasing luteinizing hormone levels. In order to investigate the developmental effects of prochloraz, pregnant Wistar dams were dosed perinatally with 30 mg/kg prochloraz. Results showed that prochloraz significantly reduced plasma and testicular testosterone levels in gestational day 21 male foetuses, whereas testicular progesterone was increased. Gestational length was increased by prochloraz. In male pups a significant increase in nipple retention was found, and the weight of the bulbourethral glands was decreased. Behavioural studies showed that the activity level and sweet preference of adult males were significantly increased, indicating that exposure during gestation and lactation causes permanent effects in adulthood. Overall, these results indicate that prochloraz feminizes the male offspring after perinatal exposure, and that these effects are due, at least in part, to diminished fetal steroidogenesis. Thus, a novel endocrine disruptor has been identified that is mechanistically interesting as it elicits dual mechanisms of action and acts as an antiandrogen both by blocking the androgen receptor and by inhibiting fetal steroidogenesis. That a fungicide with such effects is so widely used is a cause for concern, and its use should be reduced, thereby minimizing the risk of human exposure.","author":[{"dropping-particle":"","family":"Vinggaard","given":"Anne Marie","non-dropping-particle":"","parse-names":false,"suffix":""},{"dropping-particle":"","family":"Hass","given":"Ulla","non-dropping-particle":"","parse-names":false,"suffix":""},{"dropping-particle":"","family":"Dalgaard","given":"Majken","non-dropping-particle":"","parse-names":false,"suffix":""},{"dropping-particle":"","family":"Andersen","given":"Helle Raun","non-dropping-particle":"","parse-names":false,"suffix":""},{"dropping-particle":"","family":"Bonefeld-Jørgensen","given":"Eva","non-dropping-particle":"","parse-names":false,"suffix":""},{"dropping-particle":"","family":"Christiansen","given":"Sofie","non-dropping-particle":"","parse-names":false,"suffix":""},{"dropping-particle":"","family":"Laier","given":"Peter","non-dropping-particle":"","parse-names":false,"suffix":""},{"dropping-particle":"","family":"Poulsen","given":"Mette Erecius","non-dropping-particle":"","parse-names":false,"suffix":""}],"container-title":"International Journal of Andrology","id":"ITEM-1","issue":"1","issued":{"date-parts":[["2006"]]},"page":"186-192","title":"Prochloraz: An imidazole fungicide with multiple mechanisms of action","type":"article-journal","volume":"29"},"uris":["http://www.mendeley.com/documents/?uuid=3ad70128-6292-4038-81fa-50e51b63fc44"]}],"mendeley":{"formattedCitation":"[53]","plainTextFormattedCitation":"[53]","previouslyFormattedCitation":"[53]"},"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[53]</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Aryl hydrocarbon receptor agonist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{"citationItems":[{"id":"ITEM-1","itemData":{"DOI":"10.1111/j.1365-2605.2005.00604.x","ISBN":"0105-6263 (Print) 0105-6263 (Linking)","ISSN":"01056263","PMID":"16466539","abstract":"Prochloraz is an imidazole fungicide that is widely used in Europe, Australia, Asia and South America within gardening and agriculture. Screening studies have shown that prochloraz elicits multiple mechanisms of action in vitro, as it antagonizes the androgen and the oestrogen receptor, agonizes the Ah receptor and inhibits aromatase activity. In vivo prochloraz acts as an antiandrogen in the Hershberger assay by reducing weights of reproductive organs, affecting androgen-regulated gene expressions in the prostate and increasing luteinizing hormone levels. In order to investigate the developmental effects of prochloraz, pregnant Wistar dams were dosed perinatally with 30 mg/kg prochloraz. Results showed that prochloraz significantly reduced plasma and testicular testosterone levels in gestational day 21 male foetuses, whereas testicular progesterone was increased. Gestational length was increased by prochloraz. In male pups a significant increase in nipple retention was found, and the weight of the bulbourethral glands was decreased. Behavioural studies showed that the activity level and sweet preference of adult males were significantly increased, indicating that exposure during gestation and lactation causes permanent effects in adulthood. Overall, these results indicate that prochloraz feminizes the male offspring after perinatal exposure, and that these effects are due, at least in part, to diminished fetal steroidogenesis. Thus, a novel endocrine disruptor has been identified that is mechanistically interesting as it elicits dual mechanisms of action and acts as an antiandrogen both by blocking the androgen receptor and by inhibiting fetal steroidogenesis. That a fungicide with such effects is so widely used is a cause for concern, and its use should be reduced, thereby minimizing the risk of human exposure.","author":[{"dropping-particle":"","family":"Vinggaard","given":"Anne Marie","non-dropping-particle":"","parse-names":false,"suffix":""},{"dropping-particle":"","family":"Hass","given":"Ulla","non-dropping-particle":"","parse-names":false,"suffix":""},{"dropping-particle":"","family":"Dalgaard","given":"Majken","non-dropping-particle":"","parse-names":false,"suffix":""},{"dropping-particle":"","family":"Andersen","given":"Helle Raun","non-dropping-particle":"","parse-names":false,"suffix":""},{"dropping-particle":"","family":"Bonefeld-Jørgensen","given":"Eva","non-dropping-particle":"","parse-names":false,"suffix":""},{"dropping-particle":"","family":"Christiansen","given":"Sofie","non-dropping-particle":"","parse-names":false,"suffix":""},{"dropping-particle":"","family":"Laier","given":"Peter","non-dropping-particle":"","parse-names":false,"suffix":""},{"dropping-particle":"","family":"Poulsen","given":"Mette Erecius","non-dropping-particle":"","parse-names":false,"suffix":""}],"container-title":"International Journal of Andrology","id":"ITEM-1","issue":"1","issued":{"date-parts":[["2006"]]},"page":"186-192","title":"Prochloraz: An imidazole fungicide with multiple mechanisms of action","type":"article-journal","volume":"29"},"uris":["http://www.mendeley.com/documents/?uuid=3ad70128-6292-4038-81fa-50e51b63fc44"]}],"mendeley":{"formattedCitation":"[53]","plainTextFormattedCitation":"[53]","previouslyFormattedCitation":"[53]"},"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[53]</w:t>
            </w:r>
            <w:r w:rsidRPr="00C215EB">
              <w:rPr>
                <w:rFonts w:ascii="Times New Roman" w:hAnsi="Times New Roman" w:cs="Times New Roman"/>
                <w:bCs/>
                <w:sz w:val="24"/>
                <w:szCs w:val="24"/>
                <w:lang w:val="en-US"/>
              </w:rPr>
              <w:fldChar w:fldCharType="end"/>
            </w:r>
            <w:r w:rsidRPr="00C215EB">
              <w:rPr>
                <w:rFonts w:ascii="Times New Roman" w:hAnsi="Times New Roman" w:cs="Times New Roman"/>
                <w:bCs/>
                <w:sz w:val="24"/>
                <w:szCs w:val="24"/>
                <w:lang w:val="en-US"/>
              </w:rPr>
              <w:t xml:space="preserve"> </w:t>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Steroidogenesis pathway inhibitor (e.g. CYP17A1)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{"citationItems":[{"id":"ITEM-1","itemData":{"DOI":"10.1111/j.1365-2605.2005.00604.x","ISBN":"0105-6263 (Print) 0105-6263 (Linking)","ISSN":"01056263","PMID":"16466539","abstract":"Prochloraz is an imidazole fungicide that is widely used in Europe, Australia, Asia and South America within gardening and agriculture. Screening studies have shown that prochloraz elicits multiple mechanisms of action in vitro, as it antagonizes the androgen and the oestrogen receptor, agonizes the Ah receptor and inhibits aromatase activity. In vivo prochloraz acts as an antiandrogen in the Hershberger assay by reducing weights of reproductive organs, affecting androgen-regulated gene expressions in the prostate and increasing luteinizing hormone levels. In order to investigate the developmental effects of prochloraz, pregnant Wistar dams were dosed perinatally with 30 mg/kg prochloraz. Results showed that prochloraz significantly reduced plasma and testicular testosterone levels in gestational day 21 male foetuses, whereas testicular progesterone was increased. Gestational length was increased by prochloraz. In male pups a significant increase in nipple retention was found, and the weight of the bulbourethral glands was decreased. Behavioural studies showed that the activity level and sweet preference of adult males were significantly increased, indicating that exposure during gestation and lactation causes permanent effects in adulthood. Overall, these results indicate that prochloraz feminizes the male offspring after perinatal exposure, and that these effects are due, at least in part, to diminished fetal steroidogenesis. Thus, a novel endocrine disruptor has been identified that is mechanistically interesting as it elicits dual mechanisms of action and acts as an antiandrogen both by blocking the androgen receptor and by inhibiting fetal steroidogenesis. That a fungicide with such effects is so widely used is a cause for concern, and its use should be reduced, thereby minimizing the risk of human exposure.","author":[{"dropping-particle":"","family":"Vinggaard","given":"Anne Marie","non-dropping-particle":"","parse-names":false,"suffix":""},{"dropping-particle":"","family":"Hass","given":"Ulla","non-dropping-particle":"","parse-names":false,"suffix":""},{"dropping-particle":"","family":"Dalgaard","given":"Majken","non-dropping-particle":"","parse-names":false,"suffix":""},{"dropping-particle":"","family":"Andersen","given":"Helle Raun","non-dropping-particle":"","parse-names":false,"suffix":""},{"dropping-particle":"","family":"Bonefeld-Jørgensen","given":"Eva","non-dropping-particle":"","parse-names":false,"suffix":""},{"dropping-particle":"","family":"Christiansen","given":"Sofie","non-dropping-particle":"","parse-names":false,"suffix":""},{"dropping-particle":"","family":"Laier","given":"Peter","non-dropping-particle":"","parse-names":false,"suffix":""},{"dropping-particle":"","family":"Poulsen","given":"Mette Erecius","non-dropping-particle":"","parse-names":false,"suffix":""}],"container-title":"International Journal of Andrology","id":"ITEM-1","issue":"1","issued":{"date-parts":[["2006"]]},"page":"186-192","title":"Prochloraz: An imidazole fungicide with multiple mechanisms of action","type":"article-journal","volume":"29"},"uris":["http://www.mendeley.com/documents/?uuid=3ad70128-6292-4038-81fa-50e51b63fc44"]}],"mendeley":{"formattedCitation":"[53]","plainTextFormattedCitation":"[53]","previouslyFormattedCitation":"[53]"},"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[53]</w:t>
            </w:r>
            <w:r w:rsidRPr="00C215EB">
              <w:rPr>
                <w:rFonts w:ascii="Times New Roman" w:hAnsi="Times New Roman" w:cs="Times New Roman"/>
                <w:bCs/>
                <w:sz w:val="24"/>
                <w:szCs w:val="24"/>
                <w:lang w:val="en-US"/>
              </w:rPr>
              <w:fldChar w:fldCharType="end"/>
            </w:r>
          </w:p>
        </w:tc>
      </w:tr>
      <w:tr w:rsidR="008E041A" w:rsidRPr="00C215EB" w:rsidTr="00A04BA8">
        <w:trPr>
          <w:cnfStyle w:val="000000100000" w:firstRow="0" w:lastRow="0" w:firstColumn="0" w:lastColumn="0" w:oddVBand="0" w:evenVBand="0" w:oddHBand="1" w:evenHBand="0" w:firstRowFirstColumn="0" w:firstRowLastColumn="0" w:lastRowFirstColumn="0" w:lastRowLastColumn="0"/>
          <w:cantSplit/>
          <w:trHeight w:val="152"/>
          <w:jc w:val="center"/>
        </w:trPr>
        <w:tc>
          <w:tcPr>
            <w:tcW w:w="101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2-Propylheptanoic acid</w:t>
            </w:r>
          </w:p>
        </w:tc>
        <w:tc>
          <w:tcPr>
            <w:tcW w:w="609"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Fatty acid</w:t>
            </w:r>
          </w:p>
        </w:tc>
        <w:tc>
          <w:tcPr>
            <w:tcW w:w="68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Valproic acid metabolite</w:t>
            </w:r>
          </w:p>
        </w:tc>
        <w:tc>
          <w:tcPr>
            <w:tcW w:w="2695" w:type="pct"/>
            <w:gridSpan w:val="2"/>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No published effects available on affected organs or biological effects.</w:t>
            </w:r>
          </w:p>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Substance selected for structural similarity to valproic acid.</w:t>
            </w:r>
          </w:p>
        </w:tc>
      </w:tr>
      <w:tr w:rsidR="008E041A" w:rsidRPr="00C215EB" w:rsidTr="00A04BA8">
        <w:trPr>
          <w:cantSplit/>
          <w:trHeight w:val="152"/>
          <w:jc w:val="center"/>
        </w:trPr>
        <w:tc>
          <w:tcPr>
            <w:tcW w:w="101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Rifampicin</w:t>
            </w:r>
          </w:p>
        </w:tc>
        <w:tc>
          <w:tcPr>
            <w:tcW w:w="609"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Rifamycin</w:t>
            </w:r>
          </w:p>
        </w:tc>
        <w:tc>
          <w:tcPr>
            <w:tcW w:w="68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Antibiotic</w:t>
            </w:r>
          </w:p>
        </w:tc>
        <w:tc>
          <w:tcPr>
            <w:tcW w:w="68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Liver, kidney</w:t>
            </w:r>
          </w:p>
        </w:tc>
        <w:tc>
          <w:tcPr>
            <w:tcW w:w="2012" w:type="pct"/>
          </w:tcPr>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RNA polymerase inhibition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{"citationItems":[{"id":"ITEM-1","itemData":{"DOI":"10.1016/S0092-8674(01)00286-0","ISBN":"0092-8674","ISSN":"00928674","PMID":"11290327","abstract":"Rifampicin (Rif) is one of the most potent and broad spectrum antibiotics against bacterial pathogens and is a key component of anti-tuberculosis therapy, stemming from its inhibition of the bacterial RNA polymerase (RNAP). We determined the crystal structure of Thermus aquaticus core RNAP complexed with Rif. The inhibitor binds in a pocket of the RNAP β subunit deep within the DNA/RNA channel, but more than 12 Å away from the active site. The structure, combined with biochemical results, explains the effects of Rif on RNAP function and indicates that the inhibitor acts by directly blocking the path of the elongating RNA when the transcript becomes 2 to 3 nt in length.","author":[{"dropping-particle":"","family":"Campbell","given":"Elizabeth A.","non-dropping-particle":"","parse-names":false,"suffix":""},{"dropping-particle":"","family":"Korzheva","given":"Nataliya","non-dropping-particle":"","parse-names":false,"suffix":""},{"dropping-particle":"","family":"Mustaev","given":"Arkady","non-dropping-particle":"","parse-names":false,"suffix":""},{"dropping-particle":"","family":"Murakami","given":"Katsuhiko","non-dropping-particle":"","parse-names":false,"suffix":""},{"dropping-particle":"","family":"Nair","given":"Satish","non-dropping-particle":"","parse-names":false,"suffix":""},{"dropping-particle":"","family":"Goldfarb","given":"Alex","non-dropping-particle":"","parse-names":false,"suffix":""},{"dropping-particle":"","family":"Darst","given":"Seth A.","non-dropping-particle":"","parse-names":false,"suffix":""}],"container-title":"Cell","id":"ITEM-1","issue":"6","issued":{"date-parts":[["2001"]]},"page":"901-912","title":"Structural mechanism for rifampicin inhibition of bacterial RNA polymerase","type":"article-journal","volume":"104"},"uris":["http://www.mendeley.com/documents/?uuid=835a884b-ac4d-419d-9c94-86d6d2a82128"]}],"mendeley":{"formattedCitation":"[54]","plainTextFormattedCitation":"[54]","previouslyFormattedCitation":"[54]"},"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[54]</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CYP induction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{"citationItems":[{"id":"ITEM-1","itemData":{"DOI":"10.1111/j.1365-2710.2007.00811.x","ISBN":"0269-4727, 0269-4727","ISSN":"02694727","PMID":"17381666","abstract":"BACKGROUND: Although cytochrome P450 (CYP) 2D6 is often thought to be the only CYP responsible for the metabolism of risperidone, many reports suggest that CYP3A may be involved too. Rifampin, a potent CYP3A inducer, has been known to markedly decrease plasma concentrations of various drugs, which are concomitantly administered during treatment.\\n\\nOBJECTIVE: To examine the effect of rifampin on plasma concentrations of a single oral dose of risperidone in healthy Thai male volunteers.\\n\\nMETHODS: In an open, randomized two-phase crossover study, separated by a 2-week period, 10 healthy Thai male volunteers received a single oral dose of 4-mg risperidone alone or with 600 mg rifampin, orally once daily for 5 days. Serial blood samples were collected at specific time points for a 48-h period. Risperidone was measured in plasma using high performance liquid chromatography with ultraviolet detection. Pharmacokinetic parameters were determined by using non-compartmental analysis.\\n\\nRESULTS: Co-administration with 600-mg rifampin once daily for 5 days was associated with a significant decrease in risperidone area under the curve (AUC(0-48)) and maximal concentration (C(max)) by 72% (157 x 49 +/- 48 x 80 vs. 42 x 66 +/- 7 x 81 ng/L/h; P&lt;0 x 01) and 50% (32 x 44 +/- 6 x 05 vs. 16 x 16 +/- 2 x 73 ng/mL; P&lt;0 x 05), respectively when compared with risperidone alone.\\n\\nCONCLUSIONS: Rifampin when used concurrently with risperidone significantly decreases the plasma concentration of risperidone. Our results provide in vivo evidence of the involvement of CYP3A in the metabolism of risperidone, in addition to CYP2D6. Thus, co-administration of risperidone with CYP3A inducer(s), including rifampin should be recognized or avoided in clinical practice.","author":[{"dropping-particle":"","family":"Mahatthanatrakul","given":"W.","non-dropping-particle":"","parse-names":false,"suffix":""},{"dropping-particle":"","family":"Nontaput","given":"T.","non-dropping-particle":"","parse-names":false,"suffix":""},{"dropping-particle":"","family":"Ridtitid","given":"W.","non-dropping-particle":"","parse-names":false,"suffix":""},{"dropping-particle":"","family":"Wongnawa","given":"M.","non-dropping-particle":"","parse-names":false,"suffix":""},{"dropping-particle":"","family":"Sunbhanich","given":"M.","non-dropping-particle":"","parse-names":false,"suffix":""}],"container-title":"Journal of Clinical Pharmacy and Therapeutics","id":"ITEM-1","issue":"2","issued":{"date-parts":[["2007"]]},"page":"161-167","title":"Rifampin, a cytochrome P450 3A inducer, decreases plasma concentrations of antipsychotic risperidone in healthy volunteers","type":"article-journal","volume":"32"},"uris":["http://www.mendeley.com/documents/?uuid=5ef6bdf7-8434-4471-a857-a355cbbc3040"]}],"mendeley":{"formattedCitation":"[55]","plainTextFormattedCitation":"[55]","previouslyFormattedCitation":"[55]"},"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[55]</w:t>
            </w:r>
            <w:r w:rsidRPr="00C215EB">
              <w:rPr>
                <w:rFonts w:ascii="Times New Roman" w:hAnsi="Times New Roman" w:cs="Times New Roman"/>
                <w:bCs/>
                <w:sz w:val="24"/>
                <w:szCs w:val="24"/>
                <w:lang w:val="en-US"/>
              </w:rPr>
              <w:fldChar w:fldCharType="end"/>
            </w:r>
          </w:p>
        </w:tc>
      </w:tr>
      <w:tr w:rsidR="008E041A" w:rsidRPr="00C215EB" w:rsidTr="00A04BA8">
        <w:trPr>
          <w:cnfStyle w:val="000000100000" w:firstRow="0" w:lastRow="0" w:firstColumn="0" w:lastColumn="0" w:oddVBand="0" w:evenVBand="0" w:oddHBand="1" w:evenHBand="0" w:firstRowFirstColumn="0" w:firstRowLastColumn="0" w:lastRowFirstColumn="0" w:lastRowLastColumn="0"/>
          <w:cantSplit/>
          <w:trHeight w:val="152"/>
          <w:jc w:val="center"/>
        </w:trPr>
        <w:tc>
          <w:tcPr>
            <w:tcW w:w="101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Rotenone</w:t>
            </w:r>
          </w:p>
        </w:tc>
        <w:tc>
          <w:tcPr>
            <w:tcW w:w="609"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Rotenoids</w:t>
            </w:r>
          </w:p>
        </w:tc>
        <w:tc>
          <w:tcPr>
            <w:tcW w:w="68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Insecticide, acaricide, piscicide</w:t>
            </w:r>
          </w:p>
        </w:tc>
        <w:tc>
          <w:tcPr>
            <w:tcW w:w="68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Liver, kidney, nervous system</w:t>
            </w:r>
          </w:p>
        </w:tc>
        <w:tc>
          <w:tcPr>
            <w:tcW w:w="2012" w:type="pct"/>
            <w:tcBorders>
              <w:top w:val="none" w:sz="0" w:space="0" w:color="auto"/>
              <w:bottom w:val="none" w:sz="0" w:space="0" w:color="auto"/>
            </w:tcBorders>
          </w:tcPr>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Oxidative stress promotion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{"citationItems":[{"id":"ITEM-1","itemData":{"DOI":"NEL300709R01 [pii]","ISBN":"0172-780X (Print)\\n0172-780X (Linking)","ISSN":"0172-780X","PMID":"20027135","abstract":"The knowledge in oxidative stress in fish has a great importance for environmental and aquatic toxicology. Because oxidative stress is evoked by many chemicals including some pesticides, pro-oxidant factors' action in fish organism can be used to assess specific area pollution or world sea pollution. Hepatotoxic effect of DDT may be related with lipid peroxidation. Releasing of reactive oxygen species (ROS) after HCB exposure can be realized via two ways: via the uncoupling of the electron transport chain from monooxygenase activity and via metabolism of HCB major metabolite pentachlorophenol. Chlorothalonil disrupts mitochondrial metabolism due to the impairment of NADPH oxidase function. Activation of spleen macrophages and a decrease of catalase (CAT) activity have been observed after endosulfan exposure. Excessive release of superoxide radicals after etoxazole exposure can cause a decrease of CAT activity and increase phagocytic activity of splenocytes. Anticholinergic activity of organophosphates leads to the accumulation of ROS and resulting lipid peroxidation. Carbaryl induces changes in the content of glutathione and antioxidant enzymes activities. The antioxidant enzymes changes have been observed after actuation of pesticides deltamethrin and cypermethrin. Bipyridyl herbicides are able to form redox cycles and thereby cause oxidative stress. Low concentrations of simazine do not cause oxidative stress in carps during sub-chronic tests while sublethal concentrations of atrazin can induce oxidative stress in bluegill sunfish. Butachlor causes increased activity of superoxide dismutase -catalase system in the kidney. Rotenon can inhibit the electron transport in mitochondria and thereby increase ROS production. Dichloroaniline, the metabolite of diuron, has oxidative effects. Oxidative damage from fenpyroximate actuation is related to the disruption of mitochondrial redox respiratory chain. Low concentration of glyphosate can cause mild oxidative stress.","author":[{"dropping-particle":"","family":"Slaninova","given":"Andrea","non-dropping-particle":"","parse-names":false,"suffix":""},{"dropping-particle":"","family":"Smutna","given":"Miriam","non-dropping-particle":"","parse-names":false,"suffix":""},{"dropping-particle":"","family":"Modra","given":"Helena","non-dropping-particle":"","parse-names":false,"suffix":""},{"dropping-particle":"","family":"Svobodova","given":"Zdenka","non-dropping-particle":"","parse-names":false,"suffix":""}],"container-title":"Neuro endocrinology letters","id":"ITEM-1","issue":"Suppl 1","issued":{"date-parts":[["2009"]]},"page":"2-12","title":"A review: oxidative stress in fish induced by pesticides.","type":"article-journal","volume":"30 Suppl 1"},"uris":["http://www.mendeley.com/documents/?uuid=431ac41b-57ae-44b4-91a8-0cff2dad8664"]},{"id":"ITEM-2","itemData":{"DOI":"10.1111/bph.12186","ISBN":"1476-5381 (Electronic)\\r0007-1188 (Linking)","ISSN":"14765381","PMID":"23758163","abstract":"BACKGROUND AND PURPOSE Mitochondria are a drug target in mitochondrial dysfunction diseases and in antiparasitic chemotherapy. While zebrafish is increasingly used as a biomedical model, its potential for mitochondrial research remains relatively unexplored. Here, we perform the first systematic analysis of how mitochondrial respiratory chain inhibitors affect zebrafish development and cardiovascular function, and assess multiple quinones, including ubiquinone mimetics idebenone and decylubiquinone, and the antimalarial atovaquone. EXPERIMENTAL APPROACH Zebrafish (Danio rerio) embryos were chronically and acutely exposed to mitochondrial inhibitors and quinone analogues. Concentration-response curves, developmental and cardiovascular phenotyping were performed together with sequence analysis of inhibitor-binding mitochondrial subunits in zebrafish versus mouse, human and parasites. Phenotype rescuing was assessed in co-exposure assays. KEY RESULTS Complex I and II inhibitors induced developmental abnormalities, but their submaximal toxicity was not additive, suggesting active alternative pathways for complex III feeding. Complex III inhibitors evoked a direct normal-to-dead transition. ATP synthase inhibition arrested gastrulation. Menadione induced hypochromic anaemia when transiently present following primitive erythropoiesis. Atovaquone was over 1000-fold less lethal in zebrafish than reported for Plasmodium falciparum, and its toxicity partly rescued by the ubiquinone precursor 4-hydroxybenzoate. Idebenone and decylubiquinone delayed rotenone- but not myxothiazol- or antimycin-evoked cardiac dysfunction. CONCLUSION AND IMPLICATIONS This study characterizes pharmacologically induced mitochondrial dysfunction phenotypes in zebrafish, laying the foundation for comparison with future studies addressing mitochondrial dysfunction in this model organism. It has relevant implications for interpreting zebrafish disease models linked to complex I/II inhibition. Further, it evidences zebrafish's potential for in vivo efficacy or toxicity screening of ubiquinone analogues or antiparasitic mitochondria-targeted drugs.","author":[{"dropping-particle":"","family":"Pinho","given":"B.R.","non-dropping-particle":"","parse-names":false,"suffix":""},{"dropping-particle":"","family":"Santos","given":"M.M.","non-dropping-particle":"","parse-names":false,"suffix":""},{"dropping-particle":"","family":"Fonseca-Silva","given":"A.","non-dropping-particle":"","parse-names":false,"suffix":""},{"dropping-particle":"","family":"Valentão","given":"P.","non-dropping-particle":"","parse-names":false,"suffix":""},{"dropping-particle":"","family":"Andrade","given":"P.B.","non-dropping-particle":"","parse-names":false,"suffix":""},{"dropping-particle":"","family":"Oliveira","given":"J.M.A.A.","non-dropping-particle":"","parse-names":false,"suffix":""}],"container-title":"British Journal of Pharmacology","id":"ITEM-2","issue":"5","issued":{"date-parts":[["2013"]]},"page":"1072-1090","title":"How mitochondrial dysfunction affects zebrafish development and cardiovascular function: An in vivo model for testing mitochondria-targeted drugs","type":"article-journal","volume":"169"},"uris":["http://www.mendeley.com/documents/?uuid=499a5bf5-f6ed-4268-a89f-4d128b487122"]},{"id":"ITEM-3","itemData":{"DOI":"10.1016/j.neuro.2016.11.006","ISSN":"18729711","PMID":"27866991","abstract":"The pesticide rotenone is widely used to produce Parkinson's disease (PD)-like symptoms in rodents, but few studies have examined whether rotenone-treated zebrafish can serve as an animal model of PD. Here, we report that 4 weeks of rotenone treatment induced motor and non-motor PD-like symptoms in adult zebrafish. Compared with control fish, rotenone-treated fish spent less time swimming at a fast speed, indicating a deficit in motor function. In the light-dark box test, rotenone-treated fish exhibited longer latencies to enter the dark compartment and spent more time in the light compartment, reflecting anxiety- and depression-like behavior. Furthermore, rotenone-treated fish showed less of an olfactory preference for amino acid, indicating olfactory dysfunction. These behavioral symptoms were associated with decreased levels of dopamine in the brains of rotenone-treated fish. Taken together, these results suggest that rotenone-treated zebrafish are a suitable model of PD.","author":[{"dropping-particle":"","family":"Wang","given":"Yali","non-dropping-particle":"","parse-names":false,"suffix":""},{"dropping-particle":"","family":"Liu","given":"Wenwen","non-dropping-particle":"","parse-names":false,"suffix":""},{"dropping-particle":"","family":"Yang","given":"Jing","non-dropping-particle":"","parse-names":false,"suffix":""},{"dropping-particle":"","family":"Wang","given":"Fen","non-dropping-particle":"","parse-names":false,"suffix":""},{"dropping-particle":"","family":"Sima","given":"Yizhen","non-dropping-particle":"","parse-names":false,"suffix":""},{"dropping-particle":"","family":"Zhong","given":"Zhao min","non-dropping-particle":"","parse-names":false,"suffix":""},{"dropping-particle":"","family":"Wang","given":"Han","non-dropping-particle":"","parse-names":false,"suffix":""},{"dropping-particle":"","family":"Hu","given":"Li Fang","non-dropping-particle":"","parse-names":false,"suffix":""},{"dropping-particle":"","family":"Liu","given":"Chun Feng","non-dropping-particle":"","parse-names":false,"suffix":""}],"container-title":"NeuroToxicology","id":"ITEM-3","issued":{"date-parts":[["2017"]]},"page":"103-109","publisher":"Elsevier B.V.","title":"Parkinson's disease-like motor and non-motor symptoms in rotenone-treated zebrafish","type":"article-journal","volume":"58"},"uris":["http://www.mendeley.com/documents/?uuid=a733526b-8e67-4d16-98fe-719edebbafd0"]}],"mendeley":{"formattedCitation":"[6, 56, 57]","plainTextFormattedCitation":"[6, 56, 57]","previouslyFormattedCitation":"[6, 56, 57]"},"properties":{"noteIndex":0},"schema":"https://github.com/citation-style-language/schema/raw/master/csl-citation.json"}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[6, 56, 57]</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Microtubule formation disruption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{"citationItems":[{"id":"ITEM-1","itemData":{"DOI":"10.1007/s00244-006-0051-1","ISBN":"0090-4341","ISSN":"00904341","PMID":"17354033","abstract":"Rotenone, a natural insecticide and piscicide, was shown to have an extremely small margin between no lethality (5.0 microg/L) and 100% mortality (6.6 microg/L) for static-renewal 96-hour toxicity tests with juvenile rainbow trout (Oncorhynchus mykiss). Dissolved organic carbon (DOC) at concentrations of 3.0 and 4.0 mg/L significantly increased the rotenone 96-hour LC(50) (median lethal concentration) from 5.80 microg/L (confidence interval (CI) 5.51 to 6.10) to 6.55 microg/L (CI 6.28 to 6.83) and 7.75 microg/L (CI 7.29 to 8.24), respectively, probably as a result of rotenone adsorption onto DOC, which decreased its bioavailability. Using concentrations of 0, 3.0, 4.0, and 5.0 microg/L rotenone and exposure periods of 2, 4, 6, 12, 16, 24, and 48 hours, the threshold concentration of rotenone for impairment of critical swimming performance (Ucrit) was 3.0 microg/L (P = 0.029), with no further impairment at higher concentrations and no time-dependent effect on Ucrit. Using continuous measures of oxygen uptake for 48 hours before and 48 hours during rotenone exposure (0, 1.5, 2.5, 3.0, and 3.5 microg/L), rotenone significantly decreased peak active oxygen uptake at all rotenone concentrations tested without affecting routine oxygen uptake. Fish were individually chased and then placed in rotenone concentrations of 0, 1.0, 3.0, 4.0, 5.0, and 6.0 microg/L to monitor initial postexercise oxygen uptake (Mo2Max) and excess postexercise oxygen consumption (EPOC) during a 40-minute recovery period. Rotenone significantly decreased Mo2Max (P = 0.002) after exposures to 4.0 and 5.0 microg/L, but not 6.0 microg/L, without affecting EPOC.","author":[{"dropping-particle":"","family":"Cheng","given":"W. W.","non-dropping-particle":"","parse-names":false,"suffix":""},{"dropping-particle":"","family":"Farrell","given":"A. P.","non-dropping-particle":"","parse-names":false,"suffix":""}],"container-title":"Archives of Environmental Contamination and Toxicology","id":"ITEM-1","issue":"3","issued":{"date-parts":[["2007"]]},"page":"388-396","title":"Acute and sublethal toxicities of rotenone in juvenile rainbow trout (Oncorhynchus mykiss): Swimming performance and oxygen consumption","type":"article-journal","volume":"52"},"uris":["http://www.mendeley.com/documents/?uuid=6c1972b5-962e-4c86-bd09-fcca986abd15"]}],"mendeley":{"formattedCitation":"[58]","plainTextFormattedCitation":"[58]","previouslyFormattedCitation":"[58]"},"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[58]</w:t>
            </w:r>
            <w:r w:rsidRPr="00C215EB">
              <w:rPr>
                <w:rFonts w:ascii="Times New Roman" w:hAnsi="Times New Roman" w:cs="Times New Roman"/>
                <w:bCs/>
                <w:sz w:val="24"/>
                <w:szCs w:val="24"/>
                <w:lang w:val="en-US"/>
              </w:rPr>
              <w:fldChar w:fldCharType="end"/>
            </w:r>
          </w:p>
        </w:tc>
      </w:tr>
      <w:tr w:rsidR="008E041A" w:rsidRPr="00C215EB" w:rsidTr="00A04BA8">
        <w:trPr>
          <w:cantSplit/>
          <w:trHeight w:val="152"/>
          <w:jc w:val="center"/>
        </w:trPr>
        <w:tc>
          <w:tcPr>
            <w:tcW w:w="101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Sodium chloride</w:t>
            </w:r>
          </w:p>
        </w:tc>
        <w:tc>
          <w:tcPr>
            <w:tcW w:w="609"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Metal halide</w:t>
            </w:r>
          </w:p>
        </w:tc>
        <w:tc>
          <w:tcPr>
            <w:tcW w:w="68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Salt</w:t>
            </w:r>
          </w:p>
        </w:tc>
        <w:tc>
          <w:tcPr>
            <w:tcW w:w="68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Kidney</w:t>
            </w:r>
          </w:p>
        </w:tc>
        <w:tc>
          <w:tcPr>
            <w:tcW w:w="2012" w:type="pct"/>
          </w:tcPr>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Increased blood pressure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10.1007/s00424-015-1690-8","ISSN":"0031-6768","author":[{"dropping-particle":"","family":"McCallum","given":"Linsay","non-dropping-particle":"","parse-names":false,"suffix":""},{"dropping-particle":"","family":"Lip","given":"Stefanie","non-dropping-particle":"","parse-names":false,"suffix":""},{"dropping-particle":"","family":"Padmanabhan","given":"Sandosh","non-dropping-particle":"","parse-names":false,"suffix":""}],"container-title":"Pflügers Archiv - European Journal of Physiology","id":"ITEM-1","issue":"3","issued":{"date-parts":[["2015","3","27"]]},"page":"595-603","title":"The hidden hand of chloride in hypertension","type":"article-journal","volume":"467"},"uris":["http://www.mendeley.com/documents/?uuid=daae5c9d-f1dd-4e0f-b6cb-f7ca13c7e178"]}],"mendeley":{"formattedCitation":"[59]","plainTextFormattedCitation":"[59]","previouslyFormattedCitation":"[59]"},"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[59]</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Renal vasoconstriction and glomerular filtration rate decrease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10.1007/s00424-015-1690-8","ISSN":"0031-6768","author":[{"dropping-particle":"","family":"McCallum","given":"Linsay","non-dropping-particle":"","parse-names":false,"suffix":""},{"dropping-particle":"","family":"Lip","given":"Stefanie","non-dropping-particle":"","parse-names":false,"suffix":""},{"dropping-particle":"","family":"Padmanabhan","given":"Sandosh","non-dropping-particle":"","parse-names":false,"suffix":""}],"container-title":"Pflügers Archiv - European Journal of Physiology","id":"ITEM-1","issue":"3","issued":{"date-parts":[["2015","3","27"]]},"page":"595-603","title":"The hidden hand of chloride in hypertension","type":"article-journal","volume":"467"},"uris":["http://www.mendeley.com/documents/?uuid=daae5c9d-f1dd-4e0f-b6cb-f7ca13c7e178"]}],"mendeley":{"formattedCitation":"[59]","plainTextFormattedCitation":"[59]","previouslyFormattedCitation":"[59]"},"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[59]</w:t>
            </w:r>
            <w:r w:rsidRPr="00C215EB">
              <w:rPr>
                <w:rFonts w:ascii="Times New Roman" w:hAnsi="Times New Roman" w:cs="Times New Roman"/>
                <w:bCs/>
                <w:sz w:val="24"/>
                <w:szCs w:val="24"/>
                <w:lang w:val="en-US"/>
              </w:rPr>
              <w:fldChar w:fldCharType="end"/>
            </w:r>
          </w:p>
        </w:tc>
      </w:tr>
      <w:tr w:rsidR="008E041A" w:rsidRPr="00C215EB" w:rsidTr="00A04BA8">
        <w:trPr>
          <w:cnfStyle w:val="000000100000" w:firstRow="0" w:lastRow="0" w:firstColumn="0" w:lastColumn="0" w:oddVBand="0" w:evenVBand="0" w:oddHBand="1" w:evenHBand="0" w:firstRowFirstColumn="0" w:firstRowLastColumn="0" w:lastRowFirstColumn="0" w:lastRowLastColumn="0"/>
          <w:cantSplit/>
          <w:trHeight w:val="152"/>
          <w:jc w:val="center"/>
        </w:trPr>
        <w:tc>
          <w:tcPr>
            <w:tcW w:w="101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Sodium tetradecyl sulphate </w:t>
            </w:r>
          </w:p>
        </w:tc>
        <w:tc>
          <w:tcPr>
            <w:tcW w:w="609"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Ester</w:t>
            </w:r>
          </w:p>
        </w:tc>
        <w:tc>
          <w:tcPr>
            <w:tcW w:w="68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Surfactant, drug</w:t>
            </w:r>
          </w:p>
        </w:tc>
        <w:tc>
          <w:tcPr>
            <w:tcW w:w="68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Neuronal system</w:t>
            </w:r>
          </w:p>
        </w:tc>
        <w:tc>
          <w:tcPr>
            <w:tcW w:w="2012" w:type="pct"/>
            <w:tcBorders>
              <w:top w:val="none" w:sz="0" w:space="0" w:color="auto"/>
              <w:bottom w:val="none" w:sz="0" w:space="0" w:color="auto"/>
            </w:tcBorders>
          </w:tcPr>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Membrane permeability increased (lipid solubilization)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10.1007/s10495-016-1252-3","ISSN":"1573675X","author":[{"dropping-particle":"","family":"Cooley-Andrade","given":"Osvaldo","non-dropping-particle":"","parse-names":false,"suffix":""},{"dropping-particle":"","family":"Cheung","given":"Kelvin","non-dropping-particle":"","parse-names":false,"suffix":""},{"dropping-particle":"","family":"Chew","given":"An Ning","non-dropping-particle":"","parse-names":false,"suffix":""},{"dropping-particle":"","family":"Connor","given":"David Ewan","non-dropping-particle":"","parse-names":false,"suffix":""},{"dropping-particle":"","family":"Parsi","given":"Kurosh","non-dropping-particle":"","parse-names":false,"suffix":""}],"container-title":"Apoptosis","id":"ITEM-1","issue":"7","issued":{"date-parts":[["2016"]]},"page":"836-845","publisher":"Springer US","title":"Detergent sclerosants at sub-lytic concentrations induce endothelial cell apoptosis through a caspase dependent pathway","type":"article-journal","volume":"21"},"uris":["http://www.mendeley.com/documents/?uuid=9d958064-8603-4882-8182-258084b3bc9d"]}],"mendeley":{"formattedCitation":"[60]","plainTextFormattedCitation":"[60]","previouslyFormattedCitation":"[60]"},"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[60]</w:t>
            </w:r>
            <w:r w:rsidRPr="00C215EB">
              <w:rPr>
                <w:rFonts w:ascii="Times New Roman" w:hAnsi="Times New Roman" w:cs="Times New Roman"/>
                <w:bCs/>
                <w:sz w:val="24"/>
                <w:szCs w:val="24"/>
                <w:lang w:val="en-US"/>
              </w:rPr>
              <w:fldChar w:fldCharType="end"/>
            </w:r>
          </w:p>
        </w:tc>
      </w:tr>
      <w:tr w:rsidR="008E041A" w:rsidRPr="00C215EB" w:rsidTr="00A04BA8">
        <w:trPr>
          <w:cantSplit/>
          <w:trHeight w:val="152"/>
          <w:jc w:val="center"/>
        </w:trPr>
        <w:tc>
          <w:tcPr>
            <w:tcW w:w="101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Sulfisoxazole</w:t>
            </w:r>
          </w:p>
        </w:tc>
        <w:tc>
          <w:tcPr>
            <w:tcW w:w="609"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Sulfonamide</w:t>
            </w:r>
          </w:p>
        </w:tc>
        <w:tc>
          <w:tcPr>
            <w:tcW w:w="68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Antibiotic</w:t>
            </w:r>
          </w:p>
        </w:tc>
        <w:tc>
          <w:tcPr>
            <w:tcW w:w="68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Bacterial</w:t>
            </w:r>
          </w:p>
        </w:tc>
        <w:tc>
          <w:tcPr>
            <w:tcW w:w="2012" w:type="pct"/>
          </w:tcPr>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Bacterial folic acid synthesis inhibition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{"citationItems":[{"id":"ITEM-1","itemData":{"DOI":"10.1128/AAC.39.8.1756","ISSN":"00664804","PMID":"7486915","abstract":"Forty-four sulfa drugs were screened against crude preparations of recombinant Pneumocystis carinii dihydropteroate synthetase. The apparent Michaelis-Menten constants (Km) for p-aminobenzoic acid and 7,8-dihydro-6-hydroxymethylpterin pyrophosphate were 0.34 +/- 0.02 and 2.50 +/- 0.71 microM, respectively. Several sulfa drugs, including sulfathiazole, sulfachlorpyridazine, sulfamethoxypyridazine, and sulfathiourea, inhibited dihydropteroate synthetase approximately as well as sulfamethoxazole, as determined by the concentrations which cause 50% inhibition and/or by Ki. For all sulfones and sulfonamides tested, unsubstituted p-amino groups were necessary for activity, and sulfonamides containing an N1-heterocyclic substituent were found to be the most effective inhibitors. Folate biosynthesis in isolated intact P. carinii was approximately equally sensitive to inhibition by sulfamethoxazole, sulfachlorpyridazine, sulfamethoxypyridazine, sulfisoxazole, and sulfathiazole. Two of these drugs, sulfamethoxypyridazine and sulfisoxazole, are known to be less toxic than sulfamethoxazole and should be further evaluated for the treatment of P. carinii pneumonia.","author":[{"dropping-particle":"","family":"Hong","given":"Y. L.","non-dropping-particle":"","parse-names":false,"suffix":""},{"dropping-particle":"","family":"Hossler","given":"P. A.","non-dropping-particle":"","parse-names":false,"suffix":""},{"dropping-particle":"","family":"Calhoun","given":"D. H.","non-dropping-particle":"","parse-names":false,"suffix":""},{"dropping-particle":"","family":"Meshnick","given":"S. R.","non-dropping-particle":"","parse-names":false,"suffix":""}],"container-title":"Antimicrobial Agents and Chemotherapy","id":"ITEM-1","issue":"8","issued":{"date-parts":[["1995"]]},"page":"1756-1763","title":"Inhibition of recombinant Pneumocystis carinii dihydropteroate synthetase by sulfa drugs","type":"article-journal","volume":"39"},"uris":["http://www.mendeley.com/documents/?uuid=a4c3ab25-c9d2-4b4d-a53b-0a08ede977bd"]}],"mendeley":{"formattedCitation":"[61]","plainTextFormattedCitation":"[61]","previouslyFormattedCitation":"[61]"},"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[61]</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CYP450 inhibition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{"citationItems":[{"id":"ITEM-1","itemData":{"DOI":"10.1128/AAC.39.8.1756","ISSN":"00664804","PMID":"7486915","abstract":"Forty-four sulfa drugs were screened against crude preparations of recombinant Pneumocystis carinii dihydropteroate synthetase. The apparent Michaelis-Menten constants (Km) for p-aminobenzoic acid and 7,8-dihydro-6-hydroxymethylpterin pyrophosphate were 0.34 +/- 0.02 and 2.50 +/- 0.71 microM, respectively. Several sulfa drugs, including sulfathiazole, sulfachlorpyridazine, sulfamethoxypyridazine, and sulfathiourea, inhibited dihydropteroate synthetase approximately as well as sulfamethoxazole, as determined by the concentrations which cause 50% inhibition and/or by Ki. For all sulfones and sulfonamides tested, unsubstituted p-amino groups were necessary for activity, and sulfonamides containing an N1-heterocyclic substituent were found to be the most effective inhibitors. Folate biosynthesis in isolated intact P. carinii was approximately equally sensitive to inhibition by sulfamethoxazole, sulfachlorpyridazine, sulfamethoxypyridazine, sulfisoxazole, and sulfathiazole. Two of these drugs, sulfamethoxypyridazine and sulfisoxazole, are known to be less toxic than sulfamethoxazole and should be further evaluated for the treatment of P. carinii pneumonia.","author":[{"dropping-particle":"","family":"Hong","given":"Y. L.","non-dropping-particle":"","parse-names":false,"suffix":""},{"dropping-particle":"","family":"Hossler","given":"P. A.","non-dropping-particle":"","parse-names":false,"suffix":""},{"dropping-particle":"","family":"Calhoun","given":"D. H.","non-dropping-particle":"","parse-names":false,"suffix":""},{"dropping-particle":"","family":"Meshnick","given":"S. R.","non-dropping-particle":"","parse-names":false,"suffix":""}],"container-title":"Antimicrobial Agents and Chemotherapy","id":"ITEM-1","issue":"8","issued":{"date-parts":[["1995"]]},"page":"1756-1763","title":"Inhibition of recombinant Pneumocystis carinii dihydropteroate synthetase by sulfa drugs","type":"article-journal","volume":"39"},"uris":["http://www.mendeley.com/documents/?uuid=a4c3ab25-c9d2-4b4d-a53b-0a08ede977bd"]}],"mendeley":{"formattedCitation":"[61]","plainTextFormattedCitation":"[61]","previouslyFormattedCitation":"[61]"},"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[61]</w:t>
            </w:r>
            <w:r w:rsidRPr="00C215EB">
              <w:rPr>
                <w:rFonts w:ascii="Times New Roman" w:hAnsi="Times New Roman" w:cs="Times New Roman"/>
                <w:bCs/>
                <w:sz w:val="24"/>
                <w:szCs w:val="24"/>
                <w:lang w:val="en-US"/>
              </w:rPr>
              <w:fldChar w:fldCharType="end"/>
            </w:r>
          </w:p>
        </w:tc>
      </w:tr>
      <w:tr w:rsidR="008E041A" w:rsidRPr="00C215EB" w:rsidTr="00A04BA8">
        <w:trPr>
          <w:cnfStyle w:val="000000100000" w:firstRow="0" w:lastRow="0" w:firstColumn="0" w:lastColumn="0" w:oddVBand="0" w:evenVBand="0" w:oddHBand="1" w:evenHBand="0" w:firstRowFirstColumn="0" w:firstRowLastColumn="0" w:lastRowFirstColumn="0" w:lastRowLastColumn="0"/>
          <w:cantSplit/>
          <w:trHeight w:val="152"/>
          <w:jc w:val="center"/>
        </w:trPr>
        <w:tc>
          <w:tcPr>
            <w:tcW w:w="101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lastRenderedPageBreak/>
              <w:t>Taxol</w:t>
            </w:r>
          </w:p>
        </w:tc>
        <w:tc>
          <w:tcPr>
            <w:tcW w:w="609"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proofErr w:type="spellStart"/>
            <w:r w:rsidRPr="00C215EB">
              <w:rPr>
                <w:rFonts w:ascii="Times New Roman" w:hAnsi="Times New Roman" w:cs="Times New Roman"/>
                <w:bCs/>
                <w:sz w:val="24"/>
                <w:szCs w:val="24"/>
                <w:lang w:val="en-US"/>
              </w:rPr>
              <w:t>Taxane</w:t>
            </w:r>
            <w:proofErr w:type="spellEnd"/>
          </w:p>
        </w:tc>
        <w:tc>
          <w:tcPr>
            <w:tcW w:w="68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Chemotherapy drug</w:t>
            </w:r>
          </w:p>
        </w:tc>
        <w:tc>
          <w:tcPr>
            <w:tcW w:w="68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Neuronal system</w:t>
            </w:r>
          </w:p>
        </w:tc>
        <w:tc>
          <w:tcPr>
            <w:tcW w:w="2012" w:type="pct"/>
            <w:tcBorders>
              <w:top w:val="none" w:sz="0" w:space="0" w:color="auto"/>
              <w:bottom w:val="none" w:sz="0" w:space="0" w:color="auto"/>
            </w:tcBorders>
          </w:tcPr>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Hyperutilization of microtubules (tubulin β-1 chain inhibition)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{"citationItems":[{"id":"ITEM-1","itemData":{"DOI":"10.1083/jcb.200805072","ISBN":"1540-8140 (Electronic)","ISSN":"00219525","PMID":"18710927","abstract":"When the spindle assembly checkpoint (SAC) cannot be satisfied, cells exit mitosis via mitotic slippage. In microtubule (MT) poisons, slippage requires cyclin B proteolysis, and it appears to be accelerated in drug concentrations that allow some MT assembly. To determine if MTs accelerate slippage, we followed mitosis in human RPE-1 cells exposed to various spindle poisons. At 37 degrees C, the duration of mitosis in nocodazole, colcemid, or vinblastine concentrations that inhibit MT assembly varied from 20 to 30 h, revealing that different MT poisons differentially depress the cyclin B destruction rate during slippage. The duration of mitosis in Eg5 inhibitors, which induce monopolar spindles without disrupting MT dynamics, was the same as in cells lacking MTs. Thus, in the presence of numerous unattached kinetochores, MTs do not accelerate slippage. Finally, compared with cells lacking MTs, exit from mitosis is accelerated over a range of spindle poison concentrations that allow MT assembly because the SAC becomes satisfied on abnormal spindles and not because slippage is accelerated.","author":[{"dropping-particle":"","family":"Brito","given":"Daniela A.","non-dropping-particle":"","parse-names":false,"suffix":""},{"dropping-particle":"","family":"Yang","given":"Zhenye","non-dropping-particle":"","parse-names":false,"suffix":""},{"dropping-particle":"","family":"Rieder","given":"Conly L.","non-dropping-particle":"","parse-names":false,"suffix":""}],"container-title":"Journal of Cell Biology","id":"ITEM-1","issue":"4","issued":{"date-parts":[["2008"]]},"page":"623-629","title":"Microtubules do not promote mitotic slippage when the spindle assembly checkpoint cannot be satisfied","type":"article-journal","volume":"182"},"uris":["http://www.mendeley.com/documents/?uuid=4817d5bf-660e-4539-993c-5a7048474978"]}],"mendeley":{"formattedCitation":"[62]","plainTextFormattedCitation":"[62]","previouslyFormattedCitation":"[62]"},"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[62]</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Oxidative stress promotion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{"citationItems":[{"id":"ITEM-1","itemData":{"DOI":"10.1073/pnas.1525096113","ISBN":"0027-8424","ISSN":"0027-8424","PMID":"27035978","abstract":"Paclitaxel is a microtubule-stabilizing chemotherapeutic agent that is widely used in cancer treatment and in a number of curative and palliative regimens. Despite its beneficial effects on cancer, paclitaxel also damages healthy tissues, most prominently the peripheral sensory nervous system. The mechanisms leading to paclitaxel-induced peripheral neuropathy remain elusive, and therapies that prevent or alleviate this condition are not available. We established a zebrafish in vivo model to study the underlying mechanisms and to identify pharmacological agents that may be developed into therapeutics. Both adult and larval zebrafish displayed signs of paclitaxel neurotoxicity, including sensory axon degeneration and the loss of touch response in the distal caudal fin. Intriguingly, studies in zebrafish larvae showed that paclitaxel rapidly promotes epithelial damage and decreased mechanical stress resistance of the skin before induction of axon degeneration. Moreover, injured paclitaxel-treated zebrafish skin and scratch-wounded human keratinocytes (HEK001) display reduced healing capacity. Epithelial damage correlated with rapid accumulation of fluorescein-conjugated paclitaxel in epidermal basal keratinocytes, but not axons, and up-regulation of matrix-metalloproteinase 13 (MMP-13, collagenase 3) in the skin. Pharmacological inhibition of MMP-13, in contrast, largely rescued paclitaxel-induced epithelial damage and neurotoxicity, whereas MMP-13 overexpression in zebrafish embryos rendered the skin vulnerable to injury under mechanical stress conditions. Thus, our studies provide evidence that the epidermis plays a critical role in this condition, and we provide a previously unidentified candidate for therapeutic interventions.","author":[{"dropping-particle":"","family":"Lisse","given":"Thomas S.","non-dropping-particle":"","parse-names":false,"suffix":""},{"dropping-particle":"","family":"Middleton","given":"Leah J.","non-dropping-particle":"","parse-names":false,"suffix":""},{"dropping-particle":"","family":"Pellegrini","given":"Adriana D.","non-dropping-particle":"","parse-names":false,"suffix":""},{"dropping-particle":"","family":"Martin","given":"Paige B.","non-dropping-particle":"","parse-names":false,"suffix":""},{"dropping-particle":"","family":"Spaulding","given":"Emily L.","non-dropping-particle":"","parse-names":false,"suffix":""},{"dropping-particle":"","family":"Lopes","given":"Olivia","non-dropping-particle":"","parse-names":false,"suffix":""},{"dropping-particle":"","family":"Brochu","given":"Elizabeth A.","non-dropping-particle":"","parse-names":false,"suffix":""},{"dropping-particle":"V.","family":"Carter","given":"Erin","non-dropping-particle":"","parse-names":false,"suffix":""},{"dropping-particle":"","family":"Waldron","given":"Ashley","non-dropping-particle":"","parse-names":false,"suffix":""},{"dropping-particle":"","family":"Rieger","given":"Sandra","non-dropping-particle":"","parse-names":false,"suffix":""}],"container-title":"Proceedings of the National Academy of Sciences","id":"ITEM-1","issue":"15","issued":{"date-parts":[["2016","4","12"]]},"page":"2189-2198","title":"Paclitaxel-induced epithelial damage and ectopic MMP-13 expression promotes neurotoxicity in zebrafish","type":"article-journal","volume":"113"},"uris":["http://www.mendeley.com/documents/?uuid=c886b0ab-970a-48ac-9367-bc42f7560f90"]}],"mendeley":{"formattedCitation":"[63]","plainTextFormattedCitation":"[63]","previouslyFormattedCitation":"[63]"},"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[63]</w:t>
            </w:r>
            <w:r w:rsidRPr="00C215EB">
              <w:rPr>
                <w:rFonts w:ascii="Times New Roman" w:hAnsi="Times New Roman" w:cs="Times New Roman"/>
                <w:bCs/>
                <w:sz w:val="24"/>
                <w:szCs w:val="24"/>
                <w:lang w:val="en-US"/>
              </w:rPr>
              <w:fldChar w:fldCharType="end"/>
            </w:r>
          </w:p>
        </w:tc>
      </w:tr>
      <w:tr w:rsidR="008E041A" w:rsidRPr="00C215EB" w:rsidTr="00A04BA8">
        <w:trPr>
          <w:cantSplit/>
          <w:trHeight w:val="152"/>
          <w:jc w:val="center"/>
        </w:trPr>
        <w:tc>
          <w:tcPr>
            <w:tcW w:w="101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Tebuconazole</w:t>
            </w:r>
          </w:p>
        </w:tc>
        <w:tc>
          <w:tcPr>
            <w:tcW w:w="609"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Azole</w:t>
            </w:r>
          </w:p>
        </w:tc>
        <w:tc>
          <w:tcPr>
            <w:tcW w:w="68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Fungicide</w:t>
            </w:r>
          </w:p>
        </w:tc>
        <w:tc>
          <w:tcPr>
            <w:tcW w:w="68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Liver</w:t>
            </w:r>
          </w:p>
        </w:tc>
        <w:tc>
          <w:tcPr>
            <w:tcW w:w="2012" w:type="pct"/>
          </w:tcPr>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Cell wall production disruption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{"citationItems":[{"id":"ITEM-1","itemData":{"DOI":"10.1016/j.ecoenv.2009.09.020","ISBN":"1090-2414 (Electronic)\\r1090-2414 (Linking)","ISSN":"01476513","PMID":"19896710","abstract":"The aim of the present study was to assess the physiological response of male zebrafish Danio rerio to the fungicide tebuconazole and recovery in fungicide-free water. Acute toxicity tests were carried out and the median lethal concentration (LC50) from 24 to 96h was calculated. The fish were exposed to a sublethal fungicide concentration of 230??g/L for 7 or 14 days and allowed to recover for 7 or 14 more days, respectively. Whole-body levels of vitellogenins, triglycerides, cholesterol, glucose, lactate and proteins as well as the activities ??-glutamil transpeptidase (??-GT), alanin aminotransferase (AlAT), alkaline phosphatase (AP) and lactate dehydrogenase (LDH) were assayed; corpulence factor (k) was also calculated. Fish exhibited significant increase of vitellogenins (Vtg), which continued to increase after 14 days of recovery. Levels of glucose, lactate, cholesterol and triglycerides increased after 7 and 14 days of exposure. Finally, cholesterol and glucose recovered after 14 days of recovery whereas triglycerides and lactate continued to be elevated. Proteins and k remained unaltered the entire experiments. AAT, AlAT and AP enhanced during exposure and did not recover at the end (except AlAT). A longer recovery period should be necessary to re-establish fish physiology. These results alert about the multiple disruptive physiological actions that tebuconazole may have on fish. ?? 2009 Elsevier Inc.","author":[{"dropping-particle":"","family":"Sancho","given":"E.","non-dropping-particle":"","parse-names":false,"suffix":""},{"dropping-particle":"","family":"Villarroel","given":"M. J.","non-dropping-particle":"","parse-names":false,"suffix":""},{"dropping-particle":"","family":"Fernández","given":"C.","non-dropping-particle":"","parse-names":false,"suffix":""},{"dropping-particle":"","family":"Andreu","given":"E.","non-dropping-particle":"","parse-names":false,"suffix":""},{"dropping-particle":"","family":"Ferrando","given":"M. D.","non-dropping-particle":"","parse-names":false,"suffix":""}],"container-title":"Ecotoxicology and Environmental Safety","id":"ITEM-1","issue":"3","issued":{"date-parts":[["2010"]]},"page":"370-376","title":"Short-term exposure to sublethal tebuconazole induces physiological impairment in male zebrafish (Danio rerio)","type":"article-journal","volume":"73"},"uris":["http://www.mendeley.com/documents/?uuid=7445dbdc-52df-4d29-9e68-8f29e9dfe1cc"]},{"id":"ITEM-2","itemData":{"DOI":"10.1016/j.aquatox.2013.04.001","ISSN":"0166445X","PMID":"23685399","abstract":"The widely used triazole fungicides have the potential to disrupt endocrine system, but little is known of such effects or underlying mechanisms of hexaconazole (HEX) and tebuconazole (TEB) in fish. In the present study, zebrafish (Danio rerio) embryos were exposed to various concentrations of HEX (0.625, 1.25 and 2.5. mg/L) and TEB (1, 2 and 4. mg/L) from fertilization to 120. h post-fertilization (hpf). The whole body content of thyroid hormone and transcription of genes in the hypothalamic-pituitary-thyroid (HPT) axis were analyzed. The results showed that thyroxine (T4) levels were significantly decreased, while triiodothyronine (T3) concentrations were significantly increased after exposure to HEX and TEB, indicating thyroid endocrine disruption. Exposure to HEX significantly induced the transcription of all the measured genes (i.e., corticotrophin-releasing hormone (CRH), thyroid-stimulating hormone (TSH??), sodium/iodide symporter (NIS), transthyretin (TTR), uridine diphosphate glucuronosyltransferase (UGT1ab), thyronine deiodinase (Dio1 and Dio2), thyroid hormone receptors (TR?? and TR??)) in the HPT axis, but did not affect the transcription of thyroglobulin (TG). However, TEB exposure resulted in the upregulation of all the measured genes, excepting that TG, Dio1and TR?? had not changed significantly. The overall results indicated that exposure to HEX and TEB could alter thyroid hormone levels as well as gene transcription in the HPT axis in zebrafish larvae. ?? 2013 The Authors.","author":[{"dropping-particle":"","family":"Yu","given":"Liang","non-dropping-particle":"","parse-names":false,"suffix":""},{"dropping-particle":"","family":"Chen","given":"Mengli","non-dropping-particle":"","parse-names":false,"suffix":""},{"dropping-particle":"","family":"Liu","given":"Yihua","non-dropping-particle":"","parse-names":false,"suffix":""},{"dropping-particle":"","family":"Gui","given":"Wenjun","non-dropping-particle":"","parse-names":false,"suffix":""},{"dropping-particle":"","family":"Zhu","given":"Guonian","non-dropping-particle":"","parse-names":false,"suffix":""}],"container-title":"Aquatic Toxicology","id":"ITEM-2","issued":{"date-parts":[["2013"]]},"page":"35-42","publisher":"Elsevier B.V.","title":"Thyroid endocrine disruption in zebrafish larvae following exposure to hexaconazole and tebuconazole","type":"article-journal","volume":"138-139"},"uris":["http://www.mendeley.com/documents/?uuid=dd2439b5-aca1-42bb-b0a5-71afeb014bd2"]}],"mendeley":{"formattedCitation":"[64, 65]","plainTextFormattedCitation":"[64, 65]","previouslyFormattedCitation":"[64, 65]"},"properties":{"noteIndex":0},"schema":"https://github.com/citation-style-language/schema/raw/master/csl-citation.json"}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[64, 65]</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CYP450 inhibition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{"citationItems":[{"id":"ITEM-1","itemData":{"DOI":"10.1002/tox.22575","ISSN":"15227278","author":[{"dropping-particle":"Di","family":"Yang","given":"Jr","non-dropping-particle":"","parse-names":false,"suffix":""},{"dropping-particle":"","family":"Liu","given":"Shing Hwa","non-dropping-particle":"","parse-names":false,"suffix":""},{"dropping-particle":"","family":"Liao","given":"Mei Hsiu","non-dropping-particle":"","parse-names":false,"suffix":""},{"dropping-particle":"","family":"Chen","given":"Ruei Ming","non-dropping-particle":"","parse-names":false,"suffix":""},{"dropping-particle":"","family":"Liu","given":"Pei Yu","non-dropping-particle":"","parse-names":false,"suffix":""},{"dropping-particle":"","family":"Ueng","given":"Tzuu Huei","non-dropping-particle":"","parse-names":false,"suffix":""}],"container-title":"Environmental Toxicology","id":"ITEM-1","issue":"8","issued":{"date-parts":[["2018"]]},"page":"899-907","title":"Effects of tebuconazole on cytochrome P450 enzymes, oxidative stress, and endocrine disruption in male rats","type":"article-journal","volume":"33"},"uris":["http://www.mendeley.com/documents/?uuid=d31c5e45-4ff6-4e0c-a3e6-bec8114b6a81"]}],"mendeley":{"formattedCitation":"[66]","plainTextFormattedCitation":"[66]","previouslyFormattedCitation":"[66]"},"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[66]</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Oxidative stress promotion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{"citationItems":[{"id":"ITEM-1","itemData":{"DOI":"10.1002/tox.22575","ISSN":"15227278","author":[{"dropping-particle":"Di","family":"Yang","given":"Jr","non-dropping-particle":"","parse-names":false,"suffix":""},{"dropping-particle":"","family":"Liu","given":"Shing Hwa","non-dropping-particle":"","parse-names":false,"suffix":""},{"dropping-particle":"","family":"Liao","given":"Mei Hsiu","non-dropping-particle":"","parse-names":false,"suffix":""},{"dropping-particle":"","family":"Chen","given":"Ruei Ming","non-dropping-particle":"","parse-names":false,"suffix":""},{"dropping-particle":"","family":"Liu","given":"Pei Yu","non-dropping-particle":"","parse-names":false,"suffix":""},{"dropping-particle":"","family":"Ueng","given":"Tzuu Huei","non-dropping-particle":"","parse-names":false,"suffix":""}],"container-title":"Environmental Toxicology","id":"ITEM-1","issue":"8","issued":{"date-parts":[["2018"]]},"page":"899-907","title":"Effects of tebuconazole on cytochrome P450 enzymes, oxidative stress, and endocrine disruption in male rats","type":"article-journal","volume":"33"},"uris":["http://www.mendeley.com/documents/?uuid=d31c5e45-4ff6-4e0c-a3e6-bec8114b6a81"]}],"mendeley":{"formattedCitation":"[66]","plainTextFormattedCitation":"[66]","previouslyFormattedCitation":"[66]"},"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[66]</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AChE inhibition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{"citationItems":[{"id":"ITEM-1","itemData":{"DOI":"10.1016/j.chemosphere.2017.04.029","ISSN":"00456535","PMID":"28431386","abstract":"In this study, we evaluated the effects of tebuconazole on morphology and exploratory larvae behavior and adult locomotion. Furthermore, we analyzed the effects of this fungicide on AChE activity and gene expression in zebrafish larvae and in the adult zebrafish brain. Tebuconazole (4 mg/L) increased the ocular distance in larvae and reduced the distance travelled, absolute turn angle, line crossing and time outside area in exposed larvae. Moreover, adult zebrafish that were exposed to this fungicide (4 and 6 mg/L) showed a decrease in distance travelled and mean speed when compared to the control group. However, tebuconazole did not alter the number of line crossings or time spent in the upper zone. Tebuconazole inhibited AChE activity at concentrations of 4 mg/L for larvae and 4 and 6 mg/L in the adult zebrafish brain. However, this fungicide did not alter AChE gene expression in the adult zebrafish brain but increased AChE mRNA transcript levels in larvae. These findings demonstrated that tebuconazole could modulate the cholinergic system by altering AChE activity and that this change may be associated with the reduced locomotion of these animals.","author":[{"dropping-particle":"","family":"Altenhofen","given":"Stefani","non-dropping-particle":"","parse-names":false,"suffix":""},{"dropping-particle":"","family":"Nabinger","given":"Débora Dreher","non-dropping-particle":"","parse-names":false,"suffix":""},{"dropping-particle":"","family":"Wiprich","given":"Melissa Talita","non-dropping-particle":"","parse-names":false,"suffix":""},{"dropping-particle":"","family":"Pereira","given":"Talita Carneiro Brandão","non-dropping-particle":"","parse-names":false,"suffix":""},{"dropping-particle":"","family":"Bogo","given":"Maurício Reis","non-dropping-particle":"","parse-names":false,"suffix":""},{"dropping-particle":"","family":"Bonan","given":"Carla Denise","non-dropping-particle":"","parse-names":false,"suffix":""}],"container-title":"Chemosphere","id":"ITEM-1","issued":{"date-parts":[["2017","8"]]},"page":"483-490","title":"Tebuconazole alters morphological, behavioral and neurochemical parameters in larvae and adult zebrafish (Danio rerio)","type":"article-journal","volume":"180"},"uris":["http://www.mendeley.com/documents/?uuid=dff494d7-e419-4296-867b-630860377f97"]}],"mendeley":{"formattedCitation":"[67]","plainTextFormattedCitation":"[67]","previouslyFormattedCitation":"[67]"},"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[67]</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Endocrine disruption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{"citationItems":[{"id":"ITEM-1","itemData":{"DOI":"10.1016/j.ecoenv.2009.09.020","ISBN":"1090-2414 (Electronic)\\r1090-2414 (Linking)","ISSN":"01476513","PMID":"19896710","abstract":"The aim of the present study was to assess the physiological response of male zebrafish Danio rerio to the fungicide tebuconazole and recovery in fungicide-free water. Acute toxicity tests were carried out and the median lethal concentration (LC50) from 24 to 96h was calculated. The fish were exposed to a sublethal fungicide concentration of 230??g/L for 7 or 14 days and allowed to recover for 7 or 14 more days, respectively. Whole-body levels of vitellogenins, triglycerides, cholesterol, glucose, lactate and proteins as well as the activities ??-glutamil transpeptidase (??-GT), alanin aminotransferase (AlAT), alkaline phosphatase (AP) and lactate dehydrogenase (LDH) were assayed; corpulence factor (k) was also calculated. Fish exhibited significant increase of vitellogenins (Vtg), which continued to increase after 14 days of recovery. Levels of glucose, lactate, cholesterol and triglycerides increased after 7 and 14 days of exposure. Finally, cholesterol and glucose recovered after 14 days of recovery whereas triglycerides and lactate continued to be elevated. Proteins and k remained unaltered the entire experiments. AAT, AlAT and AP enhanced during exposure and did not recover at the end (except AlAT). A longer recovery period should be necessary to re-establish fish physiology. These results alert about the multiple disruptive physiological actions that tebuconazole may have on fish. ?? 2009 Elsevier Inc.","author":[{"dropping-particle":"","family":"Sancho","given":"E.","non-dropping-particle":"","parse-names":false,"suffix":""},{"dropping-particle":"","family":"Villarroel","given":"M. J.","non-dropping-particle":"","parse-names":false,"suffix":""},{"dropping-particle":"","family":"Fernández","given":"C.","non-dropping-particle":"","parse-names":false,"suffix":""},{"dropping-particle":"","family":"Andreu","given":"E.","non-dropping-particle":"","parse-names":false,"suffix":""},{"dropping-particle":"","family":"Ferrando","given":"M. D.","non-dropping-particle":"","parse-names":false,"suffix":""}],"container-title":"Ecotoxicology and Environmental Safety","id":"ITEM-1","issue":"3","issued":{"date-parts":[["2010"]]},"page":"370-376","title":"Short-term exposure to sublethal tebuconazole induces physiological impairment in male zebrafish (Danio rerio)","type":"article-journal","volume":"73"},"uris":["http://www.mendeley.com/documents/?uuid=7445dbdc-52df-4d29-9e68-8f29e9dfe1cc"]}],"mendeley":{"formattedCitation":"[64]","plainTextFormattedCitation":"[64]","previouslyFormattedCitation":"[64]"},"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[64]</w:t>
            </w:r>
            <w:r w:rsidRPr="00C215EB">
              <w:rPr>
                <w:rFonts w:ascii="Times New Roman" w:hAnsi="Times New Roman" w:cs="Times New Roman"/>
                <w:bCs/>
                <w:sz w:val="24"/>
                <w:szCs w:val="24"/>
                <w:lang w:val="en-US"/>
              </w:rPr>
              <w:fldChar w:fldCharType="end"/>
            </w:r>
          </w:p>
        </w:tc>
      </w:tr>
      <w:tr w:rsidR="008E041A" w:rsidRPr="00C215EB" w:rsidTr="00A04BA8">
        <w:trPr>
          <w:cnfStyle w:val="000000100000" w:firstRow="0" w:lastRow="0" w:firstColumn="0" w:lastColumn="0" w:oddVBand="0" w:evenVBand="0" w:oddHBand="1" w:evenHBand="0" w:firstRowFirstColumn="0" w:firstRowLastColumn="0" w:lastRowFirstColumn="0" w:lastRowLastColumn="0"/>
          <w:cantSplit/>
          <w:trHeight w:val="152"/>
          <w:jc w:val="center"/>
        </w:trPr>
        <w:tc>
          <w:tcPr>
            <w:tcW w:w="101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Tolbutamide</w:t>
            </w:r>
          </w:p>
        </w:tc>
        <w:tc>
          <w:tcPr>
            <w:tcW w:w="609"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Sulfonylurea</w:t>
            </w:r>
          </w:p>
        </w:tc>
        <w:tc>
          <w:tcPr>
            <w:tcW w:w="68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Hypoglycemic drug</w:t>
            </w:r>
          </w:p>
        </w:tc>
        <w:tc>
          <w:tcPr>
            <w:tcW w:w="68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Liver, kidney</w:t>
            </w:r>
          </w:p>
        </w:tc>
        <w:tc>
          <w:tcPr>
            <w:tcW w:w="2012" w:type="pct"/>
            <w:tcBorders>
              <w:top w:val="none" w:sz="0" w:space="0" w:color="auto"/>
              <w:bottom w:val="none" w:sz="0" w:space="0" w:color="auto"/>
            </w:tcBorders>
          </w:tcPr>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Potassium channel closure of ß-cells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{"citationItems":[{"id":"ITEM-1","itemData":{"DOI":"CMC - AbsEpub - 001 [pii]","ISBN":"0929-8673 (Print)","ISSN":"1875-533X","PMID":"19515014","abstract":"Cytochrome P450 2C9 (CYP2C9) is one of the most abundant CYP enzymes in the human liver. CYP2C9 metabolizes more than 100 therapeutic drugs, including tolbutamide, glyburide, diclofenac, celecoxib, torasemide, phenytoin losartan, and S-warfarin). Some natural and herbal compounds are also metabolized by CYP2C9, probably leading to the formation of toxic metabolites. CYP2C9 also plays a role in the metabolism of several endogenous compounds such as steroids, melatonin, retinoids and arachidonic acid. Many CYP2C9 substrates are weak acids, but CYP2C9 also has the capacity to metabolise neutral, highly lipophilic compounds. A number of ligand-based and homology models of CYP2C9 have been reported and this has provided insights into the binding of ligands to the active site of CYP2C9. Data from the site-directed mutagenesis studies have revealed that a number of residues (e.g. Arg97, Phe110, Val113, Phe114, Arg144, Ser286, Asn289, Asp293 and Phe476) play an important role in ligand binding and determination of substrate specificity. The resolved crystal structures of CYP2C9 have confirmed the importance of these residues in substrate recognition and ligand orientation. CYP2C9 is activated by dapsone and its analogues and R-lansoprazole in a stereo-specific and substrate-dependent manner, probably through binding to the active site and inducing positive cooperativity. CYP2C9 is subject to induction by rifampin, phenobarbital, and dexamethasone, indicating the involvement of pregnane X receptor, constitutive androstane receptor and glucocorticoid receptor in the regulation of CYP2C9. A number of compounds have been found to inhibit CYP2C9 and this may provide an explanation for some clinically important drug interactions. Tienilic acid, suprofen and silybin are mechanism-based inhibitors of CYP2C9. Given the critical role of CYP2C9 in drug metabolism and the presence of polymorphisms, it is important to identify drug candidates as potential substrates, inducer or inhibitors of CYP2C9 in drug development and drug discovery scientists should develop drugs with minimal interactions with this enzyme. Further studies are warranted to explore the molecular determinants for ligand-CYP2C9 binding and the structure-activity relationships.","author":[{"dropping-particle":"","family":"Zhou","given":"Shu-Feng","non-dropping-particle":"","parse-names":false,"suffix":""},{"dropping-particle":"","family":"Zhou","given":"Zhi-Wei","non-dropping-particle":"","parse-names":false,"suffix":""},{"dropping-particle":"","family":"Yang","given":"Li-Ping","non-dropping-particle":"","parse-names":false,"suffix":""},{"dropping-particle":"","family":"Cai","given":"Jian-Ping","non-dropping-particle":"","parse-names":false,"suffix":""}],"container-title":"Current medicinal chemistry","id":"ITEM-1","issue":"27","issued":{"date-parts":[["2009"]]},"page":"3480-675","title":"Substrates, inducers, inhibitors and structure-activity relationships of human Cytochrome P450 2C9 and implications in drug development","type":"article-journal","volume":"16"},"uris":["http://www.mendeley.com/documents/?uuid=5454986e-0c34-4b6a-bdf4-01f340b4db93"]}],"mendeley":{"formattedCitation":"[68]","plainTextFormattedCitation":"[68]","previouslyFormattedCitation":"[68]"},"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[68]</w:t>
            </w:r>
            <w:r w:rsidRPr="00C215EB">
              <w:rPr>
                <w:rFonts w:ascii="Times New Roman" w:hAnsi="Times New Roman" w:cs="Times New Roman"/>
                <w:bCs/>
                <w:sz w:val="24"/>
                <w:szCs w:val="24"/>
                <w:lang w:val="en-US"/>
              </w:rPr>
              <w:fldChar w:fldCharType="end"/>
            </w:r>
          </w:p>
        </w:tc>
      </w:tr>
      <w:tr w:rsidR="008E041A" w:rsidRPr="00C215EB" w:rsidTr="00A04BA8">
        <w:trPr>
          <w:cantSplit/>
          <w:trHeight w:val="152"/>
          <w:jc w:val="center"/>
        </w:trPr>
        <w:tc>
          <w:tcPr>
            <w:tcW w:w="101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Triclosan</w:t>
            </w:r>
          </w:p>
        </w:tc>
        <w:tc>
          <w:tcPr>
            <w:tcW w:w="609"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Phenol</w:t>
            </w:r>
          </w:p>
        </w:tc>
        <w:tc>
          <w:tcPr>
            <w:tcW w:w="68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Antibacterial, antifungal</w:t>
            </w:r>
          </w:p>
        </w:tc>
        <w:tc>
          <w:tcPr>
            <w:tcW w:w="683" w:type="pct"/>
          </w:tcPr>
          <w:p w:rsidR="008E041A" w:rsidRPr="00C215EB" w:rsidRDefault="008E041A" w:rsidP="00A04BA8">
            <w:pPr>
              <w:spacing w:before="40" w:after="40"/>
              <w:rPr>
                <w:rFonts w:ascii="Times New Roman" w:hAnsi="Times New Roman" w:cs="Times New Roman"/>
                <w:bCs/>
                <w:sz w:val="24"/>
                <w:szCs w:val="24"/>
                <w:lang w:val="en-US"/>
              </w:rPr>
            </w:pPr>
          </w:p>
        </w:tc>
        <w:tc>
          <w:tcPr>
            <w:tcW w:w="2012" w:type="pct"/>
          </w:tcPr>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Fatty acid synthesis inhibition (in bacteria)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{"citationItems":[{"id":"ITEM-1","itemData":{"author":[{"dropping-particle":"","family":"WHO","given":"","non-dropping-particle":"","parse-names":false,"suffix":""}],"container-title":"World Health Publications","id":"ITEM-1","issued":{"date-parts":[["2006"]]},"number-of-pages":"1-216","title":"World Alliance for Patient Safety WHO Guidelines on Hand Hygene in Helath Care Global Patient safety challenge 2005-2006: Clean Care is Safer Care","type":"report"},"uris":["http://www.mendeley.com/documents/?uuid=1636451e-6d61-4634-9482-6cec3085a8d7"]}],"mendeley":{"formattedCitation":"[31]","plainTextFormattedCitation":"[31]","previouslyFormattedCitation":"[31]"},"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[31]</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Endocrine disruptor </w:t>
            </w:r>
            <w:r w:rsidRPr="00C215EB">
              <w:rPr>
                <w:rFonts w:ascii="Times New Roman" w:hAnsi="Times New Roman" w:cs="Times New Roman"/>
                <w:bCs/>
                <w:sz w:val="24"/>
                <w:szCs w:val="24"/>
                <w:lang w:val="en-US"/>
              </w:rPr>
              <w:fldChar w:fldCharType="begin" w:fldLock="1"/>
            </w:r>
            <w:r w:rsidRPr="00C215EB">
              <w:rPr>
                <w:rFonts w:ascii="Times New Roman" w:hAnsi="Times New Roman" w:cs="Times New Roman"/>
                <w:bCs/>
                <w:sz w:val="24"/>
                <w:szCs w:val="24"/>
                <w:lang w:val="en-US"/>
              </w:rPr>
              <w:instrText>ADDIN CSL_CITATION {"citationItems":[{"id":"ITEM-1","itemData":{"DOI":"10.1016/j.jhazmat.2018.01.016","ISSN":"18733336","abstract":"Acrylamide (AA) is a high production volume chemical in industrial applications and widely found in baked or fried carbohydrate-rich foods. In this study, we unravelled that AA induced developmental toxicity associated with oxidative stress status and disordered lipid distribution in heart region of developing zebrafish. Treatment with AA caused a deficient cardiovascular system with significant heart malformation and dysfunction. We also found that AA could reduce the number of cardiomyocytes through the reduced capacity of cardiomyocyte proliferation rather than cell apoptosis. The cardiac looping and ballooning appeared abnormal though cardiac chamber-specific identity in the differentiated myocardium was maintained well after AA treatment through MF20/S46 immunofluorescence assay. Furthermore, treatment with AA disturbed the differentiation of atrioventricular canal, which was demonstrated by the disordered expressions of the atrioventricular boundary markers bmp4, tbx2b and notch1b and further confirmed by the ectopic expressions of the cardiac valve precursor markers has2, klf2a and nfatc1 through whole-mount in situ hybridization. Thus, our studies provide the evidence of cardiac developmental toxicity of AA in the cardiovascular system, and also raised health concern about the harm of trans-placental exposure to high level of AA for foetuses and the risk of high exposure to AA for the pregnant women.","author":[{"dropping-particle":"","family":"Huang","given":"Mengmeng","non-dropping-particle":"","parse-names":false,"suffix":""},{"dropping-particle":"","family":"Jiao","given":"Jingjing","non-dropping-particle":"","parse-names":false,"suffix":""},{"dropping-particle":"","family":"Wang","given":"Jun","non-dropping-particle":"","parse-names":false,"suffix":""},{"dropping-particle":"","family":"Xia","given":"Zhidan","non-dropping-particle":"","parse-names":false,"suffix":""},{"dropping-particle":"","family":"Zhang","given":"Yu","non-dropping-particle":"","parse-names":false,"suffix":""}],"container-title":"Journal of Hazardous Materials","id":"ITEM-1","issue":"July 2017","issued":{"date-parts":[["2018"]]},"page":"451-460","publisher":"Elsevier","title":"Characterization of acrylamide-induced oxidative stress and cardiovascular toxicity in zebrafish embryos","type":"article-journal","volume":"347"},"uris":["http://www.mendeley.com/documents/?uuid=cce1028c-3ea2-48c8-a815-0b05da7e8417"]}],"mendeley":{"formattedCitation":"[69]","plainTextFormattedCitation":"[69]","previouslyFormattedCitation":"[69]"},"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[69]</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Altered thyroid hormone metabolism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{"citationItems":[{"id":"ITEM-1","itemData":{"DOI":"10.1093/toxsci/kfq180","ISBN":"1096-6080","ISSN":"10966080","PMID":"20562219","abstract":"Triclosan is an antimicrobial found in personal care and sanitizing products, such as soaps, toothpaste, and hair products. There have been recent concerns for the possible effects on human health, as triclosan has been detected in human breast milk, blood, and urine samples. In a previous study, we found that triclosan alters serum thyroid hormone and testosterone concentrations in male rats. In the current study, we evaluated the effects of triclosan in the female Wistar rat following exposure for 21 days in the Endocrine Disruptor Screening Program pubertal protocol and the weanling uterotrophic assay (3-day exposure). In the pubertal study, triclosan advanced the age of onset of vaginal opening and increased uterine weight at 150 mg/kg, indicative of an estrogenic effect. In the uterotrophic assay, rats received oral doses of triclosan (1.18, 2.35, 4.69, 9.37, 18.75, 37.5, 75, 150, and 300 mg/kg) alone, 3 microg/kg ethinyl estradiol (EE), or triclosan (same doses as above) plus 3 microg/kg EE. Uterine weight was increased in the EE group (positive control) as compared with the control but was not affected by triclosan alone. However, there was a significant dose-dependent increase in the group cotreated with EE and triclosan (&gt;or= 4.69 mg/kg) as compared with EE alone, indicating a potentiation of the estrogen response on uterine weight. This result was well correlated with potentiated estrogen-induced changes in uterine histology. Serum thyroid hormone concentrations were also suppressed by triclosan in this study, similar to other studies in the male and female rat. In conclusion, triclosan affected estrogen-mediated responses in the pubertal and weanling female rat and also suppressed thyroid hormone in both studies. The lowest effective concentrations in the rodent model are approximately 10 (for estrogen) and 40 (for thyroid hormone) times higher than the highest concentrations reported in human plasma.","author":[{"dropping-particle":"","family":"Stoker","given":"Tammy E.","non-dropping-particle":"","parse-names":false,"suffix":""},{"dropping-particle":"","family":"Gibson","given":"Emily K.","non-dropping-particle":"","parse-names":false,"suffix":""},{"dropping-particle":"","family":"Zorrilla","given":"Leah M.","non-dropping-particle":"","parse-names":false,"suffix":""}],"container-title":"Toxicological Sciences","id":"ITEM-1","issue":"1","issued":{"date-parts":[["2010"]]},"page":"45-53","title":"Triclosan exposure modulates estrogen-dependent responses in the female wistar rat","type":"article-journal","volume":"117"},"uris":["http://www.mendeley.com/documents/?uuid=ac12d011-4dda-48bc-86cb-224fa569f6f6"]}],"mendeley":{"formattedCitation":"[70]","plainTextFormattedCitation":"[70]","previouslyFormattedCitation":"[70]"},"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[70]</w:t>
            </w:r>
            <w:r w:rsidRPr="00C215EB">
              <w:rPr>
                <w:rFonts w:ascii="Times New Roman" w:hAnsi="Times New Roman" w:cs="Times New Roman"/>
                <w:bCs/>
                <w:sz w:val="24"/>
                <w:szCs w:val="24"/>
                <w:lang w:val="en-US"/>
              </w:rPr>
              <w:fldChar w:fldCharType="end"/>
            </w:r>
          </w:p>
        </w:tc>
      </w:tr>
      <w:tr w:rsidR="008E041A" w:rsidRPr="00C215EB" w:rsidTr="00A04BA8">
        <w:trPr>
          <w:cnfStyle w:val="000000100000" w:firstRow="0" w:lastRow="0" w:firstColumn="0" w:lastColumn="0" w:oddVBand="0" w:evenVBand="0" w:oddHBand="1" w:evenHBand="0" w:firstRowFirstColumn="0" w:firstRowLastColumn="0" w:lastRowFirstColumn="0" w:lastRowLastColumn="0"/>
          <w:cantSplit/>
          <w:trHeight w:val="152"/>
          <w:jc w:val="center"/>
        </w:trPr>
        <w:tc>
          <w:tcPr>
            <w:tcW w:w="101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Triethylene glycol</w:t>
            </w:r>
          </w:p>
        </w:tc>
        <w:tc>
          <w:tcPr>
            <w:tcW w:w="609"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Alcohol</w:t>
            </w:r>
          </w:p>
        </w:tc>
        <w:tc>
          <w:tcPr>
            <w:tcW w:w="68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Plasticizer, disinfectant</w:t>
            </w:r>
          </w:p>
        </w:tc>
        <w:tc>
          <w:tcPr>
            <w:tcW w:w="68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Kidney, neuronal system</w:t>
            </w:r>
          </w:p>
        </w:tc>
        <w:tc>
          <w:tcPr>
            <w:tcW w:w="2012" w:type="pct"/>
            <w:tcBorders>
              <w:top w:val="none" w:sz="0" w:space="0" w:color="auto"/>
              <w:bottom w:val="none" w:sz="0" w:space="0" w:color="auto"/>
            </w:tcBorders>
          </w:tcPr>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Craniofacial defects and axial skeletal dysplasia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{"citationItems":[{"id":"ITEM-1","itemData":{"DOI":"10.1002/jat.1089","ISBN":"0278-6915 (Print)\r0278-6915","ISSN":"0260437X","PMID":"15979775","abstract":"Diethylene glycol (DEG; CAS Number 111-46-6) is a widely used industrial liquid chemical with a potential for human exposure. In view of the established teratogenic effects caused by ethylene glycol in laboratory animals, the developmental toxicity of DEG was investigated in mice and rats, species known to be sensitive to the developmental toxicity of ethylene glycol. Timed-pregnant CD-1 mice and CD rats were dosed daily by gavage with undiluted DEG over gestational days (gd) 6-15. Based on probe studies, mouse dosages were 0 (distilled water), 559, 2795 and 11,180 mg/kg/day, and those for rats 0, 1118, 4472 and 8944 mg/kg/day. They were examined daily for clinical signs of toxicity, and body weights, food consumption and water consumption measured periodically throughout gestation. At necropsy, on gd 18 (mice) or gd 21 (rats), dams were examined for gross pathology and body, gravid uterus, liver and kidney weights were measured. Maternal rat kidneys were examined histologically. Fetuses were weighed, sex determined, and examined for external, visceral and skeletal variations and malformations. With mice there was maternal toxicity at 11,180 mg/kg/day (mortality, signs, increased water consumption) and at 2795 mg/kg/day (increased water consumption). Implantations were comparable across all groups. Fetal body weights were significantly reduced at 11,180 mg/kg/day. There were no increases in variations or malformations, either total, by category, or individually. With rats, maternal toxicity was present at 8944 mg/kg/day (mortality, signs, reduced body weight gain, reduced food consumption, increased water consumption, increased liver weight, increased kidney weight, and renal histopathology), and 4472 mg/kg/day (increased water consumption). There were no treatment-related effects on corpora lutea or implantations. Fetal body weights were reduced at 8944 mg/kg/day. There were no significant effects with respect to total or individual external or visceral variations. Individual skeletal variations were significantly increased at 8944 mg/kg/day (poorly ossified interparietal, poorly ossified thoracic centra number 10 and number 13, and bilobed thoracic centrum number 10) and 4472 mg/kg/day (split anterior arch of atlas and bilobed thoracic centrum number 10). This pattern of delayed ossification is consistent with reduced fetal body weight. Malformations, total, by category, or individually, were similar between the control and DEG groups. Thus, under the…","author":[{"dropping-particle":"","family":"Ballantyne","given":"Bryan","non-dropping-particle":"","parse-names":false,"suffix":""},{"dropping-particle":"","family":"Snellings","given":"William M.","non-dropping-particle":"","parse-names":false,"suffix":""}],"container-title":"Journal of Applied Toxicology","id":"ITEM-1","issue":"5","issued":{"date-parts":[["2005"]]},"page":"418-426","title":"Developmental toxicity study with triethylene glycol given by gavage to CD rats and CD-1 mice","type":"article-journal","volume":"25"},"uris":["http://www.mendeley.com/documents/?uuid=18745039-efd8-4ba2-a409-b899b4e87edd"]}],"mendeley":{"formattedCitation":"[71]","plainTextFormattedCitation":"[71]","previouslyFormattedCitation":"[71]"},"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[71]</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Metabolic acidosis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{"citationItems":[{"id":"ITEM-1","itemData":{"DOI":"10.1081/CLT-100102455","ISSN":"07313810","PMID":"10584590","abstract":"INTRODUCTION: Poisoning with triethylene glycol has been rarely reported in humans. Triethylene glycol is thought to be metabolized by alcohol dehydrogenase to acidic products resulting in the production of a metabolic acidemia. Triethylene glycol metabolism has previously been shown to be inhibited by fomepizole (4-methyl pyrazole) administration. We report a case of triethylene glycol ingestion, presenting with a metabolic acidemia, treated with intravenous ethanol administration. CASE REPORT: A 23-year-old female presented to the emergency department approximately 1-1.5 hours following ingestion of a gulp of triethylene glycol (99%) brake fluid with coma (GCS-3) and metabolic acidemia (pH 7.03, PCO2 44 mm Hg, Bicarbonate 11 mmol/L, anion gap 30 mmol/L, serum creatinine 90 mumol/L). She was intubated and given 100 mmol of intravenous sodium bicarbonate. An ethanol loading dose was administered followed by an infusion to maintain serum ethanol at 100 mg/dL. Acidemia gradually resolved over the next 8 hours and she was extubated 12 hours later. The ethanol infusion was continued for a total of 22 hours. There was no recurrence of acidemia. Serum ethanol, ethylene glycol, and methanol levels were nondetectable on presentation, as was serum salicylate. Urine drug of abuse screen and thin-layer chromatography revealed no other coingested substances. The patient was discharged to a psychiatric ward 36 hours postingestion. CONCLUSION: Pure triethylene glycol poisoning results in coma and metabolic acidemia and may be treated with alcohol dehydrogenase inhibitors such as ethanol","author":[{"dropping-particle":"","family":"Vassiliadis","given":"John","non-dropping-particle":"","parse-names":false,"suffix":""},{"dropping-particle":"","family":"Graudins","given":"Andis","non-dropping-particle":"","parse-names":false,"suffix":""},{"dropping-particle":"","family":"Dowsett","given":"Robert P.","non-dropping-particle":"","parse-names":false,"suffix":""}],"container-title":"Journal of Toxicology - Clinical Toxicology","id":"ITEM-1","issue":"6","issued":{"date-parts":[["1999"]]},"page":"773-776","title":"Triethylene glycol poisoning treated with intravenous ethanol infusion","type":"article-journal","volume":"37"},"uris":["http://www.mendeley.com/documents/?uuid=18708f38-f112-41dc-8a57-522b2d2bf4a5"]}],"mendeley":{"formattedCitation":"[72]","plainTextFormattedCitation":"[72]","previouslyFormattedCitation":"[72]"},"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[72]</w:t>
            </w:r>
            <w:r w:rsidRPr="00C215EB">
              <w:rPr>
                <w:rFonts w:ascii="Times New Roman" w:hAnsi="Times New Roman" w:cs="Times New Roman"/>
                <w:bCs/>
                <w:sz w:val="24"/>
                <w:szCs w:val="24"/>
                <w:lang w:val="en-US"/>
              </w:rPr>
              <w:fldChar w:fldCharType="end"/>
            </w:r>
          </w:p>
        </w:tc>
      </w:tr>
      <w:tr w:rsidR="008E041A" w:rsidRPr="00C215EB" w:rsidTr="00A04BA8">
        <w:trPr>
          <w:cantSplit/>
          <w:trHeight w:val="152"/>
          <w:jc w:val="center"/>
        </w:trPr>
        <w:tc>
          <w:tcPr>
            <w:tcW w:w="101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2,3,6-Trimethyl phenol</w:t>
            </w:r>
          </w:p>
        </w:tc>
        <w:tc>
          <w:tcPr>
            <w:tcW w:w="609"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Phenol</w:t>
            </w:r>
          </w:p>
        </w:tc>
        <w:tc>
          <w:tcPr>
            <w:tcW w:w="68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Artificial flavoring</w:t>
            </w:r>
          </w:p>
        </w:tc>
        <w:tc>
          <w:tcPr>
            <w:tcW w:w="68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No information available</w:t>
            </w:r>
          </w:p>
        </w:tc>
        <w:tc>
          <w:tcPr>
            <w:tcW w:w="2012" w:type="pct"/>
          </w:tcPr>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Base compound of vitamin E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10.1021/i360072a029","ISSN":"0196-4321","author":[{"dropping-particle":"","family":"Ichikawa","given":"Y.","non-dropping-particle":"","parse-names":false,"suffix":""},{"dropping-particle":"","family":"Yamanaka","given":"Y.","non-dropping-particle":"","parse-names":false,"suffix":""},{"dropping-particle":"","family":"Suzuki","given":"N.","non-dropping-particle":"","parse-names":false,"suffix":""},{"dropping-particle":"","family":"Naruchi","given":"T.","non-dropping-particle":"","parse-names":false,"suffix":""},{"dropping-particle":"","family":"Kobayashi","given":"O.","non-dropping-particle":"","parse-names":false,"suffix":""},{"dropping-particle":"","family":"Tsuruta","given":"H.","non-dropping-particle":"","parse-names":false,"suffix":""}],"container-title":"Industrial &amp; Engineering Chemistry Product Research and Development","id":"ITEM-1","issue":"4","issued":{"date-parts":[["1979","12"]]},"page":"373-375","title":"A New Process for the Production of Trimethylhydroquinone","type":"article-journal","volume":"18"},"uris":["http://www.mendeley.com/documents/?uuid=9616207e-0f4c-4f78-8be7-c7f8196c962e"]}],"mendeley":{"formattedCitation":"[73]","plainTextFormattedCitation":"[73]","previouslyFormattedCitation":"[73]"},"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[73]</w:t>
            </w:r>
            <w:r w:rsidRPr="00C215EB">
              <w:rPr>
                <w:rFonts w:ascii="Times New Roman" w:hAnsi="Times New Roman" w:cs="Times New Roman"/>
                <w:bCs/>
                <w:sz w:val="24"/>
                <w:szCs w:val="24"/>
                <w:lang w:val="en-US"/>
              </w:rPr>
              <w:fldChar w:fldCharType="end"/>
            </w:r>
          </w:p>
        </w:tc>
      </w:tr>
      <w:tr w:rsidR="008E041A" w:rsidRPr="00C215EB" w:rsidTr="00A04BA8">
        <w:trPr>
          <w:cnfStyle w:val="000000100000" w:firstRow="0" w:lastRow="0" w:firstColumn="0" w:lastColumn="0" w:oddVBand="0" w:evenVBand="0" w:oddHBand="1" w:evenHBand="0" w:firstRowFirstColumn="0" w:firstRowLastColumn="0" w:lastRowFirstColumn="0" w:lastRowLastColumn="0"/>
          <w:cantSplit/>
          <w:trHeight w:val="152"/>
          <w:jc w:val="center"/>
        </w:trPr>
        <w:tc>
          <w:tcPr>
            <w:tcW w:w="101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Triphenyl phosphate</w:t>
            </w:r>
          </w:p>
        </w:tc>
        <w:tc>
          <w:tcPr>
            <w:tcW w:w="609"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Phenol</w:t>
            </w:r>
          </w:p>
        </w:tc>
        <w:tc>
          <w:tcPr>
            <w:tcW w:w="68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Flame retardant, plasticizer</w:t>
            </w:r>
          </w:p>
        </w:tc>
        <w:tc>
          <w:tcPr>
            <w:tcW w:w="68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Liver, neuronal system</w:t>
            </w:r>
          </w:p>
        </w:tc>
        <w:tc>
          <w:tcPr>
            <w:tcW w:w="2012" w:type="pct"/>
            <w:tcBorders>
              <w:top w:val="none" w:sz="0" w:space="0" w:color="auto"/>
              <w:bottom w:val="none" w:sz="0" w:space="0" w:color="auto"/>
            </w:tcBorders>
          </w:tcPr>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Endocrine disruption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{"citationItems":[{"id":"ITEM-1","itemData":{"DOI":"10.1002/etc.3395","ISSN":"15528618","abstract":"Abstract: With the global decline in the use of polybrominated diphenyl ethers, the demand for alternative flame retardants, such as triphenylphosphate (TPP), has increased substantially. Triphenylphosphate is now detected in various environments including aquatic ecosystems worldwide. However, studies on the toxicological consequences of chronic TPP exposure on aquatic organisms are scarce. The zebrafish model was used to investigate the effects of long-term TPP exposure on the endocrine system. Zebrafish embryos were exposed to 5mg/L, 50mg/L, or 500mg/L TPP for 120 d, and hormonal and transcriptional responses were measured along the hypothalamic-pituitary-gonad (HPG) axis, the hypothalamic-pituitary-interrenal (HPI) axis, and the hypothalamic-pituitary-thyroid (HPT) axis. Exposure to TPP significantly increased plasma 17b-estradiol, but decreased 11-ketotestosterone in both sexes. Gene expression data support these changes. In the HPI axis, plasma cortisol and proopiomelanocortin (pomc) and mineralocorticoid receptor transcripts increased in females, but in males cortisol decreased whereas pomc increased (p&lt;0.05). Thyroxine and triiodothyronine increased, and thyrotrophin-releasing hormone receptor 2 (trhr2) and trh expression were affected only in females (p&lt;0.05). In summary, long-term exposure to TPP enhanced estrogenicity in both males and females, potentially through influencing the HPG axis, but modulated the HPI, and HPT axes differently by sex, suggesting that both genomic and nongenomic responses might be involved. Environ Toxicol Chem 2016;35:2288–2296.# 2016 SETAC","author":[{"dropping-particle":"","family":"Liu","given":"Xiaoshan","non-dropping-particle":"","parse-names":false,"suffix":""},{"dropping-particle":"","family":"Jung","given":"Dawoon","non-dropping-particle":"","parse-names":false,"suffix":""},{"dropping-particle":"","family":"Jo","given":"Areum","non-dropping-particle":"","parse-names":false,"suffix":""},{"dropping-particle":"","family":"Ji","given":"Kyunghee","non-dropping-particle":"","parse-names":false,"suffix":""},{"dropping-particle":"","family":"Moon","given":"Hyo Bang","non-dropping-particle":"","parse-names":false,"suffix":""},{"dropping-particle":"","family":"Choi","given":"Kyungho","non-dropping-particle":"","parse-names":false,"suffix":""}],"container-title":"Environmental Toxicology and Chemistry","id":"ITEM-1","issue":"9","issued":{"date-parts":[["2016"]]},"page":"2288-2296","title":"Long-term exposure to triphenylphosphate alters hormone balance and HPG, HPI, and HPT gene expression in zebrafish (Danio rerio)","type":"article-journal","volume":"35"},"uris":["http://www.mendeley.com/documents/?uuid=79f165af-6d29-4d19-9f30-821dc8852fb0"]}],"mendeley":{"formattedCitation":"[74]","plainTextFormattedCitation":"[74]","previouslyFormattedCitation":"[74]"},"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[74]</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Metabolic disruption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{"citationItems":[{"id":"ITEM-1","itemData":{"DOI":"10.1038/srep21827","ISBN":"2045-2322","ISSN":"20452322","PMID":"26898711","abstract":"Triphenyl phosphate is a high production volume organophosphate flame retardant that has been detected in multiple environmental media at increasing concentrations. The environmental and health risks of triphenyl phosphate have drawn attention because of the multiplex toxicity of this chemical compound. However, few studies have paid close attention to the impacts of triphenyl phosphate on liver metabolism. We investigated hepatic histopathological, metabolomic and transcriptomic responses of zebrafish after exposure to 0.050 mg/L and 0.300 mg/L triphenyl phosphate for 7 days. Metabolomic analysis revealed significant changes in the contents of glucose, UDP-glucose, lactate, succinate, fumarate, choline, acetylcarnitine, and several fatty acids. Transcriptomic analysis revealed that related pathways, such as the glycosphingolipid biosynthesis, PPAR signaling pathway and fatty acid elongation, were significantly affected. These results suggest that triphenyl phosphate exposure markedly disturbs hepatic carbohydrate and lipid metabolism in zebrafish. Moreover, DNA replication, the cell cycle, and non-homologous end-joining and base excision repair were strongly affected, thus indicating that triphenyl phosphate hinders the DNA damage repair system in zebrafish liver cells. The present study provides a systematic analysis of the triphenyl phosphate-induced toxic effects in zebrafish liver and demonstrates that low concentrations of triphenyl phosphate affect normal metabolism and cell cycle.","author":[{"dropping-particle":"","family":"Du","given":"Zhongkun","non-dropping-particle":"","parse-names":false,"suffix":""},{"dropping-particle":"","family":"Zhang","given":"Yan","non-dropping-particle":"","parse-names":false,"suffix":""},{"dropping-particle":"","family":"Wang","given":"Guowei","non-dropping-particle":"","parse-names":false,"suffix":""},{"dropping-particle":"","family":"Peng","given":"Jianbiao","non-dropping-particle":"","parse-names":false,"suffix":""},{"dropping-particle":"","family":"Wang","given":"Zunyao","non-dropping-particle":"","parse-names":false,"suffix":""},{"dropping-particle":"","family":"Gao","given":"Shixiang","non-dropping-particle":"","parse-names":false,"suffix":""}],"container-title":"Scientific Reports","id":"ITEM-1","issue":"February","issued":{"date-parts":[["2016"]]},"page":"1-10","publisher":"Nature Publishing Group","title":"TPhP exposure disturbs carbohydrate metabolism, lipid metabolism, and the DNA damage repair system in zebrafish liver","type":"article-journal","volume":"6"},"uris":["http://www.mendeley.com/documents/?uuid=0566dea4-c7a9-4517-acfe-f95c36895fc2"]}],"mendeley":{"formattedCitation":"[75]","plainTextFormattedCitation":"[75]","previouslyFormattedCitation":"[75]"},"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[75]</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proofErr w:type="spellStart"/>
            <w:r w:rsidRPr="00C215EB">
              <w:rPr>
                <w:rFonts w:ascii="Times New Roman" w:hAnsi="Times New Roman" w:cs="Times New Roman"/>
                <w:bCs/>
                <w:sz w:val="24"/>
                <w:szCs w:val="24"/>
                <w:lang w:val="en-US"/>
              </w:rPr>
              <w:t>PPARγ</w:t>
            </w:r>
            <w:proofErr w:type="spellEnd"/>
            <w:r w:rsidRPr="00C215EB">
              <w:rPr>
                <w:rFonts w:ascii="Times New Roman" w:hAnsi="Times New Roman" w:cs="Times New Roman"/>
                <w:bCs/>
                <w:sz w:val="24"/>
                <w:szCs w:val="24"/>
                <w:lang w:val="en-US"/>
              </w:rPr>
              <w:t xml:space="preserve"> activation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{"citationItems":[{"id":"ITEM-1","itemData":{"DOI":"10.1038/srep21827","ISBN":"2045-2322","ISSN":"20452322","PMID":"26898711","abstract":"Triphenyl phosphate is a high production volume organophosphate flame retardant that has been detected in multiple environmental media at increasing concentrations. The environmental and health risks of triphenyl phosphate have drawn attention because of the multiplex toxicity of this chemical compound. However, few studies have paid close attention to the impacts of triphenyl phosphate on liver metabolism. We investigated hepatic histopathological, metabolomic and transcriptomic responses of zebrafish after exposure to 0.050 mg/L and 0.300 mg/L triphenyl phosphate for 7 days. Metabolomic analysis revealed significant changes in the contents of glucose, UDP-glucose, lactate, succinate, fumarate, choline, acetylcarnitine, and several fatty acids. Transcriptomic analysis revealed that related pathways, such as the glycosphingolipid biosynthesis, PPAR signaling pathway and fatty acid elongation, were significantly affected. These results suggest that triphenyl phosphate exposure markedly disturbs hepatic carbohydrate and lipid metabolism in zebrafish. Moreover, DNA replication, the cell cycle, and non-homologous end-joining and base excision repair were strongly affected, thus indicating that triphenyl phosphate hinders the DNA damage repair system in zebrafish liver cells. The present study provides a systematic analysis of the triphenyl phosphate-induced toxic effects in zebrafish liver and demonstrates that low concentrations of triphenyl phosphate affect normal metabolism and cell cycle.","author":[{"dropping-particle":"","family":"Du","given":"Zhongkun","non-dropping-particle":"","parse-names":false,"suffix":""},{"dropping-particle":"","family":"Zhang","given":"Yan","non-dropping-particle":"","parse-names":false,"suffix":""},{"dropping-particle":"","family":"Wang","given":"Guowei","non-dropping-particle":"","parse-names":false,"suffix":""},{"dropping-particle":"","family":"Peng","given":"Jianbiao","non-dropping-particle":"","parse-names":false,"suffix":""},{"dropping-particle":"","family":"Wang","given":"Zunyao","non-dropping-particle":"","parse-names":false,"suffix":""},{"dropping-particle":"","family":"Gao","given":"Shixiang","non-dropping-particle":"","parse-names":false,"suffix":""}],"container-title":"Scientific Reports","id":"ITEM-1","issue":"February","issued":{"date-parts":[["2016"]]},"page":"1-10","publisher":"Nature Publishing Group","title":"TPhP exposure disturbs carbohydrate metabolism, lipid metabolism, and the DNA damage repair system in zebrafish liver","type":"article-journal","volume":"6"},"uris":["http://www.mendeley.com/documents/?uuid=0566dea4-c7a9-4517-acfe-f95c36895fc2"]}],"mendeley":{"formattedCitation":"[75]","plainTextFormattedCitation":"[75]","previouslyFormattedCitation":"[75]"},"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[75]</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CYP inhibition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{"citationItems":[{"id":"ITEM-1","itemData":{"DOI":"10.1016/j.aquatox.2015.02.009","ISBN":"0166-445x","ISSN":"18791514","PMID":"25725299","abstract":"Using zebrafish as a model, we previously reported that developmental exposure to triphenyl phosphate (TPP) - a high-production volume organophosphate-based flame retardant - results in dioxin-like cardiac looping impairments that are independent of the aryl hydrocarbon receptor. Using a pharmacologic approach, the objective of this study was to investigate the potential role of retinoic acid receptor (RAR) - a nuclear receptor that regulates vertebrate heart morphogenesis - in mediating TPP-induced developmental toxicity in zebrafish. We first revealed that static exposure of zebrafish from 5-72. h post-fertilization (hpf) to TPP in the presence of non-toxic concentrations of an RAR antagonist (BMS493) significantly enhanced TPP-induced toxicity (relative to TPP alone), even though identical non-toxic BMS493 concentrations mitigated retinoic acid (RA)-induced toxicity. BMS493-mediated enhancement of TPP toxicity was not a result of differential TPP uptake or metabolism, as internal embryonic doses of TPP and diphenyl phosphate (DPP) - a primary TPP metabolite - were not different in the presence or absence of BMS493. Using real-time PCR, we then quantified the relative change in expression of cytochrome P450 26a1 (cyp26a1) - a major target gene for RA-induced RAR activation in zebrafish - and found that RA and TPP exposure resulted in a ~5-fold increase and decrease in cyp26a1 expression, respectively, relative to vehicle-exposed embryos. To address whether TPP may interact with human RARs, we then exposed Chinese hamster ovary cells stably transfected with chimeric human RARα-, RARβ-, or RARγ to TPP in the presence of RA, and found that TPP significantly inhibited RA-induced luciferase activity in a concentration-dependent manner. Overall, our findings suggest that zebrafish RARs may be involved in mediating TPP-induced developmental toxicity, a mechanism of action that may have relevance to humans.","author":[{"dropping-particle":"","family":"Isales","given":"Gregory M.","non-dropping-particle":"","parse-names":false,"suffix":""},{"dropping-particle":"","family":"Hipszer","given":"Rachel A.","non-dropping-particle":"","parse-names":false,"suffix":""},{"dropping-particle":"","family":"Raftery","given":"Tara D.","non-dropping-particle":"","parse-names":false,"suffix":""},{"dropping-particle":"","family":"Chen","given":"Albert","non-dropping-particle":"","parse-names":false,"suffix":""},{"dropping-particle":"","family":"Stapleton","given":"Heather M.","non-dropping-particle":"","parse-names":false,"suffix":""},{"dropping-particle":"","family":"Volz","given":"David C.","non-dropping-particle":"","parse-names":false,"suffix":""}],"container-title":"Aquatic Toxicology","id":"ITEM-1","issued":{"date-parts":[["2015"]]},"page":"221-230","publisher":"Elsevier B.V.","title":"Triphenyl phosphate-induced developmental toxicity in zebrafish: Potential role of the retinoic acid receptor","type":"article-journal","volume":"161"},"uris":["http://www.mendeley.com/documents/?uuid=e2d9ff56-76b1-4c9d-9b54-42260642dbea"]}],"mendeley":{"formattedCitation":"[76]","plainTextFormattedCitation":"[76]","previouslyFormattedCitation":"[76]"},"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[76]</w:t>
            </w:r>
            <w:r w:rsidRPr="00C215EB">
              <w:rPr>
                <w:rFonts w:ascii="Times New Roman" w:hAnsi="Times New Roman" w:cs="Times New Roman"/>
                <w:bCs/>
                <w:sz w:val="24"/>
                <w:szCs w:val="24"/>
                <w:lang w:val="en-US"/>
              </w:rPr>
              <w:fldChar w:fldCharType="end"/>
            </w:r>
          </w:p>
        </w:tc>
      </w:tr>
      <w:tr w:rsidR="008E041A" w:rsidRPr="00C215EB" w:rsidTr="00A04BA8">
        <w:trPr>
          <w:cantSplit/>
          <w:trHeight w:val="436"/>
          <w:jc w:val="center"/>
        </w:trPr>
        <w:tc>
          <w:tcPr>
            <w:tcW w:w="101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lastRenderedPageBreak/>
              <w:t>4-</w:t>
            </w:r>
            <w:r w:rsidRPr="00C215EB">
              <w:rPr>
                <w:rFonts w:ascii="Times New Roman" w:hAnsi="Times New Roman" w:cs="Times New Roman"/>
                <w:bCs/>
                <w:i/>
                <w:sz w:val="24"/>
                <w:szCs w:val="24"/>
                <w:lang w:val="en-US"/>
              </w:rPr>
              <w:t>ene</w:t>
            </w:r>
            <w:r w:rsidRPr="00C215EB">
              <w:rPr>
                <w:rFonts w:ascii="Times New Roman" w:hAnsi="Times New Roman" w:cs="Times New Roman"/>
                <w:bCs/>
                <w:sz w:val="24"/>
                <w:szCs w:val="24"/>
                <w:lang w:val="en-US"/>
              </w:rPr>
              <w:t>-Valproic acid</w:t>
            </w:r>
          </w:p>
        </w:tc>
        <w:tc>
          <w:tcPr>
            <w:tcW w:w="609"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Fatty acid</w:t>
            </w:r>
          </w:p>
        </w:tc>
        <w:tc>
          <w:tcPr>
            <w:tcW w:w="68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Valproic acid metabolite</w:t>
            </w:r>
          </w:p>
        </w:tc>
        <w:tc>
          <w:tcPr>
            <w:tcW w:w="683" w:type="pct"/>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Liver, kidney</w:t>
            </w:r>
          </w:p>
        </w:tc>
        <w:tc>
          <w:tcPr>
            <w:tcW w:w="2012" w:type="pct"/>
          </w:tcPr>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Fatty acid oxidation inhibition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{"citationItems":[{"id":"ITEM-1","itemData":{"DOI":"10.1021/tx00047a006","author":[{"dropping-particle":"","family":"Tang","given":"Wei","non-dropping-particle":"","parse-names":false,"suffix":""},{"dropping-particle":"","family":"Borel","given":"Anthony G","non-dropping-particle":"","parse-names":false,"suffix":""},{"dropping-particle":"","family":"Fujimiya","given":"Tatsuya","non-dropping-particle":"","parse-names":false,"suffix":""},{"dropping-particle":"","family":"Abbott","given":"Frank S","non-dropping-particle":"","parse-names":false,"suffix":""}],"container-title":"Chemical Research in Toxicology","id":"ITEM-1","issued":{"date-parts":[["1995"]]},"page":"671-682","title":"Fluorinated Analogues as Mechanistic Probes in Valproic Acid Hepatotoxicity : Hepatic Microvesicular Steatosis and Glutathione Status","type":"article-journal","volume":"8"},"uris":["http://www.mendeley.com/documents/?uuid=339f4d62-0a02-4db8-baea-b68ee03bb97f"]}],"mendeley":{"formattedCitation":"[51]","plainTextFormattedCitation":"[51]","previouslyFormattedCitation":"[51]"},"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[51]</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Fanconi syndrome promotion </w:t>
            </w:r>
            <w:r w:rsidRPr="00C215EB">
              <w:rPr>
                <w:rFonts w:ascii="Times New Roman" w:hAnsi="Times New Roman" w:cs="Times New Roman"/>
                <w:bCs/>
                <w:sz w:val="24"/>
                <w:szCs w:val="24"/>
                <w:lang w:val="en-US"/>
              </w:rPr>
              <w:fldChar w:fldCharType="begin" w:fldLock="1"/>
            </w:r>
            <w:r w:rsidR="004E31DB" w:rsidRPr="00C215EB">
              <w:rPr>
                <w:rFonts w:ascii="Times New Roman" w:hAnsi="Times New Roman" w:cs="Times New Roman"/>
                <w:bCs/>
                <w:sz w:val="24"/>
                <w:szCs w:val="24"/>
                <w:lang w:val="en-US"/>
              </w:rPr>
              <w:instrText>ADDIN CSL_CITATION {"citationItems":[{"id":"ITEM-1","itemData":{"DOI":"10.1152/ajprenal.1989.257.6.F959","ISSN":"1931-857X","PMID":"2603963","abstract":"Studies were performed in anesthetized dogs to evaluate the effects of 4-pentenoate on urinary electrolyte excretion and renal metabolism. The intravenous administration of 4-pentenoate (1 mumol.kg-1.min-1 during 180 min) markedly increased the urinary excretion of bicarbonate, phosphate, potassium, amino acids, glucose, and various organic anions, whereas that of sodium and chloride also rose but less strikingly. These results suggest that 4-pentenoate markedly inhibits the proximal reabsorption of various solutes and therefore reproduces an experimental Fanconi's syndrome. Despite the rise in renal cortical concentration of alpha-ketoglutarate, glutamine utilization and total ammonia production expressed per 100 ml glomerular filtration rate increased following 4-pentenoate infusion, the ammonia being diverted into the renal vein. This increment in glutamine utilization was equal to the combined rise in the renal production of glutamate and alpha-ketoglutarate. By contrast, renal lactate utilization was drastically reduced. A causal relationship between the decreased renal cortical ATP concentration and the inhibited reabsorption of various solutes is suggested but cannot be established unequivocally.","author":[{"dropping-particle":"","family":"Gougoux","given":"André","non-dropping-particle":"","parse-names":false,"suffix":""},{"dropping-particle":"","family":"Zan","given":"Nathalie","non-dropping-particle":"","parse-names":false,"suffix":""},{"dropping-particle":"","family":"Dansereau","given":"Danielle","non-dropping-particle":"","parse-names":false,"suffix":""},{"dropping-particle":"","family":"Vinay","given":"Patrick","non-dropping-particle":"","parse-names":false,"suffix":""}],"container-title":"American Journal of Physiology-Renal Physiology","id":"ITEM-1","issue":"6","issued":{"date-parts":[["1989","12","1"]]},"page":"959-966","title":"Experimental Fanconi's syndrome resulting from 4-pentenoate infusion in the dog","type":"article-journal","volume":"257"},"uris":["http://www.mendeley.com/documents/?uuid=3ec1a20d-5b46-41e7-a9b1-392e90893ef5"]}],"mendeley":{"formattedCitation":"[77]","plainTextFormattedCitation":"[77]","previouslyFormattedCitation":"[77]"},"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[77]</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Microvascular steatosis induction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{"citationItems":[{"id":"ITEM-1","itemData":{"DOI":"10.1021/tx00047a006","author":[{"dropping-particle":"","family":"Tang","given":"Wei","non-dropping-particle":"","parse-names":false,"suffix":""},{"dropping-particle":"","family":"Borel","given":"Anthony G","non-dropping-particle":"","parse-names":false,"suffix":""},{"dropping-particle":"","family":"Fujimiya","given":"Tatsuya","non-dropping-particle":"","parse-names":false,"suffix":""},{"dropping-particle":"","family":"Abbott","given":"Frank S","non-dropping-particle":"","parse-names":false,"suffix":""}],"container-title":"Chemical Research in Toxicology","id":"ITEM-1","issued":{"date-parts":[["1995"]]},"page":"671-682","title":"Fluorinated Analogues as Mechanistic Probes in Valproic Acid Hepatotoxicity : Hepatic Microvesicular Steatosis and Glutathione Status","type":"article-journal","volume":"8"},"uris":["http://www.mendeley.com/documents/?uuid=339f4d62-0a02-4db8-baea-b68ee03bb97f"]}],"mendeley":{"formattedCitation":"[51]","plainTextFormattedCitation":"[51]","previouslyFormattedCitation":"[51]"},"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[51]</w:t>
            </w:r>
            <w:r w:rsidRPr="00C215EB">
              <w:rPr>
                <w:rFonts w:ascii="Times New Roman" w:hAnsi="Times New Roman" w:cs="Times New Roman"/>
                <w:bCs/>
                <w:sz w:val="24"/>
                <w:szCs w:val="24"/>
                <w:lang w:val="en-US"/>
              </w:rPr>
              <w:fldChar w:fldCharType="end"/>
            </w:r>
          </w:p>
        </w:tc>
      </w:tr>
      <w:tr w:rsidR="008E041A" w:rsidRPr="00C215EB" w:rsidTr="00A04BA8">
        <w:trPr>
          <w:cnfStyle w:val="000000100000" w:firstRow="0" w:lastRow="0" w:firstColumn="0" w:lastColumn="0" w:oddVBand="0" w:evenVBand="0" w:oddHBand="1" w:evenHBand="0" w:firstRowFirstColumn="0" w:firstRowLastColumn="0" w:lastRowFirstColumn="0" w:lastRowLastColumn="0"/>
          <w:cantSplit/>
          <w:trHeight w:val="434"/>
          <w:jc w:val="center"/>
        </w:trPr>
        <w:tc>
          <w:tcPr>
            <w:tcW w:w="101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Valproic acid</w:t>
            </w:r>
          </w:p>
        </w:tc>
        <w:tc>
          <w:tcPr>
            <w:tcW w:w="609"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Fatty acid</w:t>
            </w:r>
          </w:p>
        </w:tc>
        <w:tc>
          <w:tcPr>
            <w:tcW w:w="68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Anti-epileptic drug</w:t>
            </w:r>
          </w:p>
        </w:tc>
        <w:tc>
          <w:tcPr>
            <w:tcW w:w="683" w:type="pct"/>
            <w:tcBorders>
              <w:top w:val="none" w:sz="0" w:space="0" w:color="auto"/>
              <w:bottom w:val="none" w:sz="0"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Liver, nervous system</w:t>
            </w:r>
          </w:p>
        </w:tc>
        <w:tc>
          <w:tcPr>
            <w:tcW w:w="2012" w:type="pct"/>
            <w:tcBorders>
              <w:top w:val="none" w:sz="0" w:space="0" w:color="auto"/>
              <w:bottom w:val="none" w:sz="0" w:space="0" w:color="auto"/>
            </w:tcBorders>
          </w:tcPr>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HDAC inhibition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{"citationItems":[{"id":"ITEM-1","itemData":{"DOI":"10.1155/2010/479364","ISBN":"1110-7251 (Electronic) 1110-7243 (Linking)","ISSN":"1110-7251","PMID":"20798865","abstract":"Valproic acid (VPA), a branched short-chain fatty acid, is widely used as an antiepileptic drug and a mood stabilizer. Antiepileptic properties have been attributed to inhibition of Gamma Amino Butyrate (GABA) transaminobutyrate and of ion channels. VPA was recently classified among the Histone Deacetylase Inhibitors, acting directly at the level of gene transcription by inhibiting histone deacetylation and making transcription sites more accessible. VPA is a widely used drug, particularly for children suffering from epilepsy. Due to the increasing number of clinical trials involving VPA, and interesting results obtained, this molecule will be implicated in an increasing number of therapies. However side effects of VPA are substantially described in the literature whereas they are poorly discussed in articles focusing on its therapeutic use. This paper aims to give an overview of the different clinical-trials involving VPA and its side effects encountered during treatment as well as its molecular properties.","author":[{"dropping-particle":"","family":"Chateauvieux","given":"Sébastien","non-dropping-particle":"","parse-names":false,"suffix":""},{"dropping-particle":"","family":"Morceau","given":"Franck","non-dropping-particle":"","parse-names":false,"suffix":""},{"dropping-particle":"","family":"Dicato","given":"Mario","non-dropping-particle":"","parse-names":false,"suffix":""},{"dropping-particle":"","family":"Diederich","given":"Marc","non-dropping-particle":"","parse-names":false,"suffix":""}],"container-title":"Journal of biomedicine &amp; biotechnology","id":"ITEM-1","issued":{"date-parts":[["2010"]]},"page":"1-18","title":"Molecular and therapeutic potential and toxicity of valproic acid.","type":"article-journal","volume":"2010"},"uris":["http://www.mendeley.com/documents/?uuid=c0516fc2-b1f6-4c92-b7e4-bdf4a04eae4e"]},{"id":"ITEM-2","itemData":{"DOI":"10.1097/FPC.0b013e32835ea0b2.Valproic","ISBN":"1744-6872","ISSN":"1744-6880","PMID":"23407051","author":[{"dropping-particle":"","family":"Godhe-Puranik","given":"Yogita","non-dropping-particle":"","parse-names":false,"suffix":""},{"dropping-particle":"","family":"Thorn","given":"Caroline F.","non-dropping-particle":"","parse-names":false,"suffix":""},{"dropping-particle":"","family":"Lambra","given":"Jatinder K.","non-dropping-particle":"","parse-names":false,"suffix":""},{"dropping-particle":"","family":"Leeder","given":"J. Steven","non-dropping-particle":"","parse-names":false,"suffix":""}],"container-title":"Pharmacogenetics and Genomics","id":"ITEM-2","issue":"4","issued":{"date-parts":[["2013"]]},"page":"236-241","title":"Valproic acid pathway: pharmacokinetics and pharmacodynamics","type":"article-journal","volume":"23"},"uris":["http://www.mendeley.com/documents/?uuid=cd9d8b33-a686-4bfc-8e4b-fc22a49e5722"]}],"mendeley":{"formattedCitation":"[78, 79]","plainTextFormattedCitation":"[78, 79]","previouslyFormattedCitation":"[78, 79]"},"properties":{"noteIndex":0},"schema":"https://github.com/citation-style-language/schema/raw/master/csl-citation.json"}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[78, 79]</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Sodium channel protein inhibition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{"citationItems":[{"id":"ITEM-1","itemData":{"DOI":"10.1155/2010/479364","ISBN":"1110-7251 (Electronic) 1110-7243 (Linking)","ISSN":"1110-7251","PMID":"20798865","abstract":"Valproic acid (VPA), a branched short-chain fatty acid, is widely used as an antiepileptic drug and a mood stabilizer. Antiepileptic properties have been attributed to inhibition of Gamma Amino Butyrate (GABA) transaminobutyrate and of ion channels. VPA was recently classified among the Histone Deacetylase Inhibitors, acting directly at the level of gene transcription by inhibiting histone deacetylation and making transcription sites more accessible. VPA is a widely used drug, particularly for children suffering from epilepsy. Due to the increasing number of clinical trials involving VPA, and interesting results obtained, this molecule will be implicated in an increasing number of therapies. However side effects of VPA are substantially described in the literature whereas they are poorly discussed in articles focusing on its therapeutic use. This paper aims to give an overview of the different clinical-trials involving VPA and its side effects encountered during treatment as well as its molecular properties.","author":[{"dropping-particle":"","family":"Chateauvieux","given":"Sébastien","non-dropping-particle":"","parse-names":false,"suffix":""},{"dropping-particle":"","family":"Morceau","given":"Franck","non-dropping-particle":"","parse-names":false,"suffix":""},{"dropping-particle":"","family":"Dicato","given":"Mario","non-dropping-particle":"","parse-names":false,"suffix":""},{"dropping-particle":"","family":"Diederich","given":"Marc","non-dropping-particle":"","parse-names":false,"suffix":""}],"container-title":"Journal of biomedicine &amp; biotechnology","id":"ITEM-1","issued":{"date-parts":[["2010"]]},"page":"1-18","title":"Molecular and therapeutic potential and toxicity of valproic acid.","type":"article-journal","volume":"2010"},"uris":["http://www.mendeley.com/documents/?uuid=c0516fc2-b1f6-4c92-b7e4-bdf4a04eae4e"]},{"id":"ITEM-2","itemData":{"DOI":"10.1097/FPC.0b013e32835ea0b2.Valproic","ISBN":"1744-6872","ISSN":"1744-6880","PMID":"23407051","author":[{"dropping-particle":"","family":"Godhe-Puranik","given":"Yogita","non-dropping-particle":"","parse-names":false,"suffix":""},{"dropping-particle":"","family":"Thorn","given":"Caroline F.","non-dropping-particle":"","parse-names":false,"suffix":""},{"dropping-particle":"","family":"Lambra","given":"Jatinder K.","non-dropping-particle":"","parse-names":false,"suffix":""},{"dropping-particle":"","family":"Leeder","given":"J. Steven","non-dropping-particle":"","parse-names":false,"suffix":""}],"container-title":"Pharmacogenetics and Genomics","id":"ITEM-2","issue":"4","issued":{"date-parts":[["2013"]]},"page":"236-241","title":"Valproic acid pathway: pharmacokinetics and pharmacodynamics","type":"article-journal","volume":"23"},"uris":["http://www.mendeley.com/documents/?uuid=cd9d8b33-a686-4bfc-8e4b-fc22a49e5722"]}],"mendeley":{"formattedCitation":"[78, 79]","plainTextFormattedCitation":"[78, 79]","previouslyFormattedCitation":"[78, 79]"},"properties":{"noteIndex":0},"schema":"https://github.com/citation-style-language/schema/raw/master/csl-citation.json"}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[78, 79]</w:t>
            </w:r>
            <w:r w:rsidRPr="00C215EB">
              <w:rPr>
                <w:rFonts w:ascii="Times New Roman" w:hAnsi="Times New Roman" w:cs="Times New Roman"/>
                <w:bCs/>
                <w:sz w:val="24"/>
                <w:szCs w:val="24"/>
                <w:lang w:val="en-US"/>
              </w:rPr>
              <w:fldChar w:fldCharType="end"/>
            </w:r>
          </w:p>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GABA transaminase inhibition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{"citationItems":[{"id":"ITEM-1","itemData":{"DOI":"10.1155/2010/479364","ISBN":"1110-7251 (Electronic) 1110-7243 (Linking)","ISSN":"1110-7251","PMID":"20798865","abstract":"Valproic acid (VPA), a branched short-chain fatty acid, is widely used as an antiepileptic drug and a mood stabilizer. Antiepileptic properties have been attributed to inhibition of Gamma Amino Butyrate (GABA) transaminobutyrate and of ion channels. VPA was recently classified among the Histone Deacetylase Inhibitors, acting directly at the level of gene transcription by inhibiting histone deacetylation and making transcription sites more accessible. VPA is a widely used drug, particularly for children suffering from epilepsy. Due to the increasing number of clinical trials involving VPA, and interesting results obtained, this molecule will be implicated in an increasing number of therapies. However side effects of VPA are substantially described in the literature whereas they are poorly discussed in articles focusing on its therapeutic use. This paper aims to give an overview of the different clinical-trials involving VPA and its side effects encountered during treatment as well as its molecular properties.","author":[{"dropping-particle":"","family":"Chateauvieux","given":"Sébastien","non-dropping-particle":"","parse-names":false,"suffix":""},{"dropping-particle":"","family":"Morceau","given":"Franck","non-dropping-particle":"","parse-names":false,"suffix":""},{"dropping-particle":"","family":"Dicato","given":"Mario","non-dropping-particle":"","parse-names":false,"suffix":""},{"dropping-particle":"","family":"Diederich","given":"Marc","non-dropping-particle":"","parse-names":false,"suffix":""}],"container-title":"Journal of biomedicine &amp; biotechnology","id":"ITEM-1","issued":{"date-parts":[["2010"]]},"page":"1-18","title":"Molecular and therapeutic potential and toxicity of valproic acid.","type":"article-journal","volume":"2010"},"uris":["http://www.mendeley.com/documents/?uuid=c0516fc2-b1f6-4c92-b7e4-bdf4a04eae4e"]},{"id":"ITEM-2","itemData":{"DOI":"10.1097/FPC.0b013e32835ea0b2.Valproic","ISBN":"1744-6872","ISSN":"1744-6880","PMID":"23407051","author":[{"dropping-particle":"","family":"Godhe-Puranik","given":"Yogita","non-dropping-particle":"","parse-names":false,"suffix":""},{"dropping-particle":"","family":"Thorn","given":"Caroline F.","non-dropping-particle":"","parse-names":false,"suffix":""},{"dropping-particle":"","family":"Lambra","given":"Jatinder K.","non-dropping-particle":"","parse-names":false,"suffix":""},{"dropping-particle":"","family":"Leeder","given":"J. Steven","non-dropping-particle":"","parse-names":false,"suffix":""}],"container-title":"Pharmacogenetics and Genomics","id":"ITEM-2","issue":"4","issued":{"date-parts":[["2013"]]},"page":"236-241","title":"Valproic acid pathway: pharmacokinetics and pharmacodynamics","type":"article-journal","volume":"23"},"uris":["http://www.mendeley.com/documents/?uuid=cd9d8b33-a686-4bfc-8e4b-fc22a49e5722"]}],"mendeley":{"formattedCitation":"[78, 79]","plainTextFormattedCitation":"[78, 79]","previouslyFormattedCitation":"[78, 79]"},"properties":{"noteIndex":0},"schema":"https://github.com/citation-style-language/schema/raw/master/csl-citation.json"}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[78, 79]</w:t>
            </w:r>
            <w:r w:rsidRPr="00C215EB">
              <w:rPr>
                <w:rFonts w:ascii="Times New Roman" w:hAnsi="Times New Roman" w:cs="Times New Roman"/>
                <w:bCs/>
                <w:sz w:val="24"/>
                <w:szCs w:val="24"/>
                <w:lang w:val="en-US"/>
              </w:rPr>
              <w:fldChar w:fldCharType="end"/>
            </w:r>
          </w:p>
        </w:tc>
      </w:tr>
      <w:tr w:rsidR="008E041A" w:rsidRPr="00C215EB" w:rsidTr="00A04BA8">
        <w:trPr>
          <w:cantSplit/>
          <w:trHeight w:val="434"/>
          <w:jc w:val="center"/>
        </w:trPr>
        <w:tc>
          <w:tcPr>
            <w:tcW w:w="1013" w:type="pct"/>
            <w:tcBorders>
              <w:bottom w:val="single" w:sz="4"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Zinc pyrithione</w:t>
            </w:r>
          </w:p>
        </w:tc>
        <w:tc>
          <w:tcPr>
            <w:tcW w:w="609" w:type="pct"/>
            <w:tcBorders>
              <w:bottom w:val="single" w:sz="4"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Pyrithione</w:t>
            </w:r>
          </w:p>
        </w:tc>
        <w:tc>
          <w:tcPr>
            <w:tcW w:w="683" w:type="pct"/>
            <w:tcBorders>
              <w:bottom w:val="single" w:sz="4"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Fungicide</w:t>
            </w:r>
          </w:p>
        </w:tc>
        <w:tc>
          <w:tcPr>
            <w:tcW w:w="683" w:type="pct"/>
            <w:tcBorders>
              <w:bottom w:val="single" w:sz="4" w:space="0" w:color="auto"/>
            </w:tcBorders>
          </w:tcPr>
          <w:p w:rsidR="008E041A" w:rsidRPr="00C215EB" w:rsidRDefault="008E041A" w:rsidP="00A04BA8">
            <w:pPr>
              <w:spacing w:before="40" w:after="40"/>
              <w:rPr>
                <w:rFonts w:ascii="Times New Roman" w:hAnsi="Times New Roman" w:cs="Times New Roman"/>
                <w:bCs/>
                <w:sz w:val="24"/>
                <w:szCs w:val="24"/>
                <w:lang w:val="en-US"/>
              </w:rPr>
            </w:pPr>
            <w:r w:rsidRPr="00C215EB">
              <w:rPr>
                <w:rFonts w:ascii="Times New Roman" w:hAnsi="Times New Roman" w:cs="Times New Roman"/>
                <w:bCs/>
                <w:sz w:val="24"/>
                <w:szCs w:val="24"/>
                <w:lang w:val="en-US"/>
              </w:rPr>
              <w:t>Bacterial</w:t>
            </w:r>
          </w:p>
        </w:tc>
        <w:tc>
          <w:tcPr>
            <w:tcW w:w="2012" w:type="pct"/>
            <w:tcBorders>
              <w:bottom w:val="single" w:sz="4" w:space="0" w:color="auto"/>
            </w:tcBorders>
          </w:tcPr>
          <w:p w:rsidR="008E041A" w:rsidRPr="00C215EB" w:rsidRDefault="008E041A" w:rsidP="008E041A">
            <w:pPr>
              <w:numPr>
                <w:ilvl w:val="0"/>
                <w:numId w:val="1"/>
              </w:numPr>
              <w:spacing w:before="40" w:after="40" w:line="240" w:lineRule="auto"/>
              <w:ind w:left="218" w:hanging="218"/>
              <w:rPr>
                <w:rFonts w:ascii="Times New Roman" w:hAnsi="Times New Roman" w:cs="Times New Roman"/>
                <w:bCs/>
                <w:sz w:val="24"/>
                <w:szCs w:val="24"/>
                <w:lang w:val="en-US"/>
              </w:rPr>
            </w:pPr>
            <w:r w:rsidRPr="00C215EB">
              <w:rPr>
                <w:rFonts w:ascii="Times New Roman" w:hAnsi="Times New Roman" w:cs="Times New Roman"/>
                <w:bCs/>
                <w:sz w:val="24"/>
                <w:szCs w:val="24"/>
                <w:lang w:val="en-US"/>
              </w:rPr>
              <w:t xml:space="preserve">Membrane pump disruption </w:t>
            </w:r>
            <w:r w:rsidRPr="00C215EB">
              <w:rPr>
                <w:rFonts w:ascii="Times New Roman" w:hAnsi="Times New Roman" w:cs="Times New Roman"/>
                <w:bCs/>
                <w:sz w:val="24"/>
                <w:szCs w:val="24"/>
                <w:lang w:val="en-US"/>
              </w:rPr>
              <w:fldChar w:fldCharType="begin" w:fldLock="1"/>
            </w:r>
            <w:r w:rsidR="00A04BA8" w:rsidRPr="00C215EB">
              <w:rPr>
                <w:rFonts w:ascii="Times New Roman" w:hAnsi="Times New Roman" w:cs="Times New Roman"/>
                <w:bCs/>
                <w:sz w:val="24"/>
                <w:szCs w:val="24"/>
                <w:lang w:val="en-US"/>
              </w:rPr>
              <w:instrText>ADDIN CSL_CITATION {"citationItems":[{"id":"ITEM-1","itemData":{"DOI":"10.1128/AAC.14.1.60","ISSN":"0066-4804","abstract":"Pyrithione is a general inhibitor of membrane transport processes in fungi. A brief preincubation of Penicillium mycelia with pyrithione resulted in a marked decrease in the activities of a variety of independently regulated transport systems, including those for inorganic sulfate, inorganic phosphate, methylamine (actually, the NH4' permease), choline-O-sulfate, glucose, L-methionine (a specific system), and several hydrophobic L-a-amino acids (the general amino acid per- mease). The degree of inhibition at any fixed pyrithione concentration and exposure time increased as the pH of the incubation medium was decreased. This result strongly suggests that the active species is the un-ionized molecule and that pyrithione acts by collapsing a transmembrane ApH driving force. The degree of transport inhibition caused by a given concentration of pyrithione increased with increasing time of exposure to the inhibitor. However, exposure time and pyrithione concentration were not reciprocally related. At \"low\" pyri- thione concentrations, transport inhibition plateaued at some finite value. This observation suggests that the fungi can detoxify low levels of the inhibitor. The concentration of pyrithione required for a given degree of growth inhibition increased as the experimental mycelial density increased. This phenomenon was consistent with the suggestion that the fungi are capable of inactivating pyri- thione.","author":[{"dropping-particle":"","family":"Chandler","given":"Carol J","non-dropping-particle":"","parse-names":false,"suffix":""},{"dropping-particle":"","family":"Segel","given":"Irwin H","non-dropping-particle":"","parse-names":false,"suffix":""}],"container-title":"Antimicrobial Agents and Chemotherapy","id":"ITEM-1","issue":"1","issued":{"date-parts":[["1978","7","1"]]},"page":"60-68","title":"Mechanism of the Antimicrobial Action of Pyrithione: Effects on Membrane Transport, ATP Levels, and Protein Synthesis","type":"article-journal","volume":"14"},"uris":["http://www.mendeley.com/documents/?uuid=c288c16a-eca2-4c22-9651-4f417fd9f5c7"]}],"mendeley":{"formattedCitation":"[80]","plainTextFormattedCitation":"[80]","previouslyFormattedCitation":"[80]"},"properties":{"noteIndex":0},"schema":"https://github.com/citation-style-language/schema/raw/master/csl-citation.json"}</w:instrText>
            </w:r>
            <w:r w:rsidRPr="00C215EB">
              <w:rPr>
                <w:rFonts w:ascii="Times New Roman" w:hAnsi="Times New Roman" w:cs="Times New Roman"/>
                <w:bCs/>
                <w:sz w:val="24"/>
                <w:szCs w:val="24"/>
                <w:lang w:val="en-US"/>
              </w:rPr>
              <w:fldChar w:fldCharType="separate"/>
            </w:r>
            <w:r w:rsidRPr="00C215EB">
              <w:rPr>
                <w:rFonts w:ascii="Times New Roman" w:hAnsi="Times New Roman" w:cs="Times New Roman"/>
                <w:bCs/>
                <w:noProof/>
                <w:sz w:val="24"/>
                <w:szCs w:val="24"/>
                <w:lang w:val="en-US"/>
              </w:rPr>
              <w:t>[80]</w:t>
            </w:r>
            <w:r w:rsidRPr="00C215EB">
              <w:rPr>
                <w:rFonts w:ascii="Times New Roman" w:hAnsi="Times New Roman" w:cs="Times New Roman"/>
                <w:bCs/>
                <w:sz w:val="24"/>
                <w:szCs w:val="24"/>
                <w:lang w:val="en-US"/>
              </w:rPr>
              <w:fldChar w:fldCharType="end"/>
            </w:r>
          </w:p>
        </w:tc>
      </w:tr>
    </w:tbl>
    <w:p w:rsidR="008E041A" w:rsidRPr="00C215EB" w:rsidRDefault="008E041A" w:rsidP="008E041A">
      <w:pPr>
        <w:pStyle w:val="Caption"/>
        <w:spacing w:after="120" w:line="480" w:lineRule="auto"/>
        <w:rPr>
          <w:rFonts w:ascii="Times New Roman" w:hAnsi="Times New Roman" w:cs="Times New Roman"/>
          <w:i w:val="0"/>
          <w:color w:val="auto"/>
          <w:sz w:val="24"/>
          <w:szCs w:val="24"/>
          <w:lang w:val="en-US"/>
        </w:rPr>
      </w:pPr>
    </w:p>
    <w:p w:rsidR="008E041A" w:rsidRPr="00C215EB" w:rsidRDefault="008E041A" w:rsidP="008E041A">
      <w:pPr>
        <w:rPr>
          <w:rFonts w:ascii="Times New Roman" w:hAnsi="Times New Roman" w:cs="Times New Roman"/>
          <w:lang w:val="en-US"/>
        </w:rPr>
      </w:pPr>
    </w:p>
    <w:p w:rsidR="00C215EB" w:rsidRDefault="00C215EB">
      <w:pPr>
        <w:spacing w:after="0" w:line="240" w:lineRule="auto"/>
        <w:rPr>
          <w:rFonts w:ascii="Times New Roman" w:hAnsi="Times New Roman" w:cs="Times New Roman"/>
          <w:iCs/>
          <w:sz w:val="24"/>
          <w:szCs w:val="24"/>
          <w:lang w:val="en-US"/>
        </w:rPr>
      </w:pPr>
      <w:r>
        <w:rPr>
          <w:rFonts w:ascii="Times New Roman" w:hAnsi="Times New Roman" w:cs="Times New Roman"/>
          <w:i/>
          <w:sz w:val="24"/>
          <w:szCs w:val="24"/>
          <w:lang w:val="en-US"/>
        </w:rPr>
        <w:br w:type="page"/>
      </w:r>
    </w:p>
    <w:p w:rsidR="008E041A" w:rsidRPr="00C215EB" w:rsidRDefault="008E041A" w:rsidP="008E041A">
      <w:pPr>
        <w:pStyle w:val="Caption"/>
        <w:spacing w:after="120" w:line="480" w:lineRule="auto"/>
        <w:jc w:val="both"/>
        <w:rPr>
          <w:rFonts w:ascii="Times New Roman" w:hAnsi="Times New Roman" w:cs="Times New Roman"/>
          <w:i w:val="0"/>
          <w:color w:val="auto"/>
          <w:sz w:val="24"/>
          <w:szCs w:val="24"/>
          <w:lang w:val="en-US"/>
        </w:rPr>
      </w:pPr>
      <w:r w:rsidRPr="00C215EB">
        <w:rPr>
          <w:rFonts w:ascii="Times New Roman" w:hAnsi="Times New Roman" w:cs="Times New Roman"/>
          <w:i w:val="0"/>
          <w:color w:val="auto"/>
          <w:sz w:val="24"/>
          <w:szCs w:val="24"/>
          <w:lang w:val="en-US"/>
        </w:rPr>
        <w:lastRenderedPageBreak/>
        <w:t>Table S2. Information about compound stability and solubility obtained from various sources (alphabetical order)</w:t>
      </w:r>
    </w:p>
    <w:tbl>
      <w:tblPr>
        <w:tblStyle w:val="TableGrid"/>
        <w:tblW w:w="14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6"/>
        <w:gridCol w:w="1408"/>
        <w:gridCol w:w="1418"/>
        <w:gridCol w:w="992"/>
        <w:gridCol w:w="5954"/>
        <w:gridCol w:w="2835"/>
      </w:tblGrid>
      <w:tr w:rsidR="008E041A" w:rsidRPr="00C215EB" w:rsidTr="00C215EB">
        <w:trPr>
          <w:cantSplit/>
          <w:trHeight w:val="513"/>
          <w:tblHeader/>
        </w:trPr>
        <w:tc>
          <w:tcPr>
            <w:tcW w:w="2136" w:type="dxa"/>
            <w:tcBorders>
              <w:top w:val="single" w:sz="4" w:space="0" w:color="auto"/>
              <w:bottom w:val="single" w:sz="4" w:space="0" w:color="auto"/>
            </w:tcBorders>
            <w:vAlign w:val="center"/>
          </w:tcPr>
          <w:p w:rsidR="008E041A" w:rsidRPr="00C215EB" w:rsidRDefault="008E041A" w:rsidP="00A04BA8">
            <w:pPr>
              <w:rPr>
                <w:rFonts w:ascii="Times New Roman" w:hAnsi="Times New Roman" w:cs="Times New Roman"/>
                <w:b/>
                <w:bCs/>
                <w:szCs w:val="24"/>
                <w:lang w:val="en-US"/>
              </w:rPr>
            </w:pPr>
            <w:r w:rsidRPr="00C215EB">
              <w:rPr>
                <w:rFonts w:ascii="Times New Roman" w:hAnsi="Times New Roman" w:cs="Times New Roman"/>
                <w:b/>
                <w:bCs/>
                <w:szCs w:val="24"/>
                <w:lang w:val="en-US"/>
              </w:rPr>
              <w:t>Compound</w:t>
            </w:r>
          </w:p>
        </w:tc>
        <w:tc>
          <w:tcPr>
            <w:tcW w:w="1408" w:type="dxa"/>
            <w:tcBorders>
              <w:top w:val="single" w:sz="4" w:space="0" w:color="auto"/>
              <w:bottom w:val="single" w:sz="4" w:space="0" w:color="auto"/>
            </w:tcBorders>
            <w:vAlign w:val="center"/>
          </w:tcPr>
          <w:p w:rsidR="008E041A" w:rsidRPr="00C215EB" w:rsidRDefault="008E041A" w:rsidP="00C215EB">
            <w:pPr>
              <w:jc w:val="center"/>
              <w:rPr>
                <w:rFonts w:ascii="Times New Roman" w:hAnsi="Times New Roman" w:cs="Times New Roman"/>
                <w:b/>
                <w:bCs/>
                <w:szCs w:val="24"/>
                <w:lang w:val="en-US"/>
              </w:rPr>
            </w:pPr>
            <w:r w:rsidRPr="00C215EB">
              <w:rPr>
                <w:rFonts w:ascii="Times New Roman" w:hAnsi="Times New Roman" w:cs="Times New Roman"/>
                <w:b/>
                <w:bCs/>
                <w:szCs w:val="24"/>
                <w:lang w:val="en-US"/>
              </w:rPr>
              <w:t>Mol. weight (mg/L)</w:t>
            </w:r>
          </w:p>
        </w:tc>
        <w:tc>
          <w:tcPr>
            <w:tcW w:w="1418" w:type="dxa"/>
            <w:tcBorders>
              <w:top w:val="single" w:sz="4" w:space="0" w:color="auto"/>
              <w:bottom w:val="single" w:sz="4" w:space="0" w:color="auto"/>
            </w:tcBorders>
            <w:vAlign w:val="center"/>
          </w:tcPr>
          <w:p w:rsidR="008E041A" w:rsidRPr="00C215EB" w:rsidRDefault="008E041A" w:rsidP="00C215EB">
            <w:pPr>
              <w:jc w:val="center"/>
              <w:rPr>
                <w:rFonts w:ascii="Times New Roman" w:hAnsi="Times New Roman" w:cs="Times New Roman"/>
                <w:szCs w:val="24"/>
                <w:lang w:val="en-US"/>
              </w:rPr>
            </w:pPr>
            <w:r w:rsidRPr="00C215EB">
              <w:rPr>
                <w:rFonts w:ascii="Times New Roman" w:hAnsi="Times New Roman" w:cs="Times New Roman"/>
                <w:b/>
                <w:bCs/>
                <w:szCs w:val="24"/>
                <w:lang w:val="en-US"/>
              </w:rPr>
              <w:t xml:space="preserve">Solubility in water </w:t>
            </w:r>
            <w:r w:rsidRPr="00C215EB">
              <w:rPr>
                <w:rFonts w:ascii="Times New Roman" w:hAnsi="Times New Roman" w:cs="Times New Roman"/>
                <w:b/>
                <w:bCs/>
                <w:szCs w:val="24"/>
                <w:vertAlign w:val="superscript"/>
                <w:lang w:val="en-US"/>
              </w:rPr>
              <w:t>#</w:t>
            </w:r>
          </w:p>
        </w:tc>
        <w:tc>
          <w:tcPr>
            <w:tcW w:w="992" w:type="dxa"/>
            <w:tcBorders>
              <w:top w:val="single" w:sz="4" w:space="0" w:color="auto"/>
              <w:bottom w:val="single" w:sz="4" w:space="0" w:color="auto"/>
            </w:tcBorders>
            <w:vAlign w:val="center"/>
          </w:tcPr>
          <w:p w:rsidR="008E041A" w:rsidRPr="00C215EB" w:rsidRDefault="008E041A" w:rsidP="00A04BA8">
            <w:pPr>
              <w:rPr>
                <w:rFonts w:ascii="Times New Roman" w:hAnsi="Times New Roman" w:cs="Times New Roman"/>
                <w:szCs w:val="24"/>
                <w:lang w:val="en-US"/>
              </w:rPr>
            </w:pPr>
            <w:r w:rsidRPr="00C215EB">
              <w:rPr>
                <w:rFonts w:ascii="Times New Roman" w:hAnsi="Times New Roman" w:cs="Times New Roman"/>
                <w:b/>
                <w:bCs/>
                <w:szCs w:val="24"/>
                <w:lang w:val="en-US"/>
              </w:rPr>
              <w:t>Log K</w:t>
            </w:r>
            <w:r w:rsidRPr="00C215EB">
              <w:rPr>
                <w:rFonts w:ascii="Times New Roman" w:hAnsi="Times New Roman" w:cs="Times New Roman"/>
                <w:b/>
                <w:bCs/>
                <w:szCs w:val="24"/>
                <w:vertAlign w:val="subscript"/>
                <w:lang w:val="en-US"/>
              </w:rPr>
              <w:t xml:space="preserve">OW </w:t>
            </w:r>
            <w:r w:rsidRPr="00C215EB">
              <w:rPr>
                <w:rFonts w:ascii="Times New Roman" w:hAnsi="Times New Roman" w:cs="Times New Roman"/>
                <w:b/>
                <w:bCs/>
                <w:szCs w:val="24"/>
                <w:vertAlign w:val="superscript"/>
                <w:lang w:val="en-US"/>
              </w:rPr>
              <w:t>#</w:t>
            </w:r>
          </w:p>
        </w:tc>
        <w:tc>
          <w:tcPr>
            <w:tcW w:w="5954" w:type="dxa"/>
            <w:tcBorders>
              <w:top w:val="single" w:sz="4" w:space="0" w:color="auto"/>
              <w:bottom w:val="single" w:sz="4" w:space="0" w:color="auto"/>
            </w:tcBorders>
            <w:vAlign w:val="center"/>
          </w:tcPr>
          <w:p w:rsidR="008E041A" w:rsidRPr="00C215EB" w:rsidRDefault="008E041A" w:rsidP="00A04BA8">
            <w:pPr>
              <w:rPr>
                <w:rFonts w:ascii="Times New Roman" w:hAnsi="Times New Roman" w:cs="Times New Roman"/>
                <w:szCs w:val="24"/>
                <w:lang w:val="en-US"/>
              </w:rPr>
            </w:pPr>
            <w:r w:rsidRPr="00C215EB">
              <w:rPr>
                <w:rFonts w:ascii="Times New Roman" w:hAnsi="Times New Roman" w:cs="Times New Roman"/>
                <w:b/>
                <w:bCs/>
                <w:szCs w:val="24"/>
                <w:lang w:val="en-US"/>
              </w:rPr>
              <w:t>Stability and biodegradability</w:t>
            </w:r>
          </w:p>
        </w:tc>
        <w:tc>
          <w:tcPr>
            <w:tcW w:w="2835" w:type="dxa"/>
            <w:tcBorders>
              <w:top w:val="single" w:sz="4" w:space="0" w:color="auto"/>
              <w:bottom w:val="single" w:sz="4" w:space="0" w:color="auto"/>
            </w:tcBorders>
            <w:vAlign w:val="center"/>
          </w:tcPr>
          <w:p w:rsidR="008E041A" w:rsidRPr="00C215EB" w:rsidRDefault="008E041A" w:rsidP="00A04BA8">
            <w:pPr>
              <w:ind w:right="493"/>
              <w:rPr>
                <w:rFonts w:ascii="Times New Roman" w:hAnsi="Times New Roman" w:cs="Times New Roman"/>
                <w:szCs w:val="24"/>
                <w:lang w:val="en-US"/>
              </w:rPr>
            </w:pPr>
            <w:r w:rsidRPr="00C215EB">
              <w:rPr>
                <w:rFonts w:ascii="Times New Roman" w:hAnsi="Times New Roman" w:cs="Times New Roman"/>
                <w:b/>
                <w:bCs/>
                <w:szCs w:val="24"/>
                <w:lang w:val="en-US"/>
              </w:rPr>
              <w:t xml:space="preserve">Behavior in Water </w:t>
            </w:r>
            <w:r w:rsidRPr="00C215EB">
              <w:rPr>
                <w:rFonts w:ascii="Times New Roman" w:hAnsi="Times New Roman" w:cs="Times New Roman"/>
                <w:b/>
                <w:bCs/>
                <w:szCs w:val="24"/>
                <w:vertAlign w:val="superscript"/>
                <w:lang w:val="en-US"/>
              </w:rPr>
              <w:t>#</w:t>
            </w:r>
          </w:p>
        </w:tc>
      </w:tr>
      <w:tr w:rsidR="008E041A" w:rsidRPr="00C215EB" w:rsidTr="00C215EB">
        <w:trPr>
          <w:cantSplit/>
        </w:trPr>
        <w:tc>
          <w:tcPr>
            <w:tcW w:w="2136" w:type="dxa"/>
            <w:tcBorders>
              <w:top w:val="single" w:sz="4" w:space="0" w:color="auto"/>
            </w:tcBorders>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Acrylamide</w:t>
            </w:r>
          </w:p>
        </w:tc>
        <w:tc>
          <w:tcPr>
            <w:tcW w:w="1408" w:type="dxa"/>
            <w:tcBorders>
              <w:top w:val="single" w:sz="4" w:space="0" w:color="auto"/>
            </w:tcBorders>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71.08</w:t>
            </w:r>
          </w:p>
        </w:tc>
        <w:tc>
          <w:tcPr>
            <w:tcW w:w="1418" w:type="dxa"/>
            <w:tcBorders>
              <w:top w:val="single" w:sz="4" w:space="0" w:color="auto"/>
            </w:tcBorders>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390</w:t>
            </w:r>
            <w:r w:rsidR="00C215EB">
              <w:rPr>
                <w:rFonts w:ascii="Times New Roman" w:hAnsi="Times New Roman" w:cs="Times New Roman"/>
                <w:szCs w:val="24"/>
                <w:lang w:val="en-US"/>
              </w:rPr>
              <w:t xml:space="preserve"> </w:t>
            </w:r>
            <w:r w:rsidRPr="00C215EB">
              <w:rPr>
                <w:rFonts w:ascii="Times New Roman" w:hAnsi="Times New Roman" w:cs="Times New Roman"/>
                <w:szCs w:val="24"/>
                <w:lang w:val="en-US"/>
              </w:rPr>
              <w:t>mg/mL, 25 °C</w:t>
            </w:r>
          </w:p>
        </w:tc>
        <w:tc>
          <w:tcPr>
            <w:tcW w:w="992" w:type="dxa"/>
            <w:tcBorders>
              <w:top w:val="single" w:sz="4" w:space="0" w:color="auto"/>
            </w:tcBorders>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- 0.67</w:t>
            </w:r>
          </w:p>
        </w:tc>
        <w:tc>
          <w:tcPr>
            <w:tcW w:w="5954" w:type="dxa"/>
            <w:tcBorders>
              <w:top w:val="single" w:sz="4" w:space="0" w:color="auto"/>
            </w:tcBorders>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 xml:space="preserve">Hydrolysis: not likely, very slow. Biodegradation in water likely. River die-away test: 90% reduction within 150 h </w:t>
            </w:r>
            <w:r w:rsidRPr="00C215EB">
              <w:rPr>
                <w:rFonts w:ascii="Times New Roman" w:hAnsi="Times New Roman" w:cs="Times New Roman"/>
                <w:szCs w:val="24"/>
                <w:vertAlign w:val="superscript"/>
                <w:lang w:val="en-US"/>
              </w:rPr>
              <w:t>#</w:t>
            </w:r>
          </w:p>
        </w:tc>
        <w:tc>
          <w:tcPr>
            <w:tcW w:w="2835" w:type="dxa"/>
            <w:tcBorders>
              <w:top w:val="single" w:sz="4" w:space="0" w:color="auto"/>
            </w:tcBorders>
          </w:tcPr>
          <w:p w:rsidR="008E041A" w:rsidRPr="00C215EB" w:rsidRDefault="008E041A" w:rsidP="00A04BA8">
            <w:pPr>
              <w:spacing w:beforeLines="40" w:before="96" w:afterLines="40" w:after="96"/>
              <w:ind w:right="493"/>
              <w:rPr>
                <w:rFonts w:ascii="Times New Roman" w:hAnsi="Times New Roman" w:cs="Times New Roman"/>
                <w:szCs w:val="24"/>
                <w:lang w:val="en-US"/>
              </w:rPr>
            </w:pPr>
            <w:r w:rsidRPr="00C215EB">
              <w:rPr>
                <w:rFonts w:ascii="Times New Roman" w:hAnsi="Times New Roman" w:cs="Times New Roman"/>
                <w:szCs w:val="24"/>
                <w:lang w:val="en-US"/>
              </w:rPr>
              <w:t>n/a</w:t>
            </w:r>
          </w:p>
        </w:tc>
      </w:tr>
      <w:tr w:rsidR="008E041A" w:rsidRPr="00C215EB" w:rsidTr="00C215EB">
        <w:trPr>
          <w:cantSplit/>
        </w:trPr>
        <w:tc>
          <w:tcPr>
            <w:tcW w:w="2136"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Carbamazepine</w:t>
            </w:r>
          </w:p>
        </w:tc>
        <w:tc>
          <w:tcPr>
            <w:tcW w:w="140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326.27</w:t>
            </w:r>
          </w:p>
        </w:tc>
        <w:tc>
          <w:tcPr>
            <w:tcW w:w="141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17.7 mg/L, 25 °C</w:t>
            </w:r>
          </w:p>
        </w:tc>
        <w:tc>
          <w:tcPr>
            <w:tcW w:w="992"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2.45</w:t>
            </w:r>
          </w:p>
        </w:tc>
        <w:tc>
          <w:tcPr>
            <w:tcW w:w="5954"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 xml:space="preserve">Volatilization from surface water not expected. Half-life in lake water: 63 d. Bioconcentration in aquatic organisms is low. Susceptible to photolysis. Hydrolysis not expected </w:t>
            </w:r>
            <w:r w:rsidRPr="00C215EB">
              <w:rPr>
                <w:rFonts w:ascii="Times New Roman" w:hAnsi="Times New Roman" w:cs="Times New Roman"/>
                <w:szCs w:val="24"/>
                <w:vertAlign w:val="superscript"/>
                <w:lang w:val="en-US"/>
              </w:rPr>
              <w:t>#</w:t>
            </w:r>
          </w:p>
        </w:tc>
        <w:tc>
          <w:tcPr>
            <w:tcW w:w="2835" w:type="dxa"/>
          </w:tcPr>
          <w:p w:rsidR="008E041A" w:rsidRPr="00C215EB" w:rsidRDefault="008E041A" w:rsidP="00A04BA8">
            <w:pPr>
              <w:spacing w:beforeLines="40" w:before="96" w:afterLines="40" w:after="96"/>
              <w:ind w:right="493"/>
              <w:rPr>
                <w:rFonts w:ascii="Times New Roman" w:hAnsi="Times New Roman" w:cs="Times New Roman"/>
                <w:szCs w:val="24"/>
                <w:lang w:val="en-US"/>
              </w:rPr>
            </w:pPr>
            <w:r w:rsidRPr="00C215EB">
              <w:rPr>
                <w:rFonts w:ascii="Times New Roman" w:hAnsi="Times New Roman" w:cs="Times New Roman"/>
                <w:szCs w:val="24"/>
                <w:lang w:val="en-US"/>
              </w:rPr>
              <w:t>Expected to adsorb to suspended solids and sediments</w:t>
            </w:r>
          </w:p>
        </w:tc>
      </w:tr>
      <w:tr w:rsidR="008E041A" w:rsidRPr="00C215EB" w:rsidTr="00C215EB">
        <w:trPr>
          <w:cantSplit/>
        </w:trPr>
        <w:tc>
          <w:tcPr>
            <w:tcW w:w="2136"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Carbaryl</w:t>
            </w:r>
          </w:p>
        </w:tc>
        <w:tc>
          <w:tcPr>
            <w:tcW w:w="140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201.22</w:t>
            </w:r>
          </w:p>
        </w:tc>
        <w:tc>
          <w:tcPr>
            <w:tcW w:w="141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110 mg/L, 22 °C</w:t>
            </w:r>
          </w:p>
        </w:tc>
        <w:tc>
          <w:tcPr>
            <w:tcW w:w="992"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2.36</w:t>
            </w:r>
          </w:p>
        </w:tc>
        <w:tc>
          <w:tcPr>
            <w:tcW w:w="5954"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 xml:space="preserve">Biodegradation in sea water: 96h. Half-life in water: 1.7 d. Hydrolysis: half-life at 20°C and pH 7 1.8 d </w:t>
            </w:r>
            <w:r w:rsidRPr="00C215EB">
              <w:rPr>
                <w:rFonts w:ascii="Times New Roman" w:hAnsi="Times New Roman" w:cs="Times New Roman"/>
                <w:szCs w:val="24"/>
                <w:vertAlign w:val="superscript"/>
                <w:lang w:val="en-US"/>
              </w:rPr>
              <w:t>#</w:t>
            </w:r>
            <w:r w:rsidRPr="00C215EB">
              <w:rPr>
                <w:rFonts w:ascii="Times New Roman" w:hAnsi="Times New Roman" w:cs="Times New Roman"/>
                <w:szCs w:val="24"/>
                <w:lang w:val="en-US"/>
              </w:rPr>
              <w:t xml:space="preserve">. Hydrolyzed by various microorganisms. Not rapidly photodegraded </w:t>
            </w:r>
            <w:r w:rsidRPr="00C215EB">
              <w:rPr>
                <w:rFonts w:ascii="Times New Roman" w:hAnsi="Times New Roman" w:cs="Times New Roman"/>
                <w:szCs w:val="24"/>
                <w:lang w:val="en-US"/>
              </w:rPr>
              <w:fldChar w:fldCharType="begin" w:fldLock="1"/>
            </w:r>
            <w:r w:rsidR="00A04BA8" w:rsidRPr="00C215EB">
              <w:rPr>
                <w:rFonts w:ascii="Times New Roman" w:hAnsi="Times New Roman" w:cs="Times New Roman"/>
                <w:szCs w:val="24"/>
                <w:lang w:val="en-US"/>
              </w:rPr>
              <w:instrText>ADDIN CSL_CITATION {"citationItems":[{"id":"ITEM-1","itemData":{"ISBN":"9781847551375","author":[{"dropping-particle":"","family":"Roberts","given":"Terry","non-dropping-particle":"","parse-names":false,"suffix":""},{"dropping-particle":"","family":"Hutson","given":"David","non-dropping-particle":"","parse-names":false,"suffix":""}],"container-title":"Metabolic Pathways of Agrochemicals: Part 2: Insecticides and Fungicides","id":"ITEM-1","issued":{"date-parts":[["1999"]]},"page":"1011-1104","title":"Azoles and Analogues","type":"chapter"},"uris":["http://www.mendeley.com/documents/?uuid=7818f340-9368-4662-bb51-914b4fc43b87"]}],"mendeley":{"formattedCitation":"[81]","plainTextFormattedCitation":"[81]","previouslyFormattedCitation":"[81]"},"properties":{"noteIndex":0},"schema":"https://github.com/citation-style-language/schema/raw/master/csl-citation.json"}</w:instrText>
            </w:r>
            <w:r w:rsidRPr="00C215EB">
              <w:rPr>
                <w:rFonts w:ascii="Times New Roman" w:hAnsi="Times New Roman" w:cs="Times New Roman"/>
                <w:szCs w:val="24"/>
                <w:lang w:val="en-US"/>
              </w:rPr>
              <w:fldChar w:fldCharType="separate"/>
            </w:r>
            <w:r w:rsidRPr="00C215EB">
              <w:rPr>
                <w:rFonts w:ascii="Times New Roman" w:hAnsi="Times New Roman" w:cs="Times New Roman"/>
                <w:noProof/>
                <w:szCs w:val="24"/>
                <w:lang w:val="en-US"/>
              </w:rPr>
              <w:t>[81]</w:t>
            </w:r>
            <w:r w:rsidRPr="00C215EB">
              <w:rPr>
                <w:rFonts w:ascii="Times New Roman" w:hAnsi="Times New Roman" w:cs="Times New Roman"/>
                <w:szCs w:val="24"/>
                <w:lang w:val="en-US"/>
              </w:rPr>
              <w:fldChar w:fldCharType="end"/>
            </w:r>
          </w:p>
        </w:tc>
        <w:tc>
          <w:tcPr>
            <w:tcW w:w="2835" w:type="dxa"/>
          </w:tcPr>
          <w:p w:rsidR="008E041A" w:rsidRPr="00C215EB" w:rsidRDefault="008E041A" w:rsidP="00A04BA8">
            <w:pPr>
              <w:spacing w:beforeLines="40" w:before="96" w:afterLines="40" w:after="96"/>
              <w:ind w:right="493"/>
              <w:rPr>
                <w:rFonts w:ascii="Times New Roman" w:hAnsi="Times New Roman" w:cs="Times New Roman"/>
                <w:szCs w:val="24"/>
                <w:lang w:val="en-US"/>
              </w:rPr>
            </w:pPr>
            <w:r w:rsidRPr="00C215EB">
              <w:rPr>
                <w:rFonts w:ascii="Times New Roman" w:hAnsi="Times New Roman" w:cs="Times New Roman"/>
                <w:szCs w:val="24"/>
                <w:lang w:val="en-US"/>
              </w:rPr>
              <w:t>Expected to adsorb to suspended solids and sediments</w:t>
            </w:r>
          </w:p>
        </w:tc>
      </w:tr>
      <w:tr w:rsidR="008E041A" w:rsidRPr="00C215EB" w:rsidTr="00C215EB">
        <w:trPr>
          <w:cantSplit/>
        </w:trPr>
        <w:tc>
          <w:tcPr>
            <w:tcW w:w="2136"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Clofibrate</w:t>
            </w:r>
          </w:p>
        </w:tc>
        <w:tc>
          <w:tcPr>
            <w:tcW w:w="140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242.70</w:t>
            </w:r>
          </w:p>
        </w:tc>
        <w:tc>
          <w:tcPr>
            <w:tcW w:w="141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Insoluble</w:t>
            </w:r>
          </w:p>
        </w:tc>
        <w:tc>
          <w:tcPr>
            <w:tcW w:w="992"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n/a</w:t>
            </w:r>
          </w:p>
        </w:tc>
        <w:tc>
          <w:tcPr>
            <w:tcW w:w="5954"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Not readily biodegradable *</w:t>
            </w:r>
          </w:p>
        </w:tc>
        <w:tc>
          <w:tcPr>
            <w:tcW w:w="2835" w:type="dxa"/>
          </w:tcPr>
          <w:p w:rsidR="008E041A" w:rsidRPr="00C215EB" w:rsidRDefault="008E041A" w:rsidP="00A04BA8">
            <w:pPr>
              <w:spacing w:beforeLines="40" w:before="96" w:afterLines="40" w:after="96"/>
              <w:ind w:right="493"/>
              <w:rPr>
                <w:rFonts w:ascii="Times New Roman" w:hAnsi="Times New Roman" w:cs="Times New Roman"/>
                <w:szCs w:val="24"/>
                <w:lang w:val="en-US"/>
              </w:rPr>
            </w:pPr>
            <w:r w:rsidRPr="00C215EB">
              <w:rPr>
                <w:rFonts w:ascii="Times New Roman" w:hAnsi="Times New Roman" w:cs="Times New Roman"/>
                <w:szCs w:val="24"/>
                <w:lang w:val="en-US"/>
              </w:rPr>
              <w:t>n/a</w:t>
            </w:r>
          </w:p>
        </w:tc>
      </w:tr>
      <w:tr w:rsidR="008E041A" w:rsidRPr="00C215EB" w:rsidTr="00C215EB">
        <w:trPr>
          <w:cantSplit/>
        </w:trPr>
        <w:tc>
          <w:tcPr>
            <w:tcW w:w="2136"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Colchicine</w:t>
            </w:r>
          </w:p>
        </w:tc>
        <w:tc>
          <w:tcPr>
            <w:tcW w:w="140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399.44</w:t>
            </w:r>
          </w:p>
        </w:tc>
        <w:tc>
          <w:tcPr>
            <w:tcW w:w="141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45 g/L, 25 °C</w:t>
            </w:r>
          </w:p>
        </w:tc>
        <w:tc>
          <w:tcPr>
            <w:tcW w:w="992"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1.03</w:t>
            </w:r>
          </w:p>
        </w:tc>
        <w:tc>
          <w:tcPr>
            <w:tcW w:w="5954"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Lacks functional groups for hydrolysis</w:t>
            </w:r>
            <w:r w:rsidRPr="00C215EB">
              <w:rPr>
                <w:rFonts w:ascii="Times New Roman" w:hAnsi="Times New Roman" w:cs="Times New Roman"/>
                <w:szCs w:val="24"/>
                <w:vertAlign w:val="superscript"/>
                <w:lang w:val="en-US"/>
              </w:rPr>
              <w:t>#</w:t>
            </w:r>
            <w:r w:rsidRPr="00C215EB">
              <w:rPr>
                <w:rFonts w:ascii="Times New Roman" w:hAnsi="Times New Roman" w:cs="Times New Roman"/>
                <w:szCs w:val="24"/>
                <w:lang w:val="en-US"/>
              </w:rPr>
              <w:t>. Readily biodegradable *</w:t>
            </w:r>
          </w:p>
        </w:tc>
        <w:tc>
          <w:tcPr>
            <w:tcW w:w="2835" w:type="dxa"/>
          </w:tcPr>
          <w:p w:rsidR="008E041A" w:rsidRPr="00C215EB" w:rsidRDefault="008E041A" w:rsidP="00A04BA8">
            <w:pPr>
              <w:spacing w:beforeLines="40" w:before="96" w:afterLines="40" w:after="96"/>
              <w:ind w:right="493"/>
              <w:rPr>
                <w:rFonts w:ascii="Times New Roman" w:hAnsi="Times New Roman" w:cs="Times New Roman"/>
                <w:szCs w:val="24"/>
                <w:lang w:val="en-US"/>
              </w:rPr>
            </w:pPr>
            <w:r w:rsidRPr="00C215EB">
              <w:rPr>
                <w:rFonts w:ascii="Times New Roman" w:hAnsi="Times New Roman" w:cs="Times New Roman"/>
                <w:szCs w:val="24"/>
                <w:lang w:val="en-US"/>
              </w:rPr>
              <w:t>Expected to adsorb to suspended solids and sediments</w:t>
            </w:r>
          </w:p>
        </w:tc>
      </w:tr>
      <w:tr w:rsidR="008E041A" w:rsidRPr="00C215EB" w:rsidTr="00C215EB">
        <w:trPr>
          <w:cantSplit/>
        </w:trPr>
        <w:tc>
          <w:tcPr>
            <w:tcW w:w="2136"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Copper (II) sulphate pentahydrate</w:t>
            </w:r>
          </w:p>
        </w:tc>
        <w:tc>
          <w:tcPr>
            <w:tcW w:w="140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249.68</w:t>
            </w:r>
          </w:p>
        </w:tc>
        <w:tc>
          <w:tcPr>
            <w:tcW w:w="141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 100 mg/ml, 25 °C</w:t>
            </w:r>
          </w:p>
        </w:tc>
        <w:tc>
          <w:tcPr>
            <w:tcW w:w="992"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n/a</w:t>
            </w:r>
          </w:p>
        </w:tc>
        <w:tc>
          <w:tcPr>
            <w:tcW w:w="5954"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n/a</w:t>
            </w:r>
          </w:p>
        </w:tc>
        <w:tc>
          <w:tcPr>
            <w:tcW w:w="2835" w:type="dxa"/>
          </w:tcPr>
          <w:p w:rsidR="008E041A" w:rsidRPr="00C215EB" w:rsidRDefault="008E041A" w:rsidP="00A04BA8">
            <w:pPr>
              <w:spacing w:beforeLines="40" w:before="96" w:afterLines="40" w:after="96"/>
              <w:ind w:right="493"/>
              <w:rPr>
                <w:rFonts w:ascii="Times New Roman" w:hAnsi="Times New Roman" w:cs="Times New Roman"/>
                <w:szCs w:val="24"/>
                <w:lang w:val="en-US"/>
              </w:rPr>
            </w:pPr>
            <w:r w:rsidRPr="00C215EB">
              <w:rPr>
                <w:rFonts w:ascii="Times New Roman" w:hAnsi="Times New Roman" w:cs="Times New Roman"/>
                <w:szCs w:val="24"/>
                <w:lang w:val="en-US"/>
              </w:rPr>
              <w:t>n/a</w:t>
            </w:r>
          </w:p>
        </w:tc>
      </w:tr>
      <w:tr w:rsidR="008E041A" w:rsidRPr="00C215EB" w:rsidTr="00C215EB">
        <w:trPr>
          <w:cantSplit/>
        </w:trPr>
        <w:tc>
          <w:tcPr>
            <w:tcW w:w="2136"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Dibutyl maleate</w:t>
            </w:r>
          </w:p>
        </w:tc>
        <w:tc>
          <w:tcPr>
            <w:tcW w:w="140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228.29</w:t>
            </w:r>
          </w:p>
        </w:tc>
        <w:tc>
          <w:tcPr>
            <w:tcW w:w="141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n/a</w:t>
            </w:r>
          </w:p>
        </w:tc>
        <w:tc>
          <w:tcPr>
            <w:tcW w:w="992"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n/a</w:t>
            </w:r>
          </w:p>
        </w:tc>
        <w:tc>
          <w:tcPr>
            <w:tcW w:w="5954"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n/a</w:t>
            </w:r>
          </w:p>
        </w:tc>
        <w:tc>
          <w:tcPr>
            <w:tcW w:w="2835" w:type="dxa"/>
          </w:tcPr>
          <w:p w:rsidR="008E041A" w:rsidRPr="00C215EB" w:rsidRDefault="008E041A" w:rsidP="00A04BA8">
            <w:pPr>
              <w:spacing w:beforeLines="40" w:before="96" w:afterLines="40" w:after="96"/>
              <w:ind w:right="493"/>
              <w:rPr>
                <w:rFonts w:ascii="Times New Roman" w:hAnsi="Times New Roman" w:cs="Times New Roman"/>
                <w:szCs w:val="24"/>
                <w:lang w:val="en-US"/>
              </w:rPr>
            </w:pPr>
            <w:r w:rsidRPr="00C215EB">
              <w:rPr>
                <w:rFonts w:ascii="Times New Roman" w:hAnsi="Times New Roman" w:cs="Times New Roman"/>
                <w:szCs w:val="24"/>
                <w:lang w:val="en-US"/>
              </w:rPr>
              <w:t>n/a</w:t>
            </w:r>
          </w:p>
        </w:tc>
      </w:tr>
      <w:tr w:rsidR="008E041A" w:rsidRPr="00C215EB" w:rsidTr="00C215EB">
        <w:trPr>
          <w:cantSplit/>
        </w:trPr>
        <w:tc>
          <w:tcPr>
            <w:tcW w:w="2136"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3,4-Dichloroaniline</w:t>
            </w:r>
          </w:p>
        </w:tc>
        <w:tc>
          <w:tcPr>
            <w:tcW w:w="1408" w:type="dxa"/>
          </w:tcPr>
          <w:p w:rsidR="008E041A" w:rsidRPr="00C215EB" w:rsidRDefault="008E041A" w:rsidP="00C215EB">
            <w:pPr>
              <w:spacing w:beforeLines="40" w:before="96" w:afterLines="40" w:after="96"/>
              <w:jc w:val="center"/>
              <w:rPr>
                <w:rFonts w:ascii="Times New Roman" w:hAnsi="Times New Roman" w:cs="Times New Roman"/>
                <w:bCs/>
                <w:szCs w:val="24"/>
                <w:lang w:val="en-US"/>
              </w:rPr>
            </w:pPr>
            <w:r w:rsidRPr="00C215EB">
              <w:rPr>
                <w:rFonts w:ascii="Times New Roman" w:hAnsi="Times New Roman" w:cs="Times New Roman"/>
                <w:szCs w:val="24"/>
                <w:lang w:val="en-US"/>
              </w:rPr>
              <w:t>162.01</w:t>
            </w:r>
          </w:p>
        </w:tc>
        <w:tc>
          <w:tcPr>
            <w:tcW w:w="141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bCs/>
                <w:szCs w:val="24"/>
                <w:lang w:val="en-US"/>
              </w:rPr>
              <w:t>1 mg/mL, 20°C</w:t>
            </w:r>
          </w:p>
        </w:tc>
        <w:tc>
          <w:tcPr>
            <w:tcW w:w="992"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bCs/>
                <w:szCs w:val="24"/>
                <w:lang w:val="en-US"/>
              </w:rPr>
              <w:t>2.91</w:t>
            </w:r>
          </w:p>
        </w:tc>
        <w:tc>
          <w:tcPr>
            <w:tcW w:w="5954"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bCs/>
                <w:szCs w:val="24"/>
                <w:lang w:val="en-US"/>
              </w:rPr>
              <w:t xml:space="preserve">Photolysis rate constants: 0.071/h and 0.033/h in summer and winter, respectively. Half-lives in summer and winter 10 and 21 h, respectively. Volatilization from surface water expected with half-life of 30 and 21 d in rivers and lakes, respectively. Bioconcentration factor: 94.7 suggest moderate bioaccumulation </w:t>
            </w:r>
            <w:r w:rsidRPr="00C215EB">
              <w:rPr>
                <w:rFonts w:ascii="Times New Roman" w:hAnsi="Times New Roman" w:cs="Times New Roman"/>
                <w:bCs/>
                <w:szCs w:val="24"/>
                <w:vertAlign w:val="superscript"/>
                <w:lang w:val="en-US"/>
              </w:rPr>
              <w:t>#</w:t>
            </w:r>
          </w:p>
        </w:tc>
        <w:tc>
          <w:tcPr>
            <w:tcW w:w="2835" w:type="dxa"/>
          </w:tcPr>
          <w:p w:rsidR="008E041A" w:rsidRPr="00C215EB" w:rsidRDefault="008E041A" w:rsidP="00A04BA8">
            <w:pPr>
              <w:spacing w:beforeLines="40" w:before="96" w:afterLines="40" w:after="96"/>
              <w:ind w:right="493"/>
              <w:rPr>
                <w:rFonts w:ascii="Times New Roman" w:hAnsi="Times New Roman" w:cs="Times New Roman"/>
                <w:szCs w:val="24"/>
                <w:lang w:val="en-US"/>
              </w:rPr>
            </w:pPr>
            <w:r w:rsidRPr="00C215EB">
              <w:rPr>
                <w:rFonts w:ascii="Times New Roman" w:hAnsi="Times New Roman" w:cs="Times New Roman"/>
                <w:szCs w:val="24"/>
                <w:lang w:val="en-US"/>
              </w:rPr>
              <w:t>Expected to adsorb to suspended solids and sediments</w:t>
            </w:r>
          </w:p>
        </w:tc>
      </w:tr>
      <w:tr w:rsidR="008E041A" w:rsidRPr="00C215EB" w:rsidTr="00C215EB">
        <w:trPr>
          <w:cantSplit/>
        </w:trPr>
        <w:tc>
          <w:tcPr>
            <w:tcW w:w="2136"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lastRenderedPageBreak/>
              <w:t>Dimethyl sulfoxide</w:t>
            </w:r>
          </w:p>
        </w:tc>
        <w:tc>
          <w:tcPr>
            <w:tcW w:w="140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78.13</w:t>
            </w:r>
          </w:p>
        </w:tc>
        <w:tc>
          <w:tcPr>
            <w:tcW w:w="141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1000 g/L, 20°C</w:t>
            </w:r>
          </w:p>
        </w:tc>
        <w:tc>
          <w:tcPr>
            <w:tcW w:w="992"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- 1.35</w:t>
            </w:r>
          </w:p>
        </w:tc>
        <w:tc>
          <w:tcPr>
            <w:tcW w:w="5954"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 xml:space="preserve">Volatilization from surface water not expected. Bioconcentration low in aquatic organisms. Stable to hydrolysis in water </w:t>
            </w:r>
            <w:r w:rsidRPr="00C215EB">
              <w:rPr>
                <w:rFonts w:ascii="Times New Roman" w:hAnsi="Times New Roman" w:cs="Times New Roman"/>
                <w:szCs w:val="24"/>
                <w:vertAlign w:val="superscript"/>
                <w:lang w:val="en-US"/>
              </w:rPr>
              <w:t>#</w:t>
            </w:r>
          </w:p>
        </w:tc>
        <w:tc>
          <w:tcPr>
            <w:tcW w:w="2835" w:type="dxa"/>
          </w:tcPr>
          <w:p w:rsidR="008E041A" w:rsidRPr="00C215EB" w:rsidRDefault="008E041A" w:rsidP="00A04BA8">
            <w:pPr>
              <w:spacing w:beforeLines="40" w:before="96" w:afterLines="40" w:after="96"/>
              <w:ind w:right="493"/>
              <w:rPr>
                <w:rFonts w:ascii="Times New Roman" w:hAnsi="Times New Roman" w:cs="Times New Roman"/>
                <w:szCs w:val="24"/>
                <w:lang w:val="en-US"/>
              </w:rPr>
            </w:pPr>
            <w:r w:rsidRPr="00C215EB">
              <w:rPr>
                <w:rFonts w:ascii="Times New Roman" w:hAnsi="Times New Roman" w:cs="Times New Roman"/>
                <w:szCs w:val="24"/>
                <w:lang w:val="en-US"/>
              </w:rPr>
              <w:t>Not expected to adsorb to suspended solids and sediments</w:t>
            </w:r>
          </w:p>
        </w:tc>
      </w:tr>
      <w:tr w:rsidR="008E041A" w:rsidRPr="00C215EB" w:rsidTr="00C215EB">
        <w:trPr>
          <w:cantSplit/>
        </w:trPr>
        <w:tc>
          <w:tcPr>
            <w:tcW w:w="2136" w:type="dxa"/>
            <w:shd w:val="clear" w:color="auto" w:fill="auto"/>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2,2-Dimethylvaleric acid</w:t>
            </w:r>
          </w:p>
        </w:tc>
        <w:tc>
          <w:tcPr>
            <w:tcW w:w="1408" w:type="dxa"/>
          </w:tcPr>
          <w:p w:rsidR="008E041A" w:rsidRPr="00C215EB" w:rsidRDefault="008E041A" w:rsidP="00C215EB">
            <w:pPr>
              <w:spacing w:beforeLines="40" w:before="96" w:afterLines="40" w:after="96"/>
              <w:jc w:val="center"/>
              <w:rPr>
                <w:rFonts w:ascii="Times New Roman" w:hAnsi="Times New Roman" w:cs="Times New Roman"/>
                <w:bCs/>
                <w:szCs w:val="24"/>
                <w:lang w:val="en-US"/>
              </w:rPr>
            </w:pPr>
            <w:r w:rsidRPr="00C215EB">
              <w:rPr>
                <w:rFonts w:ascii="Times New Roman" w:hAnsi="Times New Roman" w:cs="Times New Roman"/>
                <w:szCs w:val="24"/>
                <w:lang w:val="en-US"/>
              </w:rPr>
              <w:t>130.19</w:t>
            </w:r>
          </w:p>
        </w:tc>
        <w:tc>
          <w:tcPr>
            <w:tcW w:w="1418" w:type="dxa"/>
            <w:shd w:val="clear" w:color="auto" w:fill="auto"/>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n/a</w:t>
            </w:r>
          </w:p>
        </w:tc>
        <w:tc>
          <w:tcPr>
            <w:tcW w:w="992"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bCs/>
                <w:szCs w:val="24"/>
                <w:lang w:val="en-US"/>
              </w:rPr>
              <w:t>2.43</w:t>
            </w:r>
          </w:p>
        </w:tc>
        <w:tc>
          <w:tcPr>
            <w:tcW w:w="5954"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bCs/>
                <w:szCs w:val="24"/>
                <w:lang w:val="en-US"/>
              </w:rPr>
              <w:t xml:space="preserve">No rapid reaction with water </w:t>
            </w:r>
            <w:r w:rsidRPr="00C215EB">
              <w:rPr>
                <w:rFonts w:ascii="Times New Roman" w:hAnsi="Times New Roman" w:cs="Times New Roman"/>
                <w:szCs w:val="24"/>
                <w:vertAlign w:val="superscript"/>
                <w:lang w:val="en-US"/>
              </w:rPr>
              <w:t>҂</w:t>
            </w:r>
          </w:p>
        </w:tc>
        <w:tc>
          <w:tcPr>
            <w:tcW w:w="2835" w:type="dxa"/>
          </w:tcPr>
          <w:p w:rsidR="008E041A" w:rsidRPr="00C215EB" w:rsidRDefault="008E041A" w:rsidP="00A04BA8">
            <w:pPr>
              <w:spacing w:beforeLines="40" w:before="96" w:afterLines="40" w:after="96"/>
              <w:ind w:right="493"/>
              <w:rPr>
                <w:rFonts w:ascii="Times New Roman" w:hAnsi="Times New Roman" w:cs="Times New Roman"/>
                <w:szCs w:val="24"/>
                <w:lang w:val="en-US"/>
              </w:rPr>
            </w:pPr>
            <w:r w:rsidRPr="00C215EB">
              <w:rPr>
                <w:rFonts w:ascii="Times New Roman" w:hAnsi="Times New Roman" w:cs="Times New Roman"/>
                <w:szCs w:val="24"/>
                <w:lang w:val="en-US"/>
              </w:rPr>
              <w:t>n/a</w:t>
            </w:r>
          </w:p>
        </w:tc>
      </w:tr>
      <w:tr w:rsidR="008E041A" w:rsidRPr="00C215EB" w:rsidTr="00C215EB">
        <w:trPr>
          <w:cantSplit/>
        </w:trPr>
        <w:tc>
          <w:tcPr>
            <w:tcW w:w="2136" w:type="dxa"/>
            <w:shd w:val="clear" w:color="auto" w:fill="auto"/>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Dinitro-</w:t>
            </w:r>
            <w:r w:rsidRPr="00C215EB">
              <w:rPr>
                <w:rFonts w:ascii="Times New Roman" w:hAnsi="Times New Roman" w:cs="Times New Roman"/>
                <w:i/>
                <w:szCs w:val="24"/>
                <w:lang w:val="en-US"/>
              </w:rPr>
              <w:t>o</w:t>
            </w:r>
            <w:r w:rsidRPr="00C215EB">
              <w:rPr>
                <w:rFonts w:ascii="Times New Roman" w:hAnsi="Times New Roman" w:cs="Times New Roman"/>
                <w:szCs w:val="24"/>
                <w:lang w:val="en-US"/>
              </w:rPr>
              <w:t>-cresol</w:t>
            </w:r>
          </w:p>
        </w:tc>
        <w:tc>
          <w:tcPr>
            <w:tcW w:w="140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198.13</w:t>
            </w:r>
          </w:p>
        </w:tc>
        <w:tc>
          <w:tcPr>
            <w:tcW w:w="1418" w:type="dxa"/>
            <w:shd w:val="clear" w:color="auto" w:fill="auto"/>
          </w:tcPr>
          <w:p w:rsidR="008E041A" w:rsidRPr="00C215EB" w:rsidRDefault="008E041A" w:rsidP="00C215EB">
            <w:pPr>
              <w:spacing w:beforeLines="40" w:before="96" w:afterLines="40" w:after="96"/>
              <w:jc w:val="center"/>
              <w:rPr>
                <w:rFonts w:ascii="Times New Roman" w:hAnsi="Times New Roman" w:cs="Times New Roman"/>
                <w:bCs/>
                <w:szCs w:val="24"/>
                <w:lang w:val="en-US"/>
              </w:rPr>
            </w:pPr>
            <w:r w:rsidRPr="00C215EB">
              <w:rPr>
                <w:rFonts w:ascii="Times New Roman" w:hAnsi="Times New Roman" w:cs="Times New Roman"/>
                <w:bCs/>
                <w:szCs w:val="24"/>
                <w:lang w:val="en-US"/>
              </w:rPr>
              <w:t>198 mg/L, 20°C</w:t>
            </w:r>
          </w:p>
        </w:tc>
        <w:tc>
          <w:tcPr>
            <w:tcW w:w="992" w:type="dxa"/>
          </w:tcPr>
          <w:p w:rsidR="008E041A" w:rsidRPr="00C215EB" w:rsidRDefault="008E041A" w:rsidP="00A04BA8">
            <w:pPr>
              <w:spacing w:beforeLines="40" w:before="96" w:afterLines="40" w:after="96"/>
              <w:rPr>
                <w:rFonts w:ascii="Times New Roman" w:hAnsi="Times New Roman" w:cs="Times New Roman"/>
                <w:bCs/>
                <w:szCs w:val="24"/>
                <w:lang w:val="en-US"/>
              </w:rPr>
            </w:pPr>
            <w:r w:rsidRPr="00C215EB">
              <w:rPr>
                <w:rFonts w:ascii="Times New Roman" w:hAnsi="Times New Roman" w:cs="Times New Roman"/>
                <w:bCs/>
                <w:szCs w:val="24"/>
                <w:lang w:val="en-US"/>
              </w:rPr>
              <w:t>2.13</w:t>
            </w:r>
          </w:p>
        </w:tc>
        <w:tc>
          <w:tcPr>
            <w:tcW w:w="5954" w:type="dxa"/>
          </w:tcPr>
          <w:p w:rsidR="008E041A" w:rsidRPr="00C215EB" w:rsidRDefault="008E041A" w:rsidP="00A04BA8">
            <w:pPr>
              <w:spacing w:beforeLines="40" w:before="96" w:afterLines="40" w:after="96"/>
              <w:rPr>
                <w:rFonts w:ascii="Times New Roman" w:hAnsi="Times New Roman" w:cs="Times New Roman"/>
                <w:bCs/>
                <w:szCs w:val="24"/>
                <w:lang w:val="en-US"/>
              </w:rPr>
            </w:pPr>
            <w:r w:rsidRPr="00C215EB">
              <w:rPr>
                <w:rFonts w:ascii="Times New Roman" w:hAnsi="Times New Roman" w:cs="Times New Roman"/>
                <w:bCs/>
                <w:szCs w:val="24"/>
                <w:lang w:val="en-US"/>
              </w:rPr>
              <w:t xml:space="preserve">Volatilization half-life estimated 37 (lake) and 273 (river) d. Bioaccumulation in aquatic organisms low. Photolysis half-life in water at 20°C 253 h </w:t>
            </w:r>
            <w:r w:rsidRPr="00C215EB">
              <w:rPr>
                <w:rFonts w:ascii="Times New Roman" w:hAnsi="Times New Roman" w:cs="Times New Roman"/>
                <w:bCs/>
                <w:szCs w:val="24"/>
                <w:vertAlign w:val="superscript"/>
                <w:lang w:val="en-US"/>
              </w:rPr>
              <w:t>#</w:t>
            </w:r>
          </w:p>
        </w:tc>
        <w:tc>
          <w:tcPr>
            <w:tcW w:w="2835" w:type="dxa"/>
          </w:tcPr>
          <w:p w:rsidR="008E041A" w:rsidRPr="00C215EB" w:rsidRDefault="008E041A" w:rsidP="00A04BA8">
            <w:pPr>
              <w:spacing w:beforeLines="40" w:before="96" w:afterLines="40" w:after="96"/>
              <w:ind w:right="493"/>
              <w:rPr>
                <w:rFonts w:ascii="Times New Roman" w:hAnsi="Times New Roman" w:cs="Times New Roman"/>
                <w:bCs/>
                <w:szCs w:val="24"/>
                <w:lang w:val="en-US"/>
              </w:rPr>
            </w:pPr>
            <w:r w:rsidRPr="00C215EB">
              <w:rPr>
                <w:rFonts w:ascii="Times New Roman" w:hAnsi="Times New Roman" w:cs="Times New Roman"/>
                <w:szCs w:val="24"/>
                <w:lang w:val="en-US"/>
              </w:rPr>
              <w:t>Expected to adsorb to suspended solids and sediments</w:t>
            </w:r>
          </w:p>
        </w:tc>
      </w:tr>
      <w:tr w:rsidR="008E041A" w:rsidRPr="00C215EB" w:rsidTr="00C215EB">
        <w:trPr>
          <w:cantSplit/>
        </w:trPr>
        <w:tc>
          <w:tcPr>
            <w:tcW w:w="2136"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2,4-Dinitrophenol</w:t>
            </w:r>
          </w:p>
        </w:tc>
        <w:tc>
          <w:tcPr>
            <w:tcW w:w="1408" w:type="dxa"/>
          </w:tcPr>
          <w:p w:rsidR="008E041A" w:rsidRPr="00C215EB" w:rsidRDefault="008E041A" w:rsidP="00C215EB">
            <w:pPr>
              <w:spacing w:beforeLines="40" w:before="96" w:afterLines="40" w:after="96"/>
              <w:jc w:val="center"/>
              <w:rPr>
                <w:rFonts w:ascii="Times New Roman" w:hAnsi="Times New Roman" w:cs="Times New Roman"/>
                <w:bCs/>
                <w:szCs w:val="24"/>
                <w:lang w:val="en-US"/>
              </w:rPr>
            </w:pPr>
            <w:r w:rsidRPr="00C215EB">
              <w:rPr>
                <w:rFonts w:ascii="Times New Roman" w:hAnsi="Times New Roman" w:cs="Times New Roman"/>
                <w:szCs w:val="24"/>
                <w:lang w:val="en-US"/>
              </w:rPr>
              <w:t>184.11</w:t>
            </w:r>
          </w:p>
        </w:tc>
        <w:tc>
          <w:tcPr>
            <w:tcW w:w="1418" w:type="dxa"/>
          </w:tcPr>
          <w:p w:rsidR="008E041A" w:rsidRPr="00C215EB" w:rsidRDefault="008E041A" w:rsidP="00C215EB">
            <w:pPr>
              <w:spacing w:beforeLines="40" w:before="96" w:afterLines="40" w:after="96"/>
              <w:jc w:val="center"/>
              <w:rPr>
                <w:rFonts w:ascii="Times New Roman" w:hAnsi="Times New Roman" w:cs="Times New Roman"/>
                <w:bCs/>
                <w:szCs w:val="24"/>
                <w:lang w:val="en-US"/>
              </w:rPr>
            </w:pPr>
            <w:r w:rsidRPr="00C215EB">
              <w:rPr>
                <w:rFonts w:ascii="Times New Roman" w:hAnsi="Times New Roman" w:cs="Times New Roman"/>
                <w:bCs/>
                <w:szCs w:val="24"/>
                <w:lang w:val="en-US"/>
              </w:rPr>
              <w:t>2790 mg/L, 200 °C</w:t>
            </w:r>
          </w:p>
        </w:tc>
        <w:tc>
          <w:tcPr>
            <w:tcW w:w="992" w:type="dxa"/>
          </w:tcPr>
          <w:p w:rsidR="008E041A" w:rsidRPr="00C215EB" w:rsidRDefault="008E041A" w:rsidP="00A04BA8">
            <w:pPr>
              <w:spacing w:beforeLines="40" w:before="96" w:afterLines="40" w:after="96"/>
              <w:rPr>
                <w:rFonts w:ascii="Times New Roman" w:hAnsi="Times New Roman" w:cs="Times New Roman"/>
                <w:bCs/>
                <w:szCs w:val="24"/>
                <w:lang w:val="en-US"/>
              </w:rPr>
            </w:pPr>
            <w:r w:rsidRPr="00C215EB">
              <w:rPr>
                <w:rFonts w:ascii="Times New Roman" w:hAnsi="Times New Roman" w:cs="Times New Roman"/>
                <w:bCs/>
                <w:szCs w:val="24"/>
                <w:lang w:val="en-US"/>
              </w:rPr>
              <w:t>1.67</w:t>
            </w:r>
          </w:p>
        </w:tc>
        <w:tc>
          <w:tcPr>
            <w:tcW w:w="5954" w:type="dxa"/>
          </w:tcPr>
          <w:p w:rsidR="008E041A" w:rsidRPr="00C215EB" w:rsidRDefault="008E041A" w:rsidP="00A04BA8">
            <w:pPr>
              <w:spacing w:beforeLines="40" w:before="96" w:afterLines="40" w:after="96"/>
              <w:rPr>
                <w:rFonts w:ascii="Times New Roman" w:hAnsi="Times New Roman" w:cs="Times New Roman"/>
                <w:bCs/>
                <w:szCs w:val="24"/>
                <w:lang w:val="en-US"/>
              </w:rPr>
            </w:pPr>
            <w:r w:rsidRPr="00C215EB">
              <w:rPr>
                <w:rFonts w:ascii="Times New Roman" w:hAnsi="Times New Roman" w:cs="Times New Roman"/>
                <w:bCs/>
                <w:szCs w:val="24"/>
                <w:lang w:val="en-US"/>
              </w:rPr>
              <w:t xml:space="preserve">Biodegradation half-life: 68 d aerobic, 2.8 d anaerobic. Volatilization from surface water not expected. Bioconcentration in aquatic organisms low </w:t>
            </w:r>
            <w:r w:rsidRPr="00C215EB">
              <w:rPr>
                <w:rFonts w:ascii="Times New Roman" w:hAnsi="Times New Roman" w:cs="Times New Roman"/>
                <w:bCs/>
                <w:szCs w:val="24"/>
                <w:vertAlign w:val="superscript"/>
                <w:lang w:val="en-US"/>
              </w:rPr>
              <w:t>#</w:t>
            </w:r>
          </w:p>
        </w:tc>
        <w:tc>
          <w:tcPr>
            <w:tcW w:w="2835" w:type="dxa"/>
          </w:tcPr>
          <w:p w:rsidR="008E041A" w:rsidRPr="00C215EB" w:rsidRDefault="008E041A" w:rsidP="00A04BA8">
            <w:pPr>
              <w:spacing w:beforeLines="40" w:before="96" w:afterLines="40" w:after="96"/>
              <w:ind w:right="493"/>
              <w:rPr>
                <w:rFonts w:ascii="Times New Roman" w:hAnsi="Times New Roman" w:cs="Times New Roman"/>
                <w:bCs/>
                <w:szCs w:val="24"/>
                <w:lang w:val="en-US"/>
              </w:rPr>
            </w:pPr>
            <w:r w:rsidRPr="00C215EB">
              <w:rPr>
                <w:rFonts w:ascii="Times New Roman" w:hAnsi="Times New Roman" w:cs="Times New Roman"/>
                <w:szCs w:val="24"/>
                <w:lang w:val="en-US"/>
              </w:rPr>
              <w:t>Not expected to adsorb to suspended solids and sediment</w:t>
            </w:r>
          </w:p>
        </w:tc>
      </w:tr>
      <w:tr w:rsidR="008E041A" w:rsidRPr="00C215EB" w:rsidTr="00C215EB">
        <w:trPr>
          <w:cantSplit/>
        </w:trPr>
        <w:tc>
          <w:tcPr>
            <w:tcW w:w="2136"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Ethanol</w:t>
            </w:r>
          </w:p>
        </w:tc>
        <w:tc>
          <w:tcPr>
            <w:tcW w:w="140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46.07</w:t>
            </w:r>
          </w:p>
        </w:tc>
        <w:tc>
          <w:tcPr>
            <w:tcW w:w="141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&gt;100 mg/ml, 20 °C</w:t>
            </w:r>
          </w:p>
        </w:tc>
        <w:tc>
          <w:tcPr>
            <w:tcW w:w="992"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- 0.31</w:t>
            </w:r>
          </w:p>
        </w:tc>
        <w:tc>
          <w:tcPr>
            <w:tcW w:w="5954"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 xml:space="preserve">Volatilization from surface water expected, half-lives in river and lake: 5 and 39 d, respectively. Bioconcentration factor: 3 suggests low bioaccumulation. Hydrolysis not expected </w:t>
            </w:r>
            <w:r w:rsidRPr="00C215EB">
              <w:rPr>
                <w:rFonts w:ascii="Times New Roman" w:hAnsi="Times New Roman" w:cs="Times New Roman"/>
                <w:szCs w:val="24"/>
                <w:vertAlign w:val="superscript"/>
                <w:lang w:val="en-US"/>
              </w:rPr>
              <w:t>#</w:t>
            </w:r>
          </w:p>
        </w:tc>
        <w:tc>
          <w:tcPr>
            <w:tcW w:w="2835" w:type="dxa"/>
          </w:tcPr>
          <w:p w:rsidR="008E041A" w:rsidRPr="00C215EB" w:rsidRDefault="008E041A" w:rsidP="00A04BA8">
            <w:pPr>
              <w:spacing w:beforeLines="40" w:before="96" w:afterLines="40" w:after="96"/>
              <w:ind w:right="493"/>
              <w:rPr>
                <w:rFonts w:ascii="Times New Roman" w:hAnsi="Times New Roman" w:cs="Times New Roman"/>
                <w:szCs w:val="24"/>
                <w:lang w:val="en-US"/>
              </w:rPr>
            </w:pPr>
            <w:r w:rsidRPr="00C215EB">
              <w:rPr>
                <w:rFonts w:ascii="Times New Roman" w:hAnsi="Times New Roman" w:cs="Times New Roman"/>
                <w:szCs w:val="24"/>
                <w:lang w:val="en-US"/>
              </w:rPr>
              <w:t>Not expected to adsorb to suspended solids and sediments</w:t>
            </w:r>
          </w:p>
        </w:tc>
      </w:tr>
      <w:tr w:rsidR="008E041A" w:rsidRPr="00C215EB" w:rsidTr="00C215EB">
        <w:trPr>
          <w:cantSplit/>
        </w:trPr>
        <w:tc>
          <w:tcPr>
            <w:tcW w:w="2136" w:type="dxa"/>
            <w:shd w:val="clear" w:color="auto" w:fill="auto"/>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2-Ethylbutyric acid</w:t>
            </w:r>
          </w:p>
        </w:tc>
        <w:tc>
          <w:tcPr>
            <w:tcW w:w="1408" w:type="dxa"/>
          </w:tcPr>
          <w:p w:rsidR="008E041A" w:rsidRPr="00C215EB" w:rsidRDefault="008E041A" w:rsidP="00C215EB">
            <w:pPr>
              <w:spacing w:beforeLines="40" w:before="96" w:afterLines="40" w:after="96"/>
              <w:jc w:val="center"/>
              <w:rPr>
                <w:rFonts w:ascii="Times New Roman" w:hAnsi="Times New Roman" w:cs="Times New Roman"/>
                <w:bCs/>
                <w:szCs w:val="24"/>
                <w:lang w:val="en-US"/>
              </w:rPr>
            </w:pPr>
            <w:r w:rsidRPr="00C215EB">
              <w:rPr>
                <w:rFonts w:ascii="Times New Roman" w:hAnsi="Times New Roman" w:cs="Times New Roman"/>
                <w:szCs w:val="24"/>
                <w:lang w:val="en-US"/>
              </w:rPr>
              <w:t>116.16</w:t>
            </w:r>
          </w:p>
        </w:tc>
        <w:tc>
          <w:tcPr>
            <w:tcW w:w="141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bCs/>
                <w:szCs w:val="24"/>
                <w:lang w:val="en-US"/>
              </w:rPr>
              <w:t>18 g/L, 20 °C</w:t>
            </w:r>
          </w:p>
        </w:tc>
        <w:tc>
          <w:tcPr>
            <w:tcW w:w="992"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1.68</w:t>
            </w:r>
          </w:p>
        </w:tc>
        <w:tc>
          <w:tcPr>
            <w:tcW w:w="5954"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bCs/>
                <w:szCs w:val="24"/>
                <w:lang w:val="en-US"/>
              </w:rPr>
              <w:t>Stable at temperatures between 2 and 8°C +</w:t>
            </w:r>
          </w:p>
        </w:tc>
        <w:tc>
          <w:tcPr>
            <w:tcW w:w="2835" w:type="dxa"/>
          </w:tcPr>
          <w:p w:rsidR="008E041A" w:rsidRPr="00C215EB" w:rsidRDefault="008E041A" w:rsidP="00A04BA8">
            <w:pPr>
              <w:spacing w:beforeLines="40" w:before="96" w:afterLines="40" w:after="96"/>
              <w:ind w:right="493"/>
              <w:rPr>
                <w:rFonts w:ascii="Times New Roman" w:hAnsi="Times New Roman" w:cs="Times New Roman"/>
                <w:szCs w:val="24"/>
                <w:lang w:val="en-US"/>
              </w:rPr>
            </w:pPr>
            <w:r w:rsidRPr="00C215EB">
              <w:rPr>
                <w:rFonts w:ascii="Times New Roman" w:hAnsi="Times New Roman" w:cs="Times New Roman"/>
                <w:bCs/>
                <w:szCs w:val="24"/>
                <w:lang w:val="en-US"/>
              </w:rPr>
              <w:t>Not considered to be persistent, bioaccumulative or toxic at levels of 0.1% or higher +</w:t>
            </w:r>
          </w:p>
        </w:tc>
      </w:tr>
      <w:tr w:rsidR="008E041A" w:rsidRPr="00C215EB" w:rsidTr="00C215EB">
        <w:trPr>
          <w:cantSplit/>
        </w:trPr>
        <w:tc>
          <w:tcPr>
            <w:tcW w:w="2136" w:type="dxa"/>
            <w:shd w:val="clear" w:color="auto" w:fill="auto"/>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2-Ethylhexanoic acid</w:t>
            </w:r>
          </w:p>
        </w:tc>
        <w:tc>
          <w:tcPr>
            <w:tcW w:w="1408" w:type="dxa"/>
          </w:tcPr>
          <w:p w:rsidR="008E041A" w:rsidRPr="00C215EB" w:rsidRDefault="008E041A" w:rsidP="00C215EB">
            <w:pPr>
              <w:spacing w:beforeLines="40" w:before="96" w:afterLines="40" w:after="96"/>
              <w:jc w:val="center"/>
              <w:rPr>
                <w:rFonts w:ascii="Times New Roman" w:hAnsi="Times New Roman" w:cs="Times New Roman"/>
                <w:bCs/>
                <w:szCs w:val="24"/>
                <w:lang w:val="en-US"/>
              </w:rPr>
            </w:pPr>
            <w:r w:rsidRPr="00C215EB">
              <w:rPr>
                <w:rFonts w:ascii="Times New Roman" w:hAnsi="Times New Roman" w:cs="Times New Roman"/>
                <w:szCs w:val="24"/>
                <w:lang w:val="en-US"/>
              </w:rPr>
              <w:t>144.21</w:t>
            </w:r>
          </w:p>
        </w:tc>
        <w:tc>
          <w:tcPr>
            <w:tcW w:w="141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bCs/>
                <w:szCs w:val="24"/>
                <w:lang w:val="en-US"/>
              </w:rPr>
              <w:t>1.4 g/L, 25 °C</w:t>
            </w:r>
          </w:p>
        </w:tc>
        <w:tc>
          <w:tcPr>
            <w:tcW w:w="992"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bCs/>
                <w:szCs w:val="24"/>
                <w:lang w:val="en-US"/>
              </w:rPr>
              <w:t>2.64</w:t>
            </w:r>
          </w:p>
        </w:tc>
        <w:tc>
          <w:tcPr>
            <w:tcW w:w="5954"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 xml:space="preserve">Estimated volatilization half-lives for a model river and model lake are 15 and 120 d, respectively. Estimated bioconcentration factor: 3 suggests low bioaccumulation. Lacks functional groups for hydrolysis </w:t>
            </w:r>
            <w:r w:rsidRPr="00C215EB">
              <w:rPr>
                <w:rFonts w:ascii="Times New Roman" w:hAnsi="Times New Roman" w:cs="Times New Roman"/>
                <w:szCs w:val="24"/>
                <w:vertAlign w:val="superscript"/>
                <w:lang w:val="en-US"/>
              </w:rPr>
              <w:t>#</w:t>
            </w:r>
          </w:p>
        </w:tc>
        <w:tc>
          <w:tcPr>
            <w:tcW w:w="2835" w:type="dxa"/>
          </w:tcPr>
          <w:p w:rsidR="008E041A" w:rsidRPr="00C215EB" w:rsidRDefault="008E041A" w:rsidP="00A04BA8">
            <w:pPr>
              <w:spacing w:beforeLines="40" w:before="96" w:afterLines="40" w:after="96"/>
              <w:ind w:right="493"/>
              <w:rPr>
                <w:rFonts w:ascii="Times New Roman" w:hAnsi="Times New Roman" w:cs="Times New Roman"/>
                <w:szCs w:val="24"/>
                <w:lang w:val="en-US"/>
              </w:rPr>
            </w:pPr>
            <w:r w:rsidRPr="00C215EB">
              <w:rPr>
                <w:rFonts w:ascii="Times New Roman" w:hAnsi="Times New Roman" w:cs="Times New Roman"/>
                <w:szCs w:val="24"/>
                <w:lang w:val="en-US"/>
              </w:rPr>
              <w:t>Expected to adsorb to suspended solids and sediments</w:t>
            </w:r>
          </w:p>
        </w:tc>
      </w:tr>
      <w:tr w:rsidR="008E041A" w:rsidRPr="00C215EB" w:rsidTr="00C215EB">
        <w:trPr>
          <w:cantSplit/>
        </w:trPr>
        <w:tc>
          <w:tcPr>
            <w:tcW w:w="2136"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lastRenderedPageBreak/>
              <w:t>Hexachlorophene</w:t>
            </w:r>
          </w:p>
        </w:tc>
        <w:tc>
          <w:tcPr>
            <w:tcW w:w="140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406.89</w:t>
            </w:r>
          </w:p>
        </w:tc>
        <w:tc>
          <w:tcPr>
            <w:tcW w:w="141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140 mg/L, 25 °C</w:t>
            </w:r>
          </w:p>
        </w:tc>
        <w:tc>
          <w:tcPr>
            <w:tcW w:w="992"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7.54</w:t>
            </w:r>
          </w:p>
        </w:tc>
        <w:tc>
          <w:tcPr>
            <w:tcW w:w="5954"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 xml:space="preserve">Lacks functional groups for hydrolysis. Photolysis: possible, absorbs 302 and 312 nm at 7 and 8 pH, respectively.  Moderate to high bioaccumulation </w:t>
            </w:r>
            <w:r w:rsidRPr="00C215EB">
              <w:rPr>
                <w:rFonts w:ascii="Times New Roman" w:hAnsi="Times New Roman" w:cs="Times New Roman"/>
                <w:szCs w:val="24"/>
                <w:vertAlign w:val="superscript"/>
                <w:lang w:val="en-US"/>
              </w:rPr>
              <w:t>#</w:t>
            </w:r>
          </w:p>
        </w:tc>
        <w:tc>
          <w:tcPr>
            <w:tcW w:w="2835" w:type="dxa"/>
          </w:tcPr>
          <w:p w:rsidR="008E041A" w:rsidRPr="00C215EB" w:rsidRDefault="008E041A" w:rsidP="00A04BA8">
            <w:pPr>
              <w:spacing w:beforeLines="40" w:before="96" w:afterLines="40" w:after="96"/>
              <w:ind w:right="493"/>
              <w:rPr>
                <w:rFonts w:ascii="Times New Roman" w:hAnsi="Times New Roman" w:cs="Times New Roman"/>
                <w:szCs w:val="24"/>
                <w:lang w:val="en-US"/>
              </w:rPr>
            </w:pPr>
            <w:r w:rsidRPr="00C215EB">
              <w:rPr>
                <w:rFonts w:ascii="Times New Roman" w:hAnsi="Times New Roman" w:cs="Times New Roman"/>
                <w:szCs w:val="24"/>
                <w:lang w:val="en-US"/>
              </w:rPr>
              <w:t>Expected to adsorb to suspended solids and sediments</w:t>
            </w:r>
          </w:p>
        </w:tc>
      </w:tr>
      <w:tr w:rsidR="008E041A" w:rsidRPr="00C215EB" w:rsidTr="00C215EB">
        <w:trPr>
          <w:cantSplit/>
        </w:trPr>
        <w:tc>
          <w:tcPr>
            <w:tcW w:w="2136" w:type="dxa"/>
            <w:shd w:val="clear" w:color="auto" w:fill="auto"/>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Hexanoic acid</w:t>
            </w:r>
          </w:p>
        </w:tc>
        <w:tc>
          <w:tcPr>
            <w:tcW w:w="140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116.16</w:t>
            </w:r>
          </w:p>
        </w:tc>
        <w:tc>
          <w:tcPr>
            <w:tcW w:w="141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10 mg/mL, 22 °C</w:t>
            </w:r>
          </w:p>
        </w:tc>
        <w:tc>
          <w:tcPr>
            <w:tcW w:w="992"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1.92</w:t>
            </w:r>
          </w:p>
        </w:tc>
        <w:tc>
          <w:tcPr>
            <w:tcW w:w="5954"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 xml:space="preserve">Susceptible to biodegradation in water </w:t>
            </w:r>
            <w:r w:rsidRPr="00C215EB">
              <w:rPr>
                <w:rFonts w:ascii="Times New Roman" w:hAnsi="Times New Roman" w:cs="Times New Roman"/>
                <w:szCs w:val="24"/>
                <w:vertAlign w:val="superscript"/>
                <w:lang w:val="en-US"/>
              </w:rPr>
              <w:t>#</w:t>
            </w:r>
            <w:r w:rsidRPr="00C215EB">
              <w:rPr>
                <w:rFonts w:ascii="Times New Roman" w:hAnsi="Times New Roman" w:cs="Times New Roman"/>
                <w:szCs w:val="24"/>
                <w:lang w:val="en-US"/>
              </w:rPr>
              <w:t>.</w:t>
            </w:r>
          </w:p>
        </w:tc>
        <w:tc>
          <w:tcPr>
            <w:tcW w:w="2835" w:type="dxa"/>
          </w:tcPr>
          <w:p w:rsidR="008E041A" w:rsidRPr="00C215EB" w:rsidRDefault="008E041A" w:rsidP="00A04BA8">
            <w:pPr>
              <w:spacing w:beforeLines="40" w:before="96" w:afterLines="40" w:after="96"/>
              <w:ind w:right="493"/>
              <w:rPr>
                <w:rFonts w:ascii="Times New Roman" w:hAnsi="Times New Roman" w:cs="Times New Roman"/>
                <w:szCs w:val="24"/>
                <w:lang w:val="en-US"/>
              </w:rPr>
            </w:pPr>
            <w:r w:rsidRPr="00C215EB">
              <w:rPr>
                <w:rFonts w:ascii="Times New Roman" w:hAnsi="Times New Roman" w:cs="Times New Roman"/>
                <w:szCs w:val="24"/>
                <w:lang w:val="en-US"/>
              </w:rPr>
              <w:t>Not expected to adsorb to suspended solids and sediments</w:t>
            </w:r>
          </w:p>
        </w:tc>
      </w:tr>
      <w:tr w:rsidR="008E041A" w:rsidRPr="00C215EB" w:rsidTr="00C215EB">
        <w:trPr>
          <w:cantSplit/>
        </w:trPr>
        <w:tc>
          <w:tcPr>
            <w:tcW w:w="2136"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Ibuprofen</w:t>
            </w:r>
          </w:p>
        </w:tc>
        <w:tc>
          <w:tcPr>
            <w:tcW w:w="140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206.285</w:t>
            </w:r>
          </w:p>
        </w:tc>
        <w:tc>
          <w:tcPr>
            <w:tcW w:w="141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21 mg/L (25 °C)</w:t>
            </w:r>
          </w:p>
        </w:tc>
        <w:tc>
          <w:tcPr>
            <w:tcW w:w="992"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3.97</w:t>
            </w:r>
          </w:p>
        </w:tc>
        <w:tc>
          <w:tcPr>
            <w:tcW w:w="5954"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 xml:space="preserve">Hydrolysis: carboxylic acids generally resistant. Biodegradation in lakes: half-life 20 d. Mostly in anionic form at pH 5-9 – volatilization possible </w:t>
            </w:r>
            <w:r w:rsidRPr="00C215EB">
              <w:rPr>
                <w:rFonts w:ascii="Times New Roman" w:hAnsi="Times New Roman" w:cs="Times New Roman"/>
                <w:szCs w:val="24"/>
                <w:vertAlign w:val="superscript"/>
                <w:lang w:val="en-US"/>
              </w:rPr>
              <w:t>#</w:t>
            </w:r>
          </w:p>
        </w:tc>
        <w:tc>
          <w:tcPr>
            <w:tcW w:w="2835" w:type="dxa"/>
          </w:tcPr>
          <w:p w:rsidR="008E041A" w:rsidRPr="00C215EB" w:rsidRDefault="008E041A" w:rsidP="00A04BA8">
            <w:pPr>
              <w:spacing w:beforeLines="40" w:before="96" w:afterLines="40" w:after="96"/>
              <w:ind w:right="493"/>
              <w:rPr>
                <w:rFonts w:ascii="Times New Roman" w:hAnsi="Times New Roman" w:cs="Times New Roman"/>
                <w:szCs w:val="24"/>
                <w:lang w:val="en-US"/>
              </w:rPr>
            </w:pPr>
            <w:r w:rsidRPr="00C215EB">
              <w:rPr>
                <w:rFonts w:ascii="Times New Roman" w:hAnsi="Times New Roman" w:cs="Times New Roman"/>
                <w:szCs w:val="24"/>
                <w:lang w:val="en-US"/>
              </w:rPr>
              <w:t>Expected to adsorb to suspended solids and sediments</w:t>
            </w:r>
          </w:p>
        </w:tc>
      </w:tr>
      <w:tr w:rsidR="008E041A" w:rsidRPr="00C215EB" w:rsidTr="00C215EB">
        <w:trPr>
          <w:cantSplit/>
        </w:trPr>
        <w:tc>
          <w:tcPr>
            <w:tcW w:w="2136"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Luviquat HM 552</w:t>
            </w:r>
          </w:p>
        </w:tc>
        <w:tc>
          <w:tcPr>
            <w:tcW w:w="1408" w:type="dxa"/>
          </w:tcPr>
          <w:p w:rsidR="008E041A" w:rsidRPr="00C215EB" w:rsidRDefault="008E041A" w:rsidP="00C215EB">
            <w:pPr>
              <w:spacing w:beforeLines="40" w:before="96" w:afterLines="40" w:after="96"/>
              <w:jc w:val="center"/>
              <w:rPr>
                <w:rFonts w:ascii="Times New Roman" w:hAnsi="Times New Roman" w:cs="Times New Roman"/>
                <w:bCs/>
                <w:szCs w:val="24"/>
                <w:lang w:val="en-US"/>
              </w:rPr>
            </w:pPr>
            <w:r w:rsidRPr="00C215EB">
              <w:rPr>
                <w:rFonts w:ascii="Times New Roman" w:hAnsi="Times New Roman" w:cs="Times New Roman"/>
                <w:szCs w:val="24"/>
                <w:lang w:val="en-US"/>
              </w:rPr>
              <w:t>470.59</w:t>
            </w:r>
          </w:p>
        </w:tc>
        <w:tc>
          <w:tcPr>
            <w:tcW w:w="141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n/a</w:t>
            </w:r>
          </w:p>
        </w:tc>
        <w:tc>
          <w:tcPr>
            <w:tcW w:w="992"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n/a</w:t>
            </w:r>
          </w:p>
        </w:tc>
        <w:tc>
          <w:tcPr>
            <w:tcW w:w="5954"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n/a</w:t>
            </w:r>
          </w:p>
        </w:tc>
        <w:tc>
          <w:tcPr>
            <w:tcW w:w="2835" w:type="dxa"/>
          </w:tcPr>
          <w:p w:rsidR="008E041A" w:rsidRPr="00C215EB" w:rsidRDefault="008E041A" w:rsidP="00A04BA8">
            <w:pPr>
              <w:spacing w:beforeLines="40" w:before="96" w:afterLines="40" w:after="96"/>
              <w:ind w:right="493"/>
              <w:rPr>
                <w:rFonts w:ascii="Times New Roman" w:hAnsi="Times New Roman" w:cs="Times New Roman"/>
                <w:szCs w:val="24"/>
                <w:lang w:val="en-US"/>
              </w:rPr>
            </w:pPr>
            <w:r w:rsidRPr="00C215EB">
              <w:rPr>
                <w:rFonts w:ascii="Times New Roman" w:hAnsi="Times New Roman" w:cs="Times New Roman"/>
                <w:szCs w:val="24"/>
                <w:lang w:val="en-US"/>
              </w:rPr>
              <w:t>n/a</w:t>
            </w:r>
          </w:p>
        </w:tc>
      </w:tr>
      <w:tr w:rsidR="008E041A" w:rsidRPr="00C215EB" w:rsidTr="00C215EB">
        <w:trPr>
          <w:cantSplit/>
        </w:trPr>
        <w:tc>
          <w:tcPr>
            <w:tcW w:w="2136"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Malathion</w:t>
            </w:r>
          </w:p>
        </w:tc>
        <w:tc>
          <w:tcPr>
            <w:tcW w:w="140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330.35</w:t>
            </w:r>
          </w:p>
        </w:tc>
        <w:tc>
          <w:tcPr>
            <w:tcW w:w="141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143 mg/L (20 °C)</w:t>
            </w:r>
          </w:p>
        </w:tc>
        <w:tc>
          <w:tcPr>
            <w:tcW w:w="992"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2.36</w:t>
            </w:r>
          </w:p>
        </w:tc>
        <w:tc>
          <w:tcPr>
            <w:tcW w:w="5954"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Degradation half-life: 1.03 – 3.93 d. Photodegradation may compete with hydrolysis and biodegradation (8.9 h). Volatilization from surface not expected. Bioconcentration low</w:t>
            </w:r>
          </w:p>
        </w:tc>
        <w:tc>
          <w:tcPr>
            <w:tcW w:w="2835" w:type="dxa"/>
          </w:tcPr>
          <w:p w:rsidR="008E041A" w:rsidRPr="00C215EB" w:rsidRDefault="008E041A" w:rsidP="00A04BA8">
            <w:pPr>
              <w:spacing w:beforeLines="40" w:before="96" w:afterLines="40" w:after="96"/>
              <w:ind w:right="493"/>
              <w:rPr>
                <w:rFonts w:ascii="Times New Roman" w:hAnsi="Times New Roman" w:cs="Times New Roman"/>
                <w:szCs w:val="24"/>
                <w:lang w:val="en-US"/>
              </w:rPr>
            </w:pPr>
            <w:r w:rsidRPr="00C215EB">
              <w:rPr>
                <w:rFonts w:ascii="Times New Roman" w:hAnsi="Times New Roman" w:cs="Times New Roman"/>
                <w:szCs w:val="24"/>
                <w:lang w:val="en-US"/>
              </w:rPr>
              <w:t>Expected to adsorb to suspended solids and sediments</w:t>
            </w:r>
          </w:p>
        </w:tc>
      </w:tr>
      <w:tr w:rsidR="008E041A" w:rsidRPr="00C215EB" w:rsidTr="00C215EB">
        <w:trPr>
          <w:cantSplit/>
        </w:trPr>
        <w:tc>
          <w:tcPr>
            <w:tcW w:w="2136"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Merquat 100</w:t>
            </w:r>
          </w:p>
        </w:tc>
        <w:tc>
          <w:tcPr>
            <w:tcW w:w="140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161.67</w:t>
            </w:r>
          </w:p>
        </w:tc>
        <w:tc>
          <w:tcPr>
            <w:tcW w:w="141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n/a</w:t>
            </w:r>
          </w:p>
        </w:tc>
        <w:tc>
          <w:tcPr>
            <w:tcW w:w="992"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- 2.49</w:t>
            </w:r>
          </w:p>
        </w:tc>
        <w:tc>
          <w:tcPr>
            <w:tcW w:w="5954"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n/a</w:t>
            </w:r>
          </w:p>
        </w:tc>
        <w:tc>
          <w:tcPr>
            <w:tcW w:w="2835" w:type="dxa"/>
          </w:tcPr>
          <w:p w:rsidR="008E041A" w:rsidRPr="00C215EB" w:rsidRDefault="008E041A" w:rsidP="00A04BA8">
            <w:pPr>
              <w:spacing w:beforeLines="40" w:before="96" w:afterLines="40" w:after="96"/>
              <w:ind w:right="493"/>
              <w:rPr>
                <w:rFonts w:ascii="Times New Roman" w:hAnsi="Times New Roman" w:cs="Times New Roman"/>
                <w:szCs w:val="24"/>
                <w:lang w:val="en-US"/>
              </w:rPr>
            </w:pPr>
            <w:r w:rsidRPr="00C215EB">
              <w:rPr>
                <w:rFonts w:ascii="Times New Roman" w:hAnsi="Times New Roman" w:cs="Times New Roman"/>
                <w:szCs w:val="24"/>
                <w:lang w:val="en-US"/>
              </w:rPr>
              <w:t>n/a</w:t>
            </w:r>
          </w:p>
        </w:tc>
      </w:tr>
      <w:tr w:rsidR="008E041A" w:rsidRPr="00C215EB" w:rsidTr="00C215EB">
        <w:trPr>
          <w:cantSplit/>
        </w:trPr>
        <w:tc>
          <w:tcPr>
            <w:tcW w:w="2136" w:type="dxa"/>
            <w:shd w:val="clear" w:color="auto" w:fill="auto"/>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2-Methylhexanoic acid</w:t>
            </w:r>
          </w:p>
        </w:tc>
        <w:tc>
          <w:tcPr>
            <w:tcW w:w="1408" w:type="dxa"/>
          </w:tcPr>
          <w:p w:rsidR="008E041A" w:rsidRPr="00C215EB" w:rsidRDefault="008E041A" w:rsidP="00C215EB">
            <w:pPr>
              <w:spacing w:beforeLines="40" w:before="96" w:afterLines="40" w:after="96"/>
              <w:jc w:val="center"/>
              <w:rPr>
                <w:rFonts w:ascii="Times New Roman" w:hAnsi="Times New Roman" w:cs="Times New Roman"/>
                <w:bCs/>
                <w:szCs w:val="24"/>
                <w:lang w:val="en-US"/>
              </w:rPr>
            </w:pPr>
            <w:r w:rsidRPr="00C215EB">
              <w:rPr>
                <w:rFonts w:ascii="Times New Roman" w:hAnsi="Times New Roman" w:cs="Times New Roman"/>
                <w:szCs w:val="24"/>
                <w:lang w:val="en-US"/>
              </w:rPr>
              <w:t>130.19</w:t>
            </w:r>
          </w:p>
        </w:tc>
        <w:tc>
          <w:tcPr>
            <w:tcW w:w="141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bCs/>
                <w:szCs w:val="24"/>
                <w:lang w:val="en-US"/>
              </w:rPr>
              <w:t xml:space="preserve">1.8 g/L (25 °C) </w:t>
            </w:r>
            <w:r w:rsidRPr="00C215EB">
              <w:rPr>
                <w:rFonts w:ascii="Times New Roman" w:hAnsi="Times New Roman" w:cs="Times New Roman"/>
                <w:bCs/>
                <w:szCs w:val="24"/>
                <w:vertAlign w:val="superscript"/>
                <w:lang w:val="en-US"/>
              </w:rPr>
              <w:t>§</w:t>
            </w:r>
          </w:p>
        </w:tc>
        <w:tc>
          <w:tcPr>
            <w:tcW w:w="992"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bCs/>
                <w:szCs w:val="24"/>
                <w:lang w:val="en-US"/>
              </w:rPr>
              <w:t>2.47</w:t>
            </w:r>
          </w:p>
        </w:tc>
        <w:tc>
          <w:tcPr>
            <w:tcW w:w="5954" w:type="dxa"/>
          </w:tcPr>
          <w:p w:rsidR="008E041A" w:rsidRPr="00C215EB" w:rsidRDefault="008E041A" w:rsidP="00A04BA8">
            <w:pPr>
              <w:spacing w:beforeLines="40" w:before="96" w:afterLines="40" w:after="96"/>
              <w:rPr>
                <w:rFonts w:ascii="Times New Roman" w:hAnsi="Times New Roman" w:cs="Times New Roman"/>
                <w:bCs/>
                <w:szCs w:val="24"/>
                <w:lang w:val="en-US"/>
              </w:rPr>
            </w:pPr>
            <w:r w:rsidRPr="00C215EB">
              <w:rPr>
                <w:rFonts w:ascii="Times New Roman" w:hAnsi="Times New Roman" w:cs="Times New Roman"/>
                <w:bCs/>
                <w:szCs w:val="24"/>
                <w:lang w:val="en-US"/>
              </w:rPr>
              <w:t>Stable at temperatures between 2 and 8°C +</w:t>
            </w:r>
          </w:p>
        </w:tc>
        <w:tc>
          <w:tcPr>
            <w:tcW w:w="2835" w:type="dxa"/>
          </w:tcPr>
          <w:p w:rsidR="008E041A" w:rsidRPr="00C215EB" w:rsidRDefault="008E041A" w:rsidP="00A04BA8">
            <w:pPr>
              <w:spacing w:beforeLines="40" w:before="96" w:afterLines="40" w:after="96"/>
              <w:ind w:right="493"/>
              <w:rPr>
                <w:rFonts w:ascii="Times New Roman" w:hAnsi="Times New Roman" w:cs="Times New Roman"/>
                <w:bCs/>
                <w:szCs w:val="24"/>
                <w:lang w:val="en-US"/>
              </w:rPr>
            </w:pPr>
            <w:r w:rsidRPr="00C215EB">
              <w:rPr>
                <w:rFonts w:ascii="Times New Roman" w:hAnsi="Times New Roman" w:cs="Times New Roman"/>
                <w:szCs w:val="24"/>
                <w:lang w:val="en-US"/>
              </w:rPr>
              <w:t>n/a</w:t>
            </w:r>
          </w:p>
        </w:tc>
      </w:tr>
      <w:tr w:rsidR="008E041A" w:rsidRPr="00C215EB" w:rsidTr="00C215EB">
        <w:trPr>
          <w:cantSplit/>
        </w:trPr>
        <w:tc>
          <w:tcPr>
            <w:tcW w:w="2136"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6-Methyl-5-heptene-2-one</w:t>
            </w:r>
          </w:p>
        </w:tc>
        <w:tc>
          <w:tcPr>
            <w:tcW w:w="1408" w:type="dxa"/>
          </w:tcPr>
          <w:p w:rsidR="008E041A" w:rsidRPr="00C215EB" w:rsidRDefault="008E041A" w:rsidP="00C215EB">
            <w:pPr>
              <w:spacing w:beforeLines="40" w:before="96" w:afterLines="40" w:after="96"/>
              <w:jc w:val="center"/>
              <w:rPr>
                <w:rFonts w:ascii="Times New Roman" w:hAnsi="Times New Roman" w:cs="Times New Roman"/>
                <w:bCs/>
                <w:szCs w:val="24"/>
                <w:lang w:val="en-US"/>
              </w:rPr>
            </w:pPr>
            <w:r w:rsidRPr="00C215EB">
              <w:rPr>
                <w:rFonts w:ascii="Times New Roman" w:hAnsi="Times New Roman" w:cs="Times New Roman"/>
                <w:szCs w:val="24"/>
                <w:lang w:val="en-US"/>
              </w:rPr>
              <w:t>126.20</w:t>
            </w:r>
          </w:p>
        </w:tc>
        <w:tc>
          <w:tcPr>
            <w:tcW w:w="1418" w:type="dxa"/>
          </w:tcPr>
          <w:p w:rsidR="008E041A" w:rsidRPr="00C215EB" w:rsidRDefault="008E041A" w:rsidP="00C215EB">
            <w:pPr>
              <w:spacing w:beforeLines="40" w:before="96" w:afterLines="40" w:after="96"/>
              <w:jc w:val="center"/>
              <w:rPr>
                <w:rFonts w:ascii="Times New Roman" w:hAnsi="Times New Roman" w:cs="Times New Roman"/>
                <w:bCs/>
                <w:szCs w:val="24"/>
                <w:lang w:val="en-US"/>
              </w:rPr>
            </w:pPr>
            <w:r w:rsidRPr="00C215EB">
              <w:rPr>
                <w:rFonts w:ascii="Times New Roman" w:hAnsi="Times New Roman" w:cs="Times New Roman"/>
                <w:bCs/>
                <w:szCs w:val="24"/>
                <w:lang w:val="en-US"/>
              </w:rPr>
              <w:t>Insoluble</w:t>
            </w:r>
          </w:p>
        </w:tc>
        <w:tc>
          <w:tcPr>
            <w:tcW w:w="992" w:type="dxa"/>
          </w:tcPr>
          <w:p w:rsidR="008E041A" w:rsidRPr="00C215EB" w:rsidRDefault="008E041A" w:rsidP="00A04BA8">
            <w:pPr>
              <w:spacing w:beforeLines="40" w:before="96" w:afterLines="40" w:after="96"/>
              <w:rPr>
                <w:rFonts w:ascii="Times New Roman" w:hAnsi="Times New Roman" w:cs="Times New Roman"/>
                <w:bCs/>
                <w:szCs w:val="24"/>
                <w:lang w:val="en-US"/>
              </w:rPr>
            </w:pPr>
            <w:r w:rsidRPr="00C215EB">
              <w:rPr>
                <w:rFonts w:ascii="Times New Roman" w:hAnsi="Times New Roman" w:cs="Times New Roman"/>
                <w:szCs w:val="24"/>
                <w:lang w:val="en-US"/>
              </w:rPr>
              <w:t>n/a</w:t>
            </w:r>
          </w:p>
        </w:tc>
        <w:tc>
          <w:tcPr>
            <w:tcW w:w="5954"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n/a</w:t>
            </w:r>
          </w:p>
        </w:tc>
        <w:tc>
          <w:tcPr>
            <w:tcW w:w="2835" w:type="dxa"/>
          </w:tcPr>
          <w:p w:rsidR="008E041A" w:rsidRPr="00C215EB" w:rsidRDefault="008E041A" w:rsidP="00A04BA8">
            <w:pPr>
              <w:spacing w:beforeLines="40" w:before="96" w:afterLines="40" w:after="96"/>
              <w:ind w:right="493"/>
              <w:rPr>
                <w:rFonts w:ascii="Times New Roman" w:hAnsi="Times New Roman" w:cs="Times New Roman"/>
                <w:szCs w:val="24"/>
                <w:lang w:val="en-US"/>
              </w:rPr>
            </w:pPr>
            <w:r w:rsidRPr="00C215EB">
              <w:rPr>
                <w:rFonts w:ascii="Times New Roman" w:hAnsi="Times New Roman" w:cs="Times New Roman"/>
                <w:szCs w:val="24"/>
                <w:lang w:val="en-US"/>
              </w:rPr>
              <w:t>n/a</w:t>
            </w:r>
          </w:p>
        </w:tc>
      </w:tr>
      <w:tr w:rsidR="008E041A" w:rsidRPr="00C215EB" w:rsidTr="00C215EB">
        <w:trPr>
          <w:cantSplit/>
        </w:trPr>
        <w:tc>
          <w:tcPr>
            <w:tcW w:w="2136"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Methylmercury (II) chloride</w:t>
            </w:r>
          </w:p>
        </w:tc>
        <w:tc>
          <w:tcPr>
            <w:tcW w:w="140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251.08</w:t>
            </w:r>
          </w:p>
        </w:tc>
        <w:tc>
          <w:tcPr>
            <w:tcW w:w="1418" w:type="dxa"/>
          </w:tcPr>
          <w:p w:rsidR="008E041A" w:rsidRPr="00C215EB" w:rsidRDefault="008E041A" w:rsidP="00C215EB">
            <w:pPr>
              <w:spacing w:beforeLines="40" w:before="96" w:afterLines="40" w:after="96"/>
              <w:jc w:val="center"/>
              <w:rPr>
                <w:rFonts w:ascii="Times New Roman" w:hAnsi="Times New Roman" w:cs="Times New Roman"/>
                <w:bCs/>
                <w:szCs w:val="24"/>
                <w:lang w:val="en-US"/>
              </w:rPr>
            </w:pPr>
            <w:r w:rsidRPr="00C215EB">
              <w:rPr>
                <w:rFonts w:ascii="Times New Roman" w:hAnsi="Times New Roman" w:cs="Times New Roman"/>
                <w:szCs w:val="24"/>
                <w:lang w:val="en-US"/>
              </w:rPr>
              <w:t>&lt; 0.1 mg/mL (21 °C)</w:t>
            </w:r>
          </w:p>
        </w:tc>
        <w:tc>
          <w:tcPr>
            <w:tcW w:w="992" w:type="dxa"/>
          </w:tcPr>
          <w:p w:rsidR="008E041A" w:rsidRPr="00C215EB" w:rsidRDefault="008E041A" w:rsidP="00A04BA8">
            <w:pPr>
              <w:spacing w:beforeLines="40" w:before="96" w:afterLines="40" w:after="96"/>
              <w:rPr>
                <w:rFonts w:ascii="Times New Roman" w:hAnsi="Times New Roman" w:cs="Times New Roman"/>
                <w:bCs/>
                <w:szCs w:val="24"/>
                <w:lang w:val="en-US"/>
              </w:rPr>
            </w:pPr>
            <w:r w:rsidRPr="00C215EB">
              <w:rPr>
                <w:rFonts w:ascii="Times New Roman" w:hAnsi="Times New Roman" w:cs="Times New Roman"/>
                <w:szCs w:val="24"/>
                <w:lang w:val="en-US"/>
              </w:rPr>
              <w:t>0.41</w:t>
            </w:r>
          </w:p>
        </w:tc>
        <w:tc>
          <w:tcPr>
            <w:tcW w:w="5954" w:type="dxa"/>
          </w:tcPr>
          <w:p w:rsidR="008E041A" w:rsidRPr="00C215EB" w:rsidRDefault="008E041A" w:rsidP="00A04BA8">
            <w:pPr>
              <w:spacing w:beforeLines="40" w:before="96" w:afterLines="40" w:after="96"/>
              <w:rPr>
                <w:rFonts w:ascii="Times New Roman" w:hAnsi="Times New Roman" w:cs="Times New Roman"/>
                <w:bCs/>
                <w:szCs w:val="24"/>
                <w:lang w:val="en-US"/>
              </w:rPr>
            </w:pPr>
            <w:r w:rsidRPr="00C215EB">
              <w:rPr>
                <w:rFonts w:ascii="Times New Roman" w:hAnsi="Times New Roman" w:cs="Times New Roman"/>
                <w:szCs w:val="24"/>
                <w:lang w:val="en-US"/>
              </w:rPr>
              <w:t>n/a</w:t>
            </w:r>
          </w:p>
        </w:tc>
        <w:tc>
          <w:tcPr>
            <w:tcW w:w="2835" w:type="dxa"/>
          </w:tcPr>
          <w:p w:rsidR="008E041A" w:rsidRPr="00C215EB" w:rsidRDefault="008E041A" w:rsidP="00A04BA8">
            <w:pPr>
              <w:spacing w:beforeLines="40" w:before="96" w:afterLines="40" w:after="96"/>
              <w:ind w:right="493"/>
              <w:rPr>
                <w:rFonts w:ascii="Times New Roman" w:hAnsi="Times New Roman" w:cs="Times New Roman"/>
                <w:bCs/>
                <w:szCs w:val="24"/>
                <w:lang w:val="en-US"/>
              </w:rPr>
            </w:pPr>
            <w:r w:rsidRPr="00C215EB">
              <w:rPr>
                <w:rFonts w:ascii="Times New Roman" w:hAnsi="Times New Roman" w:cs="Times New Roman"/>
                <w:szCs w:val="24"/>
                <w:lang w:val="en-US"/>
              </w:rPr>
              <w:t>n/a</w:t>
            </w:r>
          </w:p>
        </w:tc>
      </w:tr>
      <w:tr w:rsidR="008E041A" w:rsidRPr="00C215EB" w:rsidTr="00C215EB">
        <w:trPr>
          <w:cantSplit/>
        </w:trPr>
        <w:tc>
          <w:tcPr>
            <w:tcW w:w="2136"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2-Methylpentanoic acid</w:t>
            </w:r>
          </w:p>
        </w:tc>
        <w:tc>
          <w:tcPr>
            <w:tcW w:w="1408" w:type="dxa"/>
          </w:tcPr>
          <w:p w:rsidR="008E041A" w:rsidRPr="00C215EB" w:rsidRDefault="008E041A" w:rsidP="00C215EB">
            <w:pPr>
              <w:spacing w:beforeLines="40" w:before="96" w:afterLines="40" w:after="96"/>
              <w:jc w:val="center"/>
              <w:rPr>
                <w:rFonts w:ascii="Times New Roman" w:hAnsi="Times New Roman" w:cs="Times New Roman"/>
                <w:bCs/>
                <w:szCs w:val="24"/>
                <w:lang w:val="en-US"/>
              </w:rPr>
            </w:pPr>
            <w:r w:rsidRPr="00C215EB">
              <w:rPr>
                <w:rFonts w:ascii="Times New Roman" w:hAnsi="Times New Roman" w:cs="Times New Roman"/>
                <w:szCs w:val="24"/>
                <w:lang w:val="en-US"/>
              </w:rPr>
              <w:t>116.16</w:t>
            </w:r>
          </w:p>
        </w:tc>
        <w:tc>
          <w:tcPr>
            <w:tcW w:w="141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bCs/>
                <w:szCs w:val="24"/>
                <w:lang w:val="en-US"/>
              </w:rPr>
              <w:t xml:space="preserve">15 g/L (20 °C) </w:t>
            </w:r>
            <w:r w:rsidRPr="00C215EB">
              <w:rPr>
                <w:rFonts w:ascii="Times New Roman" w:hAnsi="Times New Roman" w:cs="Times New Roman"/>
                <w:bCs/>
                <w:szCs w:val="24"/>
                <w:vertAlign w:val="superscript"/>
                <w:lang w:val="en-US"/>
              </w:rPr>
              <w:t>§</w:t>
            </w:r>
          </w:p>
        </w:tc>
        <w:tc>
          <w:tcPr>
            <w:tcW w:w="992"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bCs/>
                <w:szCs w:val="24"/>
                <w:lang w:val="en-US"/>
              </w:rPr>
              <w:t xml:space="preserve">1.80 </w:t>
            </w:r>
            <w:r w:rsidRPr="00C215EB">
              <w:rPr>
                <w:rFonts w:ascii="Times New Roman" w:hAnsi="Times New Roman" w:cs="Times New Roman"/>
                <w:bCs/>
                <w:szCs w:val="24"/>
                <w:vertAlign w:val="superscript"/>
                <w:lang w:val="en-US"/>
              </w:rPr>
              <w:t>$</w:t>
            </w:r>
          </w:p>
        </w:tc>
        <w:tc>
          <w:tcPr>
            <w:tcW w:w="5954" w:type="dxa"/>
          </w:tcPr>
          <w:p w:rsidR="008E041A" w:rsidRPr="00C215EB" w:rsidRDefault="008E041A" w:rsidP="00A04BA8">
            <w:pPr>
              <w:spacing w:beforeLines="40" w:before="96" w:afterLines="40" w:after="96"/>
              <w:rPr>
                <w:rFonts w:ascii="Times New Roman" w:hAnsi="Times New Roman" w:cs="Times New Roman"/>
                <w:bCs/>
                <w:szCs w:val="24"/>
                <w:lang w:val="en-US"/>
              </w:rPr>
            </w:pPr>
            <w:r w:rsidRPr="00C215EB">
              <w:rPr>
                <w:rFonts w:ascii="Times New Roman" w:hAnsi="Times New Roman" w:cs="Times New Roman"/>
                <w:szCs w:val="24"/>
                <w:lang w:val="en-US"/>
              </w:rPr>
              <w:t>n/a</w:t>
            </w:r>
          </w:p>
        </w:tc>
        <w:tc>
          <w:tcPr>
            <w:tcW w:w="2835" w:type="dxa"/>
          </w:tcPr>
          <w:p w:rsidR="008E041A" w:rsidRPr="00C215EB" w:rsidRDefault="008E041A" w:rsidP="00A04BA8">
            <w:pPr>
              <w:spacing w:beforeLines="40" w:before="96" w:afterLines="40" w:after="96"/>
              <w:ind w:right="493"/>
              <w:rPr>
                <w:rFonts w:ascii="Times New Roman" w:hAnsi="Times New Roman" w:cs="Times New Roman"/>
                <w:bCs/>
                <w:szCs w:val="24"/>
                <w:lang w:val="en-US"/>
              </w:rPr>
            </w:pPr>
            <w:r w:rsidRPr="00C215EB">
              <w:rPr>
                <w:rFonts w:ascii="Times New Roman" w:hAnsi="Times New Roman" w:cs="Times New Roman"/>
                <w:szCs w:val="24"/>
                <w:lang w:val="en-US"/>
              </w:rPr>
              <w:t>n/a</w:t>
            </w:r>
          </w:p>
        </w:tc>
      </w:tr>
      <w:tr w:rsidR="008E041A" w:rsidRPr="00C215EB" w:rsidTr="00C215EB">
        <w:trPr>
          <w:cantSplit/>
        </w:trPr>
        <w:tc>
          <w:tcPr>
            <w:tcW w:w="2136"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lastRenderedPageBreak/>
              <w:t>1-Methyl-4-phenyl-pyridinium iodide</w:t>
            </w:r>
          </w:p>
        </w:tc>
        <w:tc>
          <w:tcPr>
            <w:tcW w:w="140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297.14</w:t>
            </w:r>
          </w:p>
        </w:tc>
        <w:tc>
          <w:tcPr>
            <w:tcW w:w="1418" w:type="dxa"/>
          </w:tcPr>
          <w:p w:rsidR="008E041A" w:rsidRPr="00C215EB" w:rsidRDefault="008E041A" w:rsidP="00C215EB">
            <w:pPr>
              <w:spacing w:beforeLines="40" w:before="96" w:afterLines="40" w:after="96"/>
              <w:jc w:val="center"/>
              <w:rPr>
                <w:rFonts w:ascii="Times New Roman" w:hAnsi="Times New Roman" w:cs="Times New Roman"/>
                <w:bCs/>
                <w:szCs w:val="24"/>
                <w:lang w:val="en-US"/>
              </w:rPr>
            </w:pPr>
            <w:r w:rsidRPr="00C215EB">
              <w:rPr>
                <w:rFonts w:ascii="Times New Roman" w:hAnsi="Times New Roman" w:cs="Times New Roman"/>
                <w:szCs w:val="24"/>
                <w:lang w:val="en-US"/>
              </w:rPr>
              <w:t>10 mg/mL</w:t>
            </w:r>
          </w:p>
        </w:tc>
        <w:tc>
          <w:tcPr>
            <w:tcW w:w="992" w:type="dxa"/>
          </w:tcPr>
          <w:p w:rsidR="008E041A" w:rsidRPr="00C215EB" w:rsidRDefault="008E041A" w:rsidP="00A04BA8">
            <w:pPr>
              <w:spacing w:beforeLines="40" w:before="96" w:afterLines="40" w:after="96"/>
              <w:rPr>
                <w:rFonts w:ascii="Times New Roman" w:hAnsi="Times New Roman" w:cs="Times New Roman"/>
                <w:bCs/>
                <w:szCs w:val="24"/>
                <w:lang w:val="en-US"/>
              </w:rPr>
            </w:pPr>
            <w:r w:rsidRPr="00C215EB">
              <w:rPr>
                <w:rFonts w:ascii="Times New Roman" w:hAnsi="Times New Roman" w:cs="Times New Roman"/>
                <w:szCs w:val="24"/>
                <w:lang w:val="en-US"/>
              </w:rPr>
              <w:t>n/a</w:t>
            </w:r>
          </w:p>
        </w:tc>
        <w:tc>
          <w:tcPr>
            <w:tcW w:w="5954" w:type="dxa"/>
          </w:tcPr>
          <w:p w:rsidR="008E041A" w:rsidRPr="00C215EB" w:rsidRDefault="008E041A" w:rsidP="00A04BA8">
            <w:pPr>
              <w:spacing w:beforeLines="40" w:before="96" w:afterLines="40" w:after="96"/>
              <w:rPr>
                <w:rFonts w:ascii="Times New Roman" w:hAnsi="Times New Roman" w:cs="Times New Roman"/>
                <w:bCs/>
                <w:szCs w:val="24"/>
                <w:lang w:val="en-US"/>
              </w:rPr>
            </w:pPr>
            <w:r w:rsidRPr="00C215EB">
              <w:rPr>
                <w:rFonts w:ascii="Times New Roman" w:hAnsi="Times New Roman" w:cs="Times New Roman"/>
                <w:szCs w:val="24"/>
                <w:lang w:val="en-US"/>
              </w:rPr>
              <w:t xml:space="preserve">Water-soluble iodide salt </w:t>
            </w:r>
            <w:r w:rsidRPr="00C215EB">
              <w:rPr>
                <w:rFonts w:ascii="Times New Roman" w:hAnsi="Times New Roman" w:cs="Times New Roman"/>
                <w:szCs w:val="24"/>
                <w:vertAlign w:val="superscript"/>
                <w:lang w:val="en-US"/>
              </w:rPr>
              <w:t>+</w:t>
            </w:r>
          </w:p>
        </w:tc>
        <w:tc>
          <w:tcPr>
            <w:tcW w:w="2835" w:type="dxa"/>
          </w:tcPr>
          <w:p w:rsidR="008E041A" w:rsidRPr="00C215EB" w:rsidRDefault="008E041A" w:rsidP="00A04BA8">
            <w:pPr>
              <w:spacing w:beforeLines="40" w:before="96" w:afterLines="40" w:after="96"/>
              <w:ind w:right="493"/>
              <w:rPr>
                <w:rFonts w:ascii="Times New Roman" w:hAnsi="Times New Roman" w:cs="Times New Roman"/>
                <w:bCs/>
                <w:szCs w:val="24"/>
                <w:lang w:val="en-US"/>
              </w:rPr>
            </w:pPr>
            <w:r w:rsidRPr="00C215EB">
              <w:rPr>
                <w:rFonts w:ascii="Times New Roman" w:hAnsi="Times New Roman" w:cs="Times New Roman"/>
                <w:szCs w:val="24"/>
                <w:lang w:val="en-US"/>
              </w:rPr>
              <w:t>n/a</w:t>
            </w:r>
          </w:p>
        </w:tc>
      </w:tr>
      <w:tr w:rsidR="008E041A" w:rsidRPr="00C215EB" w:rsidTr="00C215EB">
        <w:trPr>
          <w:cantSplit/>
        </w:trPr>
        <w:tc>
          <w:tcPr>
            <w:tcW w:w="2136"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1-Octanol</w:t>
            </w:r>
          </w:p>
        </w:tc>
        <w:tc>
          <w:tcPr>
            <w:tcW w:w="140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130.23</w:t>
            </w:r>
          </w:p>
        </w:tc>
        <w:tc>
          <w:tcPr>
            <w:tcW w:w="1418" w:type="dxa"/>
          </w:tcPr>
          <w:p w:rsidR="008E041A" w:rsidRPr="00C215EB" w:rsidRDefault="008E041A" w:rsidP="00C215EB">
            <w:pPr>
              <w:spacing w:beforeLines="40" w:before="96" w:afterLines="40" w:after="96"/>
              <w:jc w:val="center"/>
              <w:rPr>
                <w:rFonts w:ascii="Times New Roman" w:hAnsi="Times New Roman" w:cs="Times New Roman"/>
                <w:bCs/>
                <w:szCs w:val="24"/>
                <w:lang w:val="en-US"/>
              </w:rPr>
            </w:pPr>
            <w:r w:rsidRPr="00C215EB">
              <w:rPr>
                <w:rFonts w:ascii="Times New Roman" w:hAnsi="Times New Roman" w:cs="Times New Roman"/>
                <w:szCs w:val="24"/>
                <w:lang w:val="en-US"/>
              </w:rPr>
              <w:t>540 mg/L (25 °C)</w:t>
            </w:r>
          </w:p>
        </w:tc>
        <w:tc>
          <w:tcPr>
            <w:tcW w:w="992" w:type="dxa"/>
          </w:tcPr>
          <w:p w:rsidR="008E041A" w:rsidRPr="00C215EB" w:rsidRDefault="008E041A" w:rsidP="00A04BA8">
            <w:pPr>
              <w:spacing w:beforeLines="40" w:before="96" w:afterLines="40" w:after="96"/>
              <w:rPr>
                <w:rFonts w:ascii="Times New Roman" w:hAnsi="Times New Roman" w:cs="Times New Roman"/>
                <w:bCs/>
                <w:szCs w:val="24"/>
                <w:lang w:val="en-US"/>
              </w:rPr>
            </w:pPr>
            <w:r w:rsidRPr="00C215EB">
              <w:rPr>
                <w:rFonts w:ascii="Times New Roman" w:hAnsi="Times New Roman" w:cs="Times New Roman"/>
                <w:szCs w:val="24"/>
                <w:lang w:val="en-US"/>
              </w:rPr>
              <w:t>3.00</w:t>
            </w:r>
          </w:p>
        </w:tc>
        <w:tc>
          <w:tcPr>
            <w:tcW w:w="5954" w:type="dxa"/>
          </w:tcPr>
          <w:p w:rsidR="008E041A" w:rsidRPr="00C215EB" w:rsidRDefault="008E041A" w:rsidP="00A04BA8">
            <w:pPr>
              <w:spacing w:beforeLines="40" w:before="96" w:afterLines="40" w:after="96"/>
              <w:rPr>
                <w:rFonts w:ascii="Times New Roman" w:hAnsi="Times New Roman" w:cs="Times New Roman"/>
                <w:bCs/>
                <w:szCs w:val="24"/>
                <w:lang w:val="en-US"/>
              </w:rPr>
            </w:pPr>
            <w:r w:rsidRPr="00C215EB">
              <w:rPr>
                <w:rFonts w:ascii="Times New Roman" w:hAnsi="Times New Roman" w:cs="Times New Roman"/>
                <w:szCs w:val="24"/>
                <w:lang w:val="en-US"/>
              </w:rPr>
              <w:t xml:space="preserve">Volatilization from surface water expected, in river and lakes 43h – 1 7d half-life. Bioconcentration potential moderate. Hydrolysis not expected </w:t>
            </w:r>
            <w:r w:rsidRPr="00C215EB">
              <w:rPr>
                <w:rFonts w:ascii="Times New Roman" w:hAnsi="Times New Roman" w:cs="Times New Roman"/>
                <w:szCs w:val="24"/>
                <w:vertAlign w:val="superscript"/>
                <w:lang w:val="en-US"/>
              </w:rPr>
              <w:t>#</w:t>
            </w:r>
          </w:p>
        </w:tc>
        <w:tc>
          <w:tcPr>
            <w:tcW w:w="2835" w:type="dxa"/>
          </w:tcPr>
          <w:p w:rsidR="008E041A" w:rsidRPr="00C215EB" w:rsidRDefault="008E041A" w:rsidP="00A04BA8">
            <w:pPr>
              <w:spacing w:beforeLines="40" w:before="96" w:afterLines="40" w:after="96"/>
              <w:ind w:right="493"/>
              <w:rPr>
                <w:rFonts w:ascii="Times New Roman" w:hAnsi="Times New Roman" w:cs="Times New Roman"/>
                <w:bCs/>
                <w:szCs w:val="24"/>
                <w:lang w:val="en-US"/>
              </w:rPr>
            </w:pPr>
            <w:r w:rsidRPr="00C215EB">
              <w:rPr>
                <w:rFonts w:ascii="Times New Roman" w:hAnsi="Times New Roman" w:cs="Times New Roman"/>
                <w:szCs w:val="24"/>
                <w:lang w:val="en-US"/>
              </w:rPr>
              <w:t>Not expected to adsorb to suspended solids and sediments</w:t>
            </w:r>
          </w:p>
        </w:tc>
      </w:tr>
      <w:tr w:rsidR="008E041A" w:rsidRPr="00C215EB" w:rsidTr="00C215EB">
        <w:trPr>
          <w:cantSplit/>
        </w:trPr>
        <w:tc>
          <w:tcPr>
            <w:tcW w:w="2136"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Paracetamol</w:t>
            </w:r>
          </w:p>
        </w:tc>
        <w:tc>
          <w:tcPr>
            <w:tcW w:w="140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151.165</w:t>
            </w:r>
          </w:p>
        </w:tc>
        <w:tc>
          <w:tcPr>
            <w:tcW w:w="141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14 g/L (20 °C)</w:t>
            </w:r>
          </w:p>
        </w:tc>
        <w:tc>
          <w:tcPr>
            <w:tcW w:w="992"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0.46</w:t>
            </w:r>
          </w:p>
        </w:tc>
        <w:tc>
          <w:tcPr>
            <w:tcW w:w="5954"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 xml:space="preserve">Lacks functional groups for hydrolysis </w:t>
            </w:r>
            <w:r w:rsidRPr="00C215EB">
              <w:rPr>
                <w:rFonts w:ascii="Times New Roman" w:hAnsi="Times New Roman" w:cs="Times New Roman"/>
                <w:szCs w:val="24"/>
                <w:vertAlign w:val="superscript"/>
                <w:lang w:val="en-US"/>
              </w:rPr>
              <w:t>#</w:t>
            </w:r>
            <w:r w:rsidRPr="00C215EB">
              <w:rPr>
                <w:rFonts w:ascii="Times New Roman" w:hAnsi="Times New Roman" w:cs="Times New Roman"/>
                <w:szCs w:val="24"/>
                <w:lang w:val="en-US"/>
              </w:rPr>
              <w:t>. Readily biodegradable *</w:t>
            </w:r>
          </w:p>
        </w:tc>
        <w:tc>
          <w:tcPr>
            <w:tcW w:w="2835" w:type="dxa"/>
          </w:tcPr>
          <w:p w:rsidR="008E041A" w:rsidRPr="00C215EB" w:rsidRDefault="008E041A" w:rsidP="00A04BA8">
            <w:pPr>
              <w:spacing w:beforeLines="40" w:before="96" w:afterLines="40" w:after="96"/>
              <w:ind w:right="493"/>
              <w:rPr>
                <w:rFonts w:ascii="Times New Roman" w:hAnsi="Times New Roman" w:cs="Times New Roman"/>
                <w:szCs w:val="24"/>
                <w:lang w:val="en-US"/>
              </w:rPr>
            </w:pPr>
            <w:r w:rsidRPr="00C215EB">
              <w:rPr>
                <w:rFonts w:ascii="Times New Roman" w:hAnsi="Times New Roman" w:cs="Times New Roman"/>
                <w:szCs w:val="24"/>
                <w:lang w:val="en-US"/>
              </w:rPr>
              <w:t>Not expected to adsorb to suspended solids and sediments</w:t>
            </w:r>
          </w:p>
        </w:tc>
      </w:tr>
      <w:tr w:rsidR="008E041A" w:rsidRPr="00C215EB" w:rsidTr="00C215EB">
        <w:trPr>
          <w:cantSplit/>
        </w:trPr>
        <w:tc>
          <w:tcPr>
            <w:tcW w:w="2136"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Paraquat</w:t>
            </w:r>
          </w:p>
        </w:tc>
        <w:tc>
          <w:tcPr>
            <w:tcW w:w="140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257.16</w:t>
            </w:r>
          </w:p>
        </w:tc>
        <w:tc>
          <w:tcPr>
            <w:tcW w:w="141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700 mg/mL (20 °C)</w:t>
            </w:r>
          </w:p>
        </w:tc>
        <w:tc>
          <w:tcPr>
            <w:tcW w:w="992"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- 4.22</w:t>
            </w:r>
          </w:p>
        </w:tc>
        <w:tc>
          <w:tcPr>
            <w:tcW w:w="5954"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 xml:space="preserve">Hydrolysis and direct photolysis not expected </w:t>
            </w:r>
            <w:r w:rsidRPr="00C215EB">
              <w:rPr>
                <w:rFonts w:ascii="Times New Roman" w:hAnsi="Times New Roman" w:cs="Times New Roman"/>
                <w:szCs w:val="24"/>
                <w:vertAlign w:val="superscript"/>
                <w:lang w:val="en-US"/>
              </w:rPr>
              <w:t>#</w:t>
            </w:r>
          </w:p>
        </w:tc>
        <w:tc>
          <w:tcPr>
            <w:tcW w:w="2835" w:type="dxa"/>
          </w:tcPr>
          <w:p w:rsidR="008E041A" w:rsidRPr="00C215EB" w:rsidRDefault="008E041A" w:rsidP="00A04BA8">
            <w:pPr>
              <w:spacing w:beforeLines="40" w:before="96" w:afterLines="40" w:after="96"/>
              <w:ind w:right="493"/>
              <w:rPr>
                <w:rFonts w:ascii="Times New Roman" w:hAnsi="Times New Roman" w:cs="Times New Roman"/>
                <w:szCs w:val="24"/>
                <w:lang w:val="en-US"/>
              </w:rPr>
            </w:pPr>
            <w:r w:rsidRPr="00C215EB">
              <w:rPr>
                <w:rFonts w:ascii="Times New Roman" w:hAnsi="Times New Roman" w:cs="Times New Roman"/>
                <w:szCs w:val="24"/>
                <w:lang w:val="en-US"/>
              </w:rPr>
              <w:t>Expected to adsorb to suspended solids and sediments</w:t>
            </w:r>
          </w:p>
        </w:tc>
      </w:tr>
      <w:tr w:rsidR="008E041A" w:rsidRPr="00C215EB" w:rsidTr="00C215EB">
        <w:trPr>
          <w:cantSplit/>
        </w:trPr>
        <w:tc>
          <w:tcPr>
            <w:tcW w:w="2136" w:type="dxa"/>
            <w:shd w:val="clear" w:color="auto" w:fill="auto"/>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4-Pentenoic acid</w:t>
            </w:r>
          </w:p>
        </w:tc>
        <w:tc>
          <w:tcPr>
            <w:tcW w:w="1408" w:type="dxa"/>
          </w:tcPr>
          <w:p w:rsidR="008E041A" w:rsidRPr="00C215EB" w:rsidRDefault="008E041A" w:rsidP="00C215EB">
            <w:pPr>
              <w:spacing w:beforeLines="40" w:before="96" w:afterLines="40" w:after="96"/>
              <w:jc w:val="center"/>
              <w:rPr>
                <w:rFonts w:ascii="Times New Roman" w:hAnsi="Times New Roman" w:cs="Times New Roman"/>
                <w:bCs/>
                <w:szCs w:val="24"/>
                <w:lang w:val="en-US"/>
              </w:rPr>
            </w:pPr>
            <w:r w:rsidRPr="00C215EB">
              <w:rPr>
                <w:rFonts w:ascii="Times New Roman" w:hAnsi="Times New Roman" w:cs="Times New Roman"/>
                <w:szCs w:val="24"/>
                <w:lang w:val="en-US"/>
              </w:rPr>
              <w:t>100.12</w:t>
            </w:r>
          </w:p>
        </w:tc>
        <w:tc>
          <w:tcPr>
            <w:tcW w:w="141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bCs/>
                <w:szCs w:val="24"/>
                <w:lang w:val="en-US"/>
              </w:rPr>
              <w:t xml:space="preserve">Insoluble </w:t>
            </w:r>
            <w:r w:rsidRPr="00C215EB">
              <w:rPr>
                <w:rFonts w:ascii="Times New Roman" w:hAnsi="Times New Roman" w:cs="Times New Roman"/>
                <w:szCs w:val="24"/>
                <w:vertAlign w:val="superscript"/>
                <w:lang w:val="en-US"/>
              </w:rPr>
              <w:t>҂</w:t>
            </w:r>
          </w:p>
        </w:tc>
        <w:tc>
          <w:tcPr>
            <w:tcW w:w="992"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bCs/>
                <w:szCs w:val="24"/>
                <w:lang w:val="en-US"/>
              </w:rPr>
              <w:t>1.42</w:t>
            </w:r>
          </w:p>
        </w:tc>
        <w:tc>
          <w:tcPr>
            <w:tcW w:w="5954"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 xml:space="preserve">Estimated bioconcentration factor: 7, bioaccumulation in aquatic animals is low. Lacks functional groups for hydrolysis </w:t>
            </w:r>
            <w:r w:rsidRPr="00C215EB">
              <w:rPr>
                <w:rFonts w:ascii="Times New Roman" w:hAnsi="Times New Roman" w:cs="Times New Roman"/>
                <w:szCs w:val="24"/>
                <w:vertAlign w:val="superscript"/>
                <w:lang w:val="en-US"/>
              </w:rPr>
              <w:t>#</w:t>
            </w:r>
          </w:p>
        </w:tc>
        <w:tc>
          <w:tcPr>
            <w:tcW w:w="2835" w:type="dxa"/>
          </w:tcPr>
          <w:p w:rsidR="008E041A" w:rsidRPr="00C215EB" w:rsidRDefault="008E041A" w:rsidP="00A04BA8">
            <w:pPr>
              <w:spacing w:beforeLines="40" w:before="96" w:afterLines="40" w:after="96"/>
              <w:ind w:right="493"/>
              <w:rPr>
                <w:rFonts w:ascii="Times New Roman" w:hAnsi="Times New Roman" w:cs="Times New Roman"/>
                <w:szCs w:val="24"/>
                <w:lang w:val="en-US"/>
              </w:rPr>
            </w:pPr>
            <w:r w:rsidRPr="00C215EB">
              <w:rPr>
                <w:rFonts w:ascii="Times New Roman" w:hAnsi="Times New Roman" w:cs="Times New Roman"/>
                <w:szCs w:val="24"/>
                <w:lang w:val="en-US"/>
              </w:rPr>
              <w:t>Expected to adsorb to suspended solids and sediments</w:t>
            </w:r>
          </w:p>
        </w:tc>
      </w:tr>
      <w:tr w:rsidR="008E041A" w:rsidRPr="00C215EB" w:rsidTr="00C215EB">
        <w:trPr>
          <w:cantSplit/>
        </w:trPr>
        <w:tc>
          <w:tcPr>
            <w:tcW w:w="2136"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Polychlorinated biphenyl 180</w:t>
            </w:r>
          </w:p>
        </w:tc>
        <w:tc>
          <w:tcPr>
            <w:tcW w:w="140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395.31</w:t>
            </w:r>
          </w:p>
        </w:tc>
        <w:tc>
          <w:tcPr>
            <w:tcW w:w="141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Insoluble</w:t>
            </w:r>
          </w:p>
        </w:tc>
        <w:tc>
          <w:tcPr>
            <w:tcW w:w="992"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n/a</w:t>
            </w:r>
          </w:p>
        </w:tc>
        <w:tc>
          <w:tcPr>
            <w:tcW w:w="5954"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 xml:space="preserve">Chemically very inert </w:t>
            </w:r>
            <w:r w:rsidRPr="00C215EB">
              <w:rPr>
                <w:rFonts w:ascii="Times New Roman" w:hAnsi="Times New Roman" w:cs="Times New Roman"/>
                <w:szCs w:val="24"/>
                <w:vertAlign w:val="superscript"/>
                <w:lang w:val="en-US"/>
              </w:rPr>
              <w:t>#</w:t>
            </w:r>
          </w:p>
        </w:tc>
        <w:tc>
          <w:tcPr>
            <w:tcW w:w="2835" w:type="dxa"/>
          </w:tcPr>
          <w:p w:rsidR="008E041A" w:rsidRPr="00C215EB" w:rsidRDefault="008E041A" w:rsidP="00A04BA8">
            <w:pPr>
              <w:spacing w:beforeLines="40" w:before="96" w:afterLines="40" w:after="96"/>
              <w:ind w:right="493"/>
              <w:rPr>
                <w:rFonts w:ascii="Times New Roman" w:hAnsi="Times New Roman" w:cs="Times New Roman"/>
                <w:szCs w:val="24"/>
                <w:lang w:val="en-US"/>
              </w:rPr>
            </w:pPr>
            <w:r w:rsidRPr="00C215EB">
              <w:rPr>
                <w:rFonts w:ascii="Times New Roman" w:hAnsi="Times New Roman" w:cs="Times New Roman"/>
                <w:szCs w:val="24"/>
                <w:lang w:val="en-US"/>
              </w:rPr>
              <w:t>n/a</w:t>
            </w:r>
          </w:p>
        </w:tc>
      </w:tr>
      <w:tr w:rsidR="008E041A" w:rsidRPr="00C215EB" w:rsidTr="00C215EB">
        <w:trPr>
          <w:cantSplit/>
        </w:trPr>
        <w:tc>
          <w:tcPr>
            <w:tcW w:w="2136"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Prochloraz</w:t>
            </w:r>
          </w:p>
        </w:tc>
        <w:tc>
          <w:tcPr>
            <w:tcW w:w="140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376.66</w:t>
            </w:r>
          </w:p>
        </w:tc>
        <w:tc>
          <w:tcPr>
            <w:tcW w:w="141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0.009 mg/mL</w:t>
            </w:r>
          </w:p>
        </w:tc>
        <w:tc>
          <w:tcPr>
            <w:tcW w:w="992"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3.78</w:t>
            </w:r>
          </w:p>
        </w:tc>
        <w:tc>
          <w:tcPr>
            <w:tcW w:w="5954"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n/a</w:t>
            </w:r>
          </w:p>
        </w:tc>
        <w:tc>
          <w:tcPr>
            <w:tcW w:w="2835" w:type="dxa"/>
          </w:tcPr>
          <w:p w:rsidR="008E041A" w:rsidRPr="00C215EB" w:rsidRDefault="008E041A" w:rsidP="00A04BA8">
            <w:pPr>
              <w:spacing w:beforeLines="40" w:before="96" w:afterLines="40" w:after="96"/>
              <w:ind w:right="493"/>
              <w:rPr>
                <w:rFonts w:ascii="Times New Roman" w:hAnsi="Times New Roman" w:cs="Times New Roman"/>
                <w:szCs w:val="24"/>
                <w:lang w:val="en-US"/>
              </w:rPr>
            </w:pPr>
            <w:r w:rsidRPr="00C215EB">
              <w:rPr>
                <w:rFonts w:ascii="Times New Roman" w:hAnsi="Times New Roman" w:cs="Times New Roman"/>
                <w:szCs w:val="24"/>
                <w:lang w:val="en-US"/>
              </w:rPr>
              <w:t>n/a</w:t>
            </w:r>
          </w:p>
        </w:tc>
      </w:tr>
      <w:tr w:rsidR="008E041A" w:rsidRPr="00C215EB" w:rsidTr="00C215EB">
        <w:trPr>
          <w:cantSplit/>
        </w:trPr>
        <w:tc>
          <w:tcPr>
            <w:tcW w:w="2136" w:type="dxa"/>
            <w:shd w:val="clear" w:color="auto" w:fill="auto"/>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2-Propylheptanoic acid</w:t>
            </w:r>
          </w:p>
        </w:tc>
        <w:tc>
          <w:tcPr>
            <w:tcW w:w="1408" w:type="dxa"/>
          </w:tcPr>
          <w:p w:rsidR="008E041A" w:rsidRPr="00C215EB" w:rsidRDefault="008E041A" w:rsidP="00C215EB">
            <w:pPr>
              <w:spacing w:beforeLines="40" w:before="96" w:afterLines="40" w:after="96"/>
              <w:jc w:val="center"/>
              <w:rPr>
                <w:rFonts w:ascii="Times New Roman" w:hAnsi="Times New Roman" w:cs="Times New Roman"/>
                <w:bCs/>
                <w:szCs w:val="24"/>
                <w:lang w:val="en-US"/>
              </w:rPr>
            </w:pPr>
            <w:r w:rsidRPr="00C215EB">
              <w:rPr>
                <w:rFonts w:ascii="Times New Roman" w:hAnsi="Times New Roman" w:cs="Times New Roman"/>
                <w:szCs w:val="24"/>
                <w:lang w:val="en-US"/>
              </w:rPr>
              <w:t>172.27</w:t>
            </w:r>
          </w:p>
        </w:tc>
        <w:tc>
          <w:tcPr>
            <w:tcW w:w="141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bCs/>
                <w:szCs w:val="24"/>
                <w:lang w:val="en-US"/>
              </w:rPr>
              <w:t>n/a</w:t>
            </w:r>
          </w:p>
        </w:tc>
        <w:tc>
          <w:tcPr>
            <w:tcW w:w="992"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bCs/>
                <w:szCs w:val="24"/>
                <w:lang w:val="en-US"/>
              </w:rPr>
              <w:t>3.20 “</w:t>
            </w:r>
          </w:p>
        </w:tc>
        <w:tc>
          <w:tcPr>
            <w:tcW w:w="5954" w:type="dxa"/>
          </w:tcPr>
          <w:p w:rsidR="008E041A" w:rsidRPr="00C215EB" w:rsidRDefault="008E041A" w:rsidP="00A04BA8">
            <w:pPr>
              <w:spacing w:beforeLines="40" w:before="96" w:afterLines="40" w:after="96"/>
              <w:rPr>
                <w:rFonts w:ascii="Times New Roman" w:hAnsi="Times New Roman" w:cs="Times New Roman"/>
                <w:bCs/>
                <w:szCs w:val="24"/>
                <w:lang w:val="en-US"/>
              </w:rPr>
            </w:pPr>
            <w:r w:rsidRPr="00C215EB">
              <w:rPr>
                <w:rFonts w:ascii="Times New Roman" w:hAnsi="Times New Roman" w:cs="Times New Roman"/>
                <w:bCs/>
                <w:szCs w:val="24"/>
                <w:lang w:val="en-US"/>
              </w:rPr>
              <w:t>Stable at temperatures between 2 and 8°C +</w:t>
            </w:r>
          </w:p>
        </w:tc>
        <w:tc>
          <w:tcPr>
            <w:tcW w:w="2835" w:type="dxa"/>
          </w:tcPr>
          <w:p w:rsidR="008E041A" w:rsidRPr="00C215EB" w:rsidRDefault="008E041A" w:rsidP="00A04BA8">
            <w:pPr>
              <w:spacing w:beforeLines="40" w:before="96" w:afterLines="40" w:after="96"/>
              <w:ind w:right="493"/>
              <w:rPr>
                <w:rFonts w:ascii="Times New Roman" w:hAnsi="Times New Roman" w:cs="Times New Roman"/>
                <w:bCs/>
                <w:szCs w:val="24"/>
                <w:lang w:val="en-US"/>
              </w:rPr>
            </w:pPr>
            <w:r w:rsidRPr="00C215EB">
              <w:rPr>
                <w:rFonts w:ascii="Times New Roman" w:hAnsi="Times New Roman" w:cs="Times New Roman"/>
                <w:bCs/>
                <w:szCs w:val="24"/>
                <w:lang w:val="en-US"/>
              </w:rPr>
              <w:t>Not considered to be persistent, bioaccumulative or toxic at levels of 0.1% or higher +</w:t>
            </w:r>
          </w:p>
        </w:tc>
      </w:tr>
      <w:tr w:rsidR="008E041A" w:rsidRPr="00C215EB" w:rsidTr="00C215EB">
        <w:trPr>
          <w:cantSplit/>
        </w:trPr>
        <w:tc>
          <w:tcPr>
            <w:tcW w:w="2136"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Rifampicin</w:t>
            </w:r>
          </w:p>
        </w:tc>
        <w:tc>
          <w:tcPr>
            <w:tcW w:w="140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822.95</w:t>
            </w:r>
          </w:p>
        </w:tc>
        <w:tc>
          <w:tcPr>
            <w:tcW w:w="141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1400 mg/L (25 °C)</w:t>
            </w:r>
          </w:p>
        </w:tc>
        <w:tc>
          <w:tcPr>
            <w:tcW w:w="992"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4.24</w:t>
            </w:r>
          </w:p>
        </w:tc>
        <w:tc>
          <w:tcPr>
            <w:tcW w:w="5954"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 xml:space="preserve">10 mg/ml in DMSO at 20°C, pH 8: stable for about 8 months </w:t>
            </w:r>
            <w:r w:rsidRPr="00C215EB">
              <w:rPr>
                <w:rFonts w:ascii="Times New Roman" w:hAnsi="Times New Roman" w:cs="Times New Roman"/>
                <w:szCs w:val="24"/>
                <w:vertAlign w:val="superscript"/>
                <w:lang w:val="en-US"/>
              </w:rPr>
              <w:t>+</w:t>
            </w:r>
            <w:r w:rsidRPr="00C215EB">
              <w:rPr>
                <w:rFonts w:ascii="Times New Roman" w:hAnsi="Times New Roman" w:cs="Times New Roman"/>
                <w:szCs w:val="24"/>
                <w:lang w:val="en-US"/>
              </w:rPr>
              <w:t>. Not readily biodegradable *</w:t>
            </w:r>
          </w:p>
        </w:tc>
        <w:tc>
          <w:tcPr>
            <w:tcW w:w="2835" w:type="dxa"/>
          </w:tcPr>
          <w:p w:rsidR="008E041A" w:rsidRPr="00C215EB" w:rsidRDefault="008E041A" w:rsidP="00A04BA8">
            <w:pPr>
              <w:spacing w:beforeLines="40" w:before="96" w:afterLines="40" w:after="96"/>
              <w:ind w:right="493"/>
              <w:rPr>
                <w:rFonts w:ascii="Times New Roman" w:hAnsi="Times New Roman" w:cs="Times New Roman"/>
                <w:szCs w:val="24"/>
                <w:lang w:val="en-US"/>
              </w:rPr>
            </w:pPr>
            <w:r w:rsidRPr="00C215EB">
              <w:rPr>
                <w:rFonts w:ascii="Times New Roman" w:hAnsi="Times New Roman" w:cs="Times New Roman"/>
                <w:szCs w:val="24"/>
                <w:lang w:val="en-US"/>
              </w:rPr>
              <w:t>n/a</w:t>
            </w:r>
          </w:p>
        </w:tc>
      </w:tr>
      <w:tr w:rsidR="008E041A" w:rsidRPr="00C215EB" w:rsidTr="00C215EB">
        <w:trPr>
          <w:cantSplit/>
        </w:trPr>
        <w:tc>
          <w:tcPr>
            <w:tcW w:w="2136"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lastRenderedPageBreak/>
              <w:t>Rotenone</w:t>
            </w:r>
          </w:p>
        </w:tc>
        <w:tc>
          <w:tcPr>
            <w:tcW w:w="140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394.42</w:t>
            </w:r>
          </w:p>
        </w:tc>
        <w:tc>
          <w:tcPr>
            <w:tcW w:w="141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0.17 mg/L (25 °C)</w:t>
            </w:r>
          </w:p>
        </w:tc>
        <w:tc>
          <w:tcPr>
            <w:tcW w:w="992"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4.10</w:t>
            </w:r>
          </w:p>
        </w:tc>
        <w:tc>
          <w:tcPr>
            <w:tcW w:w="5954"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 xml:space="preserve">Biodegradation: conditional. First-order decay curve: half-life 10.3 d in cold water, 0.94 d in warm water. Photolysis: summer half-life 191 d at 2m depth, 21 h at surface. Lacks functional groups for hydrolysis </w:t>
            </w:r>
            <w:r w:rsidRPr="00C215EB">
              <w:rPr>
                <w:rFonts w:ascii="Times New Roman" w:hAnsi="Times New Roman" w:cs="Times New Roman"/>
                <w:szCs w:val="24"/>
                <w:vertAlign w:val="superscript"/>
                <w:lang w:val="en-US"/>
              </w:rPr>
              <w:t>#</w:t>
            </w:r>
          </w:p>
        </w:tc>
        <w:tc>
          <w:tcPr>
            <w:tcW w:w="2835" w:type="dxa"/>
          </w:tcPr>
          <w:p w:rsidR="008E041A" w:rsidRPr="00C215EB" w:rsidRDefault="008E041A" w:rsidP="00A04BA8">
            <w:pPr>
              <w:spacing w:beforeLines="40" w:before="96" w:afterLines="40" w:after="96"/>
              <w:ind w:right="493"/>
              <w:rPr>
                <w:rFonts w:ascii="Times New Roman" w:hAnsi="Times New Roman" w:cs="Times New Roman"/>
                <w:szCs w:val="24"/>
                <w:lang w:val="en-US"/>
              </w:rPr>
            </w:pPr>
            <w:r w:rsidRPr="00C215EB">
              <w:rPr>
                <w:rFonts w:ascii="Times New Roman" w:hAnsi="Times New Roman" w:cs="Times New Roman"/>
                <w:szCs w:val="24"/>
                <w:lang w:val="en-US"/>
              </w:rPr>
              <w:t>(Very) high bioaccumulation. Expected to adsorb to suspended solids and sediments</w:t>
            </w:r>
          </w:p>
        </w:tc>
      </w:tr>
      <w:tr w:rsidR="008E041A" w:rsidRPr="00C215EB" w:rsidTr="00C215EB">
        <w:trPr>
          <w:cantSplit/>
        </w:trPr>
        <w:tc>
          <w:tcPr>
            <w:tcW w:w="2136"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Sodium chloride</w:t>
            </w:r>
          </w:p>
        </w:tc>
        <w:tc>
          <w:tcPr>
            <w:tcW w:w="140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58.443</w:t>
            </w:r>
          </w:p>
        </w:tc>
        <w:tc>
          <w:tcPr>
            <w:tcW w:w="141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358 mg/L (25 °C)</w:t>
            </w:r>
          </w:p>
        </w:tc>
        <w:tc>
          <w:tcPr>
            <w:tcW w:w="992"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bCs/>
                <w:szCs w:val="24"/>
                <w:lang w:val="en-US"/>
              </w:rPr>
              <w:t>n/a</w:t>
            </w:r>
          </w:p>
        </w:tc>
        <w:tc>
          <w:tcPr>
            <w:tcW w:w="5954"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Store in the dark and at low temperatures +</w:t>
            </w:r>
          </w:p>
        </w:tc>
        <w:tc>
          <w:tcPr>
            <w:tcW w:w="2835" w:type="dxa"/>
          </w:tcPr>
          <w:p w:rsidR="008E041A" w:rsidRPr="00C215EB" w:rsidRDefault="008E041A" w:rsidP="00A04BA8">
            <w:pPr>
              <w:spacing w:beforeLines="40" w:before="96" w:afterLines="40" w:after="96"/>
              <w:ind w:right="493"/>
              <w:rPr>
                <w:rFonts w:ascii="Times New Roman" w:hAnsi="Times New Roman" w:cs="Times New Roman"/>
                <w:szCs w:val="24"/>
                <w:lang w:val="en-US"/>
              </w:rPr>
            </w:pPr>
            <w:r w:rsidRPr="00C215EB">
              <w:rPr>
                <w:rFonts w:ascii="Times New Roman" w:hAnsi="Times New Roman" w:cs="Times New Roman"/>
                <w:szCs w:val="24"/>
                <w:lang w:val="en-US"/>
              </w:rPr>
              <w:t>No reactions observed</w:t>
            </w:r>
          </w:p>
        </w:tc>
      </w:tr>
      <w:tr w:rsidR="008E041A" w:rsidRPr="00C215EB" w:rsidTr="00C215EB">
        <w:trPr>
          <w:cantSplit/>
        </w:trPr>
        <w:tc>
          <w:tcPr>
            <w:tcW w:w="2136"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Sodium tetradecyl sulphate</w:t>
            </w:r>
          </w:p>
        </w:tc>
        <w:tc>
          <w:tcPr>
            <w:tcW w:w="1408" w:type="dxa"/>
          </w:tcPr>
          <w:p w:rsidR="008E041A" w:rsidRPr="00C215EB" w:rsidRDefault="008E041A" w:rsidP="00C215EB">
            <w:pPr>
              <w:spacing w:beforeLines="40" w:before="96" w:afterLines="40" w:after="96"/>
              <w:jc w:val="center"/>
              <w:rPr>
                <w:rFonts w:ascii="Times New Roman" w:hAnsi="Times New Roman" w:cs="Times New Roman"/>
                <w:bCs/>
                <w:szCs w:val="24"/>
                <w:lang w:val="en-US"/>
              </w:rPr>
            </w:pPr>
            <w:r w:rsidRPr="00C215EB">
              <w:rPr>
                <w:rFonts w:ascii="Times New Roman" w:hAnsi="Times New Roman" w:cs="Times New Roman"/>
                <w:szCs w:val="24"/>
                <w:lang w:val="en-US"/>
              </w:rPr>
              <w:t>316.43</w:t>
            </w:r>
          </w:p>
        </w:tc>
        <w:tc>
          <w:tcPr>
            <w:tcW w:w="141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n/a</w:t>
            </w:r>
          </w:p>
        </w:tc>
        <w:tc>
          <w:tcPr>
            <w:tcW w:w="992"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n/a</w:t>
            </w:r>
          </w:p>
        </w:tc>
        <w:tc>
          <w:tcPr>
            <w:tcW w:w="5954"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n/a</w:t>
            </w:r>
          </w:p>
        </w:tc>
        <w:tc>
          <w:tcPr>
            <w:tcW w:w="2835" w:type="dxa"/>
          </w:tcPr>
          <w:p w:rsidR="008E041A" w:rsidRPr="00C215EB" w:rsidRDefault="008E041A" w:rsidP="00A04BA8">
            <w:pPr>
              <w:spacing w:beforeLines="40" w:before="96" w:afterLines="40" w:after="96"/>
              <w:ind w:right="493"/>
              <w:rPr>
                <w:rFonts w:ascii="Times New Roman" w:hAnsi="Times New Roman" w:cs="Times New Roman"/>
                <w:szCs w:val="24"/>
                <w:lang w:val="en-US"/>
              </w:rPr>
            </w:pPr>
            <w:r w:rsidRPr="00C215EB">
              <w:rPr>
                <w:rFonts w:ascii="Times New Roman" w:hAnsi="Times New Roman" w:cs="Times New Roman"/>
                <w:szCs w:val="24"/>
                <w:lang w:val="en-US"/>
              </w:rPr>
              <w:t>n/a</w:t>
            </w:r>
          </w:p>
        </w:tc>
      </w:tr>
      <w:tr w:rsidR="008E041A" w:rsidRPr="00C215EB" w:rsidTr="00C215EB">
        <w:trPr>
          <w:cantSplit/>
        </w:trPr>
        <w:tc>
          <w:tcPr>
            <w:tcW w:w="2136"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Sulfisoxazole</w:t>
            </w:r>
          </w:p>
        </w:tc>
        <w:tc>
          <w:tcPr>
            <w:tcW w:w="140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267.30</w:t>
            </w:r>
          </w:p>
        </w:tc>
        <w:tc>
          <w:tcPr>
            <w:tcW w:w="141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300 mg/L (37 °C)</w:t>
            </w:r>
          </w:p>
        </w:tc>
        <w:tc>
          <w:tcPr>
            <w:tcW w:w="992"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1.01</w:t>
            </w:r>
          </w:p>
        </w:tc>
        <w:tc>
          <w:tcPr>
            <w:tcW w:w="5954"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 xml:space="preserve">No hydrolysis of structurally similar compound. Direct photodegradation of anionic form </w:t>
            </w:r>
            <w:r w:rsidRPr="00C215EB">
              <w:rPr>
                <w:rFonts w:ascii="Times New Roman" w:hAnsi="Times New Roman" w:cs="Times New Roman"/>
                <w:szCs w:val="24"/>
                <w:vertAlign w:val="superscript"/>
                <w:lang w:val="en-US"/>
              </w:rPr>
              <w:t>#</w:t>
            </w:r>
          </w:p>
        </w:tc>
        <w:tc>
          <w:tcPr>
            <w:tcW w:w="2835" w:type="dxa"/>
          </w:tcPr>
          <w:p w:rsidR="008E041A" w:rsidRPr="00C215EB" w:rsidRDefault="008E041A" w:rsidP="00A04BA8">
            <w:pPr>
              <w:spacing w:beforeLines="40" w:before="96" w:afterLines="40" w:after="96"/>
              <w:ind w:right="493"/>
              <w:rPr>
                <w:rFonts w:ascii="Times New Roman" w:hAnsi="Times New Roman" w:cs="Times New Roman"/>
                <w:szCs w:val="24"/>
                <w:lang w:val="en-US"/>
              </w:rPr>
            </w:pPr>
            <w:r w:rsidRPr="00C215EB">
              <w:rPr>
                <w:rFonts w:ascii="Times New Roman" w:hAnsi="Times New Roman" w:cs="Times New Roman"/>
                <w:szCs w:val="24"/>
                <w:lang w:val="en-US"/>
              </w:rPr>
              <w:t>Not expected to adsorb to suspended solids and sediments</w:t>
            </w:r>
          </w:p>
        </w:tc>
      </w:tr>
      <w:tr w:rsidR="008E041A" w:rsidRPr="00C215EB" w:rsidTr="00C215EB">
        <w:trPr>
          <w:cantSplit/>
        </w:trPr>
        <w:tc>
          <w:tcPr>
            <w:tcW w:w="2136"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Taxol</w:t>
            </w:r>
          </w:p>
        </w:tc>
        <w:tc>
          <w:tcPr>
            <w:tcW w:w="140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853.92</w:t>
            </w:r>
          </w:p>
        </w:tc>
        <w:tc>
          <w:tcPr>
            <w:tcW w:w="141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Insoluble in water</w:t>
            </w:r>
          </w:p>
        </w:tc>
        <w:tc>
          <w:tcPr>
            <w:tcW w:w="992"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n/a</w:t>
            </w:r>
          </w:p>
        </w:tc>
        <w:tc>
          <w:tcPr>
            <w:tcW w:w="5954"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Not readily biodegradable *</w:t>
            </w:r>
          </w:p>
        </w:tc>
        <w:tc>
          <w:tcPr>
            <w:tcW w:w="2835" w:type="dxa"/>
          </w:tcPr>
          <w:p w:rsidR="008E041A" w:rsidRPr="00C215EB" w:rsidRDefault="008E041A" w:rsidP="00A04BA8">
            <w:pPr>
              <w:spacing w:beforeLines="40" w:before="96" w:afterLines="40" w:after="96"/>
              <w:ind w:right="493"/>
              <w:rPr>
                <w:rFonts w:ascii="Times New Roman" w:hAnsi="Times New Roman" w:cs="Times New Roman"/>
                <w:szCs w:val="24"/>
                <w:lang w:val="en-US"/>
              </w:rPr>
            </w:pPr>
            <w:r w:rsidRPr="00C215EB">
              <w:rPr>
                <w:rFonts w:ascii="Times New Roman" w:hAnsi="Times New Roman" w:cs="Times New Roman"/>
                <w:szCs w:val="24"/>
                <w:lang w:val="en-US"/>
              </w:rPr>
              <w:t>n/a</w:t>
            </w:r>
          </w:p>
        </w:tc>
      </w:tr>
      <w:tr w:rsidR="008E041A" w:rsidRPr="00C215EB" w:rsidTr="00C215EB">
        <w:trPr>
          <w:cantSplit/>
        </w:trPr>
        <w:tc>
          <w:tcPr>
            <w:tcW w:w="2136"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Tebuconazole</w:t>
            </w:r>
          </w:p>
        </w:tc>
        <w:tc>
          <w:tcPr>
            <w:tcW w:w="140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307.82</w:t>
            </w:r>
          </w:p>
        </w:tc>
        <w:tc>
          <w:tcPr>
            <w:tcW w:w="141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36 mg/L (20 °C), pH 5-9</w:t>
            </w:r>
          </w:p>
        </w:tc>
        <w:tc>
          <w:tcPr>
            <w:tcW w:w="992"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3.70</w:t>
            </w:r>
          </w:p>
        </w:tc>
        <w:tc>
          <w:tcPr>
            <w:tcW w:w="5954"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 xml:space="preserve">Lacks functional groups for hydrolysis and experiments show stability in pure water </w:t>
            </w:r>
            <w:r w:rsidRPr="00C215EB">
              <w:rPr>
                <w:rFonts w:ascii="Times New Roman" w:hAnsi="Times New Roman" w:cs="Times New Roman"/>
                <w:szCs w:val="24"/>
                <w:vertAlign w:val="superscript"/>
                <w:lang w:val="en-US"/>
              </w:rPr>
              <w:t>#</w:t>
            </w:r>
          </w:p>
        </w:tc>
        <w:tc>
          <w:tcPr>
            <w:tcW w:w="2835" w:type="dxa"/>
          </w:tcPr>
          <w:p w:rsidR="008E041A" w:rsidRPr="00C215EB" w:rsidRDefault="008E041A" w:rsidP="00A04BA8">
            <w:pPr>
              <w:spacing w:beforeLines="40" w:before="96" w:afterLines="40" w:after="96"/>
              <w:ind w:right="493"/>
              <w:rPr>
                <w:rFonts w:ascii="Times New Roman" w:hAnsi="Times New Roman" w:cs="Times New Roman"/>
                <w:szCs w:val="24"/>
                <w:lang w:val="en-US"/>
              </w:rPr>
            </w:pPr>
            <w:r w:rsidRPr="00C215EB">
              <w:rPr>
                <w:rFonts w:ascii="Times New Roman" w:hAnsi="Times New Roman" w:cs="Times New Roman"/>
                <w:szCs w:val="24"/>
                <w:lang w:val="en-US"/>
              </w:rPr>
              <w:t>Expected to adsorb to suspended solids and sediments</w:t>
            </w:r>
          </w:p>
        </w:tc>
      </w:tr>
      <w:tr w:rsidR="008E041A" w:rsidRPr="00C215EB" w:rsidTr="00C215EB">
        <w:trPr>
          <w:cantSplit/>
        </w:trPr>
        <w:tc>
          <w:tcPr>
            <w:tcW w:w="2136"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Tolbutamide</w:t>
            </w:r>
          </w:p>
        </w:tc>
        <w:tc>
          <w:tcPr>
            <w:tcW w:w="140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270.35</w:t>
            </w:r>
          </w:p>
        </w:tc>
        <w:tc>
          <w:tcPr>
            <w:tcW w:w="141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109 mg/L (37 °C)</w:t>
            </w:r>
          </w:p>
        </w:tc>
        <w:tc>
          <w:tcPr>
            <w:tcW w:w="992"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2.34</w:t>
            </w:r>
          </w:p>
        </w:tc>
        <w:tc>
          <w:tcPr>
            <w:tcW w:w="5954"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Not readily biodegradable *</w:t>
            </w:r>
          </w:p>
        </w:tc>
        <w:tc>
          <w:tcPr>
            <w:tcW w:w="2835" w:type="dxa"/>
          </w:tcPr>
          <w:p w:rsidR="008E041A" w:rsidRPr="00C215EB" w:rsidRDefault="008E041A" w:rsidP="00A04BA8">
            <w:pPr>
              <w:spacing w:beforeLines="40" w:before="96" w:afterLines="40" w:after="96"/>
              <w:ind w:right="493"/>
              <w:rPr>
                <w:rFonts w:ascii="Times New Roman" w:hAnsi="Times New Roman" w:cs="Times New Roman"/>
                <w:szCs w:val="24"/>
                <w:lang w:val="en-US"/>
              </w:rPr>
            </w:pPr>
            <w:r w:rsidRPr="00C215EB">
              <w:rPr>
                <w:rFonts w:ascii="Times New Roman" w:hAnsi="Times New Roman" w:cs="Times New Roman"/>
                <w:szCs w:val="24"/>
                <w:lang w:val="en-US"/>
              </w:rPr>
              <w:t>n/a</w:t>
            </w:r>
          </w:p>
        </w:tc>
      </w:tr>
      <w:tr w:rsidR="008E041A" w:rsidRPr="00C215EB" w:rsidTr="00C215EB">
        <w:trPr>
          <w:cantSplit/>
        </w:trPr>
        <w:tc>
          <w:tcPr>
            <w:tcW w:w="2136" w:type="dxa"/>
            <w:shd w:val="clear" w:color="auto" w:fill="auto"/>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Triclosan</w:t>
            </w:r>
          </w:p>
        </w:tc>
        <w:tc>
          <w:tcPr>
            <w:tcW w:w="140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289.54</w:t>
            </w:r>
          </w:p>
        </w:tc>
        <w:tc>
          <w:tcPr>
            <w:tcW w:w="141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12 g/L (20°C)</w:t>
            </w:r>
            <w:r w:rsidRPr="00C215EB">
              <w:rPr>
                <w:rFonts w:ascii="Times New Roman" w:hAnsi="Times New Roman" w:cs="Times New Roman"/>
                <w:i/>
                <w:szCs w:val="24"/>
                <w:lang w:val="en-US"/>
              </w:rPr>
              <w:t xml:space="preserve"> </w:t>
            </w:r>
            <w:r w:rsidRPr="00C215EB">
              <w:rPr>
                <w:rFonts w:ascii="Times New Roman" w:hAnsi="Times New Roman" w:cs="Times New Roman"/>
                <w:szCs w:val="24"/>
                <w:lang w:val="en-US"/>
              </w:rPr>
              <w:t>+</w:t>
            </w:r>
          </w:p>
        </w:tc>
        <w:tc>
          <w:tcPr>
            <w:tcW w:w="992"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4.76 +</w:t>
            </w:r>
          </w:p>
        </w:tc>
        <w:tc>
          <w:tcPr>
            <w:tcW w:w="5954"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Stable at temperatures between 2 and 8°C</w:t>
            </w:r>
            <w:r w:rsidRPr="00C215EB">
              <w:rPr>
                <w:rFonts w:ascii="Times New Roman" w:hAnsi="Times New Roman" w:cs="Times New Roman"/>
                <w:bCs/>
                <w:szCs w:val="24"/>
                <w:lang w:val="en-US"/>
              </w:rPr>
              <w:t xml:space="preserve"> </w:t>
            </w:r>
            <w:r w:rsidRPr="00C215EB">
              <w:rPr>
                <w:rFonts w:ascii="Times New Roman" w:hAnsi="Times New Roman" w:cs="Times New Roman"/>
                <w:szCs w:val="24"/>
                <w:lang w:val="en-US"/>
              </w:rPr>
              <w:t>+</w:t>
            </w:r>
          </w:p>
        </w:tc>
        <w:tc>
          <w:tcPr>
            <w:tcW w:w="2835" w:type="dxa"/>
          </w:tcPr>
          <w:p w:rsidR="008E041A" w:rsidRPr="00C215EB" w:rsidRDefault="008E041A" w:rsidP="00A04BA8">
            <w:pPr>
              <w:spacing w:beforeLines="40" w:before="96" w:afterLines="40" w:after="96"/>
              <w:ind w:right="493"/>
              <w:rPr>
                <w:rFonts w:ascii="Times New Roman" w:hAnsi="Times New Roman" w:cs="Times New Roman"/>
                <w:szCs w:val="24"/>
                <w:lang w:val="en-US"/>
              </w:rPr>
            </w:pPr>
            <w:r w:rsidRPr="00C215EB">
              <w:rPr>
                <w:rFonts w:ascii="Times New Roman" w:hAnsi="Times New Roman" w:cs="Times New Roman"/>
                <w:szCs w:val="24"/>
                <w:lang w:val="en-US"/>
              </w:rPr>
              <w:t>n/a</w:t>
            </w:r>
          </w:p>
        </w:tc>
      </w:tr>
      <w:tr w:rsidR="008E041A" w:rsidRPr="00C215EB" w:rsidTr="00C215EB">
        <w:trPr>
          <w:cantSplit/>
        </w:trPr>
        <w:tc>
          <w:tcPr>
            <w:tcW w:w="2136"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Triethylene glycol</w:t>
            </w:r>
          </w:p>
        </w:tc>
        <w:tc>
          <w:tcPr>
            <w:tcW w:w="140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150.17</w:t>
            </w:r>
          </w:p>
        </w:tc>
        <w:tc>
          <w:tcPr>
            <w:tcW w:w="141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100 mg/mL (20 °C)</w:t>
            </w:r>
          </w:p>
        </w:tc>
        <w:tc>
          <w:tcPr>
            <w:tcW w:w="992"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- 1.98</w:t>
            </w:r>
          </w:p>
        </w:tc>
        <w:tc>
          <w:tcPr>
            <w:tcW w:w="5954"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 xml:space="preserve">Low bioaccumulation in aquatic organisms. Volatilization from surface water not expected </w:t>
            </w:r>
            <w:r w:rsidRPr="00C215EB">
              <w:rPr>
                <w:rFonts w:ascii="Times New Roman" w:hAnsi="Times New Roman" w:cs="Times New Roman"/>
                <w:szCs w:val="24"/>
                <w:vertAlign w:val="superscript"/>
                <w:lang w:val="en-US"/>
              </w:rPr>
              <w:t>#</w:t>
            </w:r>
          </w:p>
        </w:tc>
        <w:tc>
          <w:tcPr>
            <w:tcW w:w="2835" w:type="dxa"/>
          </w:tcPr>
          <w:p w:rsidR="008E041A" w:rsidRPr="00C215EB" w:rsidRDefault="008E041A" w:rsidP="00A04BA8">
            <w:pPr>
              <w:spacing w:beforeLines="40" w:before="96" w:afterLines="40" w:after="96"/>
              <w:ind w:right="493"/>
              <w:rPr>
                <w:rFonts w:ascii="Times New Roman" w:hAnsi="Times New Roman" w:cs="Times New Roman"/>
                <w:szCs w:val="24"/>
                <w:lang w:val="en-US"/>
              </w:rPr>
            </w:pPr>
            <w:r w:rsidRPr="00C215EB">
              <w:rPr>
                <w:rFonts w:ascii="Times New Roman" w:hAnsi="Times New Roman" w:cs="Times New Roman"/>
                <w:szCs w:val="24"/>
                <w:lang w:val="en-US"/>
              </w:rPr>
              <w:t>Not expected to adsorb to suspended solids and sediments</w:t>
            </w:r>
          </w:p>
        </w:tc>
      </w:tr>
      <w:tr w:rsidR="008E041A" w:rsidRPr="00C215EB" w:rsidTr="00C215EB">
        <w:trPr>
          <w:cantSplit/>
        </w:trPr>
        <w:tc>
          <w:tcPr>
            <w:tcW w:w="2136"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lastRenderedPageBreak/>
              <w:t>2,3,6-Trimethyl phenol</w:t>
            </w:r>
          </w:p>
        </w:tc>
        <w:tc>
          <w:tcPr>
            <w:tcW w:w="1408" w:type="dxa"/>
          </w:tcPr>
          <w:p w:rsidR="008E041A" w:rsidRPr="00C215EB" w:rsidRDefault="008E041A" w:rsidP="00C215EB">
            <w:pPr>
              <w:spacing w:beforeLines="40" w:before="96" w:afterLines="40" w:after="96"/>
              <w:jc w:val="center"/>
              <w:rPr>
                <w:rFonts w:ascii="Times New Roman" w:hAnsi="Times New Roman" w:cs="Times New Roman"/>
                <w:bCs/>
                <w:szCs w:val="24"/>
                <w:lang w:val="en-US"/>
              </w:rPr>
            </w:pPr>
            <w:r w:rsidRPr="00C215EB">
              <w:rPr>
                <w:rFonts w:ascii="Times New Roman" w:hAnsi="Times New Roman" w:cs="Times New Roman"/>
                <w:szCs w:val="24"/>
                <w:lang w:val="en-US"/>
              </w:rPr>
              <w:t>136.19</w:t>
            </w:r>
          </w:p>
        </w:tc>
        <w:tc>
          <w:tcPr>
            <w:tcW w:w="141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bCs/>
                <w:szCs w:val="24"/>
                <w:lang w:val="en-US"/>
              </w:rPr>
              <w:t>1.58 mg/L (25 °C)</w:t>
            </w:r>
          </w:p>
        </w:tc>
        <w:tc>
          <w:tcPr>
            <w:tcW w:w="992"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bCs/>
                <w:szCs w:val="24"/>
                <w:lang w:val="en-US"/>
              </w:rPr>
              <w:t>2.65</w:t>
            </w:r>
          </w:p>
        </w:tc>
        <w:tc>
          <w:tcPr>
            <w:tcW w:w="5954"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bCs/>
                <w:szCs w:val="24"/>
                <w:lang w:val="en-US"/>
              </w:rPr>
              <w:t>Volatilization from surface water expected, in river and lakes 11 and 84 d half-lives respectively. Bioconcentration factor: 60 suggests moderate bioaccumulation</w:t>
            </w:r>
            <w:r w:rsidRPr="00C215EB">
              <w:rPr>
                <w:rFonts w:ascii="Times New Roman" w:hAnsi="Times New Roman" w:cs="Times New Roman"/>
                <w:szCs w:val="24"/>
                <w:lang w:val="en-US"/>
              </w:rPr>
              <w:t xml:space="preserve">. Hydrolysis not expected </w:t>
            </w:r>
            <w:r w:rsidRPr="00C215EB">
              <w:rPr>
                <w:rFonts w:ascii="Times New Roman" w:hAnsi="Times New Roman" w:cs="Times New Roman"/>
                <w:szCs w:val="24"/>
                <w:vertAlign w:val="superscript"/>
                <w:lang w:val="en-US"/>
              </w:rPr>
              <w:t>#</w:t>
            </w:r>
          </w:p>
        </w:tc>
        <w:tc>
          <w:tcPr>
            <w:tcW w:w="2835" w:type="dxa"/>
          </w:tcPr>
          <w:p w:rsidR="008E041A" w:rsidRPr="00C215EB" w:rsidRDefault="008E041A" w:rsidP="00A04BA8">
            <w:pPr>
              <w:spacing w:beforeLines="40" w:before="96" w:afterLines="40" w:after="96"/>
              <w:ind w:right="493"/>
              <w:rPr>
                <w:rFonts w:ascii="Times New Roman" w:hAnsi="Times New Roman" w:cs="Times New Roman"/>
                <w:szCs w:val="24"/>
                <w:lang w:val="en-US"/>
              </w:rPr>
            </w:pPr>
            <w:r w:rsidRPr="00C215EB">
              <w:rPr>
                <w:rFonts w:ascii="Times New Roman" w:hAnsi="Times New Roman" w:cs="Times New Roman"/>
                <w:szCs w:val="24"/>
                <w:lang w:val="en-US"/>
              </w:rPr>
              <w:t>Expected to adsorb to suspended solids and sediments</w:t>
            </w:r>
          </w:p>
        </w:tc>
      </w:tr>
      <w:tr w:rsidR="008E041A" w:rsidRPr="00C215EB" w:rsidTr="00C215EB">
        <w:trPr>
          <w:cantSplit/>
        </w:trPr>
        <w:tc>
          <w:tcPr>
            <w:tcW w:w="2136"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Triphenylphosphate</w:t>
            </w:r>
          </w:p>
        </w:tc>
        <w:tc>
          <w:tcPr>
            <w:tcW w:w="140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326.29</w:t>
            </w:r>
          </w:p>
        </w:tc>
        <w:tc>
          <w:tcPr>
            <w:tcW w:w="141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1,9 mg/L (25 °C)</w:t>
            </w:r>
          </w:p>
        </w:tc>
        <w:tc>
          <w:tcPr>
            <w:tcW w:w="992"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4.59</w:t>
            </w:r>
          </w:p>
        </w:tc>
        <w:tc>
          <w:tcPr>
            <w:tcW w:w="5954"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 xml:space="preserve">Biodegradation half-life: 2-4 d. Volatilization from surface water expected: 20-152 d. Bioconcentration factor: 132-573 suggests high bioaccumulation </w:t>
            </w:r>
            <w:r w:rsidRPr="00C215EB">
              <w:rPr>
                <w:rFonts w:ascii="Times New Roman" w:hAnsi="Times New Roman" w:cs="Times New Roman"/>
                <w:szCs w:val="24"/>
                <w:vertAlign w:val="superscript"/>
                <w:lang w:val="en-US"/>
              </w:rPr>
              <w:t>#</w:t>
            </w:r>
          </w:p>
        </w:tc>
        <w:tc>
          <w:tcPr>
            <w:tcW w:w="2835" w:type="dxa"/>
          </w:tcPr>
          <w:p w:rsidR="008E041A" w:rsidRPr="00C215EB" w:rsidRDefault="008E041A" w:rsidP="00A04BA8">
            <w:pPr>
              <w:spacing w:beforeLines="40" w:before="96" w:afterLines="40" w:after="96"/>
              <w:ind w:right="493"/>
              <w:rPr>
                <w:rFonts w:ascii="Times New Roman" w:hAnsi="Times New Roman" w:cs="Times New Roman"/>
                <w:szCs w:val="24"/>
                <w:lang w:val="en-US"/>
              </w:rPr>
            </w:pPr>
            <w:r w:rsidRPr="00C215EB">
              <w:rPr>
                <w:rFonts w:ascii="Times New Roman" w:hAnsi="Times New Roman" w:cs="Times New Roman"/>
                <w:szCs w:val="24"/>
                <w:lang w:val="en-US"/>
              </w:rPr>
              <w:t>Not expected to adsorb to suspended solids and sediments</w:t>
            </w:r>
          </w:p>
        </w:tc>
      </w:tr>
      <w:tr w:rsidR="008E041A" w:rsidRPr="00C215EB" w:rsidTr="00C215EB">
        <w:trPr>
          <w:cantSplit/>
        </w:trPr>
        <w:tc>
          <w:tcPr>
            <w:tcW w:w="2136" w:type="dxa"/>
            <w:shd w:val="clear" w:color="auto" w:fill="auto"/>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4-ene-Valproic acid</w:t>
            </w:r>
          </w:p>
        </w:tc>
        <w:tc>
          <w:tcPr>
            <w:tcW w:w="1408" w:type="dxa"/>
          </w:tcPr>
          <w:p w:rsidR="008E041A" w:rsidRPr="00C215EB" w:rsidRDefault="008E041A" w:rsidP="00C215EB">
            <w:pPr>
              <w:spacing w:beforeLines="40" w:before="96" w:afterLines="40" w:after="96"/>
              <w:jc w:val="center"/>
              <w:rPr>
                <w:rFonts w:ascii="Times New Roman" w:hAnsi="Times New Roman" w:cs="Times New Roman"/>
                <w:bCs/>
                <w:szCs w:val="24"/>
                <w:lang w:val="en-US"/>
              </w:rPr>
            </w:pPr>
            <w:r w:rsidRPr="00C215EB">
              <w:rPr>
                <w:rFonts w:ascii="Times New Roman" w:hAnsi="Times New Roman" w:cs="Times New Roman"/>
                <w:szCs w:val="24"/>
                <w:lang w:val="en-US"/>
              </w:rPr>
              <w:t>142.20</w:t>
            </w:r>
          </w:p>
        </w:tc>
        <w:tc>
          <w:tcPr>
            <w:tcW w:w="141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bCs/>
                <w:szCs w:val="24"/>
                <w:lang w:val="en-US"/>
              </w:rPr>
              <w:t xml:space="preserve">4.11 mg/mL </w:t>
            </w:r>
            <w:r w:rsidRPr="00C215EB">
              <w:rPr>
                <w:rFonts w:ascii="Times New Roman" w:hAnsi="Times New Roman" w:cs="Times New Roman"/>
                <w:i/>
                <w:szCs w:val="24"/>
                <w:lang w:val="en-US"/>
              </w:rPr>
              <w:t>*</w:t>
            </w:r>
          </w:p>
        </w:tc>
        <w:tc>
          <w:tcPr>
            <w:tcW w:w="992"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bCs/>
                <w:szCs w:val="24"/>
                <w:lang w:val="en-US"/>
              </w:rPr>
              <w:t>2.82</w:t>
            </w:r>
          </w:p>
        </w:tc>
        <w:tc>
          <w:tcPr>
            <w:tcW w:w="5954"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bCs/>
                <w:szCs w:val="24"/>
                <w:lang w:val="en-US"/>
              </w:rPr>
              <w:t>Stable at temperatures between 2 and 8°C</w:t>
            </w:r>
            <w:r w:rsidRPr="00C215EB">
              <w:rPr>
                <w:rFonts w:ascii="Times New Roman" w:hAnsi="Times New Roman" w:cs="Times New Roman"/>
                <w:szCs w:val="24"/>
                <w:vertAlign w:val="superscript"/>
                <w:lang w:val="en-US"/>
              </w:rPr>
              <w:t>⁑</w:t>
            </w:r>
          </w:p>
        </w:tc>
        <w:tc>
          <w:tcPr>
            <w:tcW w:w="2835" w:type="dxa"/>
          </w:tcPr>
          <w:p w:rsidR="008E041A" w:rsidRPr="00C215EB" w:rsidRDefault="008E041A" w:rsidP="00A04BA8">
            <w:pPr>
              <w:spacing w:beforeLines="40" w:before="96" w:afterLines="40" w:after="96"/>
              <w:ind w:right="493"/>
              <w:rPr>
                <w:rFonts w:ascii="Times New Roman" w:hAnsi="Times New Roman" w:cs="Times New Roman"/>
                <w:szCs w:val="24"/>
                <w:lang w:val="en-US"/>
              </w:rPr>
            </w:pPr>
            <w:r w:rsidRPr="00C215EB">
              <w:rPr>
                <w:rFonts w:ascii="Times New Roman" w:hAnsi="Times New Roman" w:cs="Times New Roman"/>
                <w:szCs w:val="24"/>
                <w:lang w:val="en-US"/>
              </w:rPr>
              <w:t>n/a</w:t>
            </w:r>
          </w:p>
        </w:tc>
      </w:tr>
      <w:tr w:rsidR="008E041A" w:rsidRPr="00C215EB" w:rsidTr="00C215EB">
        <w:trPr>
          <w:cantSplit/>
        </w:trPr>
        <w:tc>
          <w:tcPr>
            <w:tcW w:w="2136"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Valproic acid</w:t>
            </w:r>
          </w:p>
        </w:tc>
        <w:tc>
          <w:tcPr>
            <w:tcW w:w="140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144.21</w:t>
            </w:r>
          </w:p>
        </w:tc>
        <w:tc>
          <w:tcPr>
            <w:tcW w:w="1418" w:type="dxa"/>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1.3 mg/L</w:t>
            </w:r>
          </w:p>
        </w:tc>
        <w:tc>
          <w:tcPr>
            <w:tcW w:w="992"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2.75</w:t>
            </w:r>
          </w:p>
        </w:tc>
        <w:tc>
          <w:tcPr>
            <w:tcW w:w="5954" w:type="dxa"/>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 xml:space="preserve">No volatilization in anionic form, pH 5-9. Lacks functional groups for hydrolysis </w:t>
            </w:r>
            <w:r w:rsidRPr="00C215EB">
              <w:rPr>
                <w:rFonts w:ascii="Times New Roman" w:hAnsi="Times New Roman" w:cs="Times New Roman"/>
                <w:szCs w:val="24"/>
                <w:vertAlign w:val="superscript"/>
                <w:lang w:val="en-US"/>
              </w:rPr>
              <w:t>#</w:t>
            </w:r>
            <w:r w:rsidRPr="00C215EB">
              <w:rPr>
                <w:rFonts w:ascii="Times New Roman" w:hAnsi="Times New Roman" w:cs="Times New Roman"/>
                <w:szCs w:val="24"/>
                <w:lang w:val="en-US"/>
              </w:rPr>
              <w:t xml:space="preserve">. </w:t>
            </w:r>
          </w:p>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Readily biodegradable *</w:t>
            </w:r>
          </w:p>
        </w:tc>
        <w:tc>
          <w:tcPr>
            <w:tcW w:w="2835" w:type="dxa"/>
          </w:tcPr>
          <w:p w:rsidR="008E041A" w:rsidRPr="00C215EB" w:rsidRDefault="008E041A" w:rsidP="00A04BA8">
            <w:pPr>
              <w:spacing w:beforeLines="40" w:before="96" w:afterLines="40" w:after="96"/>
              <w:ind w:right="493"/>
              <w:rPr>
                <w:rFonts w:ascii="Times New Roman" w:hAnsi="Times New Roman" w:cs="Times New Roman"/>
                <w:szCs w:val="24"/>
                <w:lang w:val="en-US"/>
              </w:rPr>
            </w:pPr>
            <w:r w:rsidRPr="00C215EB">
              <w:rPr>
                <w:rFonts w:ascii="Times New Roman" w:hAnsi="Times New Roman" w:cs="Times New Roman"/>
                <w:szCs w:val="24"/>
                <w:lang w:val="en-US"/>
              </w:rPr>
              <w:t>n/a</w:t>
            </w:r>
          </w:p>
        </w:tc>
      </w:tr>
      <w:tr w:rsidR="008E041A" w:rsidRPr="00C215EB" w:rsidTr="00C215EB">
        <w:trPr>
          <w:cantSplit/>
        </w:trPr>
        <w:tc>
          <w:tcPr>
            <w:tcW w:w="2136" w:type="dxa"/>
            <w:tcBorders>
              <w:bottom w:val="single" w:sz="4" w:space="0" w:color="auto"/>
            </w:tcBorders>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Zinc pyrithione</w:t>
            </w:r>
          </w:p>
        </w:tc>
        <w:tc>
          <w:tcPr>
            <w:tcW w:w="1408" w:type="dxa"/>
            <w:tcBorders>
              <w:bottom w:val="single" w:sz="4" w:space="0" w:color="auto"/>
            </w:tcBorders>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317.70</w:t>
            </w:r>
          </w:p>
        </w:tc>
        <w:tc>
          <w:tcPr>
            <w:tcW w:w="1418" w:type="dxa"/>
            <w:tcBorders>
              <w:bottom w:val="single" w:sz="4" w:space="0" w:color="auto"/>
            </w:tcBorders>
          </w:tcPr>
          <w:p w:rsidR="008E041A" w:rsidRPr="00C215EB" w:rsidRDefault="008E041A" w:rsidP="00C215EB">
            <w:pPr>
              <w:spacing w:beforeLines="40" w:before="96" w:afterLines="40" w:after="96"/>
              <w:jc w:val="center"/>
              <w:rPr>
                <w:rFonts w:ascii="Times New Roman" w:hAnsi="Times New Roman" w:cs="Times New Roman"/>
                <w:szCs w:val="24"/>
                <w:lang w:val="en-US"/>
              </w:rPr>
            </w:pPr>
            <w:r w:rsidRPr="00C215EB">
              <w:rPr>
                <w:rFonts w:ascii="Times New Roman" w:hAnsi="Times New Roman" w:cs="Times New Roman"/>
                <w:szCs w:val="24"/>
                <w:lang w:val="en-US"/>
              </w:rPr>
              <w:t>3 mg/mL</w:t>
            </w:r>
          </w:p>
        </w:tc>
        <w:tc>
          <w:tcPr>
            <w:tcW w:w="992" w:type="dxa"/>
            <w:tcBorders>
              <w:bottom w:val="single" w:sz="4" w:space="0" w:color="auto"/>
            </w:tcBorders>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0.9 +</w:t>
            </w:r>
          </w:p>
        </w:tc>
        <w:tc>
          <w:tcPr>
            <w:tcW w:w="5954" w:type="dxa"/>
            <w:tcBorders>
              <w:bottom w:val="single" w:sz="4" w:space="0" w:color="auto"/>
            </w:tcBorders>
          </w:tcPr>
          <w:p w:rsidR="008E041A" w:rsidRPr="00C215EB" w:rsidRDefault="008E041A" w:rsidP="00A04BA8">
            <w:pPr>
              <w:spacing w:beforeLines="40" w:before="96" w:afterLines="40" w:after="96"/>
              <w:rPr>
                <w:rFonts w:ascii="Times New Roman" w:hAnsi="Times New Roman" w:cs="Times New Roman"/>
                <w:szCs w:val="24"/>
                <w:lang w:val="en-US"/>
              </w:rPr>
            </w:pPr>
            <w:r w:rsidRPr="00C215EB">
              <w:rPr>
                <w:rFonts w:ascii="Times New Roman" w:hAnsi="Times New Roman" w:cs="Times New Roman"/>
                <w:szCs w:val="24"/>
                <w:lang w:val="en-US"/>
              </w:rPr>
              <w:t xml:space="preserve">Biodegradation half-life: 2-22 and 0.5 h under aerobic and anaerobic conditions. Bioconcentration factor: 160-200 suggest high bioaccumulation. Very photodegradable </w:t>
            </w:r>
            <w:r w:rsidRPr="00C215EB">
              <w:rPr>
                <w:rFonts w:ascii="Times New Roman" w:hAnsi="Times New Roman" w:cs="Times New Roman"/>
                <w:szCs w:val="24"/>
                <w:vertAlign w:val="superscript"/>
                <w:lang w:val="en-US"/>
              </w:rPr>
              <w:t>#</w:t>
            </w:r>
          </w:p>
        </w:tc>
        <w:tc>
          <w:tcPr>
            <w:tcW w:w="2835" w:type="dxa"/>
            <w:tcBorders>
              <w:bottom w:val="single" w:sz="4" w:space="0" w:color="auto"/>
            </w:tcBorders>
          </w:tcPr>
          <w:p w:rsidR="008E041A" w:rsidRPr="00C215EB" w:rsidRDefault="008E041A" w:rsidP="00A04BA8">
            <w:pPr>
              <w:spacing w:beforeLines="40" w:before="96" w:afterLines="40" w:after="96"/>
              <w:ind w:right="493"/>
              <w:rPr>
                <w:rFonts w:ascii="Times New Roman" w:hAnsi="Times New Roman" w:cs="Times New Roman"/>
                <w:szCs w:val="24"/>
                <w:lang w:val="en-US"/>
              </w:rPr>
            </w:pPr>
            <w:r w:rsidRPr="00C215EB">
              <w:rPr>
                <w:rFonts w:ascii="Times New Roman" w:hAnsi="Times New Roman" w:cs="Times New Roman"/>
                <w:szCs w:val="24"/>
                <w:lang w:val="en-US"/>
              </w:rPr>
              <w:t>Expected to adsorb to suspended solids and sediments</w:t>
            </w:r>
          </w:p>
        </w:tc>
      </w:tr>
      <w:bookmarkEnd w:id="0"/>
    </w:tbl>
    <w:p w:rsidR="008E041A" w:rsidRPr="00C215EB" w:rsidRDefault="008E041A" w:rsidP="008E041A">
      <w:pPr>
        <w:pStyle w:val="Caption"/>
        <w:keepNext/>
        <w:spacing w:after="0" w:line="480" w:lineRule="auto"/>
        <w:rPr>
          <w:rFonts w:ascii="Times New Roman" w:hAnsi="Times New Roman" w:cs="Times New Roman"/>
          <w:i w:val="0"/>
          <w:color w:val="auto"/>
          <w:sz w:val="24"/>
          <w:szCs w:val="24"/>
          <w:lang w:val="en-US"/>
        </w:rPr>
      </w:pPr>
    </w:p>
    <w:p w:rsidR="008E041A" w:rsidRPr="00C215EB" w:rsidRDefault="008E041A" w:rsidP="00C215EB">
      <w:pPr>
        <w:pStyle w:val="Caption"/>
        <w:keepNext/>
        <w:spacing w:after="0"/>
        <w:rPr>
          <w:rFonts w:ascii="Times New Roman" w:hAnsi="Times New Roman" w:cs="Times New Roman"/>
          <w:i w:val="0"/>
          <w:color w:val="000000" w:themeColor="text1"/>
          <w:sz w:val="24"/>
          <w:szCs w:val="24"/>
          <w:u w:val="single"/>
          <w:lang w:val="en-US"/>
        </w:rPr>
      </w:pPr>
      <w:r w:rsidRPr="00C215EB">
        <w:rPr>
          <w:rFonts w:ascii="Times New Roman" w:hAnsi="Times New Roman" w:cs="Times New Roman"/>
          <w:i w:val="0"/>
          <w:color w:val="000000" w:themeColor="text1"/>
          <w:sz w:val="24"/>
          <w:szCs w:val="24"/>
          <w:lang w:val="en-US"/>
        </w:rPr>
        <w:t xml:space="preserve">* Canadian Institute of Health research - </w:t>
      </w:r>
      <w:proofErr w:type="spellStart"/>
      <w:r w:rsidRPr="00C215EB">
        <w:rPr>
          <w:rFonts w:ascii="Times New Roman" w:hAnsi="Times New Roman" w:cs="Times New Roman"/>
          <w:i w:val="0"/>
          <w:color w:val="000000" w:themeColor="text1"/>
          <w:sz w:val="24"/>
          <w:szCs w:val="24"/>
          <w:lang w:val="en-US"/>
        </w:rPr>
        <w:t>DrugBank</w:t>
      </w:r>
      <w:proofErr w:type="spellEnd"/>
      <w:r w:rsidRPr="00C215EB">
        <w:rPr>
          <w:rFonts w:ascii="Times New Roman" w:hAnsi="Times New Roman" w:cs="Times New Roman"/>
          <w:i w:val="0"/>
          <w:color w:val="000000" w:themeColor="text1"/>
          <w:sz w:val="24"/>
          <w:szCs w:val="24"/>
          <w:lang w:val="en-US"/>
        </w:rPr>
        <w:t xml:space="preserve"> (version 5.1.1, released: 03.07.2018): </w:t>
      </w:r>
      <w:hyperlink r:id="rId6" w:history="1">
        <w:r w:rsidRPr="00C215EB">
          <w:rPr>
            <w:rStyle w:val="Hyperlink"/>
            <w:rFonts w:ascii="Times New Roman" w:hAnsi="Times New Roman" w:cs="Times New Roman"/>
            <w:i w:val="0"/>
            <w:color w:val="000000" w:themeColor="text1"/>
            <w:sz w:val="24"/>
            <w:szCs w:val="24"/>
            <w:lang w:val="en-US"/>
          </w:rPr>
          <w:t>https://www.drugbank.ca/drugs</w:t>
        </w:r>
      </w:hyperlink>
      <w:r w:rsidRPr="00C215EB">
        <w:rPr>
          <w:rFonts w:ascii="Times New Roman" w:hAnsi="Times New Roman" w:cs="Times New Roman"/>
          <w:i w:val="0"/>
          <w:color w:val="000000" w:themeColor="text1"/>
          <w:sz w:val="24"/>
          <w:szCs w:val="24"/>
          <w:lang w:val="en-US"/>
        </w:rPr>
        <w:br/>
        <w:t xml:space="preserve"># US National Library of Medicine – </w:t>
      </w:r>
      <w:proofErr w:type="spellStart"/>
      <w:r w:rsidRPr="00C215EB">
        <w:rPr>
          <w:rFonts w:ascii="Times New Roman" w:hAnsi="Times New Roman" w:cs="Times New Roman"/>
          <w:i w:val="0"/>
          <w:color w:val="000000" w:themeColor="text1"/>
          <w:sz w:val="24"/>
          <w:szCs w:val="24"/>
          <w:lang w:val="en-US"/>
        </w:rPr>
        <w:t>ToxNet</w:t>
      </w:r>
      <w:proofErr w:type="spellEnd"/>
      <w:r w:rsidRPr="00C215EB">
        <w:rPr>
          <w:rFonts w:ascii="Times New Roman" w:hAnsi="Times New Roman" w:cs="Times New Roman"/>
          <w:i w:val="0"/>
          <w:color w:val="000000" w:themeColor="text1"/>
          <w:sz w:val="24"/>
          <w:szCs w:val="24"/>
          <w:lang w:val="en-US"/>
        </w:rPr>
        <w:t xml:space="preserve">: </w:t>
      </w:r>
      <w:hyperlink r:id="rId7" w:history="1">
        <w:r w:rsidRPr="00C215EB">
          <w:rPr>
            <w:rStyle w:val="Hyperlink"/>
            <w:rFonts w:ascii="Times New Roman" w:hAnsi="Times New Roman" w:cs="Times New Roman"/>
            <w:i w:val="0"/>
            <w:color w:val="000000" w:themeColor="text1"/>
            <w:sz w:val="24"/>
            <w:szCs w:val="24"/>
            <w:lang w:val="en-US"/>
          </w:rPr>
          <w:t>https://www.nlm.nih.gov/toxnet</w:t>
        </w:r>
      </w:hyperlink>
      <w:r w:rsidRPr="00C215EB">
        <w:rPr>
          <w:rFonts w:ascii="Times New Roman" w:hAnsi="Times New Roman" w:cs="Times New Roman"/>
          <w:i w:val="0"/>
          <w:color w:val="000000" w:themeColor="text1"/>
          <w:sz w:val="24"/>
          <w:szCs w:val="24"/>
          <w:lang w:val="en-US"/>
        </w:rPr>
        <w:br/>
        <w:t xml:space="preserve">+ Sigma Aldrich specification sheets: </w:t>
      </w:r>
      <w:hyperlink r:id="rId8" w:history="1">
        <w:r w:rsidRPr="00C215EB">
          <w:rPr>
            <w:rStyle w:val="Hyperlink"/>
            <w:rFonts w:ascii="Times New Roman" w:hAnsi="Times New Roman" w:cs="Times New Roman"/>
            <w:i w:val="0"/>
            <w:color w:val="000000" w:themeColor="text1"/>
            <w:sz w:val="24"/>
            <w:szCs w:val="24"/>
            <w:lang w:val="en-US"/>
          </w:rPr>
          <w:t>https://www.sigmaaldrich.com</w:t>
        </w:r>
      </w:hyperlink>
      <w:r w:rsidRPr="00C215EB">
        <w:rPr>
          <w:rFonts w:ascii="Times New Roman" w:hAnsi="Times New Roman" w:cs="Times New Roman"/>
          <w:i w:val="0"/>
          <w:color w:val="000000" w:themeColor="text1"/>
          <w:sz w:val="24"/>
          <w:szCs w:val="24"/>
          <w:lang w:val="en-US"/>
        </w:rPr>
        <w:br/>
        <w:t xml:space="preserve">҂ National Center for Biotechnology Information – PubChem: </w:t>
      </w:r>
      <w:hyperlink r:id="rId9" w:history="1">
        <w:r w:rsidRPr="00C215EB">
          <w:rPr>
            <w:rStyle w:val="Hyperlink"/>
            <w:rFonts w:ascii="Times New Roman" w:hAnsi="Times New Roman" w:cs="Times New Roman"/>
            <w:i w:val="0"/>
            <w:color w:val="000000" w:themeColor="text1"/>
            <w:sz w:val="24"/>
            <w:szCs w:val="24"/>
            <w:lang w:val="en-US"/>
          </w:rPr>
          <w:t>https://pubchem.ncbi.nlm.nih.gov</w:t>
        </w:r>
      </w:hyperlink>
      <w:r w:rsidRPr="00C215EB">
        <w:rPr>
          <w:rFonts w:ascii="Times New Roman" w:hAnsi="Times New Roman" w:cs="Times New Roman"/>
          <w:i w:val="0"/>
          <w:color w:val="000000" w:themeColor="text1"/>
          <w:sz w:val="24"/>
          <w:szCs w:val="24"/>
          <w:lang w:val="en-US"/>
        </w:rPr>
        <w:br/>
        <w:t xml:space="preserve">§ The good sent company: </w:t>
      </w:r>
      <w:hyperlink r:id="rId10" w:history="1">
        <w:r w:rsidRPr="00C215EB">
          <w:rPr>
            <w:rStyle w:val="Hyperlink"/>
            <w:rFonts w:ascii="Times New Roman" w:hAnsi="Times New Roman" w:cs="Times New Roman"/>
            <w:i w:val="0"/>
            <w:color w:val="000000" w:themeColor="text1"/>
            <w:sz w:val="24"/>
            <w:szCs w:val="24"/>
            <w:lang w:val="en-US"/>
          </w:rPr>
          <w:t>http://thegoodscentscompany.com/</w:t>
        </w:r>
      </w:hyperlink>
      <w:r w:rsidRPr="00C215EB">
        <w:rPr>
          <w:rFonts w:ascii="Times New Roman" w:hAnsi="Times New Roman" w:cs="Times New Roman"/>
          <w:i w:val="0"/>
          <w:color w:val="000000" w:themeColor="text1"/>
          <w:sz w:val="24"/>
          <w:szCs w:val="24"/>
          <w:lang w:val="en-US"/>
        </w:rPr>
        <w:br/>
        <w:t xml:space="preserve">“ US Environmental Protection Agency – </w:t>
      </w:r>
      <w:proofErr w:type="spellStart"/>
      <w:r w:rsidRPr="00C215EB">
        <w:rPr>
          <w:rFonts w:ascii="Times New Roman" w:hAnsi="Times New Roman" w:cs="Times New Roman"/>
          <w:i w:val="0"/>
          <w:color w:val="000000" w:themeColor="text1"/>
          <w:sz w:val="24"/>
          <w:szCs w:val="24"/>
          <w:lang w:val="en-US"/>
        </w:rPr>
        <w:t>CompTox</w:t>
      </w:r>
      <w:proofErr w:type="spellEnd"/>
      <w:r w:rsidRPr="00C215EB">
        <w:rPr>
          <w:rFonts w:ascii="Times New Roman" w:hAnsi="Times New Roman" w:cs="Times New Roman"/>
          <w:i w:val="0"/>
          <w:color w:val="000000" w:themeColor="text1"/>
          <w:sz w:val="24"/>
          <w:szCs w:val="24"/>
          <w:lang w:val="en-US"/>
        </w:rPr>
        <w:t xml:space="preserve">: </w:t>
      </w:r>
      <w:hyperlink r:id="rId11" w:history="1">
        <w:r w:rsidRPr="00C215EB">
          <w:rPr>
            <w:rStyle w:val="Hyperlink"/>
            <w:rFonts w:ascii="Times New Roman" w:hAnsi="Times New Roman" w:cs="Times New Roman"/>
            <w:i w:val="0"/>
            <w:color w:val="000000" w:themeColor="text1"/>
            <w:sz w:val="24"/>
            <w:szCs w:val="24"/>
            <w:lang w:val="en-US"/>
          </w:rPr>
          <w:t>https://comptox.epa.gov</w:t>
        </w:r>
      </w:hyperlink>
      <w:r w:rsidRPr="00C215EB">
        <w:rPr>
          <w:rFonts w:ascii="Times New Roman" w:hAnsi="Times New Roman" w:cs="Times New Roman"/>
          <w:i w:val="0"/>
          <w:color w:val="000000" w:themeColor="text1"/>
          <w:sz w:val="24"/>
          <w:szCs w:val="24"/>
          <w:lang w:val="en-US"/>
        </w:rPr>
        <w:br/>
        <w:t xml:space="preserve">^ National Pesticide Information Centre – Oregon State University: </w:t>
      </w:r>
      <w:hyperlink r:id="rId12" w:history="1">
        <w:r w:rsidRPr="00C215EB">
          <w:rPr>
            <w:rStyle w:val="Hyperlink"/>
            <w:rFonts w:ascii="Times New Roman" w:hAnsi="Times New Roman" w:cs="Times New Roman"/>
            <w:i w:val="0"/>
            <w:color w:val="000000" w:themeColor="text1"/>
            <w:sz w:val="24"/>
            <w:szCs w:val="24"/>
            <w:lang w:val="en-US"/>
          </w:rPr>
          <w:t>www.npic.orst.edu</w:t>
        </w:r>
      </w:hyperlink>
      <w:r w:rsidRPr="00C215EB">
        <w:rPr>
          <w:rFonts w:ascii="Times New Roman" w:hAnsi="Times New Roman" w:cs="Times New Roman"/>
          <w:i w:val="0"/>
          <w:color w:val="000000" w:themeColor="text1"/>
          <w:sz w:val="24"/>
          <w:szCs w:val="24"/>
          <w:lang w:val="en-US"/>
        </w:rPr>
        <w:br/>
        <w:t xml:space="preserve">⁑ </w:t>
      </w:r>
      <w:proofErr w:type="spellStart"/>
      <w:r w:rsidRPr="00C215EB">
        <w:rPr>
          <w:rFonts w:ascii="Times New Roman" w:hAnsi="Times New Roman" w:cs="Times New Roman"/>
          <w:i w:val="0"/>
          <w:color w:val="000000" w:themeColor="text1"/>
          <w:sz w:val="24"/>
          <w:szCs w:val="24"/>
          <w:lang w:val="en-US"/>
        </w:rPr>
        <w:t>CarboSynth</w:t>
      </w:r>
      <w:proofErr w:type="spellEnd"/>
      <w:r w:rsidRPr="00C215EB">
        <w:rPr>
          <w:rFonts w:ascii="Times New Roman" w:hAnsi="Times New Roman" w:cs="Times New Roman"/>
          <w:i w:val="0"/>
          <w:color w:val="000000" w:themeColor="text1"/>
          <w:sz w:val="24"/>
          <w:szCs w:val="24"/>
          <w:lang w:val="en-US"/>
        </w:rPr>
        <w:t xml:space="preserve"> Safety data sheet: </w:t>
      </w:r>
      <w:hyperlink r:id="rId13" w:history="1">
        <w:r w:rsidRPr="00C215EB">
          <w:rPr>
            <w:rStyle w:val="Hyperlink"/>
            <w:rFonts w:ascii="Times New Roman" w:hAnsi="Times New Roman" w:cs="Times New Roman"/>
            <w:i w:val="0"/>
            <w:color w:val="000000" w:themeColor="text1"/>
            <w:sz w:val="24"/>
            <w:szCs w:val="24"/>
            <w:lang w:val="en-US"/>
          </w:rPr>
          <w:t>https://www.carbosynth.com</w:t>
        </w:r>
      </w:hyperlink>
      <w:r w:rsidRPr="00C215EB">
        <w:rPr>
          <w:rStyle w:val="Hyperlink"/>
          <w:rFonts w:ascii="Times New Roman" w:hAnsi="Times New Roman" w:cs="Times New Roman"/>
          <w:i w:val="0"/>
          <w:color w:val="000000" w:themeColor="text1"/>
          <w:sz w:val="24"/>
          <w:szCs w:val="24"/>
          <w:lang w:val="en-US"/>
        </w:rPr>
        <w:t xml:space="preserve"> </w:t>
      </w:r>
      <w:r w:rsidRPr="00C215EB">
        <w:rPr>
          <w:rStyle w:val="Hyperlink"/>
          <w:rFonts w:ascii="Times New Roman" w:hAnsi="Times New Roman" w:cs="Times New Roman"/>
          <w:i w:val="0"/>
          <w:color w:val="000000" w:themeColor="text1"/>
          <w:sz w:val="24"/>
          <w:szCs w:val="24"/>
          <w:lang w:val="en-US"/>
        </w:rPr>
        <w:br/>
      </w:r>
      <w:r w:rsidRPr="00C215EB">
        <w:rPr>
          <w:rFonts w:ascii="Times New Roman" w:hAnsi="Times New Roman" w:cs="Times New Roman"/>
          <w:i w:val="0"/>
          <w:color w:val="000000" w:themeColor="text1"/>
          <w:sz w:val="24"/>
          <w:szCs w:val="24"/>
          <w:lang w:val="en-US"/>
        </w:rPr>
        <w:t>n/a: no information could be found for this aspect of the compound</w:t>
      </w:r>
    </w:p>
    <w:p w:rsidR="008E041A" w:rsidRPr="00C215EB" w:rsidRDefault="008E041A" w:rsidP="008E041A">
      <w:pPr>
        <w:pStyle w:val="Caption"/>
        <w:spacing w:after="120" w:line="480" w:lineRule="auto"/>
        <w:jc w:val="both"/>
        <w:rPr>
          <w:rFonts w:ascii="Times New Roman" w:hAnsi="Times New Roman" w:cs="Times New Roman"/>
          <w:i w:val="0"/>
          <w:color w:val="auto"/>
          <w:sz w:val="24"/>
          <w:szCs w:val="24"/>
          <w:lang w:val="en-US"/>
        </w:rPr>
      </w:pPr>
    </w:p>
    <w:p w:rsidR="008E041A" w:rsidRPr="00C215EB" w:rsidRDefault="008E041A" w:rsidP="008E041A">
      <w:pPr>
        <w:pStyle w:val="Caption"/>
        <w:spacing w:after="120" w:line="480" w:lineRule="auto"/>
        <w:jc w:val="both"/>
        <w:rPr>
          <w:rFonts w:ascii="Times New Roman" w:hAnsi="Times New Roman" w:cs="Times New Roman"/>
          <w:i w:val="0"/>
          <w:color w:val="auto"/>
          <w:sz w:val="24"/>
          <w:szCs w:val="24"/>
          <w:lang w:val="en-US"/>
        </w:rPr>
      </w:pPr>
    </w:p>
    <w:p w:rsidR="008E041A" w:rsidRPr="00C215EB" w:rsidRDefault="008E041A" w:rsidP="008E041A">
      <w:pPr>
        <w:pStyle w:val="Caption"/>
        <w:spacing w:after="120" w:line="480" w:lineRule="auto"/>
        <w:jc w:val="both"/>
        <w:rPr>
          <w:rFonts w:ascii="Times New Roman" w:hAnsi="Times New Roman" w:cs="Times New Roman"/>
          <w:i w:val="0"/>
          <w:color w:val="auto"/>
          <w:sz w:val="24"/>
          <w:szCs w:val="24"/>
          <w:lang w:val="en-US"/>
        </w:rPr>
      </w:pPr>
      <w:r w:rsidRPr="00C215EB">
        <w:rPr>
          <w:rFonts w:ascii="Times New Roman" w:hAnsi="Times New Roman" w:cs="Times New Roman"/>
          <w:i w:val="0"/>
          <w:color w:val="auto"/>
          <w:sz w:val="24"/>
          <w:szCs w:val="24"/>
          <w:lang w:val="en-US"/>
        </w:rPr>
        <w:t>Table S3. Background information on preparation of test solutions and CAS number</w:t>
      </w:r>
    </w:p>
    <w:tbl>
      <w:tblPr>
        <w:tblStyle w:val="TableGrid"/>
        <w:tblW w:w="14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1842"/>
        <w:gridCol w:w="1985"/>
        <w:gridCol w:w="3402"/>
        <w:gridCol w:w="709"/>
        <w:gridCol w:w="1842"/>
      </w:tblGrid>
      <w:tr w:rsidR="008E041A" w:rsidRPr="00E3123E" w:rsidTr="00A04BA8">
        <w:trPr>
          <w:trHeight w:val="430"/>
        </w:trPr>
        <w:tc>
          <w:tcPr>
            <w:tcW w:w="4503" w:type="dxa"/>
            <w:tcBorders>
              <w:top w:val="single" w:sz="4" w:space="0" w:color="auto"/>
              <w:bottom w:val="single" w:sz="4" w:space="0" w:color="auto"/>
            </w:tcBorders>
            <w:vAlign w:val="center"/>
          </w:tcPr>
          <w:p w:rsidR="008E041A" w:rsidRPr="00E3123E" w:rsidRDefault="008E041A" w:rsidP="00A04BA8">
            <w:pPr>
              <w:spacing w:before="20" w:after="20"/>
              <w:jc w:val="both"/>
              <w:rPr>
                <w:rFonts w:ascii="Times New Roman" w:hAnsi="Times New Roman" w:cs="Times New Roman"/>
                <w:b/>
                <w:lang w:val="en-US"/>
              </w:rPr>
            </w:pPr>
            <w:r w:rsidRPr="00E3123E">
              <w:rPr>
                <w:rFonts w:ascii="Times New Roman" w:hAnsi="Times New Roman" w:cs="Times New Roman"/>
                <w:b/>
                <w:lang w:val="en-US"/>
              </w:rPr>
              <w:t>Compound</w:t>
            </w:r>
          </w:p>
        </w:tc>
        <w:tc>
          <w:tcPr>
            <w:tcW w:w="1842" w:type="dxa"/>
            <w:tcBorders>
              <w:top w:val="single" w:sz="4" w:space="0" w:color="auto"/>
              <w:bottom w:val="single" w:sz="4" w:space="0" w:color="auto"/>
            </w:tcBorders>
            <w:vAlign w:val="center"/>
          </w:tcPr>
          <w:p w:rsidR="008E041A" w:rsidRPr="00E3123E" w:rsidDel="005A3321" w:rsidRDefault="008E041A" w:rsidP="00A04BA8">
            <w:pPr>
              <w:spacing w:before="20" w:after="20"/>
              <w:rPr>
                <w:rFonts w:ascii="Times New Roman" w:hAnsi="Times New Roman" w:cs="Times New Roman"/>
                <w:b/>
                <w:lang w:val="en-US"/>
              </w:rPr>
            </w:pPr>
            <w:r w:rsidRPr="00E3123E">
              <w:rPr>
                <w:rFonts w:ascii="Times New Roman" w:hAnsi="Times New Roman" w:cs="Times New Roman"/>
                <w:b/>
                <w:lang w:val="en-US"/>
              </w:rPr>
              <w:t>CAS</w:t>
            </w:r>
          </w:p>
        </w:tc>
        <w:tc>
          <w:tcPr>
            <w:tcW w:w="1985" w:type="dxa"/>
            <w:tcBorders>
              <w:top w:val="single" w:sz="4" w:space="0" w:color="auto"/>
              <w:bottom w:val="single" w:sz="4" w:space="0" w:color="auto"/>
            </w:tcBorders>
            <w:vAlign w:val="center"/>
          </w:tcPr>
          <w:p w:rsidR="008E041A" w:rsidRPr="00E3123E" w:rsidRDefault="008E041A" w:rsidP="00A04BA8">
            <w:pPr>
              <w:spacing w:before="20" w:after="20"/>
              <w:jc w:val="both"/>
              <w:rPr>
                <w:rFonts w:ascii="Times New Roman" w:hAnsi="Times New Roman" w:cs="Times New Roman"/>
                <w:b/>
                <w:lang w:val="en-US"/>
              </w:rPr>
            </w:pPr>
            <w:r w:rsidRPr="00E3123E">
              <w:rPr>
                <w:rFonts w:ascii="Times New Roman" w:hAnsi="Times New Roman" w:cs="Times New Roman"/>
                <w:b/>
                <w:lang w:val="en-US"/>
              </w:rPr>
              <w:t>Medium</w:t>
            </w:r>
          </w:p>
        </w:tc>
        <w:tc>
          <w:tcPr>
            <w:tcW w:w="3402" w:type="dxa"/>
            <w:tcBorders>
              <w:top w:val="single" w:sz="4" w:space="0" w:color="auto"/>
              <w:bottom w:val="single" w:sz="4" w:space="0" w:color="auto"/>
            </w:tcBorders>
            <w:vAlign w:val="center"/>
          </w:tcPr>
          <w:p w:rsidR="008E041A" w:rsidRPr="00E3123E" w:rsidRDefault="008E041A" w:rsidP="00A04BA8">
            <w:pPr>
              <w:spacing w:before="20" w:after="20"/>
              <w:jc w:val="both"/>
              <w:rPr>
                <w:rFonts w:ascii="Times New Roman" w:hAnsi="Times New Roman" w:cs="Times New Roman"/>
                <w:b/>
                <w:lang w:val="en-US"/>
              </w:rPr>
            </w:pPr>
            <w:r w:rsidRPr="00E3123E">
              <w:rPr>
                <w:rFonts w:ascii="Times New Roman" w:hAnsi="Times New Roman" w:cs="Times New Roman"/>
                <w:b/>
                <w:lang w:val="en-US"/>
              </w:rPr>
              <w:t>Exposure concentrations</w:t>
            </w:r>
          </w:p>
        </w:tc>
        <w:tc>
          <w:tcPr>
            <w:tcW w:w="709" w:type="dxa"/>
            <w:tcBorders>
              <w:top w:val="single" w:sz="4" w:space="0" w:color="auto"/>
              <w:bottom w:val="single" w:sz="4" w:space="0" w:color="auto"/>
            </w:tcBorders>
            <w:vAlign w:val="center"/>
          </w:tcPr>
          <w:p w:rsidR="008E041A" w:rsidRPr="00E3123E" w:rsidRDefault="008E041A" w:rsidP="00A04BA8">
            <w:pPr>
              <w:spacing w:before="20" w:after="20"/>
              <w:rPr>
                <w:rFonts w:ascii="Times New Roman" w:hAnsi="Times New Roman" w:cs="Times New Roman"/>
                <w:b/>
                <w:lang w:val="en-US"/>
              </w:rPr>
            </w:pPr>
            <w:r w:rsidRPr="00E3123E">
              <w:rPr>
                <w:rFonts w:ascii="Times New Roman" w:hAnsi="Times New Roman" w:cs="Times New Roman"/>
                <w:b/>
                <w:lang w:val="en-US"/>
              </w:rPr>
              <w:t>Unit</w:t>
            </w:r>
          </w:p>
        </w:tc>
        <w:tc>
          <w:tcPr>
            <w:tcW w:w="1842" w:type="dxa"/>
            <w:tcBorders>
              <w:top w:val="single" w:sz="4" w:space="0" w:color="auto"/>
              <w:bottom w:val="single" w:sz="4" w:space="0" w:color="auto"/>
            </w:tcBorders>
            <w:vAlign w:val="center"/>
          </w:tcPr>
          <w:p w:rsidR="008E041A" w:rsidRPr="00E3123E" w:rsidRDefault="008E041A" w:rsidP="00A04BA8">
            <w:pPr>
              <w:spacing w:before="20" w:after="20"/>
              <w:jc w:val="right"/>
              <w:rPr>
                <w:rFonts w:ascii="Times New Roman" w:hAnsi="Times New Roman" w:cs="Times New Roman"/>
                <w:b/>
                <w:lang w:val="en-US"/>
              </w:rPr>
            </w:pPr>
            <w:r w:rsidRPr="00E3123E">
              <w:rPr>
                <w:rFonts w:ascii="Times New Roman" w:hAnsi="Times New Roman" w:cs="Times New Roman"/>
                <w:b/>
                <w:lang w:val="en-US"/>
              </w:rPr>
              <w:t>Storage temp.</w:t>
            </w:r>
          </w:p>
        </w:tc>
      </w:tr>
      <w:tr w:rsidR="008E041A" w:rsidRPr="00E3123E" w:rsidTr="00A04BA8">
        <w:trPr>
          <w:trHeight w:val="253"/>
        </w:trPr>
        <w:tc>
          <w:tcPr>
            <w:tcW w:w="4503" w:type="dxa"/>
            <w:tcBorders>
              <w:top w:val="single" w:sz="4" w:space="0" w:color="auto"/>
            </w:tcBorders>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Acrylamide</w:t>
            </w:r>
          </w:p>
        </w:tc>
        <w:tc>
          <w:tcPr>
            <w:tcW w:w="1842" w:type="dxa"/>
            <w:tcBorders>
              <w:top w:val="single" w:sz="4" w:space="0" w:color="auto"/>
            </w:tcBorders>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79-06-1</w:t>
            </w:r>
          </w:p>
        </w:tc>
        <w:tc>
          <w:tcPr>
            <w:tcW w:w="1985" w:type="dxa"/>
            <w:tcBorders>
              <w:top w:val="single" w:sz="4" w:space="0" w:color="auto"/>
            </w:tcBorders>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H</w:t>
            </w:r>
            <w:r w:rsidRPr="00E3123E">
              <w:rPr>
                <w:rFonts w:ascii="Times New Roman" w:hAnsi="Times New Roman" w:cs="Times New Roman"/>
                <w:vertAlign w:val="subscript"/>
                <w:lang w:val="en-US"/>
              </w:rPr>
              <w:t>2</w:t>
            </w:r>
            <w:r w:rsidRPr="00E3123E">
              <w:rPr>
                <w:rFonts w:ascii="Times New Roman" w:hAnsi="Times New Roman" w:cs="Times New Roman"/>
                <w:lang w:val="en-US"/>
              </w:rPr>
              <w:t>O</w:t>
            </w:r>
          </w:p>
        </w:tc>
        <w:tc>
          <w:tcPr>
            <w:tcW w:w="3402" w:type="dxa"/>
            <w:tcBorders>
              <w:top w:val="single" w:sz="4" w:space="0" w:color="auto"/>
            </w:tcBorders>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43.75, 87.5, 175, 350</w:t>
            </w:r>
          </w:p>
        </w:tc>
        <w:tc>
          <w:tcPr>
            <w:tcW w:w="709" w:type="dxa"/>
            <w:tcBorders>
              <w:top w:val="single" w:sz="4" w:space="0" w:color="auto"/>
            </w:tcBorders>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mg/L</w:t>
            </w:r>
          </w:p>
        </w:tc>
        <w:tc>
          <w:tcPr>
            <w:tcW w:w="1842" w:type="dxa"/>
            <w:tcBorders>
              <w:top w:val="single" w:sz="4" w:space="0" w:color="auto"/>
            </w:tcBorders>
            <w:vAlign w:val="center"/>
          </w:tcPr>
          <w:p w:rsidR="008E041A" w:rsidRPr="00E3123E"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RT</w:t>
            </w:r>
          </w:p>
        </w:tc>
      </w:tr>
      <w:tr w:rsidR="008E041A" w:rsidRPr="00E3123E" w:rsidTr="00A04BA8">
        <w:trPr>
          <w:trHeight w:val="253"/>
        </w:trPr>
        <w:tc>
          <w:tcPr>
            <w:tcW w:w="4503" w:type="dxa"/>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bCs/>
                <w:lang w:val="en-US"/>
              </w:rPr>
              <w:t xml:space="preserve">Carbamazepine </w:t>
            </w:r>
            <w:r w:rsidRPr="00E3123E">
              <w:rPr>
                <w:rFonts w:ascii="Times New Roman" w:hAnsi="Times New Roman" w:cs="Times New Roman"/>
                <w:bCs/>
                <w:vertAlign w:val="superscript"/>
                <w:lang w:val="en-US"/>
              </w:rPr>
              <w:t>*</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298-46-4</w:t>
            </w:r>
          </w:p>
        </w:tc>
        <w:tc>
          <w:tcPr>
            <w:tcW w:w="1985"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H</w:t>
            </w:r>
            <w:r w:rsidRPr="00E3123E">
              <w:rPr>
                <w:rFonts w:ascii="Times New Roman" w:hAnsi="Times New Roman" w:cs="Times New Roman"/>
                <w:vertAlign w:val="subscript"/>
                <w:lang w:val="en-US"/>
              </w:rPr>
              <w:t>2</w:t>
            </w:r>
            <w:r w:rsidRPr="00E3123E">
              <w:rPr>
                <w:rFonts w:ascii="Times New Roman" w:hAnsi="Times New Roman" w:cs="Times New Roman"/>
                <w:lang w:val="en-US"/>
              </w:rPr>
              <w:t>O</w:t>
            </w:r>
          </w:p>
        </w:tc>
        <w:tc>
          <w:tcPr>
            <w:tcW w:w="340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54.7, 76.5, 107.1, 150, 210</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mg/L</w:t>
            </w:r>
          </w:p>
        </w:tc>
        <w:tc>
          <w:tcPr>
            <w:tcW w:w="1842" w:type="dxa"/>
            <w:vAlign w:val="center"/>
          </w:tcPr>
          <w:p w:rsidR="008E041A" w:rsidRPr="00E3123E"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RT</w:t>
            </w:r>
          </w:p>
        </w:tc>
      </w:tr>
      <w:tr w:rsidR="008E041A" w:rsidRPr="00E3123E" w:rsidTr="00A04BA8">
        <w:trPr>
          <w:trHeight w:val="238"/>
        </w:trPr>
        <w:tc>
          <w:tcPr>
            <w:tcW w:w="4503" w:type="dxa"/>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Carbaryl</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63-25-2</w:t>
            </w:r>
          </w:p>
        </w:tc>
        <w:tc>
          <w:tcPr>
            <w:tcW w:w="1985"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0.5 % DMSO</w:t>
            </w:r>
          </w:p>
        </w:tc>
        <w:tc>
          <w:tcPr>
            <w:tcW w:w="340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1.875, 3.75, 7.5, 15</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mg/L</w:t>
            </w:r>
          </w:p>
        </w:tc>
        <w:tc>
          <w:tcPr>
            <w:tcW w:w="1842" w:type="dxa"/>
            <w:vAlign w:val="center"/>
          </w:tcPr>
          <w:p w:rsidR="008E041A" w:rsidRPr="00E3123E"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-20 °C</w:t>
            </w:r>
          </w:p>
        </w:tc>
      </w:tr>
      <w:tr w:rsidR="008E041A" w:rsidRPr="00E3123E" w:rsidTr="00A04BA8">
        <w:trPr>
          <w:trHeight w:val="253"/>
        </w:trPr>
        <w:tc>
          <w:tcPr>
            <w:tcW w:w="4503" w:type="dxa"/>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Clofibrate</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637-07-0</w:t>
            </w:r>
          </w:p>
        </w:tc>
        <w:tc>
          <w:tcPr>
            <w:tcW w:w="1985"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0.1 % DMSO</w:t>
            </w:r>
          </w:p>
        </w:tc>
        <w:tc>
          <w:tcPr>
            <w:tcW w:w="340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62.5, 125, 250, 500, 1000</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µg/L</w:t>
            </w:r>
          </w:p>
        </w:tc>
        <w:tc>
          <w:tcPr>
            <w:tcW w:w="1842" w:type="dxa"/>
            <w:vAlign w:val="center"/>
          </w:tcPr>
          <w:p w:rsidR="008E041A" w:rsidRPr="00E3123E"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-20 °C</w:t>
            </w:r>
          </w:p>
        </w:tc>
      </w:tr>
      <w:tr w:rsidR="008E041A" w:rsidRPr="00E3123E" w:rsidTr="00A04BA8">
        <w:trPr>
          <w:trHeight w:val="253"/>
        </w:trPr>
        <w:tc>
          <w:tcPr>
            <w:tcW w:w="4503" w:type="dxa"/>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 xml:space="preserve">Colchicine </w:t>
            </w:r>
            <w:r w:rsidRPr="00E3123E">
              <w:rPr>
                <w:rFonts w:ascii="Times New Roman" w:hAnsi="Times New Roman" w:cs="Times New Roman"/>
                <w:vertAlign w:val="superscript"/>
                <w:lang w:val="en-US"/>
              </w:rPr>
              <w:t>#</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64-86-8</w:t>
            </w:r>
          </w:p>
        </w:tc>
        <w:tc>
          <w:tcPr>
            <w:tcW w:w="1985"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H</w:t>
            </w:r>
            <w:r w:rsidRPr="00E3123E">
              <w:rPr>
                <w:rFonts w:ascii="Times New Roman" w:hAnsi="Times New Roman" w:cs="Times New Roman"/>
                <w:vertAlign w:val="subscript"/>
                <w:lang w:val="en-US"/>
              </w:rPr>
              <w:t>2</w:t>
            </w:r>
            <w:r w:rsidRPr="00E3123E">
              <w:rPr>
                <w:rFonts w:ascii="Times New Roman" w:hAnsi="Times New Roman" w:cs="Times New Roman"/>
                <w:lang w:val="en-US"/>
              </w:rPr>
              <w:t>O</w:t>
            </w:r>
          </w:p>
        </w:tc>
        <w:tc>
          <w:tcPr>
            <w:tcW w:w="340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10, 20, 40, 80</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mg/L</w:t>
            </w:r>
          </w:p>
        </w:tc>
        <w:tc>
          <w:tcPr>
            <w:tcW w:w="1842" w:type="dxa"/>
            <w:vAlign w:val="center"/>
          </w:tcPr>
          <w:p w:rsidR="008E041A" w:rsidRPr="00E3123E"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-20 °C</w:t>
            </w:r>
          </w:p>
        </w:tc>
      </w:tr>
      <w:tr w:rsidR="008E041A" w:rsidRPr="00E3123E" w:rsidTr="00A04BA8">
        <w:trPr>
          <w:trHeight w:val="253"/>
        </w:trPr>
        <w:tc>
          <w:tcPr>
            <w:tcW w:w="4503" w:type="dxa"/>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bCs/>
                <w:lang w:val="en-US"/>
              </w:rPr>
              <w:t xml:space="preserve">Copper (II) sulphate pentahydrate </w:t>
            </w:r>
            <w:r w:rsidRPr="00E3123E">
              <w:rPr>
                <w:rFonts w:ascii="Times New Roman" w:hAnsi="Times New Roman" w:cs="Times New Roman"/>
                <w:vertAlign w:val="superscript"/>
                <w:lang w:val="en-US"/>
              </w:rPr>
              <w:t>$</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7758-99-8</w:t>
            </w:r>
          </w:p>
        </w:tc>
        <w:tc>
          <w:tcPr>
            <w:tcW w:w="1985"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H</w:t>
            </w:r>
            <w:r w:rsidRPr="00E3123E">
              <w:rPr>
                <w:rFonts w:ascii="Times New Roman" w:hAnsi="Times New Roman" w:cs="Times New Roman"/>
                <w:vertAlign w:val="subscript"/>
                <w:lang w:val="en-US"/>
              </w:rPr>
              <w:t>2</w:t>
            </w:r>
            <w:r w:rsidRPr="00E3123E">
              <w:rPr>
                <w:rFonts w:ascii="Times New Roman" w:hAnsi="Times New Roman" w:cs="Times New Roman"/>
                <w:lang w:val="en-US"/>
              </w:rPr>
              <w:t>O</w:t>
            </w:r>
          </w:p>
        </w:tc>
        <w:tc>
          <w:tcPr>
            <w:tcW w:w="340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0.2, 0.3, 0.6, 1.2, 2.4</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mg/L</w:t>
            </w:r>
          </w:p>
        </w:tc>
        <w:tc>
          <w:tcPr>
            <w:tcW w:w="1842" w:type="dxa"/>
            <w:vAlign w:val="center"/>
          </w:tcPr>
          <w:p w:rsidR="008E041A" w:rsidRPr="00E3123E"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RT</w:t>
            </w:r>
          </w:p>
        </w:tc>
      </w:tr>
      <w:tr w:rsidR="008E041A" w:rsidRPr="00E3123E" w:rsidTr="00A04BA8">
        <w:trPr>
          <w:trHeight w:val="253"/>
        </w:trPr>
        <w:tc>
          <w:tcPr>
            <w:tcW w:w="4503" w:type="dxa"/>
          </w:tcPr>
          <w:p w:rsidR="008E041A" w:rsidRPr="00E3123E" w:rsidRDefault="008E041A" w:rsidP="00A04BA8">
            <w:pPr>
              <w:spacing w:before="20" w:after="20"/>
              <w:rPr>
                <w:rFonts w:ascii="Times New Roman" w:hAnsi="Times New Roman" w:cs="Times New Roman"/>
                <w:bCs/>
                <w:lang w:val="en-US"/>
              </w:rPr>
            </w:pPr>
            <w:r w:rsidRPr="00E3123E">
              <w:rPr>
                <w:rFonts w:ascii="Times New Roman" w:hAnsi="Times New Roman" w:cs="Times New Roman"/>
                <w:bCs/>
                <w:lang w:val="en-US"/>
              </w:rPr>
              <w:t>Dibutyl maleate</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105-76-0</w:t>
            </w:r>
          </w:p>
        </w:tc>
        <w:tc>
          <w:tcPr>
            <w:tcW w:w="1985"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H</w:t>
            </w:r>
            <w:r w:rsidRPr="00E3123E">
              <w:rPr>
                <w:rFonts w:ascii="Times New Roman" w:hAnsi="Times New Roman" w:cs="Times New Roman"/>
                <w:vertAlign w:val="subscript"/>
                <w:lang w:val="en-US"/>
              </w:rPr>
              <w:t>2</w:t>
            </w:r>
            <w:r w:rsidRPr="00E3123E">
              <w:rPr>
                <w:rFonts w:ascii="Times New Roman" w:hAnsi="Times New Roman" w:cs="Times New Roman"/>
                <w:lang w:val="en-US"/>
              </w:rPr>
              <w:t>O</w:t>
            </w:r>
          </w:p>
        </w:tc>
        <w:tc>
          <w:tcPr>
            <w:tcW w:w="340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0.25, 0.5, 1, 2, 4</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mg/L</w:t>
            </w:r>
          </w:p>
        </w:tc>
        <w:tc>
          <w:tcPr>
            <w:tcW w:w="1842" w:type="dxa"/>
            <w:vAlign w:val="center"/>
          </w:tcPr>
          <w:p w:rsidR="008E041A" w:rsidRPr="00E3123E"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4 °C</w:t>
            </w:r>
          </w:p>
        </w:tc>
      </w:tr>
      <w:tr w:rsidR="008E041A" w:rsidRPr="00E3123E" w:rsidTr="00A04BA8">
        <w:trPr>
          <w:trHeight w:val="253"/>
        </w:trPr>
        <w:tc>
          <w:tcPr>
            <w:tcW w:w="4503" w:type="dxa"/>
          </w:tcPr>
          <w:p w:rsidR="008E041A" w:rsidRPr="00E3123E" w:rsidRDefault="008E041A" w:rsidP="00A04BA8">
            <w:pPr>
              <w:spacing w:before="20" w:after="20"/>
              <w:rPr>
                <w:rFonts w:ascii="Times New Roman" w:hAnsi="Times New Roman" w:cs="Times New Roman"/>
                <w:bCs/>
                <w:lang w:val="en-US"/>
              </w:rPr>
            </w:pPr>
            <w:r w:rsidRPr="00E3123E">
              <w:rPr>
                <w:rFonts w:ascii="Times New Roman" w:hAnsi="Times New Roman" w:cs="Times New Roman"/>
                <w:lang w:val="en-US"/>
              </w:rPr>
              <w:t>3,4-DCA</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95-76-1</w:t>
            </w:r>
          </w:p>
        </w:tc>
        <w:tc>
          <w:tcPr>
            <w:tcW w:w="1985"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H</w:t>
            </w:r>
            <w:r w:rsidRPr="00E3123E">
              <w:rPr>
                <w:rFonts w:ascii="Times New Roman" w:hAnsi="Times New Roman" w:cs="Times New Roman"/>
                <w:vertAlign w:val="subscript"/>
                <w:lang w:val="en-US"/>
              </w:rPr>
              <w:t>2</w:t>
            </w:r>
            <w:r w:rsidRPr="00E3123E">
              <w:rPr>
                <w:rFonts w:ascii="Times New Roman" w:hAnsi="Times New Roman" w:cs="Times New Roman"/>
                <w:lang w:val="en-US"/>
              </w:rPr>
              <w:t>O</w:t>
            </w:r>
          </w:p>
        </w:tc>
        <w:tc>
          <w:tcPr>
            <w:tcW w:w="340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0.5, 1, 2, 3.7, 4, 8</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mg/L</w:t>
            </w:r>
          </w:p>
        </w:tc>
        <w:tc>
          <w:tcPr>
            <w:tcW w:w="1842" w:type="dxa"/>
            <w:vAlign w:val="center"/>
          </w:tcPr>
          <w:p w:rsidR="008E041A" w:rsidRPr="00E3123E" w:rsidDel="005A42B9"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4 °C</w:t>
            </w:r>
          </w:p>
        </w:tc>
      </w:tr>
      <w:tr w:rsidR="008E041A" w:rsidRPr="00E3123E" w:rsidTr="00A04BA8">
        <w:trPr>
          <w:trHeight w:val="253"/>
        </w:trPr>
        <w:tc>
          <w:tcPr>
            <w:tcW w:w="4503" w:type="dxa"/>
          </w:tcPr>
          <w:p w:rsidR="008E041A" w:rsidRPr="00E3123E" w:rsidRDefault="008E041A" w:rsidP="00A04BA8">
            <w:pPr>
              <w:spacing w:before="20" w:after="20"/>
              <w:rPr>
                <w:rFonts w:ascii="Times New Roman" w:hAnsi="Times New Roman" w:cs="Times New Roman"/>
                <w:bCs/>
                <w:lang w:val="en-US"/>
              </w:rPr>
            </w:pPr>
            <w:r w:rsidRPr="00E3123E">
              <w:rPr>
                <w:rFonts w:ascii="Times New Roman" w:hAnsi="Times New Roman" w:cs="Times New Roman"/>
                <w:bCs/>
                <w:lang w:val="en-US"/>
              </w:rPr>
              <w:t>DMSO</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67-68-5</w:t>
            </w:r>
          </w:p>
        </w:tc>
        <w:tc>
          <w:tcPr>
            <w:tcW w:w="1985"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H</w:t>
            </w:r>
            <w:r w:rsidRPr="00E3123E">
              <w:rPr>
                <w:rFonts w:ascii="Times New Roman" w:hAnsi="Times New Roman" w:cs="Times New Roman"/>
                <w:vertAlign w:val="subscript"/>
                <w:lang w:val="en-US"/>
              </w:rPr>
              <w:t>2</w:t>
            </w:r>
            <w:r w:rsidRPr="00E3123E">
              <w:rPr>
                <w:rFonts w:ascii="Times New Roman" w:hAnsi="Times New Roman" w:cs="Times New Roman"/>
                <w:lang w:val="en-US"/>
              </w:rPr>
              <w:t>O</w:t>
            </w:r>
          </w:p>
        </w:tc>
        <w:tc>
          <w:tcPr>
            <w:tcW w:w="340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10, 17, 28.9, 49.1, 83.5</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g/L</w:t>
            </w:r>
          </w:p>
        </w:tc>
        <w:tc>
          <w:tcPr>
            <w:tcW w:w="1842" w:type="dxa"/>
            <w:vAlign w:val="center"/>
          </w:tcPr>
          <w:p w:rsidR="008E041A" w:rsidRPr="00E3123E"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RT</w:t>
            </w:r>
          </w:p>
        </w:tc>
      </w:tr>
      <w:tr w:rsidR="008E041A" w:rsidRPr="00E3123E" w:rsidTr="00A04BA8">
        <w:trPr>
          <w:trHeight w:val="253"/>
        </w:trPr>
        <w:tc>
          <w:tcPr>
            <w:tcW w:w="4503" w:type="dxa"/>
          </w:tcPr>
          <w:p w:rsidR="008E041A" w:rsidRPr="00E3123E" w:rsidRDefault="008E041A" w:rsidP="00A04BA8">
            <w:pPr>
              <w:spacing w:before="20" w:after="20"/>
              <w:rPr>
                <w:rFonts w:ascii="Times New Roman" w:hAnsi="Times New Roman" w:cs="Times New Roman"/>
                <w:bCs/>
                <w:lang w:val="en-US"/>
              </w:rPr>
            </w:pPr>
            <w:r w:rsidRPr="00E3123E">
              <w:rPr>
                <w:rFonts w:ascii="Times New Roman" w:hAnsi="Times New Roman" w:cs="Times New Roman"/>
                <w:lang w:val="en-US"/>
              </w:rPr>
              <w:t>2,2-Dimethylvaleric acid</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1185-39-3</w:t>
            </w:r>
          </w:p>
        </w:tc>
        <w:tc>
          <w:tcPr>
            <w:tcW w:w="1985" w:type="dxa"/>
            <w:shd w:val="clear" w:color="auto" w:fill="auto"/>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0.1 % DMSO</w:t>
            </w:r>
          </w:p>
        </w:tc>
        <w:tc>
          <w:tcPr>
            <w:tcW w:w="3402" w:type="dxa"/>
            <w:shd w:val="clear" w:color="auto" w:fill="auto"/>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13, 26, 52, 104</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mg/L</w:t>
            </w:r>
          </w:p>
        </w:tc>
        <w:tc>
          <w:tcPr>
            <w:tcW w:w="1842" w:type="dxa"/>
            <w:vAlign w:val="center"/>
          </w:tcPr>
          <w:p w:rsidR="008E041A" w:rsidRPr="00E3123E" w:rsidDel="005A42B9"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4 °C</w:t>
            </w:r>
          </w:p>
        </w:tc>
      </w:tr>
      <w:tr w:rsidR="008E041A" w:rsidRPr="00E3123E" w:rsidTr="00A04BA8">
        <w:trPr>
          <w:trHeight w:val="253"/>
        </w:trPr>
        <w:tc>
          <w:tcPr>
            <w:tcW w:w="4503" w:type="dxa"/>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bCs/>
                <w:lang w:val="en-US"/>
              </w:rPr>
              <w:t xml:space="preserve">DNOC </w:t>
            </w:r>
            <w:r w:rsidRPr="00E3123E">
              <w:rPr>
                <w:rFonts w:ascii="Times New Roman" w:hAnsi="Times New Roman" w:cs="Times New Roman"/>
                <w:vertAlign w:val="superscript"/>
                <w:lang w:val="en-US"/>
              </w:rPr>
              <w:t>$</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497-56-3</w:t>
            </w:r>
          </w:p>
        </w:tc>
        <w:tc>
          <w:tcPr>
            <w:tcW w:w="1985"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H</w:t>
            </w:r>
            <w:r w:rsidRPr="00E3123E">
              <w:rPr>
                <w:rFonts w:ascii="Times New Roman" w:hAnsi="Times New Roman" w:cs="Times New Roman"/>
                <w:vertAlign w:val="subscript"/>
                <w:lang w:val="en-US"/>
              </w:rPr>
              <w:t>2</w:t>
            </w:r>
            <w:r w:rsidRPr="00E3123E">
              <w:rPr>
                <w:rFonts w:ascii="Times New Roman" w:hAnsi="Times New Roman" w:cs="Times New Roman"/>
                <w:lang w:val="en-US"/>
              </w:rPr>
              <w:t>O</w:t>
            </w:r>
          </w:p>
        </w:tc>
        <w:tc>
          <w:tcPr>
            <w:tcW w:w="340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0.2, 0.3, 0.6, 1.1, 1.9</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mg/L</w:t>
            </w:r>
          </w:p>
        </w:tc>
        <w:tc>
          <w:tcPr>
            <w:tcW w:w="1842" w:type="dxa"/>
            <w:vAlign w:val="center"/>
          </w:tcPr>
          <w:p w:rsidR="008E041A" w:rsidRPr="00E3123E"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4 °C</w:t>
            </w:r>
          </w:p>
        </w:tc>
      </w:tr>
      <w:tr w:rsidR="008E041A" w:rsidRPr="00E3123E" w:rsidTr="00A04BA8">
        <w:trPr>
          <w:trHeight w:val="253"/>
        </w:trPr>
        <w:tc>
          <w:tcPr>
            <w:tcW w:w="4503" w:type="dxa"/>
          </w:tcPr>
          <w:p w:rsidR="008E041A" w:rsidRPr="00E3123E" w:rsidRDefault="008E041A" w:rsidP="00A04BA8">
            <w:pPr>
              <w:spacing w:before="20" w:after="20"/>
              <w:rPr>
                <w:rFonts w:ascii="Times New Roman" w:hAnsi="Times New Roman" w:cs="Times New Roman"/>
                <w:bCs/>
                <w:lang w:val="en-US"/>
              </w:rPr>
            </w:pPr>
            <w:r w:rsidRPr="00E3123E">
              <w:rPr>
                <w:rFonts w:ascii="Times New Roman" w:hAnsi="Times New Roman" w:cs="Times New Roman"/>
                <w:bCs/>
                <w:lang w:val="en-US"/>
              </w:rPr>
              <w:t xml:space="preserve">2,4-DNP </w:t>
            </w:r>
            <w:r w:rsidRPr="00E3123E">
              <w:rPr>
                <w:rFonts w:ascii="Times New Roman" w:hAnsi="Times New Roman" w:cs="Times New Roman"/>
                <w:vertAlign w:val="superscript"/>
                <w:lang w:val="en-US"/>
              </w:rPr>
              <w:t>$</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51-28-5</w:t>
            </w:r>
          </w:p>
        </w:tc>
        <w:tc>
          <w:tcPr>
            <w:tcW w:w="1985"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H</w:t>
            </w:r>
            <w:r w:rsidRPr="00E3123E">
              <w:rPr>
                <w:rFonts w:ascii="Times New Roman" w:hAnsi="Times New Roman" w:cs="Times New Roman"/>
                <w:vertAlign w:val="subscript"/>
                <w:lang w:val="en-US"/>
              </w:rPr>
              <w:t>2</w:t>
            </w:r>
            <w:r w:rsidRPr="00E3123E">
              <w:rPr>
                <w:rFonts w:ascii="Times New Roman" w:hAnsi="Times New Roman" w:cs="Times New Roman"/>
                <w:lang w:val="en-US"/>
              </w:rPr>
              <w:t>O</w:t>
            </w:r>
          </w:p>
        </w:tc>
        <w:tc>
          <w:tcPr>
            <w:tcW w:w="340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0.6, 1.3, 2.5, 5, 10</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mg/L</w:t>
            </w:r>
          </w:p>
        </w:tc>
        <w:tc>
          <w:tcPr>
            <w:tcW w:w="1842" w:type="dxa"/>
            <w:vAlign w:val="center"/>
          </w:tcPr>
          <w:p w:rsidR="008E041A" w:rsidRPr="00E3123E"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4 °C</w:t>
            </w:r>
          </w:p>
        </w:tc>
      </w:tr>
      <w:tr w:rsidR="008E041A" w:rsidRPr="00E3123E" w:rsidTr="00A04BA8">
        <w:trPr>
          <w:trHeight w:val="253"/>
        </w:trPr>
        <w:tc>
          <w:tcPr>
            <w:tcW w:w="4503" w:type="dxa"/>
          </w:tcPr>
          <w:p w:rsidR="008E041A" w:rsidRPr="00E3123E" w:rsidRDefault="008E041A" w:rsidP="00A04BA8">
            <w:pPr>
              <w:spacing w:before="20" w:after="20"/>
              <w:rPr>
                <w:rFonts w:ascii="Times New Roman" w:hAnsi="Times New Roman" w:cs="Times New Roman"/>
                <w:bCs/>
                <w:lang w:val="en-US"/>
              </w:rPr>
            </w:pPr>
            <w:r w:rsidRPr="00E3123E">
              <w:rPr>
                <w:rFonts w:ascii="Times New Roman" w:hAnsi="Times New Roman" w:cs="Times New Roman"/>
                <w:bCs/>
                <w:lang w:val="en-US"/>
              </w:rPr>
              <w:t>Ethanol</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64-17-5</w:t>
            </w:r>
          </w:p>
        </w:tc>
        <w:tc>
          <w:tcPr>
            <w:tcW w:w="1985"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H</w:t>
            </w:r>
            <w:r w:rsidRPr="00E3123E">
              <w:rPr>
                <w:rFonts w:ascii="Times New Roman" w:hAnsi="Times New Roman" w:cs="Times New Roman"/>
                <w:vertAlign w:val="subscript"/>
                <w:lang w:val="en-US"/>
              </w:rPr>
              <w:t>2</w:t>
            </w:r>
            <w:r w:rsidRPr="00E3123E">
              <w:rPr>
                <w:rFonts w:ascii="Times New Roman" w:hAnsi="Times New Roman" w:cs="Times New Roman"/>
                <w:lang w:val="en-US"/>
              </w:rPr>
              <w:t>O</w:t>
            </w:r>
          </w:p>
        </w:tc>
        <w:tc>
          <w:tcPr>
            <w:tcW w:w="340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5.3, 8, 12, 18, 27</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g/L</w:t>
            </w:r>
          </w:p>
        </w:tc>
        <w:tc>
          <w:tcPr>
            <w:tcW w:w="1842" w:type="dxa"/>
            <w:vAlign w:val="center"/>
          </w:tcPr>
          <w:p w:rsidR="008E041A" w:rsidRPr="00E3123E"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RT</w:t>
            </w:r>
          </w:p>
        </w:tc>
      </w:tr>
      <w:tr w:rsidR="008E041A" w:rsidRPr="00E3123E" w:rsidTr="00A04BA8">
        <w:trPr>
          <w:trHeight w:val="253"/>
        </w:trPr>
        <w:tc>
          <w:tcPr>
            <w:tcW w:w="4503" w:type="dxa"/>
          </w:tcPr>
          <w:p w:rsidR="008E041A" w:rsidRPr="00E3123E" w:rsidRDefault="008E041A" w:rsidP="00A04BA8">
            <w:pPr>
              <w:spacing w:before="20" w:after="20"/>
              <w:rPr>
                <w:rFonts w:ascii="Times New Roman" w:hAnsi="Times New Roman" w:cs="Times New Roman"/>
                <w:bCs/>
                <w:lang w:val="en-US"/>
              </w:rPr>
            </w:pPr>
            <w:r w:rsidRPr="00E3123E">
              <w:rPr>
                <w:rFonts w:ascii="Times New Roman" w:hAnsi="Times New Roman" w:cs="Times New Roman"/>
                <w:lang w:val="en-US"/>
              </w:rPr>
              <w:t>2-Ethylbutyric acid</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88-09-5</w:t>
            </w:r>
          </w:p>
        </w:tc>
        <w:tc>
          <w:tcPr>
            <w:tcW w:w="1985" w:type="dxa"/>
            <w:shd w:val="clear" w:color="auto" w:fill="auto"/>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0.1 % DMSO</w:t>
            </w:r>
          </w:p>
        </w:tc>
        <w:tc>
          <w:tcPr>
            <w:tcW w:w="3402" w:type="dxa"/>
            <w:shd w:val="clear" w:color="auto" w:fill="auto"/>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12, 23, 46, 93, 116</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mg/L</w:t>
            </w:r>
          </w:p>
        </w:tc>
        <w:tc>
          <w:tcPr>
            <w:tcW w:w="1842" w:type="dxa"/>
            <w:vAlign w:val="center"/>
          </w:tcPr>
          <w:p w:rsidR="008E041A" w:rsidRPr="00E3123E" w:rsidDel="005A42B9"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4 °C</w:t>
            </w:r>
          </w:p>
        </w:tc>
      </w:tr>
      <w:tr w:rsidR="008E041A" w:rsidRPr="00E3123E" w:rsidTr="00A04BA8">
        <w:trPr>
          <w:trHeight w:val="253"/>
        </w:trPr>
        <w:tc>
          <w:tcPr>
            <w:tcW w:w="4503" w:type="dxa"/>
          </w:tcPr>
          <w:p w:rsidR="008E041A" w:rsidRPr="00E3123E" w:rsidRDefault="008E041A" w:rsidP="00A04BA8">
            <w:pPr>
              <w:spacing w:before="20" w:after="20"/>
              <w:rPr>
                <w:rFonts w:ascii="Times New Roman" w:hAnsi="Times New Roman" w:cs="Times New Roman"/>
                <w:bCs/>
                <w:lang w:val="en-US"/>
              </w:rPr>
            </w:pPr>
            <w:r w:rsidRPr="00E3123E">
              <w:rPr>
                <w:rFonts w:ascii="Times New Roman" w:hAnsi="Times New Roman" w:cs="Times New Roman"/>
                <w:lang w:val="en-US"/>
              </w:rPr>
              <w:t>2-Ethylhexanoic acid</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149-57-5</w:t>
            </w:r>
          </w:p>
        </w:tc>
        <w:tc>
          <w:tcPr>
            <w:tcW w:w="1985" w:type="dxa"/>
            <w:shd w:val="clear" w:color="auto" w:fill="auto"/>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0.1 % DMSO</w:t>
            </w:r>
          </w:p>
        </w:tc>
        <w:tc>
          <w:tcPr>
            <w:tcW w:w="3402" w:type="dxa"/>
            <w:shd w:val="clear" w:color="auto" w:fill="auto"/>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1, 2, 4, 7, 14, 29, 58</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mg/L</w:t>
            </w:r>
          </w:p>
        </w:tc>
        <w:tc>
          <w:tcPr>
            <w:tcW w:w="1842" w:type="dxa"/>
            <w:vAlign w:val="center"/>
          </w:tcPr>
          <w:p w:rsidR="008E041A" w:rsidRPr="00E3123E" w:rsidDel="005A42B9"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4 °C</w:t>
            </w:r>
          </w:p>
        </w:tc>
      </w:tr>
      <w:tr w:rsidR="008E041A" w:rsidRPr="00E3123E" w:rsidTr="00A04BA8">
        <w:trPr>
          <w:trHeight w:val="253"/>
        </w:trPr>
        <w:tc>
          <w:tcPr>
            <w:tcW w:w="4503" w:type="dxa"/>
          </w:tcPr>
          <w:p w:rsidR="008E041A" w:rsidRPr="00E3123E" w:rsidRDefault="008E041A" w:rsidP="00A04BA8">
            <w:pPr>
              <w:spacing w:before="20" w:after="20"/>
              <w:rPr>
                <w:rFonts w:ascii="Times New Roman" w:hAnsi="Times New Roman" w:cs="Times New Roman"/>
                <w:bCs/>
                <w:lang w:val="en-US"/>
              </w:rPr>
            </w:pPr>
            <w:r w:rsidRPr="00E3123E">
              <w:rPr>
                <w:rFonts w:ascii="Times New Roman" w:hAnsi="Times New Roman" w:cs="Times New Roman"/>
                <w:lang w:val="en-US"/>
              </w:rPr>
              <w:t>Hexachlorophene</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70-30-4</w:t>
            </w:r>
          </w:p>
        </w:tc>
        <w:tc>
          <w:tcPr>
            <w:tcW w:w="1985"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0.1 % DMSO</w:t>
            </w:r>
          </w:p>
        </w:tc>
        <w:tc>
          <w:tcPr>
            <w:tcW w:w="340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2, 4, 8, 16, 32</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µg/L</w:t>
            </w:r>
          </w:p>
        </w:tc>
        <w:tc>
          <w:tcPr>
            <w:tcW w:w="1842" w:type="dxa"/>
            <w:vAlign w:val="center"/>
          </w:tcPr>
          <w:p w:rsidR="008E041A" w:rsidRPr="00E3123E" w:rsidDel="005A42B9"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-20 °C</w:t>
            </w:r>
          </w:p>
        </w:tc>
      </w:tr>
      <w:tr w:rsidR="008E041A" w:rsidRPr="00E3123E" w:rsidTr="00A04BA8">
        <w:trPr>
          <w:trHeight w:val="253"/>
        </w:trPr>
        <w:tc>
          <w:tcPr>
            <w:tcW w:w="4503" w:type="dxa"/>
          </w:tcPr>
          <w:p w:rsidR="008E041A" w:rsidRPr="00E3123E" w:rsidRDefault="008E041A" w:rsidP="00A04BA8">
            <w:pPr>
              <w:spacing w:before="20" w:after="20"/>
              <w:rPr>
                <w:rFonts w:ascii="Times New Roman" w:hAnsi="Times New Roman" w:cs="Times New Roman"/>
                <w:bCs/>
                <w:lang w:val="en-US"/>
              </w:rPr>
            </w:pPr>
            <w:r w:rsidRPr="00E3123E">
              <w:rPr>
                <w:rFonts w:ascii="Times New Roman" w:hAnsi="Times New Roman" w:cs="Times New Roman"/>
                <w:lang w:val="en-US"/>
              </w:rPr>
              <w:t>Hexanoic acid</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142-62-1</w:t>
            </w:r>
          </w:p>
        </w:tc>
        <w:tc>
          <w:tcPr>
            <w:tcW w:w="1985"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0.1 % DMSO</w:t>
            </w:r>
          </w:p>
        </w:tc>
        <w:tc>
          <w:tcPr>
            <w:tcW w:w="3402" w:type="dxa"/>
            <w:shd w:val="clear" w:color="auto" w:fill="auto"/>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61, 72, 87, 104</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mg/L</w:t>
            </w:r>
          </w:p>
        </w:tc>
        <w:tc>
          <w:tcPr>
            <w:tcW w:w="1842" w:type="dxa"/>
            <w:vAlign w:val="center"/>
          </w:tcPr>
          <w:p w:rsidR="008E041A" w:rsidRPr="00E3123E" w:rsidDel="005A42B9"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4 °C</w:t>
            </w:r>
          </w:p>
        </w:tc>
      </w:tr>
      <w:tr w:rsidR="008E041A" w:rsidRPr="00E3123E" w:rsidTr="00A04BA8">
        <w:trPr>
          <w:trHeight w:val="253"/>
        </w:trPr>
        <w:tc>
          <w:tcPr>
            <w:tcW w:w="4503" w:type="dxa"/>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Ibuprofen</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15687-27-1</w:t>
            </w:r>
          </w:p>
        </w:tc>
        <w:tc>
          <w:tcPr>
            <w:tcW w:w="1985"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0.1 % DMSO</w:t>
            </w:r>
          </w:p>
        </w:tc>
        <w:tc>
          <w:tcPr>
            <w:tcW w:w="340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2.5, 5, 10, 20, 40, 80</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mg/L</w:t>
            </w:r>
          </w:p>
        </w:tc>
        <w:tc>
          <w:tcPr>
            <w:tcW w:w="1842" w:type="dxa"/>
            <w:vAlign w:val="center"/>
          </w:tcPr>
          <w:p w:rsidR="008E041A" w:rsidRPr="00E3123E"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-20 °C</w:t>
            </w:r>
          </w:p>
        </w:tc>
      </w:tr>
      <w:tr w:rsidR="008E041A" w:rsidRPr="00E3123E" w:rsidTr="00A04BA8">
        <w:trPr>
          <w:trHeight w:val="253"/>
        </w:trPr>
        <w:tc>
          <w:tcPr>
            <w:tcW w:w="4503" w:type="dxa"/>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bCs/>
                <w:lang w:val="en-US"/>
              </w:rPr>
              <w:t xml:space="preserve">Luviquat </w:t>
            </w:r>
            <w:r w:rsidRPr="00E3123E">
              <w:rPr>
                <w:rFonts w:ascii="Times New Roman" w:hAnsi="Times New Roman" w:cs="Times New Roman"/>
                <w:vertAlign w:val="superscript"/>
                <w:lang w:val="en-US"/>
              </w:rPr>
              <w:t>$</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174761-16-1</w:t>
            </w:r>
          </w:p>
        </w:tc>
        <w:tc>
          <w:tcPr>
            <w:tcW w:w="1985"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H</w:t>
            </w:r>
            <w:r w:rsidRPr="00E3123E">
              <w:rPr>
                <w:rFonts w:ascii="Times New Roman" w:hAnsi="Times New Roman" w:cs="Times New Roman"/>
                <w:vertAlign w:val="subscript"/>
                <w:lang w:val="en-US"/>
              </w:rPr>
              <w:t>2</w:t>
            </w:r>
            <w:r w:rsidRPr="00E3123E">
              <w:rPr>
                <w:rFonts w:ascii="Times New Roman" w:hAnsi="Times New Roman" w:cs="Times New Roman"/>
                <w:lang w:val="en-US"/>
              </w:rPr>
              <w:t>O</w:t>
            </w:r>
          </w:p>
        </w:tc>
        <w:tc>
          <w:tcPr>
            <w:tcW w:w="340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0.1, 0.3, 0.5, 1, 2</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mg/L</w:t>
            </w:r>
          </w:p>
        </w:tc>
        <w:tc>
          <w:tcPr>
            <w:tcW w:w="1842" w:type="dxa"/>
            <w:vAlign w:val="center"/>
          </w:tcPr>
          <w:p w:rsidR="008E041A" w:rsidRPr="00E3123E"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 xml:space="preserve"> 4 °C</w:t>
            </w:r>
          </w:p>
        </w:tc>
      </w:tr>
      <w:tr w:rsidR="008E041A" w:rsidRPr="00E3123E" w:rsidTr="00A04BA8">
        <w:trPr>
          <w:trHeight w:val="253"/>
        </w:trPr>
        <w:tc>
          <w:tcPr>
            <w:tcW w:w="4503" w:type="dxa"/>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bCs/>
                <w:lang w:val="en-US"/>
              </w:rPr>
              <w:t>Malathion</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121-75-5</w:t>
            </w:r>
          </w:p>
        </w:tc>
        <w:tc>
          <w:tcPr>
            <w:tcW w:w="1985"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H</w:t>
            </w:r>
            <w:r w:rsidRPr="00E3123E">
              <w:rPr>
                <w:rFonts w:ascii="Times New Roman" w:hAnsi="Times New Roman" w:cs="Times New Roman"/>
                <w:vertAlign w:val="subscript"/>
                <w:lang w:val="en-US"/>
              </w:rPr>
              <w:t>2</w:t>
            </w:r>
            <w:r w:rsidRPr="00E3123E">
              <w:rPr>
                <w:rFonts w:ascii="Times New Roman" w:hAnsi="Times New Roman" w:cs="Times New Roman"/>
                <w:lang w:val="en-US"/>
              </w:rPr>
              <w:t>O</w:t>
            </w:r>
          </w:p>
        </w:tc>
        <w:tc>
          <w:tcPr>
            <w:tcW w:w="340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0.5, 1, 2, 4, 8</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mg/L</w:t>
            </w:r>
          </w:p>
        </w:tc>
        <w:tc>
          <w:tcPr>
            <w:tcW w:w="1842" w:type="dxa"/>
            <w:vAlign w:val="center"/>
          </w:tcPr>
          <w:p w:rsidR="008E041A" w:rsidRPr="00E3123E"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RT</w:t>
            </w:r>
          </w:p>
        </w:tc>
      </w:tr>
      <w:tr w:rsidR="008E041A" w:rsidRPr="00E3123E" w:rsidTr="00A04BA8">
        <w:trPr>
          <w:trHeight w:val="253"/>
        </w:trPr>
        <w:tc>
          <w:tcPr>
            <w:tcW w:w="4503" w:type="dxa"/>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bCs/>
                <w:lang w:val="en-US"/>
              </w:rPr>
              <w:t>Merquat</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35691-65-7</w:t>
            </w:r>
          </w:p>
        </w:tc>
        <w:tc>
          <w:tcPr>
            <w:tcW w:w="1985"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H</w:t>
            </w:r>
            <w:r w:rsidRPr="00E3123E">
              <w:rPr>
                <w:rFonts w:ascii="Times New Roman" w:hAnsi="Times New Roman" w:cs="Times New Roman"/>
                <w:vertAlign w:val="subscript"/>
                <w:lang w:val="en-US"/>
              </w:rPr>
              <w:t>2</w:t>
            </w:r>
            <w:r w:rsidRPr="00E3123E">
              <w:rPr>
                <w:rFonts w:ascii="Times New Roman" w:hAnsi="Times New Roman" w:cs="Times New Roman"/>
                <w:lang w:val="en-US"/>
              </w:rPr>
              <w:t>O</w:t>
            </w:r>
          </w:p>
        </w:tc>
        <w:tc>
          <w:tcPr>
            <w:tcW w:w="340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0.1, 0.2, 0.4, 0.8, 1.6</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mg/L</w:t>
            </w:r>
          </w:p>
        </w:tc>
        <w:tc>
          <w:tcPr>
            <w:tcW w:w="1842" w:type="dxa"/>
            <w:vAlign w:val="center"/>
          </w:tcPr>
          <w:p w:rsidR="008E041A" w:rsidRPr="00E3123E"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4 °C</w:t>
            </w:r>
          </w:p>
        </w:tc>
      </w:tr>
      <w:tr w:rsidR="008E041A" w:rsidRPr="00E3123E" w:rsidTr="00A04BA8">
        <w:trPr>
          <w:trHeight w:val="253"/>
        </w:trPr>
        <w:tc>
          <w:tcPr>
            <w:tcW w:w="4503" w:type="dxa"/>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2-Methylhexanoic acid</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4536-23-6</w:t>
            </w:r>
          </w:p>
        </w:tc>
        <w:tc>
          <w:tcPr>
            <w:tcW w:w="1985" w:type="dxa"/>
            <w:shd w:val="clear" w:color="auto" w:fill="auto"/>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0.1 % DMSO</w:t>
            </w:r>
          </w:p>
        </w:tc>
        <w:tc>
          <w:tcPr>
            <w:tcW w:w="3402" w:type="dxa"/>
            <w:shd w:val="clear" w:color="auto" w:fill="auto"/>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16, 33, 65, 130</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mg/L</w:t>
            </w:r>
          </w:p>
        </w:tc>
        <w:tc>
          <w:tcPr>
            <w:tcW w:w="1842" w:type="dxa"/>
            <w:vAlign w:val="center"/>
          </w:tcPr>
          <w:p w:rsidR="008E041A" w:rsidRPr="00E3123E"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4 °C</w:t>
            </w:r>
          </w:p>
        </w:tc>
      </w:tr>
      <w:tr w:rsidR="008E041A" w:rsidRPr="00E3123E" w:rsidTr="00A04BA8">
        <w:trPr>
          <w:trHeight w:val="253"/>
        </w:trPr>
        <w:tc>
          <w:tcPr>
            <w:tcW w:w="4503" w:type="dxa"/>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6-Methyl-5-heptene-2-one</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110-93-0</w:t>
            </w:r>
          </w:p>
        </w:tc>
        <w:tc>
          <w:tcPr>
            <w:tcW w:w="1985"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H</w:t>
            </w:r>
            <w:r w:rsidRPr="00E3123E">
              <w:rPr>
                <w:rFonts w:ascii="Times New Roman" w:hAnsi="Times New Roman" w:cs="Times New Roman"/>
                <w:vertAlign w:val="subscript"/>
                <w:lang w:val="en-US"/>
              </w:rPr>
              <w:t>2</w:t>
            </w:r>
            <w:r w:rsidRPr="00E3123E">
              <w:rPr>
                <w:rFonts w:ascii="Times New Roman" w:hAnsi="Times New Roman" w:cs="Times New Roman"/>
                <w:lang w:val="en-US"/>
              </w:rPr>
              <w:t>O</w:t>
            </w:r>
          </w:p>
        </w:tc>
        <w:tc>
          <w:tcPr>
            <w:tcW w:w="340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25, 42.4, 72.25, 122.825, 208.03</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mg/L</w:t>
            </w:r>
          </w:p>
        </w:tc>
        <w:tc>
          <w:tcPr>
            <w:tcW w:w="1842" w:type="dxa"/>
            <w:vAlign w:val="center"/>
          </w:tcPr>
          <w:p w:rsidR="008E041A" w:rsidRPr="00E3123E"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4 °C</w:t>
            </w:r>
          </w:p>
        </w:tc>
      </w:tr>
      <w:tr w:rsidR="008E041A" w:rsidRPr="00E3123E" w:rsidTr="00A04BA8">
        <w:trPr>
          <w:trHeight w:val="253"/>
        </w:trPr>
        <w:tc>
          <w:tcPr>
            <w:tcW w:w="4503" w:type="dxa"/>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bCs/>
                <w:lang w:val="en-US"/>
              </w:rPr>
              <w:lastRenderedPageBreak/>
              <w:t>Methylmercury (II) chloride</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115-09-3</w:t>
            </w:r>
          </w:p>
        </w:tc>
        <w:tc>
          <w:tcPr>
            <w:tcW w:w="1985"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H</w:t>
            </w:r>
            <w:r w:rsidRPr="00E3123E">
              <w:rPr>
                <w:rFonts w:ascii="Times New Roman" w:hAnsi="Times New Roman" w:cs="Times New Roman"/>
                <w:vertAlign w:val="subscript"/>
                <w:lang w:val="en-US"/>
              </w:rPr>
              <w:t>2</w:t>
            </w:r>
            <w:r w:rsidRPr="00E3123E">
              <w:rPr>
                <w:rFonts w:ascii="Times New Roman" w:hAnsi="Times New Roman" w:cs="Times New Roman"/>
                <w:lang w:val="en-US"/>
              </w:rPr>
              <w:t>O</w:t>
            </w:r>
          </w:p>
        </w:tc>
        <w:tc>
          <w:tcPr>
            <w:tcW w:w="340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6.3, 12.5, 25, 50, 100</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µg/L</w:t>
            </w:r>
          </w:p>
        </w:tc>
        <w:tc>
          <w:tcPr>
            <w:tcW w:w="1842" w:type="dxa"/>
            <w:vAlign w:val="center"/>
          </w:tcPr>
          <w:p w:rsidR="008E041A" w:rsidRPr="00E3123E"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4 °C</w:t>
            </w:r>
          </w:p>
        </w:tc>
      </w:tr>
      <w:tr w:rsidR="008E041A" w:rsidRPr="00E3123E" w:rsidTr="00A04BA8">
        <w:trPr>
          <w:trHeight w:val="253"/>
        </w:trPr>
        <w:tc>
          <w:tcPr>
            <w:tcW w:w="4503" w:type="dxa"/>
          </w:tcPr>
          <w:p w:rsidR="008E041A" w:rsidRPr="00E3123E" w:rsidRDefault="008E041A" w:rsidP="00A04BA8">
            <w:pPr>
              <w:spacing w:before="20" w:after="20"/>
              <w:rPr>
                <w:rFonts w:ascii="Times New Roman" w:hAnsi="Times New Roman" w:cs="Times New Roman"/>
                <w:bCs/>
                <w:lang w:val="en-US"/>
              </w:rPr>
            </w:pPr>
            <w:r w:rsidRPr="00E3123E">
              <w:rPr>
                <w:rFonts w:ascii="Times New Roman" w:hAnsi="Times New Roman" w:cs="Times New Roman"/>
                <w:lang w:val="en-US"/>
              </w:rPr>
              <w:t>2-Methylpentanoic acid</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97-61-0</w:t>
            </w:r>
          </w:p>
        </w:tc>
        <w:tc>
          <w:tcPr>
            <w:tcW w:w="1985" w:type="dxa"/>
            <w:shd w:val="clear" w:color="auto" w:fill="auto"/>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0.1 % DMSO</w:t>
            </w:r>
          </w:p>
        </w:tc>
        <w:tc>
          <w:tcPr>
            <w:tcW w:w="3402" w:type="dxa"/>
            <w:shd w:val="clear" w:color="auto" w:fill="auto"/>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21, 31, 47, 70, 105, 157</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mg/L</w:t>
            </w:r>
          </w:p>
        </w:tc>
        <w:tc>
          <w:tcPr>
            <w:tcW w:w="1842" w:type="dxa"/>
            <w:vAlign w:val="center"/>
          </w:tcPr>
          <w:p w:rsidR="008E041A" w:rsidRPr="00E3123E"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4 °C</w:t>
            </w:r>
          </w:p>
        </w:tc>
      </w:tr>
      <w:tr w:rsidR="008E041A" w:rsidRPr="00E3123E" w:rsidTr="00A04BA8">
        <w:trPr>
          <w:trHeight w:val="253"/>
        </w:trPr>
        <w:tc>
          <w:tcPr>
            <w:tcW w:w="4503" w:type="dxa"/>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bCs/>
                <w:lang w:val="en-US"/>
              </w:rPr>
              <w:t>1-Methyl-4-phenyl-pyridinium iodide (MPP</w:t>
            </w:r>
            <w:r w:rsidRPr="00E3123E">
              <w:rPr>
                <w:rFonts w:ascii="Times New Roman" w:hAnsi="Times New Roman" w:cs="Times New Roman"/>
                <w:bCs/>
                <w:vertAlign w:val="superscript"/>
                <w:lang w:val="en-US"/>
              </w:rPr>
              <w:t>+</w:t>
            </w:r>
            <w:r w:rsidRPr="00E3123E">
              <w:rPr>
                <w:rFonts w:ascii="Times New Roman" w:hAnsi="Times New Roman" w:cs="Times New Roman"/>
                <w:bCs/>
                <w:lang w:val="en-US"/>
              </w:rPr>
              <w:t>)</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39794-99-5</w:t>
            </w:r>
          </w:p>
        </w:tc>
        <w:tc>
          <w:tcPr>
            <w:tcW w:w="1985"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0.1 % DMSO</w:t>
            </w:r>
          </w:p>
        </w:tc>
        <w:tc>
          <w:tcPr>
            <w:tcW w:w="340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100, 200, 400, 800, 1600</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mg/L</w:t>
            </w:r>
          </w:p>
        </w:tc>
        <w:tc>
          <w:tcPr>
            <w:tcW w:w="1842" w:type="dxa"/>
            <w:vAlign w:val="center"/>
          </w:tcPr>
          <w:p w:rsidR="008E041A" w:rsidRPr="00E3123E"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4 °C</w:t>
            </w:r>
          </w:p>
        </w:tc>
      </w:tr>
      <w:tr w:rsidR="008E041A" w:rsidRPr="00E3123E" w:rsidTr="00A04BA8">
        <w:trPr>
          <w:trHeight w:val="253"/>
        </w:trPr>
        <w:tc>
          <w:tcPr>
            <w:tcW w:w="4503" w:type="dxa"/>
          </w:tcPr>
          <w:p w:rsidR="008E041A" w:rsidRPr="00E3123E" w:rsidRDefault="008E041A" w:rsidP="00A04BA8">
            <w:pPr>
              <w:spacing w:before="20" w:after="20"/>
              <w:rPr>
                <w:rFonts w:ascii="Times New Roman" w:hAnsi="Times New Roman" w:cs="Times New Roman"/>
                <w:bCs/>
                <w:lang w:val="en-US"/>
              </w:rPr>
            </w:pPr>
            <w:r w:rsidRPr="00E3123E">
              <w:rPr>
                <w:rFonts w:ascii="Times New Roman" w:hAnsi="Times New Roman" w:cs="Times New Roman"/>
                <w:bCs/>
                <w:lang w:val="en-US"/>
              </w:rPr>
              <w:t>1-Octanol</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111-87-5</w:t>
            </w:r>
          </w:p>
        </w:tc>
        <w:tc>
          <w:tcPr>
            <w:tcW w:w="1985"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H</w:t>
            </w:r>
            <w:r w:rsidRPr="00E3123E">
              <w:rPr>
                <w:rFonts w:ascii="Times New Roman" w:hAnsi="Times New Roman" w:cs="Times New Roman"/>
                <w:vertAlign w:val="subscript"/>
                <w:lang w:val="en-US"/>
              </w:rPr>
              <w:t>2</w:t>
            </w:r>
            <w:r w:rsidRPr="00E3123E">
              <w:rPr>
                <w:rFonts w:ascii="Times New Roman" w:hAnsi="Times New Roman" w:cs="Times New Roman"/>
                <w:lang w:val="en-US"/>
              </w:rPr>
              <w:t>O</w:t>
            </w:r>
          </w:p>
        </w:tc>
        <w:tc>
          <w:tcPr>
            <w:tcW w:w="340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2.5, 5, 10, 20, 40</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mg/L</w:t>
            </w:r>
          </w:p>
        </w:tc>
        <w:tc>
          <w:tcPr>
            <w:tcW w:w="1842" w:type="dxa"/>
            <w:vAlign w:val="center"/>
          </w:tcPr>
          <w:p w:rsidR="008E041A" w:rsidRPr="00E3123E"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4 °C</w:t>
            </w:r>
          </w:p>
        </w:tc>
      </w:tr>
      <w:tr w:rsidR="008E041A" w:rsidRPr="00E3123E" w:rsidTr="00A04BA8">
        <w:trPr>
          <w:trHeight w:val="253"/>
        </w:trPr>
        <w:tc>
          <w:tcPr>
            <w:tcW w:w="4503" w:type="dxa"/>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 xml:space="preserve">Paracetamol </w:t>
            </w:r>
            <w:r w:rsidRPr="00E3123E">
              <w:rPr>
                <w:rFonts w:ascii="Times New Roman" w:hAnsi="Times New Roman" w:cs="Times New Roman"/>
                <w:vertAlign w:val="superscript"/>
                <w:lang w:val="en-US"/>
              </w:rPr>
              <w:t>$</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103-90-2</w:t>
            </w:r>
          </w:p>
        </w:tc>
        <w:tc>
          <w:tcPr>
            <w:tcW w:w="1985"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H</w:t>
            </w:r>
            <w:r w:rsidRPr="00E3123E">
              <w:rPr>
                <w:rFonts w:ascii="Times New Roman" w:hAnsi="Times New Roman" w:cs="Times New Roman"/>
                <w:vertAlign w:val="subscript"/>
                <w:lang w:val="en-US"/>
              </w:rPr>
              <w:t>2</w:t>
            </w:r>
            <w:r w:rsidRPr="00E3123E">
              <w:rPr>
                <w:rFonts w:ascii="Times New Roman" w:hAnsi="Times New Roman" w:cs="Times New Roman"/>
                <w:lang w:val="en-US"/>
              </w:rPr>
              <w:t>O</w:t>
            </w:r>
          </w:p>
        </w:tc>
        <w:tc>
          <w:tcPr>
            <w:tcW w:w="340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125, 250, 500, 1000, 2000</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mg/L</w:t>
            </w:r>
          </w:p>
        </w:tc>
        <w:tc>
          <w:tcPr>
            <w:tcW w:w="1842" w:type="dxa"/>
            <w:vAlign w:val="center"/>
          </w:tcPr>
          <w:p w:rsidR="008E041A" w:rsidRPr="00E3123E"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RT</w:t>
            </w:r>
          </w:p>
        </w:tc>
      </w:tr>
      <w:tr w:rsidR="008E041A" w:rsidRPr="00E3123E" w:rsidTr="00A04BA8">
        <w:trPr>
          <w:trHeight w:val="253"/>
        </w:trPr>
        <w:tc>
          <w:tcPr>
            <w:tcW w:w="4503" w:type="dxa"/>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 xml:space="preserve">Paraquat </w:t>
            </w:r>
            <w:r w:rsidRPr="00E3123E">
              <w:rPr>
                <w:rFonts w:ascii="Times New Roman" w:hAnsi="Times New Roman" w:cs="Times New Roman"/>
                <w:vertAlign w:val="superscript"/>
                <w:lang w:val="en-US"/>
              </w:rPr>
              <w:t>$</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1910-42-5</w:t>
            </w:r>
          </w:p>
        </w:tc>
        <w:tc>
          <w:tcPr>
            <w:tcW w:w="1985"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H</w:t>
            </w:r>
            <w:r w:rsidRPr="00E3123E">
              <w:rPr>
                <w:rFonts w:ascii="Times New Roman" w:hAnsi="Times New Roman" w:cs="Times New Roman"/>
                <w:vertAlign w:val="subscript"/>
                <w:lang w:val="en-US"/>
              </w:rPr>
              <w:t>2</w:t>
            </w:r>
            <w:r w:rsidRPr="00E3123E">
              <w:rPr>
                <w:rFonts w:ascii="Times New Roman" w:hAnsi="Times New Roman" w:cs="Times New Roman"/>
                <w:lang w:val="en-US"/>
              </w:rPr>
              <w:t>O</w:t>
            </w:r>
          </w:p>
        </w:tc>
        <w:tc>
          <w:tcPr>
            <w:tcW w:w="340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125, 250, 500, 1000</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mg/L</w:t>
            </w:r>
          </w:p>
        </w:tc>
        <w:tc>
          <w:tcPr>
            <w:tcW w:w="1842" w:type="dxa"/>
            <w:vAlign w:val="center"/>
          </w:tcPr>
          <w:p w:rsidR="008E041A" w:rsidRPr="00E3123E"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4 °C</w:t>
            </w:r>
          </w:p>
        </w:tc>
      </w:tr>
      <w:tr w:rsidR="008E041A" w:rsidRPr="00E3123E" w:rsidTr="00A04BA8">
        <w:trPr>
          <w:trHeight w:val="253"/>
        </w:trPr>
        <w:tc>
          <w:tcPr>
            <w:tcW w:w="4503" w:type="dxa"/>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4-Pentenoic acid</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591-80-0</w:t>
            </w:r>
          </w:p>
        </w:tc>
        <w:tc>
          <w:tcPr>
            <w:tcW w:w="1985"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0.1 % DMSO</w:t>
            </w:r>
          </w:p>
        </w:tc>
        <w:tc>
          <w:tcPr>
            <w:tcW w:w="3402" w:type="dxa"/>
            <w:shd w:val="clear" w:color="auto" w:fill="auto"/>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50, 100, 200</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mg/L</w:t>
            </w:r>
          </w:p>
        </w:tc>
        <w:tc>
          <w:tcPr>
            <w:tcW w:w="1842" w:type="dxa"/>
            <w:vAlign w:val="center"/>
          </w:tcPr>
          <w:p w:rsidR="008E041A" w:rsidRPr="00E3123E"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4 °C</w:t>
            </w:r>
          </w:p>
        </w:tc>
      </w:tr>
      <w:tr w:rsidR="008E041A" w:rsidRPr="00E3123E" w:rsidTr="00A04BA8">
        <w:trPr>
          <w:trHeight w:val="253"/>
        </w:trPr>
        <w:tc>
          <w:tcPr>
            <w:tcW w:w="4503" w:type="dxa"/>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PCB 180</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35065-29-3</w:t>
            </w:r>
          </w:p>
        </w:tc>
        <w:tc>
          <w:tcPr>
            <w:tcW w:w="1985"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1 % DMSO</w:t>
            </w:r>
          </w:p>
        </w:tc>
        <w:tc>
          <w:tcPr>
            <w:tcW w:w="340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3.125, 6.25, 12.5, 25</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mg/L</w:t>
            </w:r>
          </w:p>
        </w:tc>
        <w:tc>
          <w:tcPr>
            <w:tcW w:w="1842" w:type="dxa"/>
            <w:vAlign w:val="center"/>
          </w:tcPr>
          <w:p w:rsidR="008E041A" w:rsidRPr="00E3123E"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-20 °C</w:t>
            </w:r>
          </w:p>
        </w:tc>
      </w:tr>
      <w:tr w:rsidR="008E041A" w:rsidRPr="00E3123E" w:rsidTr="00A04BA8">
        <w:trPr>
          <w:trHeight w:val="253"/>
        </w:trPr>
        <w:tc>
          <w:tcPr>
            <w:tcW w:w="4503" w:type="dxa"/>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bCs/>
                <w:lang w:val="en-US"/>
              </w:rPr>
              <w:t>Prochloraz</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67747-09-5</w:t>
            </w:r>
          </w:p>
        </w:tc>
        <w:tc>
          <w:tcPr>
            <w:tcW w:w="1985"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H</w:t>
            </w:r>
            <w:r w:rsidRPr="00E3123E">
              <w:rPr>
                <w:rFonts w:ascii="Times New Roman" w:hAnsi="Times New Roman" w:cs="Times New Roman"/>
                <w:vertAlign w:val="subscript"/>
                <w:lang w:val="en-US"/>
              </w:rPr>
              <w:t>2</w:t>
            </w:r>
            <w:r w:rsidRPr="00E3123E">
              <w:rPr>
                <w:rFonts w:ascii="Times New Roman" w:hAnsi="Times New Roman" w:cs="Times New Roman"/>
                <w:lang w:val="en-US"/>
              </w:rPr>
              <w:t>O</w:t>
            </w:r>
          </w:p>
        </w:tc>
        <w:tc>
          <w:tcPr>
            <w:tcW w:w="340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0.5, 1, 2, 4, 8</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mg/L</w:t>
            </w:r>
          </w:p>
        </w:tc>
        <w:tc>
          <w:tcPr>
            <w:tcW w:w="1842" w:type="dxa"/>
            <w:vAlign w:val="center"/>
          </w:tcPr>
          <w:p w:rsidR="008E041A" w:rsidRPr="00E3123E"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RT</w:t>
            </w:r>
          </w:p>
        </w:tc>
      </w:tr>
      <w:tr w:rsidR="008E041A" w:rsidRPr="00E3123E" w:rsidTr="00A04BA8">
        <w:trPr>
          <w:trHeight w:val="280"/>
        </w:trPr>
        <w:tc>
          <w:tcPr>
            <w:tcW w:w="4503" w:type="dxa"/>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2-Propylheptanoic acid</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31080-39-4</w:t>
            </w:r>
          </w:p>
        </w:tc>
        <w:tc>
          <w:tcPr>
            <w:tcW w:w="1985"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0.1 % DMSO</w:t>
            </w:r>
          </w:p>
        </w:tc>
        <w:tc>
          <w:tcPr>
            <w:tcW w:w="3402" w:type="dxa"/>
            <w:shd w:val="clear" w:color="auto" w:fill="auto"/>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2, 4, 9, 17</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mg/L</w:t>
            </w:r>
          </w:p>
        </w:tc>
        <w:tc>
          <w:tcPr>
            <w:tcW w:w="1842" w:type="dxa"/>
            <w:vAlign w:val="center"/>
          </w:tcPr>
          <w:p w:rsidR="008E041A" w:rsidRPr="00E3123E"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4 °C</w:t>
            </w:r>
          </w:p>
        </w:tc>
      </w:tr>
      <w:tr w:rsidR="008E041A" w:rsidRPr="00E3123E" w:rsidTr="00A04BA8">
        <w:trPr>
          <w:trHeight w:val="313"/>
        </w:trPr>
        <w:tc>
          <w:tcPr>
            <w:tcW w:w="4503" w:type="dxa"/>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Rifampicin</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13292-46-1</w:t>
            </w:r>
          </w:p>
        </w:tc>
        <w:tc>
          <w:tcPr>
            <w:tcW w:w="1985"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1 % DMSO</w:t>
            </w:r>
          </w:p>
        </w:tc>
        <w:tc>
          <w:tcPr>
            <w:tcW w:w="340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50, 100, 200, 400, 800</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mg/L</w:t>
            </w:r>
          </w:p>
        </w:tc>
        <w:tc>
          <w:tcPr>
            <w:tcW w:w="1842" w:type="dxa"/>
            <w:vAlign w:val="center"/>
          </w:tcPr>
          <w:p w:rsidR="008E041A" w:rsidRPr="00E3123E"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-20 °C</w:t>
            </w:r>
          </w:p>
        </w:tc>
      </w:tr>
      <w:tr w:rsidR="008E041A" w:rsidRPr="00E3123E" w:rsidTr="00A04BA8">
        <w:trPr>
          <w:trHeight w:val="253"/>
        </w:trPr>
        <w:tc>
          <w:tcPr>
            <w:tcW w:w="4503" w:type="dxa"/>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Rotenone</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83-79-4</w:t>
            </w:r>
          </w:p>
        </w:tc>
        <w:tc>
          <w:tcPr>
            <w:tcW w:w="1985"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0.1 % DMSO</w:t>
            </w:r>
          </w:p>
        </w:tc>
        <w:tc>
          <w:tcPr>
            <w:tcW w:w="340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2, 4, 8, 16, 32</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µg/L</w:t>
            </w:r>
          </w:p>
        </w:tc>
        <w:tc>
          <w:tcPr>
            <w:tcW w:w="1842" w:type="dxa"/>
            <w:vAlign w:val="center"/>
          </w:tcPr>
          <w:p w:rsidR="008E041A" w:rsidRPr="00E3123E"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-20 °C</w:t>
            </w:r>
          </w:p>
        </w:tc>
      </w:tr>
      <w:tr w:rsidR="008E041A" w:rsidRPr="00E3123E" w:rsidTr="00A04BA8">
        <w:trPr>
          <w:trHeight w:val="253"/>
        </w:trPr>
        <w:tc>
          <w:tcPr>
            <w:tcW w:w="4503" w:type="dxa"/>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Sodium chloride</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7647-14-5</w:t>
            </w:r>
          </w:p>
        </w:tc>
        <w:tc>
          <w:tcPr>
            <w:tcW w:w="1985"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H</w:t>
            </w:r>
            <w:r w:rsidRPr="00E3123E">
              <w:rPr>
                <w:rFonts w:ascii="Times New Roman" w:hAnsi="Times New Roman" w:cs="Times New Roman"/>
                <w:vertAlign w:val="subscript"/>
                <w:lang w:val="en-US"/>
              </w:rPr>
              <w:t>2</w:t>
            </w:r>
            <w:r w:rsidRPr="00E3123E">
              <w:rPr>
                <w:rFonts w:ascii="Times New Roman" w:hAnsi="Times New Roman" w:cs="Times New Roman"/>
                <w:lang w:val="en-US"/>
              </w:rPr>
              <w:t>O</w:t>
            </w:r>
          </w:p>
        </w:tc>
        <w:tc>
          <w:tcPr>
            <w:tcW w:w="340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1, 2, 4, 8, 16</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g/L</w:t>
            </w:r>
          </w:p>
        </w:tc>
        <w:tc>
          <w:tcPr>
            <w:tcW w:w="1842" w:type="dxa"/>
            <w:vAlign w:val="center"/>
          </w:tcPr>
          <w:p w:rsidR="008E041A" w:rsidRPr="00E3123E"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RT</w:t>
            </w:r>
          </w:p>
        </w:tc>
      </w:tr>
      <w:tr w:rsidR="008E041A" w:rsidRPr="00E3123E" w:rsidTr="00A04BA8">
        <w:trPr>
          <w:trHeight w:val="253"/>
        </w:trPr>
        <w:tc>
          <w:tcPr>
            <w:tcW w:w="4503" w:type="dxa"/>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Sodium tetradecyl sulphate *</w:t>
            </w:r>
            <w:r w:rsidRPr="00E3123E">
              <w:rPr>
                <w:rFonts w:ascii="Times New Roman" w:hAnsi="Times New Roman" w:cs="Times New Roman"/>
                <w:vertAlign w:val="superscript"/>
                <w:lang w:val="en-US"/>
              </w:rPr>
              <w:t>$</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139-88-8</w:t>
            </w:r>
          </w:p>
        </w:tc>
        <w:tc>
          <w:tcPr>
            <w:tcW w:w="1985"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H</w:t>
            </w:r>
            <w:r w:rsidRPr="00E3123E">
              <w:rPr>
                <w:rFonts w:ascii="Times New Roman" w:hAnsi="Times New Roman" w:cs="Times New Roman"/>
                <w:vertAlign w:val="subscript"/>
                <w:lang w:val="en-US"/>
              </w:rPr>
              <w:t>2</w:t>
            </w:r>
            <w:r w:rsidRPr="00E3123E">
              <w:rPr>
                <w:rFonts w:ascii="Times New Roman" w:hAnsi="Times New Roman" w:cs="Times New Roman"/>
                <w:lang w:val="en-US"/>
              </w:rPr>
              <w:t>O</w:t>
            </w:r>
          </w:p>
        </w:tc>
        <w:tc>
          <w:tcPr>
            <w:tcW w:w="340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0.2, 0.3, 0.6, 1.3, 2.5</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mg/L</w:t>
            </w:r>
          </w:p>
        </w:tc>
        <w:tc>
          <w:tcPr>
            <w:tcW w:w="1842" w:type="dxa"/>
            <w:vAlign w:val="center"/>
          </w:tcPr>
          <w:p w:rsidR="008E041A" w:rsidRPr="00E3123E"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RT</w:t>
            </w:r>
          </w:p>
        </w:tc>
      </w:tr>
      <w:tr w:rsidR="008E041A" w:rsidRPr="00E3123E" w:rsidTr="00A04BA8">
        <w:trPr>
          <w:trHeight w:val="253"/>
        </w:trPr>
        <w:tc>
          <w:tcPr>
            <w:tcW w:w="4503" w:type="dxa"/>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Sulfisoxazole</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127-69-5</w:t>
            </w:r>
          </w:p>
        </w:tc>
        <w:tc>
          <w:tcPr>
            <w:tcW w:w="1985"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1 % DMSO</w:t>
            </w:r>
          </w:p>
        </w:tc>
        <w:tc>
          <w:tcPr>
            <w:tcW w:w="340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50, 175, 250, 500, 1000</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mg/L</w:t>
            </w:r>
          </w:p>
        </w:tc>
        <w:tc>
          <w:tcPr>
            <w:tcW w:w="1842" w:type="dxa"/>
            <w:vAlign w:val="center"/>
          </w:tcPr>
          <w:p w:rsidR="008E041A" w:rsidRPr="00E3123E"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-20 °C</w:t>
            </w:r>
          </w:p>
        </w:tc>
      </w:tr>
      <w:tr w:rsidR="008E041A" w:rsidRPr="00E3123E" w:rsidTr="00A04BA8">
        <w:trPr>
          <w:trHeight w:val="253"/>
        </w:trPr>
        <w:tc>
          <w:tcPr>
            <w:tcW w:w="4503" w:type="dxa"/>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Taxol</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33069-62-4</w:t>
            </w:r>
          </w:p>
        </w:tc>
        <w:tc>
          <w:tcPr>
            <w:tcW w:w="1985"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1 % DMSO</w:t>
            </w:r>
          </w:p>
        </w:tc>
        <w:tc>
          <w:tcPr>
            <w:tcW w:w="340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6.25, 12.5, 25, 50</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mg/L</w:t>
            </w:r>
          </w:p>
        </w:tc>
        <w:tc>
          <w:tcPr>
            <w:tcW w:w="1842" w:type="dxa"/>
            <w:vAlign w:val="center"/>
          </w:tcPr>
          <w:p w:rsidR="008E041A" w:rsidRPr="00E3123E"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-20 °C</w:t>
            </w:r>
          </w:p>
        </w:tc>
      </w:tr>
      <w:tr w:rsidR="008E041A" w:rsidRPr="00E3123E" w:rsidTr="00A04BA8">
        <w:trPr>
          <w:trHeight w:val="253"/>
        </w:trPr>
        <w:tc>
          <w:tcPr>
            <w:tcW w:w="4503" w:type="dxa"/>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Tebuconazole</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107534-96-3</w:t>
            </w:r>
          </w:p>
        </w:tc>
        <w:tc>
          <w:tcPr>
            <w:tcW w:w="1985"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0.1 % DMSO</w:t>
            </w:r>
          </w:p>
        </w:tc>
        <w:tc>
          <w:tcPr>
            <w:tcW w:w="340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1.875, 3.75, 7.5, 15, 30</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mg/L</w:t>
            </w:r>
          </w:p>
        </w:tc>
        <w:tc>
          <w:tcPr>
            <w:tcW w:w="1842" w:type="dxa"/>
            <w:vAlign w:val="center"/>
          </w:tcPr>
          <w:p w:rsidR="008E041A" w:rsidRPr="00E3123E"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-20 °C</w:t>
            </w:r>
          </w:p>
        </w:tc>
      </w:tr>
      <w:tr w:rsidR="008E041A" w:rsidRPr="00E3123E" w:rsidTr="00A04BA8">
        <w:trPr>
          <w:trHeight w:val="253"/>
        </w:trPr>
        <w:tc>
          <w:tcPr>
            <w:tcW w:w="4503" w:type="dxa"/>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Tolbutamide</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64-77-7</w:t>
            </w:r>
          </w:p>
        </w:tc>
        <w:tc>
          <w:tcPr>
            <w:tcW w:w="1985"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1 % DMSO</w:t>
            </w:r>
          </w:p>
        </w:tc>
        <w:tc>
          <w:tcPr>
            <w:tcW w:w="340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 xml:space="preserve">57.34, 71.6, 89.6, 112, 140 </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mg/L</w:t>
            </w:r>
          </w:p>
        </w:tc>
        <w:tc>
          <w:tcPr>
            <w:tcW w:w="1842" w:type="dxa"/>
            <w:vAlign w:val="center"/>
          </w:tcPr>
          <w:p w:rsidR="008E041A" w:rsidRPr="00E3123E"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-20 °C</w:t>
            </w:r>
          </w:p>
        </w:tc>
      </w:tr>
      <w:tr w:rsidR="008E041A" w:rsidRPr="00E3123E" w:rsidTr="00A04BA8">
        <w:trPr>
          <w:trHeight w:val="253"/>
        </w:trPr>
        <w:tc>
          <w:tcPr>
            <w:tcW w:w="4503" w:type="dxa"/>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Triclosan</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3380-34-5</w:t>
            </w:r>
          </w:p>
        </w:tc>
        <w:tc>
          <w:tcPr>
            <w:tcW w:w="1985"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0.1 % EtOH</w:t>
            </w:r>
          </w:p>
        </w:tc>
        <w:tc>
          <w:tcPr>
            <w:tcW w:w="340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0.075, 0.15, 0.3, 0.6, 1.2</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mg/L</w:t>
            </w:r>
          </w:p>
        </w:tc>
        <w:tc>
          <w:tcPr>
            <w:tcW w:w="1842" w:type="dxa"/>
            <w:vAlign w:val="center"/>
          </w:tcPr>
          <w:p w:rsidR="008E041A" w:rsidRPr="00E3123E"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4 °C</w:t>
            </w:r>
          </w:p>
        </w:tc>
      </w:tr>
      <w:tr w:rsidR="008E041A" w:rsidRPr="00E3123E" w:rsidTr="00A04BA8">
        <w:trPr>
          <w:trHeight w:val="253"/>
        </w:trPr>
        <w:tc>
          <w:tcPr>
            <w:tcW w:w="4503" w:type="dxa"/>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bCs/>
                <w:lang w:val="en-US"/>
              </w:rPr>
              <w:t>Triethylene glycol</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112-27-6</w:t>
            </w:r>
          </w:p>
        </w:tc>
        <w:tc>
          <w:tcPr>
            <w:tcW w:w="1985"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H</w:t>
            </w:r>
            <w:r w:rsidRPr="00E3123E">
              <w:rPr>
                <w:rFonts w:ascii="Times New Roman" w:hAnsi="Times New Roman" w:cs="Times New Roman"/>
                <w:vertAlign w:val="subscript"/>
                <w:lang w:val="en-US"/>
              </w:rPr>
              <w:t>2</w:t>
            </w:r>
            <w:r w:rsidRPr="00E3123E">
              <w:rPr>
                <w:rFonts w:ascii="Times New Roman" w:hAnsi="Times New Roman" w:cs="Times New Roman"/>
                <w:lang w:val="en-US"/>
              </w:rPr>
              <w:t>O</w:t>
            </w:r>
          </w:p>
        </w:tc>
        <w:tc>
          <w:tcPr>
            <w:tcW w:w="340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20, 30, 45, 101.3</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g/L</w:t>
            </w:r>
          </w:p>
        </w:tc>
        <w:tc>
          <w:tcPr>
            <w:tcW w:w="1842" w:type="dxa"/>
            <w:vAlign w:val="center"/>
          </w:tcPr>
          <w:p w:rsidR="008E041A" w:rsidRPr="00E3123E"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20 °C</w:t>
            </w:r>
          </w:p>
        </w:tc>
      </w:tr>
      <w:tr w:rsidR="008E041A" w:rsidRPr="00E3123E" w:rsidTr="00A04BA8">
        <w:trPr>
          <w:trHeight w:val="253"/>
        </w:trPr>
        <w:tc>
          <w:tcPr>
            <w:tcW w:w="4503" w:type="dxa"/>
          </w:tcPr>
          <w:p w:rsidR="008E041A" w:rsidRPr="00E3123E" w:rsidRDefault="008E041A" w:rsidP="00A04BA8">
            <w:pPr>
              <w:spacing w:before="20" w:after="20"/>
              <w:rPr>
                <w:rFonts w:ascii="Times New Roman" w:hAnsi="Times New Roman" w:cs="Times New Roman"/>
                <w:bCs/>
                <w:lang w:val="en-US"/>
              </w:rPr>
            </w:pPr>
            <w:r w:rsidRPr="00E3123E">
              <w:rPr>
                <w:rFonts w:ascii="Times New Roman" w:hAnsi="Times New Roman" w:cs="Times New Roman"/>
                <w:lang w:val="en-US"/>
              </w:rPr>
              <w:t>2,3,6-Trimethyl phenol</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2416-94-6</w:t>
            </w:r>
          </w:p>
        </w:tc>
        <w:tc>
          <w:tcPr>
            <w:tcW w:w="1985"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H</w:t>
            </w:r>
            <w:r w:rsidRPr="00E3123E">
              <w:rPr>
                <w:rFonts w:ascii="Times New Roman" w:hAnsi="Times New Roman" w:cs="Times New Roman"/>
                <w:vertAlign w:val="subscript"/>
                <w:lang w:val="en-US"/>
              </w:rPr>
              <w:t>2</w:t>
            </w:r>
            <w:r w:rsidRPr="00E3123E">
              <w:rPr>
                <w:rFonts w:ascii="Times New Roman" w:hAnsi="Times New Roman" w:cs="Times New Roman"/>
                <w:lang w:val="en-US"/>
              </w:rPr>
              <w:t>O</w:t>
            </w:r>
          </w:p>
        </w:tc>
        <w:tc>
          <w:tcPr>
            <w:tcW w:w="340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8, 12, 18, 27, 40.50</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mg/L</w:t>
            </w:r>
          </w:p>
        </w:tc>
        <w:tc>
          <w:tcPr>
            <w:tcW w:w="1842" w:type="dxa"/>
            <w:vAlign w:val="center"/>
          </w:tcPr>
          <w:p w:rsidR="008E041A" w:rsidRPr="00E3123E" w:rsidDel="005A42B9"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4 °C</w:t>
            </w:r>
          </w:p>
        </w:tc>
      </w:tr>
      <w:tr w:rsidR="008E041A" w:rsidRPr="00E3123E" w:rsidTr="00A04BA8">
        <w:trPr>
          <w:trHeight w:val="253"/>
        </w:trPr>
        <w:tc>
          <w:tcPr>
            <w:tcW w:w="4503" w:type="dxa"/>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Triphenylphosphate</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115-86-6</w:t>
            </w:r>
          </w:p>
        </w:tc>
        <w:tc>
          <w:tcPr>
            <w:tcW w:w="1985"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0.1 % DMSO</w:t>
            </w:r>
          </w:p>
        </w:tc>
        <w:tc>
          <w:tcPr>
            <w:tcW w:w="340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0.1875, 0.375, 0.75, 1.5, 3</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mg/L</w:t>
            </w:r>
          </w:p>
        </w:tc>
        <w:tc>
          <w:tcPr>
            <w:tcW w:w="1842" w:type="dxa"/>
            <w:vAlign w:val="center"/>
          </w:tcPr>
          <w:p w:rsidR="008E041A" w:rsidRPr="00E3123E"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-20 °C</w:t>
            </w:r>
          </w:p>
        </w:tc>
      </w:tr>
      <w:tr w:rsidR="008E041A" w:rsidRPr="00E3123E" w:rsidTr="00A04BA8">
        <w:trPr>
          <w:trHeight w:val="253"/>
        </w:trPr>
        <w:tc>
          <w:tcPr>
            <w:tcW w:w="4503" w:type="dxa"/>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4-</w:t>
            </w:r>
            <w:r w:rsidRPr="00E3123E">
              <w:rPr>
                <w:rFonts w:ascii="Times New Roman" w:hAnsi="Times New Roman" w:cs="Times New Roman"/>
                <w:i/>
                <w:lang w:val="en-US"/>
              </w:rPr>
              <w:t>ene</w:t>
            </w:r>
            <w:r w:rsidRPr="00E3123E">
              <w:rPr>
                <w:rFonts w:ascii="Times New Roman" w:hAnsi="Times New Roman" w:cs="Times New Roman"/>
                <w:lang w:val="en-US"/>
              </w:rPr>
              <w:t>-Valproic acid</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1575-72-0</w:t>
            </w:r>
          </w:p>
        </w:tc>
        <w:tc>
          <w:tcPr>
            <w:tcW w:w="1985" w:type="dxa"/>
            <w:shd w:val="clear" w:color="auto" w:fill="auto"/>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0.1 % DMSO</w:t>
            </w:r>
          </w:p>
        </w:tc>
        <w:tc>
          <w:tcPr>
            <w:tcW w:w="3402" w:type="dxa"/>
            <w:shd w:val="clear" w:color="auto" w:fill="auto"/>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28, 57, 114</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mg/L</w:t>
            </w:r>
          </w:p>
        </w:tc>
        <w:tc>
          <w:tcPr>
            <w:tcW w:w="1842" w:type="dxa"/>
            <w:vAlign w:val="center"/>
          </w:tcPr>
          <w:p w:rsidR="008E041A" w:rsidRPr="00E3123E"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4 °C</w:t>
            </w:r>
          </w:p>
        </w:tc>
      </w:tr>
      <w:tr w:rsidR="008E041A" w:rsidRPr="00E3123E" w:rsidTr="00A04BA8">
        <w:trPr>
          <w:trHeight w:val="238"/>
        </w:trPr>
        <w:tc>
          <w:tcPr>
            <w:tcW w:w="4503" w:type="dxa"/>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Valproic acid</w:t>
            </w:r>
          </w:p>
        </w:tc>
        <w:tc>
          <w:tcPr>
            <w:tcW w:w="1842"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99-66-1</w:t>
            </w:r>
          </w:p>
        </w:tc>
        <w:tc>
          <w:tcPr>
            <w:tcW w:w="1985" w:type="dxa"/>
            <w:shd w:val="clear" w:color="auto" w:fill="auto"/>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0.1 % DMSO</w:t>
            </w:r>
          </w:p>
        </w:tc>
        <w:tc>
          <w:tcPr>
            <w:tcW w:w="3402" w:type="dxa"/>
            <w:shd w:val="clear" w:color="auto" w:fill="auto"/>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1, 2, 4, 7, 14, 29, 58, 115</w:t>
            </w:r>
          </w:p>
        </w:tc>
        <w:tc>
          <w:tcPr>
            <w:tcW w:w="709" w:type="dxa"/>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mg/L</w:t>
            </w:r>
          </w:p>
        </w:tc>
        <w:tc>
          <w:tcPr>
            <w:tcW w:w="1842" w:type="dxa"/>
            <w:vAlign w:val="center"/>
          </w:tcPr>
          <w:p w:rsidR="008E041A" w:rsidRPr="00E3123E"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4 °C</w:t>
            </w:r>
          </w:p>
        </w:tc>
      </w:tr>
      <w:tr w:rsidR="008E041A" w:rsidRPr="00E3123E" w:rsidTr="00A04BA8">
        <w:trPr>
          <w:trHeight w:val="80"/>
        </w:trPr>
        <w:tc>
          <w:tcPr>
            <w:tcW w:w="4503" w:type="dxa"/>
            <w:tcBorders>
              <w:bottom w:val="single" w:sz="4" w:space="0" w:color="auto"/>
            </w:tcBorders>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Zinc pyrithione</w:t>
            </w:r>
          </w:p>
        </w:tc>
        <w:tc>
          <w:tcPr>
            <w:tcW w:w="1842" w:type="dxa"/>
            <w:tcBorders>
              <w:bottom w:val="single" w:sz="4" w:space="0" w:color="auto"/>
            </w:tcBorders>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13463-41-7</w:t>
            </w:r>
          </w:p>
        </w:tc>
        <w:tc>
          <w:tcPr>
            <w:tcW w:w="1985" w:type="dxa"/>
            <w:tcBorders>
              <w:bottom w:val="single" w:sz="4" w:space="0" w:color="auto"/>
            </w:tcBorders>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0.1 % DMSO</w:t>
            </w:r>
          </w:p>
        </w:tc>
        <w:tc>
          <w:tcPr>
            <w:tcW w:w="3402" w:type="dxa"/>
            <w:tcBorders>
              <w:bottom w:val="single" w:sz="4" w:space="0" w:color="auto"/>
            </w:tcBorders>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6.35, 3.275, 1.6, 0.8, 0.6</w:t>
            </w:r>
          </w:p>
        </w:tc>
        <w:tc>
          <w:tcPr>
            <w:tcW w:w="709" w:type="dxa"/>
            <w:tcBorders>
              <w:bottom w:val="single" w:sz="4" w:space="0" w:color="auto"/>
            </w:tcBorders>
            <w:vAlign w:val="center"/>
          </w:tcPr>
          <w:p w:rsidR="008E041A" w:rsidRPr="00E3123E" w:rsidRDefault="008E041A" w:rsidP="00A04BA8">
            <w:pPr>
              <w:spacing w:before="20" w:after="20"/>
              <w:rPr>
                <w:rFonts w:ascii="Times New Roman" w:hAnsi="Times New Roman" w:cs="Times New Roman"/>
                <w:lang w:val="en-US"/>
              </w:rPr>
            </w:pPr>
            <w:r w:rsidRPr="00E3123E">
              <w:rPr>
                <w:rFonts w:ascii="Times New Roman" w:hAnsi="Times New Roman" w:cs="Times New Roman"/>
                <w:lang w:val="en-US"/>
              </w:rPr>
              <w:t>µg/L</w:t>
            </w:r>
          </w:p>
        </w:tc>
        <w:tc>
          <w:tcPr>
            <w:tcW w:w="1842" w:type="dxa"/>
            <w:tcBorders>
              <w:bottom w:val="single" w:sz="4" w:space="0" w:color="auto"/>
            </w:tcBorders>
            <w:vAlign w:val="center"/>
          </w:tcPr>
          <w:p w:rsidR="008E041A" w:rsidRPr="00E3123E" w:rsidRDefault="008E041A" w:rsidP="00A04BA8">
            <w:pPr>
              <w:tabs>
                <w:tab w:val="left" w:pos="1029"/>
              </w:tabs>
              <w:spacing w:before="20" w:after="20"/>
              <w:jc w:val="right"/>
              <w:rPr>
                <w:rFonts w:ascii="Times New Roman" w:hAnsi="Times New Roman" w:cs="Times New Roman"/>
                <w:lang w:val="en-US"/>
              </w:rPr>
            </w:pPr>
            <w:r w:rsidRPr="00E3123E">
              <w:rPr>
                <w:rFonts w:ascii="Times New Roman" w:hAnsi="Times New Roman" w:cs="Times New Roman"/>
                <w:lang w:val="en-US"/>
              </w:rPr>
              <w:t>-20 °C</w:t>
            </w:r>
          </w:p>
        </w:tc>
      </w:tr>
    </w:tbl>
    <w:p w:rsidR="008E041A" w:rsidRPr="00C215EB" w:rsidRDefault="008E041A" w:rsidP="008E041A">
      <w:pPr>
        <w:pStyle w:val="Caption"/>
        <w:spacing w:line="480" w:lineRule="auto"/>
        <w:rPr>
          <w:rFonts w:ascii="Times New Roman" w:hAnsi="Times New Roman" w:cs="Times New Roman"/>
          <w:i w:val="0"/>
          <w:iCs w:val="0"/>
          <w:color w:val="000000" w:themeColor="text1"/>
          <w:sz w:val="24"/>
          <w:szCs w:val="24"/>
          <w:lang w:val="en-US"/>
        </w:rPr>
      </w:pPr>
      <w:r w:rsidRPr="00C215EB">
        <w:rPr>
          <w:rFonts w:ascii="Times New Roman" w:hAnsi="Times New Roman" w:cs="Times New Roman"/>
          <w:i w:val="0"/>
          <w:iCs w:val="0"/>
          <w:color w:val="000000" w:themeColor="text1"/>
          <w:sz w:val="24"/>
          <w:szCs w:val="24"/>
          <w:lang w:val="en-US"/>
        </w:rPr>
        <w:t>* stirred with heat before cooling to RT</w:t>
      </w:r>
      <w:r w:rsidR="00E3123E">
        <w:rPr>
          <w:rFonts w:ascii="Times New Roman" w:hAnsi="Times New Roman" w:cs="Times New Roman"/>
          <w:i w:val="0"/>
          <w:iCs w:val="0"/>
          <w:color w:val="000000" w:themeColor="text1"/>
          <w:sz w:val="24"/>
          <w:szCs w:val="24"/>
          <w:lang w:val="en-US"/>
        </w:rPr>
        <w:t xml:space="preserve">; </w:t>
      </w:r>
      <w:r w:rsidRPr="00C215EB">
        <w:rPr>
          <w:rFonts w:ascii="Times New Roman" w:hAnsi="Times New Roman" w:cs="Times New Roman"/>
          <w:i w:val="0"/>
          <w:iCs w:val="0"/>
          <w:color w:val="000000" w:themeColor="text1"/>
          <w:sz w:val="24"/>
          <w:szCs w:val="24"/>
          <w:lang w:val="en-US"/>
        </w:rPr>
        <w:t>§ light sensitive</w:t>
      </w:r>
    </w:p>
    <w:p w:rsidR="008E041A" w:rsidRPr="00C215EB" w:rsidRDefault="008E041A">
      <w:pPr>
        <w:rPr>
          <w:rFonts w:ascii="Times New Roman" w:hAnsi="Times New Roman" w:cs="Times New Roman"/>
          <w:lang w:val="en-US"/>
        </w:rPr>
        <w:sectPr w:rsidR="008E041A" w:rsidRPr="00C215EB" w:rsidSect="00B9658F">
          <w:type w:val="continuous"/>
          <w:pgSz w:w="16840" w:h="11900" w:orient="landscape"/>
          <w:pgMar w:top="1440" w:right="1440" w:bottom="1440" w:left="1440" w:header="708" w:footer="708" w:gutter="0"/>
          <w:cols w:space="708"/>
          <w:docGrid w:linePitch="360"/>
        </w:sectPr>
      </w:pPr>
    </w:p>
    <w:p w:rsidR="008E041A" w:rsidRPr="00DA7AE0" w:rsidRDefault="008E041A" w:rsidP="00FD6DD1">
      <w:pPr>
        <w:spacing w:line="480" w:lineRule="auto"/>
        <w:rPr>
          <w:rFonts w:ascii="Times New Roman" w:hAnsi="Times New Roman" w:cs="Times New Roman"/>
          <w:b/>
          <w:sz w:val="24"/>
          <w:szCs w:val="24"/>
          <w:lang w:val="en-US"/>
        </w:rPr>
      </w:pPr>
      <w:r w:rsidRPr="00DA7AE0">
        <w:rPr>
          <w:rFonts w:ascii="Times New Roman" w:hAnsi="Times New Roman" w:cs="Times New Roman"/>
          <w:b/>
          <w:sz w:val="24"/>
          <w:szCs w:val="24"/>
          <w:lang w:val="en-US"/>
        </w:rPr>
        <w:lastRenderedPageBreak/>
        <w:t>References</w:t>
      </w:r>
    </w:p>
    <w:p w:rsidR="004E31DB" w:rsidRPr="00C215EB" w:rsidRDefault="008E041A"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sz w:val="24"/>
          <w:szCs w:val="24"/>
          <w:lang w:val="en-US"/>
        </w:rPr>
        <w:fldChar w:fldCharType="begin" w:fldLock="1"/>
      </w:r>
      <w:r w:rsidRPr="00C215EB">
        <w:rPr>
          <w:rFonts w:ascii="Times New Roman" w:hAnsi="Times New Roman" w:cs="Times New Roman"/>
          <w:sz w:val="24"/>
          <w:szCs w:val="24"/>
          <w:lang w:val="en-US"/>
        </w:rPr>
        <w:instrText xml:space="preserve">ADDIN Mendeley Bibliography CSL_BIBLIOGRAPHY </w:instrText>
      </w:r>
      <w:r w:rsidRPr="00C215EB">
        <w:rPr>
          <w:rFonts w:ascii="Times New Roman" w:hAnsi="Times New Roman" w:cs="Times New Roman"/>
          <w:sz w:val="24"/>
          <w:szCs w:val="24"/>
          <w:lang w:val="en-US"/>
        </w:rPr>
        <w:fldChar w:fldCharType="separate"/>
      </w:r>
      <w:r w:rsidR="004E31DB" w:rsidRPr="00C215EB">
        <w:rPr>
          <w:rFonts w:ascii="Times New Roman" w:hAnsi="Times New Roman" w:cs="Times New Roman"/>
          <w:noProof/>
          <w:sz w:val="24"/>
          <w:lang w:val="en-US"/>
        </w:rPr>
        <w:t xml:space="preserve">1. </w:t>
      </w:r>
      <w:r w:rsidR="004E31DB" w:rsidRPr="00C215EB">
        <w:rPr>
          <w:rFonts w:ascii="Times New Roman" w:hAnsi="Times New Roman" w:cs="Times New Roman"/>
          <w:noProof/>
          <w:sz w:val="24"/>
          <w:lang w:val="en-US"/>
        </w:rPr>
        <w:tab/>
        <w:t>Tyl RW, Friedman MA (2003) Effects of acrylamide on rodent reproductive performance. Reprod Toxicol 17:1–13. https://doi.org/10.1016/S0890-6238(02)00078-3</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2. </w:t>
      </w:r>
      <w:r w:rsidRPr="00C215EB">
        <w:rPr>
          <w:rFonts w:ascii="Times New Roman" w:hAnsi="Times New Roman" w:cs="Times New Roman"/>
          <w:noProof/>
          <w:sz w:val="24"/>
          <w:lang w:val="en-US"/>
        </w:rPr>
        <w:tab/>
      </w:r>
      <w:r w:rsidRPr="004A11B1">
        <w:rPr>
          <w:rFonts w:ascii="Times New Roman" w:hAnsi="Times New Roman" w:cs="Times New Roman"/>
          <w:noProof/>
          <w:sz w:val="24"/>
          <w:lang w:val="de-DE"/>
        </w:rPr>
        <w:t>Faria M, Ziv T, Gómez-Canela C</w:t>
      </w:r>
      <w:r w:rsidR="004A11B1" w:rsidRPr="004A11B1">
        <w:rPr>
          <w:rFonts w:ascii="Times New Roman" w:hAnsi="Times New Roman" w:cs="Times New Roman"/>
          <w:noProof/>
          <w:sz w:val="24"/>
          <w:lang w:val="de-DE"/>
        </w:rPr>
        <w:t xml:space="preserve"> et al.</w:t>
      </w:r>
      <w:r w:rsidRPr="004A11B1">
        <w:rPr>
          <w:rFonts w:ascii="Times New Roman" w:hAnsi="Times New Roman" w:cs="Times New Roman"/>
          <w:noProof/>
          <w:sz w:val="24"/>
          <w:lang w:val="de-DE"/>
        </w:rPr>
        <w:t xml:space="preserve"> </w:t>
      </w:r>
      <w:r w:rsidRPr="00C215EB">
        <w:rPr>
          <w:rFonts w:ascii="Times New Roman" w:hAnsi="Times New Roman" w:cs="Times New Roman"/>
          <w:noProof/>
          <w:sz w:val="24"/>
          <w:lang w:val="en-US"/>
        </w:rPr>
        <w:t>(2018) Acrylamide acute neurotoxicity in adult zebrafish. Sci Rep 8:1–14. https://doi.org/10.1038/s41598-018-26343-2</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3. </w:t>
      </w:r>
      <w:r w:rsidRPr="00C215EB">
        <w:rPr>
          <w:rFonts w:ascii="Times New Roman" w:hAnsi="Times New Roman" w:cs="Times New Roman"/>
          <w:noProof/>
          <w:sz w:val="24"/>
          <w:lang w:val="en-US"/>
        </w:rPr>
        <w:tab/>
      </w:r>
      <w:r w:rsidRPr="004A11B1">
        <w:rPr>
          <w:rFonts w:ascii="Times New Roman" w:hAnsi="Times New Roman" w:cs="Times New Roman"/>
          <w:noProof/>
          <w:sz w:val="24"/>
          <w:lang w:val="de-DE"/>
        </w:rPr>
        <w:t>Kawata Y, Okada M, Murakami T</w:t>
      </w:r>
      <w:r w:rsidR="004A11B1" w:rsidRPr="004A11B1">
        <w:rPr>
          <w:rFonts w:ascii="Times New Roman" w:hAnsi="Times New Roman" w:cs="Times New Roman"/>
          <w:noProof/>
          <w:sz w:val="24"/>
          <w:lang w:val="de-DE"/>
        </w:rPr>
        <w:t xml:space="preserve"> et al.</w:t>
      </w:r>
      <w:r w:rsidRPr="004A11B1">
        <w:rPr>
          <w:rFonts w:ascii="Times New Roman" w:hAnsi="Times New Roman" w:cs="Times New Roman"/>
          <w:noProof/>
          <w:sz w:val="24"/>
          <w:lang w:val="de-DE"/>
        </w:rPr>
        <w:t xml:space="preserve"> </w:t>
      </w:r>
      <w:r w:rsidRPr="00C215EB">
        <w:rPr>
          <w:rFonts w:ascii="Times New Roman" w:hAnsi="Times New Roman" w:cs="Times New Roman"/>
          <w:noProof/>
          <w:sz w:val="24"/>
          <w:lang w:val="en-US"/>
        </w:rPr>
        <w:t>(2001) Pharmacological discrimination between effects of carbamazepine on hippocampal basal, Ca</w:t>
      </w:r>
      <w:r w:rsidRPr="00DA7AE0">
        <w:rPr>
          <w:rFonts w:ascii="Times New Roman" w:hAnsi="Times New Roman" w:cs="Times New Roman"/>
          <w:noProof/>
          <w:sz w:val="24"/>
          <w:vertAlign w:val="superscript"/>
          <w:lang w:val="en-US"/>
        </w:rPr>
        <w:t>2+</w:t>
      </w:r>
      <w:r w:rsidRPr="00C215EB">
        <w:rPr>
          <w:rFonts w:ascii="Times New Roman" w:hAnsi="Times New Roman" w:cs="Times New Roman"/>
          <w:noProof/>
          <w:sz w:val="24"/>
          <w:lang w:val="en-US"/>
        </w:rPr>
        <w:t>- and K</w:t>
      </w:r>
      <w:r w:rsidRPr="00DA7AE0">
        <w:rPr>
          <w:rFonts w:ascii="Times New Roman" w:hAnsi="Times New Roman" w:cs="Times New Roman"/>
          <w:noProof/>
          <w:sz w:val="24"/>
          <w:vertAlign w:val="superscript"/>
          <w:lang w:val="en-US"/>
        </w:rPr>
        <w:t>+</w:t>
      </w:r>
      <w:r w:rsidRPr="00C215EB">
        <w:rPr>
          <w:rFonts w:ascii="Times New Roman" w:hAnsi="Times New Roman" w:cs="Times New Roman"/>
          <w:noProof/>
          <w:sz w:val="24"/>
          <w:lang w:val="en-US"/>
        </w:rPr>
        <w:t>-evoked serotonin release. Br J Pharmacol 133:557–567. https://doi.org/10.1038/sj.bjp.0704104</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4. </w:t>
      </w:r>
      <w:r w:rsidRPr="00C215EB">
        <w:rPr>
          <w:rFonts w:ascii="Times New Roman" w:hAnsi="Times New Roman" w:cs="Times New Roman"/>
          <w:noProof/>
          <w:sz w:val="24"/>
          <w:lang w:val="en-US"/>
        </w:rPr>
        <w:tab/>
        <w:t>Rogawski MA, Löscher W, Rho JM (2016) Mechanisms o</w:t>
      </w:r>
      <w:r w:rsidR="00DA7AE0" w:rsidRPr="00C215EB">
        <w:rPr>
          <w:rFonts w:ascii="Times New Roman" w:hAnsi="Times New Roman" w:cs="Times New Roman"/>
          <w:noProof/>
          <w:sz w:val="24"/>
          <w:lang w:val="en-US"/>
        </w:rPr>
        <w:t>f action of antiseizure drugs and the ketogenic di</w:t>
      </w:r>
      <w:r w:rsidRPr="00C215EB">
        <w:rPr>
          <w:rFonts w:ascii="Times New Roman" w:hAnsi="Times New Roman" w:cs="Times New Roman"/>
          <w:noProof/>
          <w:sz w:val="24"/>
          <w:lang w:val="en-US"/>
        </w:rPr>
        <w:t>et. Cold Spring Harb Perspect Med. https://doi.org/10.1101/cshperspect.a022780</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5. </w:t>
      </w:r>
      <w:r w:rsidRPr="00C215EB">
        <w:rPr>
          <w:rFonts w:ascii="Times New Roman" w:hAnsi="Times New Roman" w:cs="Times New Roman"/>
          <w:noProof/>
          <w:sz w:val="24"/>
          <w:lang w:val="en-US"/>
        </w:rPr>
        <w:tab/>
      </w:r>
      <w:r w:rsidRPr="004A11B1">
        <w:rPr>
          <w:rFonts w:ascii="Times New Roman" w:hAnsi="Times New Roman" w:cs="Times New Roman"/>
          <w:noProof/>
          <w:sz w:val="24"/>
          <w:lang w:val="de-DE"/>
        </w:rPr>
        <w:t>Schock EN, Ford WC, Midgley KJ</w:t>
      </w:r>
      <w:r w:rsidR="004A11B1" w:rsidRPr="004A11B1">
        <w:rPr>
          <w:rFonts w:ascii="Times New Roman" w:hAnsi="Times New Roman" w:cs="Times New Roman"/>
          <w:noProof/>
          <w:sz w:val="24"/>
          <w:lang w:val="de-DE"/>
        </w:rPr>
        <w:t xml:space="preserve"> et al.</w:t>
      </w:r>
      <w:r w:rsidRPr="004A11B1">
        <w:rPr>
          <w:rFonts w:ascii="Times New Roman" w:hAnsi="Times New Roman" w:cs="Times New Roman"/>
          <w:noProof/>
          <w:sz w:val="24"/>
          <w:lang w:val="de-DE"/>
        </w:rPr>
        <w:t xml:space="preserve"> </w:t>
      </w:r>
      <w:r w:rsidRPr="00C215EB">
        <w:rPr>
          <w:rFonts w:ascii="Times New Roman" w:hAnsi="Times New Roman" w:cs="Times New Roman"/>
          <w:noProof/>
          <w:sz w:val="24"/>
          <w:lang w:val="en-US"/>
        </w:rPr>
        <w:t xml:space="preserve">(2012) The </w:t>
      </w:r>
      <w:r w:rsidR="00DA7AE0" w:rsidRPr="00C215EB">
        <w:rPr>
          <w:rFonts w:ascii="Times New Roman" w:hAnsi="Times New Roman" w:cs="Times New Roman"/>
          <w:noProof/>
          <w:sz w:val="24"/>
          <w:lang w:val="en-US"/>
        </w:rPr>
        <w:t>effects of carbaryl on the development of zeb</w:t>
      </w:r>
      <w:r w:rsidRPr="00C215EB">
        <w:rPr>
          <w:rFonts w:ascii="Times New Roman" w:hAnsi="Times New Roman" w:cs="Times New Roman"/>
          <w:noProof/>
          <w:sz w:val="24"/>
          <w:lang w:val="en-US"/>
        </w:rPr>
        <w:t>rafish (</w:t>
      </w:r>
      <w:r w:rsidRPr="00DA7AE0">
        <w:rPr>
          <w:rFonts w:ascii="Times New Roman" w:hAnsi="Times New Roman" w:cs="Times New Roman"/>
          <w:i/>
          <w:noProof/>
          <w:sz w:val="24"/>
          <w:lang w:val="en-US"/>
        </w:rPr>
        <w:t>Danio rerio</w:t>
      </w:r>
      <w:r w:rsidRPr="00C215EB">
        <w:rPr>
          <w:rFonts w:ascii="Times New Roman" w:hAnsi="Times New Roman" w:cs="Times New Roman"/>
          <w:noProof/>
          <w:sz w:val="24"/>
          <w:lang w:val="en-US"/>
        </w:rPr>
        <w:t xml:space="preserve">) </w:t>
      </w:r>
      <w:r w:rsidR="00DA7AE0">
        <w:rPr>
          <w:rFonts w:ascii="Times New Roman" w:hAnsi="Times New Roman" w:cs="Times New Roman"/>
          <w:noProof/>
          <w:sz w:val="24"/>
          <w:lang w:val="en-US"/>
        </w:rPr>
        <w:t>e</w:t>
      </w:r>
      <w:r w:rsidRPr="00C215EB">
        <w:rPr>
          <w:rFonts w:ascii="Times New Roman" w:hAnsi="Times New Roman" w:cs="Times New Roman"/>
          <w:noProof/>
          <w:sz w:val="24"/>
          <w:lang w:val="en-US"/>
        </w:rPr>
        <w:t>mbryos. Zebrafish 9:169–178. https://doi.org/10.1089/zeb.2012.0747</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6. </w:t>
      </w:r>
      <w:r w:rsidRPr="00C215EB">
        <w:rPr>
          <w:rFonts w:ascii="Times New Roman" w:hAnsi="Times New Roman" w:cs="Times New Roman"/>
          <w:noProof/>
          <w:sz w:val="24"/>
          <w:lang w:val="en-US"/>
        </w:rPr>
        <w:tab/>
        <w:t>Slaninova A, Smutna M, Modra H, Svobodova Z (2009) A review: oxidative stress in fish induced by pesticides. Neuro Endocrinol Lett 30 Suppl 1:2–12. https://doi.org/NEL300709R01 [pii]</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7. </w:t>
      </w:r>
      <w:r w:rsidRPr="00C215EB">
        <w:rPr>
          <w:rFonts w:ascii="Times New Roman" w:hAnsi="Times New Roman" w:cs="Times New Roman"/>
          <w:noProof/>
          <w:sz w:val="24"/>
          <w:lang w:val="en-US"/>
        </w:rPr>
        <w:tab/>
        <w:t xml:space="preserve">Popovska-Gorevski M, Dubocovich ML, Rajnarayanan R V. (2017) Carbamate </w:t>
      </w:r>
      <w:r w:rsidR="00DA7AE0" w:rsidRPr="00C215EB">
        <w:rPr>
          <w:rFonts w:ascii="Times New Roman" w:hAnsi="Times New Roman" w:cs="Times New Roman"/>
          <w:noProof/>
          <w:sz w:val="24"/>
          <w:lang w:val="en-US"/>
        </w:rPr>
        <w:t>insecticides target human melatonin rec</w:t>
      </w:r>
      <w:r w:rsidRPr="00C215EB">
        <w:rPr>
          <w:rFonts w:ascii="Times New Roman" w:hAnsi="Times New Roman" w:cs="Times New Roman"/>
          <w:noProof/>
          <w:sz w:val="24"/>
          <w:lang w:val="en-US"/>
        </w:rPr>
        <w:t>eptors. Chem Res Toxicol 30:574–582. https://doi.org/10.1021/acs.chemrestox.6b00301</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8. </w:t>
      </w:r>
      <w:r w:rsidRPr="00C215EB">
        <w:rPr>
          <w:rFonts w:ascii="Times New Roman" w:hAnsi="Times New Roman" w:cs="Times New Roman"/>
          <w:noProof/>
          <w:sz w:val="24"/>
          <w:lang w:val="en-US"/>
        </w:rPr>
        <w:tab/>
        <w:t>Kamstra JH, Aleström P, Kooter JM, Legler J (2015) Zebrafish as a model to study the role of DNA methylation in environmental toxicology. Environ Sci Pollut Res 22:16262–16276. https://doi.org/10.1007/s11356-014-3466-7</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9. </w:t>
      </w:r>
      <w:r w:rsidRPr="00C215EB">
        <w:rPr>
          <w:rFonts w:ascii="Times New Roman" w:hAnsi="Times New Roman" w:cs="Times New Roman"/>
          <w:noProof/>
          <w:sz w:val="24"/>
          <w:lang w:val="en-US"/>
        </w:rPr>
        <w:tab/>
      </w:r>
      <w:r w:rsidRPr="004A11B1">
        <w:rPr>
          <w:rFonts w:ascii="Times New Roman" w:hAnsi="Times New Roman" w:cs="Times New Roman"/>
          <w:noProof/>
          <w:sz w:val="24"/>
          <w:lang w:val="de-DE"/>
        </w:rPr>
        <w:t>Laville N, Aït-Ässa S, Gomez E</w:t>
      </w:r>
      <w:r w:rsidR="004A11B1" w:rsidRPr="004A11B1">
        <w:rPr>
          <w:rFonts w:ascii="Times New Roman" w:hAnsi="Times New Roman" w:cs="Times New Roman"/>
          <w:noProof/>
          <w:sz w:val="24"/>
          <w:lang w:val="de-DE"/>
        </w:rPr>
        <w:t xml:space="preserve"> et al.</w:t>
      </w:r>
      <w:r w:rsidRPr="004A11B1">
        <w:rPr>
          <w:rFonts w:ascii="Times New Roman" w:hAnsi="Times New Roman" w:cs="Times New Roman"/>
          <w:noProof/>
          <w:sz w:val="24"/>
          <w:lang w:val="de-DE"/>
        </w:rPr>
        <w:t xml:space="preserve"> </w:t>
      </w:r>
      <w:r w:rsidRPr="00C215EB">
        <w:rPr>
          <w:rFonts w:ascii="Times New Roman" w:hAnsi="Times New Roman" w:cs="Times New Roman"/>
          <w:noProof/>
          <w:sz w:val="24"/>
          <w:lang w:val="en-US"/>
        </w:rPr>
        <w:t>(2004) Effects of human pharmaceuticals on cytotoxicity, EROD activity and ROS production in fish hepatocytes. Toxicology 196:41–55. https://doi.org/10.1016/j.tox.2003.11.002</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10. </w:t>
      </w:r>
      <w:r w:rsidRPr="00C215EB">
        <w:rPr>
          <w:rFonts w:ascii="Times New Roman" w:hAnsi="Times New Roman" w:cs="Times New Roman"/>
          <w:noProof/>
          <w:sz w:val="24"/>
          <w:lang w:val="en-US"/>
        </w:rPr>
        <w:tab/>
        <w:t>Avila J, Serrano L, Maccioni RB (1987) Regulatory aspects of the colchicine interactions with tubulin. Mol Cell Biochem 73:29–36. https://doi.org/10.1007/BF00229373</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11. </w:t>
      </w:r>
      <w:r w:rsidRPr="00C215EB">
        <w:rPr>
          <w:rFonts w:ascii="Times New Roman" w:hAnsi="Times New Roman" w:cs="Times New Roman"/>
          <w:noProof/>
          <w:sz w:val="24"/>
          <w:lang w:val="en-US"/>
        </w:rPr>
        <w:tab/>
        <w:t>Dalbeth N, Lauterio TJ, Wolfe HR (2014) Mechanism of action of colchicine in the treatment of gout. Clin Ther 36:1465–1479. https://doi.org/10.1016/j.clinthera.2014.07.017</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12. </w:t>
      </w:r>
      <w:r w:rsidRPr="00C215EB">
        <w:rPr>
          <w:rFonts w:ascii="Times New Roman" w:hAnsi="Times New Roman" w:cs="Times New Roman"/>
          <w:noProof/>
          <w:sz w:val="24"/>
          <w:lang w:val="en-US"/>
        </w:rPr>
        <w:tab/>
        <w:t>Fahmy MA (2000) Potential</w:t>
      </w:r>
      <w:r w:rsidR="00DA7AE0" w:rsidRPr="00C215EB">
        <w:rPr>
          <w:rFonts w:ascii="Times New Roman" w:hAnsi="Times New Roman" w:cs="Times New Roman"/>
          <w:noProof/>
          <w:sz w:val="24"/>
          <w:lang w:val="en-US"/>
        </w:rPr>
        <w:t xml:space="preserve"> genotoxicity in copper sulphate treated mic</w:t>
      </w:r>
      <w:r w:rsidRPr="00C215EB">
        <w:rPr>
          <w:rFonts w:ascii="Times New Roman" w:hAnsi="Times New Roman" w:cs="Times New Roman"/>
          <w:noProof/>
          <w:sz w:val="24"/>
          <w:lang w:val="en-US"/>
        </w:rPr>
        <w:t>e. Cytologia (Tokyo) 65:235–242. https://doi.org/10.1508/cytologia.65.235</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13. </w:t>
      </w:r>
      <w:r w:rsidRPr="00C215EB">
        <w:rPr>
          <w:rFonts w:ascii="Times New Roman" w:hAnsi="Times New Roman" w:cs="Times New Roman"/>
          <w:noProof/>
          <w:sz w:val="24"/>
          <w:lang w:val="en-US"/>
        </w:rPr>
        <w:tab/>
        <w:t>Bogdanova AY, Gassmann M, Nikinmaa M (2002) Copper ion redox state is critical for its effects on ion transport pathways and methaemoglobin formation in trout erythrocytes. Chem Biol Interact 139:43–59. https://doi.org/10.1016/S0009-2797(01)00287-3</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lastRenderedPageBreak/>
        <w:t xml:space="preserve">14. </w:t>
      </w:r>
      <w:r w:rsidRPr="00C215EB">
        <w:rPr>
          <w:rFonts w:ascii="Times New Roman" w:hAnsi="Times New Roman" w:cs="Times New Roman"/>
          <w:noProof/>
          <w:sz w:val="24"/>
          <w:lang w:val="en-US"/>
        </w:rPr>
        <w:tab/>
        <w:t>Sasseville D, Lafaille P, Joncas V (2009) Allergic contact dermatitis from occupational exposure to dibutyl maleate. Contact Dermatitis 60:298–300. https://doi.org/10.1111/j.1600-0536.2009.01539.x</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15. </w:t>
      </w:r>
      <w:r w:rsidRPr="00C215EB">
        <w:rPr>
          <w:rFonts w:ascii="Times New Roman" w:hAnsi="Times New Roman" w:cs="Times New Roman"/>
          <w:noProof/>
          <w:sz w:val="24"/>
          <w:lang w:val="en-US"/>
        </w:rPr>
        <w:tab/>
        <w:t>Pascal-Lorber S, Rathahao E, Cravedi JP, Laurent F (2003) Uptake and metabolic fate of [14C]-2,4-dichlorophenol and [14C]-2,4-dichloroaniline in wheat (</w:t>
      </w:r>
      <w:r w:rsidRPr="00DA7AE0">
        <w:rPr>
          <w:rFonts w:ascii="Times New Roman" w:hAnsi="Times New Roman" w:cs="Times New Roman"/>
          <w:i/>
          <w:noProof/>
          <w:sz w:val="24"/>
          <w:lang w:val="en-US"/>
        </w:rPr>
        <w:t>Triticum aestivum</w:t>
      </w:r>
      <w:r w:rsidRPr="00C215EB">
        <w:rPr>
          <w:rFonts w:ascii="Times New Roman" w:hAnsi="Times New Roman" w:cs="Times New Roman"/>
          <w:noProof/>
          <w:sz w:val="24"/>
          <w:lang w:val="en-US"/>
        </w:rPr>
        <w:t>) and soybean (</w:t>
      </w:r>
      <w:r w:rsidRPr="00DA7AE0">
        <w:rPr>
          <w:rFonts w:ascii="Times New Roman" w:hAnsi="Times New Roman" w:cs="Times New Roman"/>
          <w:i/>
          <w:noProof/>
          <w:sz w:val="24"/>
          <w:lang w:val="en-US"/>
        </w:rPr>
        <w:t>Glycine max</w:t>
      </w:r>
      <w:r w:rsidRPr="00C215EB">
        <w:rPr>
          <w:rFonts w:ascii="Times New Roman" w:hAnsi="Times New Roman" w:cs="Times New Roman"/>
          <w:noProof/>
          <w:sz w:val="24"/>
          <w:lang w:val="en-US"/>
        </w:rPr>
        <w:t>). J Agric Food Chem 51:4712–4718. https://doi.org/10.1021/jf034230j</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16. </w:t>
      </w:r>
      <w:r w:rsidRPr="00C215EB">
        <w:rPr>
          <w:rFonts w:ascii="Times New Roman" w:hAnsi="Times New Roman" w:cs="Times New Roman"/>
          <w:noProof/>
          <w:sz w:val="24"/>
          <w:lang w:val="en-US"/>
        </w:rPr>
        <w:tab/>
        <w:t>Hanslick JL, Lau K, Noguchi KK</w:t>
      </w:r>
      <w:r w:rsidR="004A11B1">
        <w:rPr>
          <w:rFonts w:ascii="Times New Roman" w:hAnsi="Times New Roman" w:cs="Times New Roman"/>
          <w:noProof/>
          <w:sz w:val="24"/>
          <w:lang w:val="en-US"/>
        </w:rPr>
        <w:t xml:space="preserve"> et al.</w:t>
      </w:r>
      <w:r w:rsidRPr="00C215EB">
        <w:rPr>
          <w:rFonts w:ascii="Times New Roman" w:hAnsi="Times New Roman" w:cs="Times New Roman"/>
          <w:noProof/>
          <w:sz w:val="24"/>
          <w:lang w:val="en-US"/>
        </w:rPr>
        <w:t xml:space="preserve"> (2009) Dimethyl </w:t>
      </w:r>
      <w:r w:rsidR="004A11B1" w:rsidRPr="00C215EB">
        <w:rPr>
          <w:rFonts w:ascii="Times New Roman" w:hAnsi="Times New Roman" w:cs="Times New Roman"/>
          <w:noProof/>
          <w:sz w:val="24"/>
          <w:lang w:val="en-US"/>
        </w:rPr>
        <w:t>s</w:t>
      </w:r>
      <w:r w:rsidRPr="00C215EB">
        <w:rPr>
          <w:rFonts w:ascii="Times New Roman" w:hAnsi="Times New Roman" w:cs="Times New Roman"/>
          <w:noProof/>
          <w:sz w:val="24"/>
          <w:lang w:val="en-US"/>
        </w:rPr>
        <w:t xml:space="preserve">ulfoxide (DMSO) </w:t>
      </w:r>
      <w:r w:rsidR="004A11B1" w:rsidRPr="00C215EB">
        <w:rPr>
          <w:rFonts w:ascii="Times New Roman" w:hAnsi="Times New Roman" w:cs="Times New Roman"/>
          <w:noProof/>
          <w:sz w:val="24"/>
          <w:lang w:val="en-US"/>
        </w:rPr>
        <w:t>produces widespread apoptosis in the developing central nervous sys</w:t>
      </w:r>
      <w:r w:rsidRPr="00C215EB">
        <w:rPr>
          <w:rFonts w:ascii="Times New Roman" w:hAnsi="Times New Roman" w:cs="Times New Roman"/>
          <w:noProof/>
          <w:sz w:val="24"/>
          <w:lang w:val="en-US"/>
        </w:rPr>
        <w:t>tem. Neurobiol Dis 34:1–10. https://doi.org/10.1016/j.nbd.2008.11.006.Dimethyl</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17. </w:t>
      </w:r>
      <w:r w:rsidRPr="00C215EB">
        <w:rPr>
          <w:rFonts w:ascii="Times New Roman" w:hAnsi="Times New Roman" w:cs="Times New Roman"/>
          <w:noProof/>
          <w:sz w:val="24"/>
          <w:lang w:val="en-US"/>
        </w:rPr>
        <w:tab/>
        <w:t>Galvao J, Davis B, Tilley M</w:t>
      </w:r>
      <w:r w:rsidR="004A11B1">
        <w:rPr>
          <w:rFonts w:ascii="Times New Roman" w:hAnsi="Times New Roman" w:cs="Times New Roman"/>
          <w:noProof/>
          <w:sz w:val="24"/>
          <w:lang w:val="en-US"/>
        </w:rPr>
        <w:t xml:space="preserve"> et al.</w:t>
      </w:r>
      <w:r w:rsidRPr="00C215EB">
        <w:rPr>
          <w:rFonts w:ascii="Times New Roman" w:hAnsi="Times New Roman" w:cs="Times New Roman"/>
          <w:noProof/>
          <w:sz w:val="24"/>
          <w:lang w:val="en-US"/>
        </w:rPr>
        <w:t xml:space="preserve"> (2014) Unexpected low-dose toxicity of the universal solvent DMSO. FASEB J 28:1317–1330. https://doi.org/10.1096/fj.13-235440</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18. </w:t>
      </w:r>
      <w:r w:rsidRPr="00C215EB">
        <w:rPr>
          <w:rFonts w:ascii="Times New Roman" w:hAnsi="Times New Roman" w:cs="Times New Roman"/>
          <w:noProof/>
          <w:sz w:val="24"/>
          <w:lang w:val="en-US"/>
        </w:rPr>
        <w:tab/>
        <w:t>Maitre M, Ciesbelski L, Mandel P (1974) Effect of 2-methyl 2-ethyl caproic acid and 2-2-dimethyl valeric acid on audiogenic seizures and brain gamma aminobutyric acid. Biochem Pharmacol 23:2363–2368. https://doi.org/10.1016/0006-2952(74)90225-1</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19. </w:t>
      </w:r>
      <w:r w:rsidRPr="00C215EB">
        <w:rPr>
          <w:rFonts w:ascii="Times New Roman" w:hAnsi="Times New Roman" w:cs="Times New Roman"/>
          <w:noProof/>
          <w:sz w:val="24"/>
          <w:lang w:val="en-US"/>
        </w:rPr>
        <w:tab/>
        <w:t xml:space="preserve">Parker VH, Barnes JM, Denz FA (1951) Some </w:t>
      </w:r>
      <w:r w:rsidR="004A11B1" w:rsidRPr="00C215EB">
        <w:rPr>
          <w:rFonts w:ascii="Times New Roman" w:hAnsi="Times New Roman" w:cs="Times New Roman"/>
          <w:noProof/>
          <w:sz w:val="24"/>
          <w:lang w:val="en-US"/>
        </w:rPr>
        <w:t>observations on the toxic properties of 3:5-dinitro</w:t>
      </w:r>
      <w:r w:rsidR="004A11B1">
        <w:rPr>
          <w:rFonts w:ascii="Times New Roman" w:hAnsi="Times New Roman" w:cs="Times New Roman"/>
          <w:noProof/>
          <w:sz w:val="24"/>
          <w:lang w:val="en-US"/>
        </w:rPr>
        <w:t>-</w:t>
      </w:r>
      <w:r w:rsidR="004A11B1" w:rsidRPr="004A11B1">
        <w:rPr>
          <w:rFonts w:ascii="Times New Roman" w:hAnsi="Times New Roman" w:cs="Times New Roman"/>
          <w:i/>
          <w:noProof/>
          <w:sz w:val="24"/>
          <w:lang w:val="en-US"/>
        </w:rPr>
        <w:t>o</w:t>
      </w:r>
      <w:r w:rsidR="004A11B1" w:rsidRPr="00C215EB">
        <w:rPr>
          <w:rFonts w:ascii="Times New Roman" w:hAnsi="Times New Roman" w:cs="Times New Roman"/>
          <w:noProof/>
          <w:sz w:val="24"/>
          <w:lang w:val="en-US"/>
        </w:rPr>
        <w:t>-cres</w:t>
      </w:r>
      <w:r w:rsidRPr="00C215EB">
        <w:rPr>
          <w:rFonts w:ascii="Times New Roman" w:hAnsi="Times New Roman" w:cs="Times New Roman"/>
          <w:noProof/>
          <w:sz w:val="24"/>
          <w:lang w:val="en-US"/>
        </w:rPr>
        <w:t>ol. Occup Environ Med 8:226–235. https://doi.org/10.1136/oem.8.4.226</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20. </w:t>
      </w:r>
      <w:r w:rsidRPr="00C215EB">
        <w:rPr>
          <w:rFonts w:ascii="Times New Roman" w:hAnsi="Times New Roman" w:cs="Times New Roman"/>
          <w:noProof/>
          <w:sz w:val="24"/>
          <w:lang w:val="en-US"/>
        </w:rPr>
        <w:tab/>
        <w:t>WHO (2000) DINITRO- ortho -CRESOL</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21. </w:t>
      </w:r>
      <w:r w:rsidRPr="00C215EB">
        <w:rPr>
          <w:rFonts w:ascii="Times New Roman" w:hAnsi="Times New Roman" w:cs="Times New Roman"/>
          <w:noProof/>
          <w:sz w:val="24"/>
          <w:lang w:val="en-US"/>
        </w:rPr>
        <w:tab/>
        <w:t xml:space="preserve">Grundlingh J, Dargan PI, El-Zanfaly M, Wood DM (2011) 2,4-Dinitrophenol (DNP): </w:t>
      </w:r>
      <w:r w:rsidR="004A11B1" w:rsidRPr="00C215EB">
        <w:rPr>
          <w:rFonts w:ascii="Times New Roman" w:hAnsi="Times New Roman" w:cs="Times New Roman"/>
          <w:noProof/>
          <w:sz w:val="24"/>
          <w:lang w:val="en-US"/>
        </w:rPr>
        <w:t>a weight loss agent with significant acute toxicity and risk of d</w:t>
      </w:r>
      <w:r w:rsidRPr="00C215EB">
        <w:rPr>
          <w:rFonts w:ascii="Times New Roman" w:hAnsi="Times New Roman" w:cs="Times New Roman"/>
          <w:noProof/>
          <w:sz w:val="24"/>
          <w:lang w:val="en-US"/>
        </w:rPr>
        <w:t>eath. J Med Toxicol 7:205–212. https://doi.org/10.1007/s13181-011-0162-6</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22. </w:t>
      </w:r>
      <w:r w:rsidRPr="00C215EB">
        <w:rPr>
          <w:rFonts w:ascii="Times New Roman" w:hAnsi="Times New Roman" w:cs="Times New Roman"/>
          <w:noProof/>
          <w:sz w:val="24"/>
          <w:lang w:val="en-US"/>
        </w:rPr>
        <w:tab/>
        <w:t>Kumar S, Porcu P, Werner DF</w:t>
      </w:r>
      <w:r w:rsidR="004A11B1">
        <w:rPr>
          <w:rFonts w:ascii="Times New Roman" w:hAnsi="Times New Roman" w:cs="Times New Roman"/>
          <w:noProof/>
          <w:sz w:val="24"/>
          <w:lang w:val="en-US"/>
        </w:rPr>
        <w:t xml:space="preserve"> et al.</w:t>
      </w:r>
      <w:r w:rsidRPr="00C215EB">
        <w:rPr>
          <w:rFonts w:ascii="Times New Roman" w:hAnsi="Times New Roman" w:cs="Times New Roman"/>
          <w:noProof/>
          <w:sz w:val="24"/>
          <w:lang w:val="en-US"/>
        </w:rPr>
        <w:t xml:space="preserve"> (2009) The role of GABAA</w:t>
      </w:r>
      <w:r w:rsidR="004A11B1">
        <w:rPr>
          <w:rFonts w:ascii="Times New Roman" w:hAnsi="Times New Roman" w:cs="Times New Roman"/>
          <w:noProof/>
          <w:sz w:val="24"/>
          <w:lang w:val="en-US"/>
        </w:rPr>
        <w:t xml:space="preserve"> </w:t>
      </w:r>
      <w:r w:rsidRPr="00C215EB">
        <w:rPr>
          <w:rFonts w:ascii="Times New Roman" w:hAnsi="Times New Roman" w:cs="Times New Roman"/>
          <w:noProof/>
          <w:sz w:val="24"/>
          <w:lang w:val="en-US"/>
        </w:rPr>
        <w:t>receptors in the acute and chronic effects of ethanol: A decade of progress. Psychopharmacology (Berl) 205:529–564. https://doi.org/10.1007/s00213-009-1562-z</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23. </w:t>
      </w:r>
      <w:r w:rsidRPr="00C215EB">
        <w:rPr>
          <w:rFonts w:ascii="Times New Roman" w:hAnsi="Times New Roman" w:cs="Times New Roman"/>
          <w:noProof/>
          <w:sz w:val="24"/>
          <w:lang w:val="en-US"/>
        </w:rPr>
        <w:tab/>
        <w:t>Lovinger DM (1999) 5-HT3 receptors and the neural actions of alcohols: An increasingly exciting topic. Neurochem Int 35:125–130. https://doi.org/10.1016/S0197-0186(99)00054-6</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24. </w:t>
      </w:r>
      <w:r w:rsidRPr="00C215EB">
        <w:rPr>
          <w:rFonts w:ascii="Times New Roman" w:hAnsi="Times New Roman" w:cs="Times New Roman"/>
          <w:noProof/>
          <w:sz w:val="24"/>
          <w:lang w:val="en-US"/>
        </w:rPr>
        <w:tab/>
        <w:t>Pennanen SM, Heiskanen KM, Savolainen KM, Komulainen H (2000) Effects of 2-ethylhexanoic acid on the production of reactive oxygen species in human polymorphonuclear leukocytes in vitro. Toxicol Lett 117:79–84. https://doi.org/10.1016/s0378-4274(00)00243-5</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25. </w:t>
      </w:r>
      <w:r w:rsidRPr="00C215EB">
        <w:rPr>
          <w:rFonts w:ascii="Times New Roman" w:hAnsi="Times New Roman" w:cs="Times New Roman"/>
          <w:noProof/>
          <w:sz w:val="24"/>
          <w:lang w:val="en-US"/>
        </w:rPr>
        <w:tab/>
        <w:t>Manninen A, Kröger S, Liesivuori J, Savolainen H (1989) 2-Ethylhexanoic acid inhibits urea synthesis and stimulates carnitine acetyltransferase activity in rat liver mitochondria. Arch Toxicol 63:160–161. https://doi.org/10.1007/BF00316441</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26. </w:t>
      </w:r>
      <w:r w:rsidRPr="00C215EB">
        <w:rPr>
          <w:rFonts w:ascii="Times New Roman" w:hAnsi="Times New Roman" w:cs="Times New Roman"/>
          <w:noProof/>
          <w:sz w:val="24"/>
          <w:lang w:val="en-US"/>
        </w:rPr>
        <w:tab/>
        <w:t>Maloney EK, Waxman DJ (1999) trans-</w:t>
      </w:r>
      <w:r w:rsidR="004A11B1" w:rsidRPr="00C215EB">
        <w:rPr>
          <w:rFonts w:ascii="Times New Roman" w:hAnsi="Times New Roman" w:cs="Times New Roman"/>
          <w:noProof/>
          <w:sz w:val="24"/>
          <w:lang w:val="en-US"/>
        </w:rPr>
        <w:t>a</w:t>
      </w:r>
      <w:r w:rsidRPr="00C215EB">
        <w:rPr>
          <w:rFonts w:ascii="Times New Roman" w:hAnsi="Times New Roman" w:cs="Times New Roman"/>
          <w:noProof/>
          <w:sz w:val="24"/>
          <w:lang w:val="en-US"/>
        </w:rPr>
        <w:t xml:space="preserve">ctivation of PPARα and PPARγ by </w:t>
      </w:r>
      <w:r w:rsidR="004A11B1" w:rsidRPr="00C215EB">
        <w:rPr>
          <w:rFonts w:ascii="Times New Roman" w:hAnsi="Times New Roman" w:cs="Times New Roman"/>
          <w:noProof/>
          <w:sz w:val="24"/>
          <w:lang w:val="en-US"/>
        </w:rPr>
        <w:t>structurally diverse environmental chemi</w:t>
      </w:r>
      <w:r w:rsidRPr="00C215EB">
        <w:rPr>
          <w:rFonts w:ascii="Times New Roman" w:hAnsi="Times New Roman" w:cs="Times New Roman"/>
          <w:noProof/>
          <w:sz w:val="24"/>
          <w:lang w:val="en-US"/>
        </w:rPr>
        <w:t>cals. Toxicol Appl Pharmacol 161:209–218. https://doi.org/10.1006/taap.1999.8809</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lastRenderedPageBreak/>
        <w:t xml:space="preserve">27. </w:t>
      </w:r>
      <w:r w:rsidRPr="00C215EB">
        <w:rPr>
          <w:rFonts w:ascii="Times New Roman" w:hAnsi="Times New Roman" w:cs="Times New Roman"/>
          <w:noProof/>
          <w:sz w:val="24"/>
          <w:lang w:val="en-US"/>
        </w:rPr>
        <w:tab/>
        <w:t>Hamdoune M, Duclos S, Mounie J</w:t>
      </w:r>
      <w:r w:rsidR="004A11B1">
        <w:rPr>
          <w:rFonts w:ascii="Times New Roman" w:hAnsi="Times New Roman" w:cs="Times New Roman"/>
          <w:noProof/>
          <w:sz w:val="24"/>
          <w:lang w:val="en-US"/>
        </w:rPr>
        <w:t xml:space="preserve"> et al.</w:t>
      </w:r>
      <w:r w:rsidRPr="00C215EB">
        <w:rPr>
          <w:rFonts w:ascii="Times New Roman" w:hAnsi="Times New Roman" w:cs="Times New Roman"/>
          <w:noProof/>
          <w:sz w:val="24"/>
          <w:lang w:val="en-US"/>
        </w:rPr>
        <w:t xml:space="preserve"> (1995) </w:t>
      </w:r>
      <w:r w:rsidRPr="004A11B1">
        <w:rPr>
          <w:rFonts w:ascii="Times New Roman" w:hAnsi="Times New Roman" w:cs="Times New Roman"/>
          <w:i/>
          <w:noProof/>
          <w:sz w:val="24"/>
          <w:lang w:val="en-US"/>
        </w:rPr>
        <w:t xml:space="preserve">In </w:t>
      </w:r>
      <w:r w:rsidR="004A11B1" w:rsidRPr="004A11B1">
        <w:rPr>
          <w:rFonts w:ascii="Times New Roman" w:hAnsi="Times New Roman" w:cs="Times New Roman"/>
          <w:i/>
          <w:noProof/>
          <w:sz w:val="24"/>
          <w:lang w:val="en-US"/>
        </w:rPr>
        <w:t>v</w:t>
      </w:r>
      <w:r w:rsidRPr="004A11B1">
        <w:rPr>
          <w:rFonts w:ascii="Times New Roman" w:hAnsi="Times New Roman" w:cs="Times New Roman"/>
          <w:i/>
          <w:noProof/>
          <w:sz w:val="24"/>
          <w:lang w:val="en-US"/>
        </w:rPr>
        <w:t xml:space="preserve">itro </w:t>
      </w:r>
      <w:r w:rsidR="004A11B1" w:rsidRPr="00C215EB">
        <w:rPr>
          <w:rFonts w:ascii="Times New Roman" w:hAnsi="Times New Roman" w:cs="Times New Roman"/>
          <w:noProof/>
          <w:sz w:val="24"/>
          <w:lang w:val="en-US"/>
        </w:rPr>
        <w:t>glucuronidation of peroxisomal proli</w:t>
      </w:r>
      <w:r w:rsidRPr="00C215EB">
        <w:rPr>
          <w:rFonts w:ascii="Times New Roman" w:hAnsi="Times New Roman" w:cs="Times New Roman"/>
          <w:noProof/>
          <w:sz w:val="24"/>
          <w:lang w:val="en-US"/>
        </w:rPr>
        <w:t>ferators: 2-</w:t>
      </w:r>
      <w:r w:rsidR="004A11B1" w:rsidRPr="00C215EB">
        <w:rPr>
          <w:rFonts w:ascii="Times New Roman" w:hAnsi="Times New Roman" w:cs="Times New Roman"/>
          <w:noProof/>
          <w:sz w:val="24"/>
          <w:lang w:val="en-US"/>
        </w:rPr>
        <w:t>ethylhexanoic acid enantiomers and their structural analo</w:t>
      </w:r>
      <w:r w:rsidRPr="00C215EB">
        <w:rPr>
          <w:rFonts w:ascii="Times New Roman" w:hAnsi="Times New Roman" w:cs="Times New Roman"/>
          <w:noProof/>
          <w:sz w:val="24"/>
          <w:lang w:val="en-US"/>
        </w:rPr>
        <w:t>gs. Toxicol Appl Pharmacol 131:235–243. https://doi.org/10.1006/taap.1995.1066</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28. </w:t>
      </w:r>
      <w:r w:rsidRPr="00C215EB">
        <w:rPr>
          <w:rFonts w:ascii="Times New Roman" w:hAnsi="Times New Roman" w:cs="Times New Roman"/>
          <w:noProof/>
          <w:sz w:val="24"/>
          <w:lang w:val="en-US"/>
        </w:rPr>
        <w:tab/>
      </w:r>
      <w:r w:rsidRPr="004A11B1">
        <w:rPr>
          <w:rFonts w:ascii="Times New Roman" w:hAnsi="Times New Roman" w:cs="Times New Roman"/>
          <w:noProof/>
          <w:sz w:val="24"/>
          <w:lang w:val="de-DE"/>
        </w:rPr>
        <w:t>Gurvich N, Berman MG, Wittner BS</w:t>
      </w:r>
      <w:r w:rsidR="004A11B1" w:rsidRPr="004A11B1">
        <w:rPr>
          <w:rFonts w:ascii="Times New Roman" w:hAnsi="Times New Roman" w:cs="Times New Roman"/>
          <w:noProof/>
          <w:sz w:val="24"/>
          <w:lang w:val="de-DE"/>
        </w:rPr>
        <w:t xml:space="preserve"> et al.</w:t>
      </w:r>
      <w:r w:rsidRPr="004A11B1">
        <w:rPr>
          <w:rFonts w:ascii="Times New Roman" w:hAnsi="Times New Roman" w:cs="Times New Roman"/>
          <w:noProof/>
          <w:sz w:val="24"/>
          <w:lang w:val="de-DE"/>
        </w:rPr>
        <w:t xml:space="preserve"> </w:t>
      </w:r>
      <w:r w:rsidRPr="00C215EB">
        <w:rPr>
          <w:rFonts w:ascii="Times New Roman" w:hAnsi="Times New Roman" w:cs="Times New Roman"/>
          <w:noProof/>
          <w:sz w:val="24"/>
          <w:lang w:val="en-US"/>
        </w:rPr>
        <w:t xml:space="preserve">(2005) Association of valproate‐induced teratogenesis with histone deacetylase inhibition </w:t>
      </w:r>
      <w:r w:rsidRPr="004A11B1">
        <w:rPr>
          <w:rFonts w:ascii="Times New Roman" w:hAnsi="Times New Roman" w:cs="Times New Roman"/>
          <w:i/>
          <w:noProof/>
          <w:sz w:val="24"/>
          <w:lang w:val="en-US"/>
        </w:rPr>
        <w:t>in vivo</w:t>
      </w:r>
      <w:r w:rsidRPr="00C215EB">
        <w:rPr>
          <w:rFonts w:ascii="Times New Roman" w:hAnsi="Times New Roman" w:cs="Times New Roman"/>
          <w:noProof/>
          <w:sz w:val="24"/>
          <w:lang w:val="en-US"/>
        </w:rPr>
        <w:t>. FASEB J 19:1166–1168. https://doi.org/10.1096/fj.04-3425fje</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29. </w:t>
      </w:r>
      <w:r w:rsidRPr="00C215EB">
        <w:rPr>
          <w:rFonts w:ascii="Times New Roman" w:hAnsi="Times New Roman" w:cs="Times New Roman"/>
          <w:noProof/>
          <w:sz w:val="24"/>
          <w:lang w:val="en-US"/>
        </w:rPr>
        <w:tab/>
        <w:t>Zheng Y, Zhu X, Zhou P</w:t>
      </w:r>
      <w:r w:rsidR="004A11B1">
        <w:rPr>
          <w:rFonts w:ascii="Times New Roman" w:hAnsi="Times New Roman" w:cs="Times New Roman"/>
          <w:noProof/>
          <w:sz w:val="24"/>
          <w:lang w:val="en-US"/>
        </w:rPr>
        <w:t xml:space="preserve"> et al.</w:t>
      </w:r>
      <w:r w:rsidRPr="00C215EB">
        <w:rPr>
          <w:rFonts w:ascii="Times New Roman" w:hAnsi="Times New Roman" w:cs="Times New Roman"/>
          <w:noProof/>
          <w:sz w:val="24"/>
          <w:lang w:val="en-US"/>
        </w:rPr>
        <w:t xml:space="preserve"> (2012) Hexachlorophene </w:t>
      </w:r>
      <w:r w:rsidR="004A11B1" w:rsidRPr="00C215EB">
        <w:rPr>
          <w:rFonts w:ascii="Times New Roman" w:hAnsi="Times New Roman" w:cs="Times New Roman"/>
          <w:noProof/>
          <w:sz w:val="24"/>
          <w:lang w:val="en-US"/>
        </w:rPr>
        <w:t>is a pot</w:t>
      </w:r>
      <w:r w:rsidRPr="00C215EB">
        <w:rPr>
          <w:rFonts w:ascii="Times New Roman" w:hAnsi="Times New Roman" w:cs="Times New Roman"/>
          <w:noProof/>
          <w:sz w:val="24"/>
          <w:lang w:val="en-US"/>
        </w:rPr>
        <w:t xml:space="preserve">ent KCNQ1/KCNE1 </w:t>
      </w:r>
      <w:r w:rsidR="004A11B1" w:rsidRPr="00C215EB">
        <w:rPr>
          <w:rFonts w:ascii="Times New Roman" w:hAnsi="Times New Roman" w:cs="Times New Roman"/>
          <w:noProof/>
          <w:sz w:val="24"/>
          <w:lang w:val="en-US"/>
        </w:rPr>
        <w:t>potassium channel activator which resc</w:t>
      </w:r>
      <w:r w:rsidRPr="00C215EB">
        <w:rPr>
          <w:rFonts w:ascii="Times New Roman" w:hAnsi="Times New Roman" w:cs="Times New Roman"/>
          <w:noProof/>
          <w:sz w:val="24"/>
          <w:lang w:val="en-US"/>
        </w:rPr>
        <w:t xml:space="preserve">ues LQTs </w:t>
      </w:r>
      <w:r w:rsidR="004A11B1" w:rsidRPr="00C215EB">
        <w:rPr>
          <w:rFonts w:ascii="Times New Roman" w:hAnsi="Times New Roman" w:cs="Times New Roman"/>
          <w:noProof/>
          <w:sz w:val="24"/>
          <w:lang w:val="en-US"/>
        </w:rPr>
        <w:t>mutants</w:t>
      </w:r>
      <w:r w:rsidRPr="00C215EB">
        <w:rPr>
          <w:rFonts w:ascii="Times New Roman" w:hAnsi="Times New Roman" w:cs="Times New Roman"/>
          <w:noProof/>
          <w:sz w:val="24"/>
          <w:lang w:val="en-US"/>
        </w:rPr>
        <w:t>. PLoS One 7:1–9. https://doi.org/10.1371/journal.pone.0051820</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30. </w:t>
      </w:r>
      <w:r w:rsidRPr="00C215EB">
        <w:rPr>
          <w:rFonts w:ascii="Times New Roman" w:hAnsi="Times New Roman" w:cs="Times New Roman"/>
          <w:noProof/>
          <w:sz w:val="24"/>
          <w:lang w:val="en-US"/>
        </w:rPr>
        <w:tab/>
        <w:t>Tripier MF, Bérard M, Toga M</w:t>
      </w:r>
      <w:r w:rsidR="004A11B1">
        <w:rPr>
          <w:rFonts w:ascii="Times New Roman" w:hAnsi="Times New Roman" w:cs="Times New Roman"/>
          <w:noProof/>
          <w:sz w:val="24"/>
          <w:lang w:val="en-US"/>
        </w:rPr>
        <w:t xml:space="preserve"> et al.</w:t>
      </w:r>
      <w:r w:rsidRPr="00C215EB">
        <w:rPr>
          <w:rFonts w:ascii="Times New Roman" w:hAnsi="Times New Roman" w:cs="Times New Roman"/>
          <w:noProof/>
          <w:sz w:val="24"/>
          <w:lang w:val="en-US"/>
        </w:rPr>
        <w:t xml:space="preserve"> (1981) Hexachlorophene and the central nervous system - Toxic effects in mice and baboons. Acta Neuropathol 53:65–74. https://doi.org/10.1007/BF00697186</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31. </w:t>
      </w:r>
      <w:r w:rsidRPr="00C215EB">
        <w:rPr>
          <w:rFonts w:ascii="Times New Roman" w:hAnsi="Times New Roman" w:cs="Times New Roman"/>
          <w:noProof/>
          <w:sz w:val="24"/>
          <w:lang w:val="en-US"/>
        </w:rPr>
        <w:tab/>
        <w:t xml:space="preserve">WHO (2006) World </w:t>
      </w:r>
      <w:r w:rsidR="004A11B1" w:rsidRPr="00C215EB">
        <w:rPr>
          <w:rFonts w:ascii="Times New Roman" w:hAnsi="Times New Roman" w:cs="Times New Roman"/>
          <w:noProof/>
          <w:sz w:val="24"/>
          <w:lang w:val="en-US"/>
        </w:rPr>
        <w:t>alliance for patient safety</w:t>
      </w:r>
      <w:r w:rsidRPr="00C215EB">
        <w:rPr>
          <w:rFonts w:ascii="Times New Roman" w:hAnsi="Times New Roman" w:cs="Times New Roman"/>
          <w:noProof/>
          <w:sz w:val="24"/>
          <w:lang w:val="en-US"/>
        </w:rPr>
        <w:t xml:space="preserve"> WHO </w:t>
      </w:r>
      <w:r w:rsidR="004A11B1" w:rsidRPr="00C215EB">
        <w:rPr>
          <w:rFonts w:ascii="Times New Roman" w:hAnsi="Times New Roman" w:cs="Times New Roman"/>
          <w:noProof/>
          <w:sz w:val="24"/>
          <w:lang w:val="en-US"/>
        </w:rPr>
        <w:t>guidelines on hand hygene in helath care global patient safety chal</w:t>
      </w:r>
      <w:r w:rsidRPr="00C215EB">
        <w:rPr>
          <w:rFonts w:ascii="Times New Roman" w:hAnsi="Times New Roman" w:cs="Times New Roman"/>
          <w:noProof/>
          <w:sz w:val="24"/>
          <w:lang w:val="en-US"/>
        </w:rPr>
        <w:t xml:space="preserve">lenge 2005-2006: Clean </w:t>
      </w:r>
      <w:r w:rsidR="004A11B1" w:rsidRPr="00C215EB">
        <w:rPr>
          <w:rFonts w:ascii="Times New Roman" w:hAnsi="Times New Roman" w:cs="Times New Roman"/>
          <w:noProof/>
          <w:sz w:val="24"/>
          <w:lang w:val="en-US"/>
        </w:rPr>
        <w:t>care is safer ca</w:t>
      </w:r>
      <w:r w:rsidRPr="00C215EB">
        <w:rPr>
          <w:rFonts w:ascii="Times New Roman" w:hAnsi="Times New Roman" w:cs="Times New Roman"/>
          <w:noProof/>
          <w:sz w:val="24"/>
          <w:lang w:val="en-US"/>
        </w:rPr>
        <w:t>re</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32. </w:t>
      </w:r>
      <w:r w:rsidRPr="00C215EB">
        <w:rPr>
          <w:rFonts w:ascii="Times New Roman" w:hAnsi="Times New Roman" w:cs="Times New Roman"/>
          <w:noProof/>
          <w:sz w:val="24"/>
          <w:lang w:val="en-US"/>
        </w:rPr>
        <w:tab/>
        <w:t>Roncero C, Goodridge AG (1992) Hexanoate and octanoate inhibit transcription of the malic enzyme and fatty acid synthase genes in chick embryo hepatocytes in culture. J Biol Chem 267:14918–27</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33. </w:t>
      </w:r>
      <w:r w:rsidRPr="00C215EB">
        <w:rPr>
          <w:rFonts w:ascii="Times New Roman" w:hAnsi="Times New Roman" w:cs="Times New Roman"/>
          <w:noProof/>
          <w:sz w:val="24"/>
          <w:lang w:val="en-US"/>
        </w:rPr>
        <w:tab/>
        <w:t>Clayton PT, Eaton S, Aynsley-Green A</w:t>
      </w:r>
      <w:r w:rsidR="004A11B1">
        <w:rPr>
          <w:rFonts w:ascii="Times New Roman" w:hAnsi="Times New Roman" w:cs="Times New Roman"/>
          <w:noProof/>
          <w:sz w:val="24"/>
          <w:lang w:val="en-US"/>
        </w:rPr>
        <w:t xml:space="preserve"> et al.</w:t>
      </w:r>
      <w:r w:rsidRPr="00C215EB">
        <w:rPr>
          <w:rFonts w:ascii="Times New Roman" w:hAnsi="Times New Roman" w:cs="Times New Roman"/>
          <w:noProof/>
          <w:sz w:val="24"/>
          <w:lang w:val="en-US"/>
        </w:rPr>
        <w:t xml:space="preserve"> (2001) Hyperinsulinism in short-chain L-3-hydroxyacyl-CoA dehydrogenase deficiency reveals the importance of β-oxidation in insulin secretion. J Clin Invest 108:457–465. https://doi.org/10.1172/JCI200111294</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34. </w:t>
      </w:r>
      <w:r w:rsidRPr="00C215EB">
        <w:rPr>
          <w:rFonts w:ascii="Times New Roman" w:hAnsi="Times New Roman" w:cs="Times New Roman"/>
          <w:noProof/>
          <w:sz w:val="24"/>
          <w:lang w:val="en-US"/>
        </w:rPr>
        <w:tab/>
        <w:t>Raman M, Ahmed I, Gillevet PM</w:t>
      </w:r>
      <w:r w:rsidR="004A11B1">
        <w:rPr>
          <w:rFonts w:ascii="Times New Roman" w:hAnsi="Times New Roman" w:cs="Times New Roman"/>
          <w:noProof/>
          <w:sz w:val="24"/>
          <w:lang w:val="en-US"/>
        </w:rPr>
        <w:t xml:space="preserve"> et al.</w:t>
      </w:r>
      <w:r w:rsidRPr="00C215EB">
        <w:rPr>
          <w:rFonts w:ascii="Times New Roman" w:hAnsi="Times New Roman" w:cs="Times New Roman"/>
          <w:noProof/>
          <w:sz w:val="24"/>
          <w:lang w:val="en-US"/>
        </w:rPr>
        <w:t xml:space="preserve"> (2013) Fecal </w:t>
      </w:r>
      <w:r w:rsidR="004A11B1" w:rsidRPr="00C215EB">
        <w:rPr>
          <w:rFonts w:ascii="Times New Roman" w:hAnsi="Times New Roman" w:cs="Times New Roman"/>
          <w:noProof/>
          <w:sz w:val="24"/>
          <w:lang w:val="en-US"/>
        </w:rPr>
        <w:t>microbiome and volatile organic compound metabolome in obese humans with non</w:t>
      </w:r>
      <w:r w:rsidR="004A11B1">
        <w:rPr>
          <w:rFonts w:ascii="Times New Roman" w:hAnsi="Times New Roman" w:cs="Times New Roman"/>
          <w:noProof/>
          <w:sz w:val="24"/>
          <w:lang w:val="en-US"/>
        </w:rPr>
        <w:t>-</w:t>
      </w:r>
      <w:r w:rsidR="004A11B1" w:rsidRPr="00C215EB">
        <w:rPr>
          <w:rFonts w:ascii="Times New Roman" w:hAnsi="Times New Roman" w:cs="Times New Roman"/>
          <w:noProof/>
          <w:sz w:val="24"/>
          <w:lang w:val="en-US"/>
        </w:rPr>
        <w:t>alcoholic fatty liver dise</w:t>
      </w:r>
      <w:r w:rsidRPr="00C215EB">
        <w:rPr>
          <w:rFonts w:ascii="Times New Roman" w:hAnsi="Times New Roman" w:cs="Times New Roman"/>
          <w:noProof/>
          <w:sz w:val="24"/>
          <w:lang w:val="en-US"/>
        </w:rPr>
        <w:t>ase. Clin Gastroenterol Hepatol 11:868–875. https://doi.org/10.1016/j.cgh.2013.02.015</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35. </w:t>
      </w:r>
      <w:r w:rsidRPr="00C215EB">
        <w:rPr>
          <w:rFonts w:ascii="Times New Roman" w:hAnsi="Times New Roman" w:cs="Times New Roman"/>
          <w:noProof/>
          <w:sz w:val="24"/>
          <w:lang w:val="en-US"/>
        </w:rPr>
        <w:tab/>
        <w:t>David A, Pancharatna K (2009) Developmental anomalies induced by a non-selective COX inhibitor (ibuprofen) in zebrafish (</w:t>
      </w:r>
      <w:r w:rsidRPr="004A11B1">
        <w:rPr>
          <w:rFonts w:ascii="Times New Roman" w:hAnsi="Times New Roman" w:cs="Times New Roman"/>
          <w:i/>
          <w:noProof/>
          <w:sz w:val="24"/>
          <w:lang w:val="en-US"/>
        </w:rPr>
        <w:t>Danio rerio</w:t>
      </w:r>
      <w:r w:rsidRPr="00C215EB">
        <w:rPr>
          <w:rFonts w:ascii="Times New Roman" w:hAnsi="Times New Roman" w:cs="Times New Roman"/>
          <w:noProof/>
          <w:sz w:val="24"/>
          <w:lang w:val="en-US"/>
        </w:rPr>
        <w:t>). Environ Toxicol Pharmacol 27:390–395. https://doi.org/10.1016/j.etap.2009.01.002</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36. </w:t>
      </w:r>
      <w:r w:rsidRPr="00C215EB">
        <w:rPr>
          <w:rFonts w:ascii="Times New Roman" w:hAnsi="Times New Roman" w:cs="Times New Roman"/>
          <w:noProof/>
          <w:sz w:val="24"/>
          <w:lang w:val="en-US"/>
        </w:rPr>
        <w:tab/>
        <w:t>Puhl AC, Milton FA, Cvoro A</w:t>
      </w:r>
      <w:r w:rsidR="004A11B1">
        <w:rPr>
          <w:rFonts w:ascii="Times New Roman" w:hAnsi="Times New Roman" w:cs="Times New Roman"/>
          <w:noProof/>
          <w:sz w:val="24"/>
          <w:lang w:val="en-US"/>
        </w:rPr>
        <w:t xml:space="preserve"> et al.</w:t>
      </w:r>
      <w:r w:rsidRPr="00C215EB">
        <w:rPr>
          <w:rFonts w:ascii="Times New Roman" w:hAnsi="Times New Roman" w:cs="Times New Roman"/>
          <w:noProof/>
          <w:sz w:val="24"/>
          <w:lang w:val="en-US"/>
        </w:rPr>
        <w:t xml:space="preserve"> (2015) Mechanisms o</w:t>
      </w:r>
      <w:r w:rsidR="004A11B1" w:rsidRPr="00C215EB">
        <w:rPr>
          <w:rFonts w:ascii="Times New Roman" w:hAnsi="Times New Roman" w:cs="Times New Roman"/>
          <w:noProof/>
          <w:sz w:val="24"/>
          <w:lang w:val="en-US"/>
        </w:rPr>
        <w:t>f peroxisome proliferator activated receptor γ regulation by non-steroidal anti-inflammatory dru</w:t>
      </w:r>
      <w:r w:rsidRPr="00C215EB">
        <w:rPr>
          <w:rFonts w:ascii="Times New Roman" w:hAnsi="Times New Roman" w:cs="Times New Roman"/>
          <w:noProof/>
          <w:sz w:val="24"/>
          <w:lang w:val="en-US"/>
        </w:rPr>
        <w:t>gs. Nucl Recept Signal. https://doi.org/10.1621/nrs.13004</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37. </w:t>
      </w:r>
      <w:r w:rsidRPr="00C215EB">
        <w:rPr>
          <w:rFonts w:ascii="Times New Roman" w:hAnsi="Times New Roman" w:cs="Times New Roman"/>
          <w:noProof/>
          <w:sz w:val="24"/>
          <w:lang w:val="en-US"/>
        </w:rPr>
        <w:tab/>
        <w:t>Baker EL, Warren M, Zack M</w:t>
      </w:r>
      <w:r w:rsidR="004A11B1">
        <w:rPr>
          <w:rFonts w:ascii="Times New Roman" w:hAnsi="Times New Roman" w:cs="Times New Roman"/>
          <w:noProof/>
          <w:sz w:val="24"/>
          <w:lang w:val="en-US"/>
        </w:rPr>
        <w:t xml:space="preserve"> et al.</w:t>
      </w:r>
      <w:r w:rsidRPr="00C215EB">
        <w:rPr>
          <w:rFonts w:ascii="Times New Roman" w:hAnsi="Times New Roman" w:cs="Times New Roman"/>
          <w:noProof/>
          <w:sz w:val="24"/>
          <w:lang w:val="en-US"/>
        </w:rPr>
        <w:t xml:space="preserve"> (1978) Epidemic malathion poisoning in Pakistan malaria workers. Lancet 1:31–4. https://doi.org/10.1016/s0140-6736(78)90375-6</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38. </w:t>
      </w:r>
      <w:r w:rsidRPr="00C215EB">
        <w:rPr>
          <w:rFonts w:ascii="Times New Roman" w:hAnsi="Times New Roman" w:cs="Times New Roman"/>
          <w:noProof/>
          <w:sz w:val="24"/>
          <w:lang w:val="en-US"/>
        </w:rPr>
        <w:tab/>
        <w:t>Ginkel CJW, Rundervoort GJ (2010) Increasing incidence of contact allergy to the new preservative 1,2-dibromo-2,4-dicyanobutane (methyldibromoglutaronitrile). Br J Dermatol 132:918–920. https://doi.org/10.1111/j.1365-2133.1995.tb16949.x</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39. </w:t>
      </w:r>
      <w:r w:rsidRPr="00C215EB">
        <w:rPr>
          <w:rFonts w:ascii="Times New Roman" w:hAnsi="Times New Roman" w:cs="Times New Roman"/>
          <w:noProof/>
          <w:sz w:val="24"/>
          <w:lang w:val="en-US"/>
        </w:rPr>
        <w:tab/>
        <w:t>Strungaru S-A, Robea MA, Plavan G</w:t>
      </w:r>
      <w:r w:rsidR="004A11B1">
        <w:rPr>
          <w:rFonts w:ascii="Times New Roman" w:hAnsi="Times New Roman" w:cs="Times New Roman"/>
          <w:noProof/>
          <w:sz w:val="24"/>
          <w:lang w:val="en-US"/>
        </w:rPr>
        <w:t xml:space="preserve"> et al.</w:t>
      </w:r>
      <w:r w:rsidRPr="00C215EB">
        <w:rPr>
          <w:rFonts w:ascii="Times New Roman" w:hAnsi="Times New Roman" w:cs="Times New Roman"/>
          <w:noProof/>
          <w:sz w:val="24"/>
          <w:lang w:val="en-US"/>
        </w:rPr>
        <w:t xml:space="preserve"> (2018) Acute exposure to methylmercury chloride induces fast changes in swimming performance, cognitive processes and oxidative stress of zebrafish (</w:t>
      </w:r>
      <w:r w:rsidRPr="004A11B1">
        <w:rPr>
          <w:rFonts w:ascii="Times New Roman" w:hAnsi="Times New Roman" w:cs="Times New Roman"/>
          <w:i/>
          <w:noProof/>
          <w:sz w:val="24"/>
          <w:lang w:val="en-US"/>
        </w:rPr>
        <w:t>Danio rerio</w:t>
      </w:r>
      <w:r w:rsidRPr="00C215EB">
        <w:rPr>
          <w:rFonts w:ascii="Times New Roman" w:hAnsi="Times New Roman" w:cs="Times New Roman"/>
          <w:noProof/>
          <w:sz w:val="24"/>
          <w:lang w:val="en-US"/>
        </w:rPr>
        <w:t>) as reference model for fish community. J Trace Elem Med Biol 47:115–123. https://doi.org/10.1016/j.jtemb.2018.01.019</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lastRenderedPageBreak/>
        <w:t xml:space="preserve">40. </w:t>
      </w:r>
      <w:r w:rsidRPr="00C215EB">
        <w:rPr>
          <w:rFonts w:ascii="Times New Roman" w:hAnsi="Times New Roman" w:cs="Times New Roman"/>
          <w:noProof/>
          <w:sz w:val="24"/>
          <w:lang w:val="en-US"/>
        </w:rPr>
        <w:tab/>
      </w:r>
      <w:r w:rsidRPr="004A11B1">
        <w:rPr>
          <w:rFonts w:ascii="Times New Roman" w:hAnsi="Times New Roman" w:cs="Times New Roman"/>
          <w:noProof/>
          <w:sz w:val="24"/>
          <w:lang w:val="de-DE"/>
        </w:rPr>
        <w:t>Zychowicz M, Dziedzicka D, Mehn D</w:t>
      </w:r>
      <w:r w:rsidR="004A11B1" w:rsidRPr="004A11B1">
        <w:rPr>
          <w:rFonts w:ascii="Times New Roman" w:hAnsi="Times New Roman" w:cs="Times New Roman"/>
          <w:noProof/>
          <w:sz w:val="24"/>
          <w:lang w:val="de-DE"/>
        </w:rPr>
        <w:t xml:space="preserve"> et al.</w:t>
      </w:r>
      <w:r w:rsidRPr="004A11B1">
        <w:rPr>
          <w:rFonts w:ascii="Times New Roman" w:hAnsi="Times New Roman" w:cs="Times New Roman"/>
          <w:noProof/>
          <w:sz w:val="24"/>
          <w:lang w:val="de-DE"/>
        </w:rPr>
        <w:t xml:space="preserve"> </w:t>
      </w:r>
      <w:r w:rsidRPr="00C215EB">
        <w:rPr>
          <w:rFonts w:ascii="Times New Roman" w:hAnsi="Times New Roman" w:cs="Times New Roman"/>
          <w:noProof/>
          <w:sz w:val="24"/>
          <w:lang w:val="en-US"/>
        </w:rPr>
        <w:t>(2014) Developmental stage dependent neural stem cells sensitivity to methylmercury chloride on different biofunctional surfaces. Toxicol Vitr 28:76–87. https://doi.org/10.1016/j.tiv.2013.06.023</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41. </w:t>
      </w:r>
      <w:r w:rsidRPr="00C215EB">
        <w:rPr>
          <w:rFonts w:ascii="Times New Roman" w:hAnsi="Times New Roman" w:cs="Times New Roman"/>
          <w:noProof/>
          <w:sz w:val="24"/>
          <w:lang w:val="en-US"/>
        </w:rPr>
        <w:tab/>
        <w:t>Caballero B, Olguin N, Campos F</w:t>
      </w:r>
      <w:r w:rsidR="004A11B1">
        <w:rPr>
          <w:rFonts w:ascii="Times New Roman" w:hAnsi="Times New Roman" w:cs="Times New Roman"/>
          <w:noProof/>
          <w:sz w:val="24"/>
          <w:lang w:val="en-US"/>
        </w:rPr>
        <w:t xml:space="preserve"> et al.</w:t>
      </w:r>
      <w:r w:rsidRPr="00C215EB">
        <w:rPr>
          <w:rFonts w:ascii="Times New Roman" w:hAnsi="Times New Roman" w:cs="Times New Roman"/>
          <w:noProof/>
          <w:sz w:val="24"/>
          <w:lang w:val="en-US"/>
        </w:rPr>
        <w:t xml:space="preserve"> (2017) Methylmercury-induced developmental toxicity is associated with oxidative stress and cofilin phosphorylation. Cellular and human studies. Neurotoxicology 59:197–209. https://doi.org/10.1016/j.neuro.2016.05.018</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42. </w:t>
      </w:r>
      <w:r w:rsidRPr="00C215EB">
        <w:rPr>
          <w:rFonts w:ascii="Times New Roman" w:hAnsi="Times New Roman" w:cs="Times New Roman"/>
          <w:noProof/>
          <w:sz w:val="24"/>
          <w:lang w:val="en-US"/>
        </w:rPr>
        <w:tab/>
      </w:r>
      <w:r w:rsidRPr="004A11B1">
        <w:rPr>
          <w:rFonts w:ascii="Times New Roman" w:hAnsi="Times New Roman" w:cs="Times New Roman"/>
          <w:noProof/>
          <w:sz w:val="24"/>
          <w:lang w:val="de-DE"/>
        </w:rPr>
        <w:t>Glaser V, Leipnitz G, Straliotto MR</w:t>
      </w:r>
      <w:r w:rsidR="004A11B1" w:rsidRPr="004A11B1">
        <w:rPr>
          <w:rFonts w:ascii="Times New Roman" w:hAnsi="Times New Roman" w:cs="Times New Roman"/>
          <w:noProof/>
          <w:sz w:val="24"/>
          <w:lang w:val="de-DE"/>
        </w:rPr>
        <w:t xml:space="preserve"> et al.</w:t>
      </w:r>
      <w:r w:rsidRPr="004A11B1">
        <w:rPr>
          <w:rFonts w:ascii="Times New Roman" w:hAnsi="Times New Roman" w:cs="Times New Roman"/>
          <w:noProof/>
          <w:sz w:val="24"/>
          <w:lang w:val="de-DE"/>
        </w:rPr>
        <w:t xml:space="preserve"> </w:t>
      </w:r>
      <w:r w:rsidRPr="00C215EB">
        <w:rPr>
          <w:rFonts w:ascii="Times New Roman" w:hAnsi="Times New Roman" w:cs="Times New Roman"/>
          <w:noProof/>
          <w:sz w:val="24"/>
          <w:lang w:val="en-US"/>
        </w:rPr>
        <w:t>(2010) Oxidative stress-mediated inhibition of brain creatine kinase activity by methylmercury. Neurotoxicology 31:454–460. https://doi.org/10.1016/j.neuro.2010.05.012</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43. </w:t>
      </w:r>
      <w:r w:rsidRPr="00C215EB">
        <w:rPr>
          <w:rFonts w:ascii="Times New Roman" w:hAnsi="Times New Roman" w:cs="Times New Roman"/>
          <w:noProof/>
          <w:sz w:val="24"/>
          <w:lang w:val="en-US"/>
        </w:rPr>
        <w:tab/>
        <w:t>Zawada WM, Banninger GP, Thornton J</w:t>
      </w:r>
      <w:r w:rsidR="004A11B1">
        <w:rPr>
          <w:rFonts w:ascii="Times New Roman" w:hAnsi="Times New Roman" w:cs="Times New Roman"/>
          <w:noProof/>
          <w:sz w:val="24"/>
          <w:lang w:val="en-US"/>
        </w:rPr>
        <w:t xml:space="preserve"> et al.</w:t>
      </w:r>
      <w:r w:rsidRPr="00C215EB">
        <w:rPr>
          <w:rFonts w:ascii="Times New Roman" w:hAnsi="Times New Roman" w:cs="Times New Roman"/>
          <w:noProof/>
          <w:sz w:val="24"/>
          <w:lang w:val="en-US"/>
        </w:rPr>
        <w:t xml:space="preserve"> (2011) Generation of reactive oxygen species in 1-methyl-4-phenylpyridinium (MPP+) treated dopaminergic neurons occurs as an NADPH oxidase-dependent two-wave cascade. J Neuroinflammation. https://doi.org/10.1186/1742-2094-8-129</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44. </w:t>
      </w:r>
      <w:r w:rsidRPr="00C215EB">
        <w:rPr>
          <w:rFonts w:ascii="Times New Roman" w:hAnsi="Times New Roman" w:cs="Times New Roman"/>
          <w:noProof/>
          <w:sz w:val="24"/>
          <w:lang w:val="en-US"/>
        </w:rPr>
        <w:tab/>
      </w:r>
      <w:r w:rsidRPr="004A11B1">
        <w:rPr>
          <w:rFonts w:ascii="Times New Roman" w:hAnsi="Times New Roman" w:cs="Times New Roman"/>
          <w:noProof/>
          <w:sz w:val="24"/>
          <w:lang w:val="de-DE"/>
        </w:rPr>
        <w:t>Chong C-M, Ma D, Zhao C</w:t>
      </w:r>
      <w:r w:rsidR="004A11B1" w:rsidRPr="004A11B1">
        <w:rPr>
          <w:rFonts w:ascii="Times New Roman" w:hAnsi="Times New Roman" w:cs="Times New Roman"/>
          <w:noProof/>
          <w:sz w:val="24"/>
          <w:lang w:val="de-DE"/>
        </w:rPr>
        <w:t xml:space="preserve"> et al.</w:t>
      </w:r>
      <w:r w:rsidRPr="004A11B1">
        <w:rPr>
          <w:rFonts w:ascii="Times New Roman" w:hAnsi="Times New Roman" w:cs="Times New Roman"/>
          <w:noProof/>
          <w:sz w:val="24"/>
          <w:lang w:val="de-DE"/>
        </w:rPr>
        <w:t xml:space="preserve"> </w:t>
      </w:r>
      <w:r w:rsidRPr="00C215EB">
        <w:rPr>
          <w:rFonts w:ascii="Times New Roman" w:hAnsi="Times New Roman" w:cs="Times New Roman"/>
          <w:noProof/>
          <w:sz w:val="24"/>
          <w:lang w:val="en-US"/>
        </w:rPr>
        <w:t>(2015) Discovery of a novel neuroprotectant, BHDPC, that protects against MPP+/MPTP-induced neuronal death in multiple experimental models. Free Radic Biol Med 89:1057–1066. https://doi.org/10.1016/j.freeradbiomed.2015.08.013</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45. </w:t>
      </w:r>
      <w:r w:rsidRPr="00C215EB">
        <w:rPr>
          <w:rFonts w:ascii="Times New Roman" w:hAnsi="Times New Roman" w:cs="Times New Roman"/>
          <w:noProof/>
          <w:sz w:val="24"/>
          <w:lang w:val="en-US"/>
        </w:rPr>
        <w:tab/>
      </w:r>
      <w:r w:rsidRPr="004A11B1">
        <w:rPr>
          <w:rFonts w:ascii="Times New Roman" w:hAnsi="Times New Roman" w:cs="Times New Roman"/>
          <w:noProof/>
          <w:sz w:val="24"/>
          <w:lang w:val="de-DE"/>
        </w:rPr>
        <w:t>Bushara KO, Goldstein SR, Grimes GJ</w:t>
      </w:r>
      <w:r w:rsidR="004A11B1" w:rsidRPr="004A11B1">
        <w:rPr>
          <w:rFonts w:ascii="Times New Roman" w:hAnsi="Times New Roman" w:cs="Times New Roman"/>
          <w:noProof/>
          <w:sz w:val="24"/>
          <w:lang w:val="de-DE"/>
        </w:rPr>
        <w:t xml:space="preserve"> et al.</w:t>
      </w:r>
      <w:r w:rsidRPr="004A11B1">
        <w:rPr>
          <w:rFonts w:ascii="Times New Roman" w:hAnsi="Times New Roman" w:cs="Times New Roman"/>
          <w:noProof/>
          <w:sz w:val="24"/>
          <w:lang w:val="de-DE"/>
        </w:rPr>
        <w:t xml:space="preserve"> </w:t>
      </w:r>
      <w:r w:rsidRPr="00C215EB">
        <w:rPr>
          <w:rFonts w:ascii="Times New Roman" w:hAnsi="Times New Roman" w:cs="Times New Roman"/>
          <w:noProof/>
          <w:sz w:val="24"/>
          <w:lang w:val="en-US"/>
        </w:rPr>
        <w:t>(2004) Pilot trial of 1-octanol in essential tremor. Neurology 62:122–124. https://doi.org/10.1212/01.WNL.0000101722.95137.19</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46. </w:t>
      </w:r>
      <w:r w:rsidRPr="00C215EB">
        <w:rPr>
          <w:rFonts w:ascii="Times New Roman" w:hAnsi="Times New Roman" w:cs="Times New Roman"/>
          <w:noProof/>
          <w:sz w:val="24"/>
          <w:lang w:val="en-US"/>
        </w:rPr>
        <w:tab/>
        <w:t>Du K, Ramachandran A, Jaeschke H (2016) Oxidative stress during acetaminophen hepatotoxicity: Sources, pathophysiological role and therapeutic potential. Redox Biol 10:148–156. https://doi.org/10.1016/j.redox.2016.10.001</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47. </w:t>
      </w:r>
      <w:r w:rsidRPr="00C215EB">
        <w:rPr>
          <w:rFonts w:ascii="Times New Roman" w:hAnsi="Times New Roman" w:cs="Times New Roman"/>
          <w:noProof/>
          <w:sz w:val="24"/>
          <w:lang w:val="en-US"/>
        </w:rPr>
        <w:tab/>
        <w:t xml:space="preserve">David A, Pancharatna K (2009) Effects of acetaminophen (paracetamol) in the embryonic development of zebrafish, </w:t>
      </w:r>
      <w:r w:rsidRPr="004A11B1">
        <w:rPr>
          <w:rFonts w:ascii="Times New Roman" w:hAnsi="Times New Roman" w:cs="Times New Roman"/>
          <w:i/>
          <w:noProof/>
          <w:sz w:val="24"/>
          <w:lang w:val="en-US"/>
        </w:rPr>
        <w:t>Danio rerio</w:t>
      </w:r>
      <w:r w:rsidRPr="00C215EB">
        <w:rPr>
          <w:rFonts w:ascii="Times New Roman" w:hAnsi="Times New Roman" w:cs="Times New Roman"/>
          <w:noProof/>
          <w:sz w:val="24"/>
          <w:lang w:val="en-US"/>
        </w:rPr>
        <w:t>. J Appl Toxicol 29:597–602. https://doi.org/10.1002/jat.1446</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48. </w:t>
      </w:r>
      <w:r w:rsidRPr="00C215EB">
        <w:rPr>
          <w:rFonts w:ascii="Times New Roman" w:hAnsi="Times New Roman" w:cs="Times New Roman"/>
          <w:noProof/>
          <w:sz w:val="24"/>
          <w:lang w:val="en-US"/>
        </w:rPr>
        <w:tab/>
        <w:t>Lushchak VI (2016) Contaminant-induced oxidative stress in fish: a mechanistic approach. Fish Physiol Biochem 42:711–747. https://doi.org/10.1007/s10695-015-0171-5</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49. </w:t>
      </w:r>
      <w:r w:rsidRPr="00C215EB">
        <w:rPr>
          <w:rFonts w:ascii="Times New Roman" w:hAnsi="Times New Roman" w:cs="Times New Roman"/>
          <w:noProof/>
          <w:sz w:val="24"/>
          <w:lang w:val="en-US"/>
        </w:rPr>
        <w:tab/>
        <w:t>Bretaud S, Lee S, Guo S (2004) Sensitivity of zebrafish to environmental toxins implicated in Parkinson’s disease. Neurotoxicol Teratol 26:857–864. https://doi.org/10.1016/j.ntt.2004.06.014</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50. </w:t>
      </w:r>
      <w:r w:rsidRPr="00C215EB">
        <w:rPr>
          <w:rFonts w:ascii="Times New Roman" w:hAnsi="Times New Roman" w:cs="Times New Roman"/>
          <w:noProof/>
          <w:sz w:val="24"/>
          <w:lang w:val="en-US"/>
        </w:rPr>
        <w:tab/>
        <w:t>Brendel K, Corredor CF, Bressler R (1969) The effect of 4-pentenoic acid on fatty acid oxidation. Biochem Biophys Res Commun 34:340–347. https://doi.org/10.1016/0006-291X(69)90838-9</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51. </w:t>
      </w:r>
      <w:r w:rsidRPr="00C215EB">
        <w:rPr>
          <w:rFonts w:ascii="Times New Roman" w:hAnsi="Times New Roman" w:cs="Times New Roman"/>
          <w:noProof/>
          <w:sz w:val="24"/>
          <w:lang w:val="en-US"/>
        </w:rPr>
        <w:tab/>
        <w:t xml:space="preserve">Tang W, Borel AG, Fujimiya T, Abbott FS (1995) Fluorinated </w:t>
      </w:r>
      <w:r w:rsidR="004A11B1" w:rsidRPr="00C215EB">
        <w:rPr>
          <w:rFonts w:ascii="Times New Roman" w:hAnsi="Times New Roman" w:cs="Times New Roman"/>
          <w:noProof/>
          <w:sz w:val="24"/>
          <w:lang w:val="en-US"/>
        </w:rPr>
        <w:t>analogues as mechanistic probes in valproic acid hepatotoxicity : hepatic microvesicular steatosis and glutathione stat</w:t>
      </w:r>
      <w:r w:rsidRPr="00C215EB">
        <w:rPr>
          <w:rFonts w:ascii="Times New Roman" w:hAnsi="Times New Roman" w:cs="Times New Roman"/>
          <w:noProof/>
          <w:sz w:val="24"/>
          <w:lang w:val="en-US"/>
        </w:rPr>
        <w:t>us. Chem Res Toxicol 8:671–682. https://doi.org/10.1021/tx00047a006</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52. </w:t>
      </w:r>
      <w:r w:rsidRPr="00C215EB">
        <w:rPr>
          <w:rFonts w:ascii="Times New Roman" w:hAnsi="Times New Roman" w:cs="Times New Roman"/>
          <w:noProof/>
          <w:sz w:val="24"/>
          <w:lang w:val="en-US"/>
        </w:rPr>
        <w:tab/>
        <w:t>Llansola M, Piedrafita ÁB, Rodrigo ÁR</w:t>
      </w:r>
      <w:r w:rsidR="004A11B1">
        <w:rPr>
          <w:rFonts w:ascii="Times New Roman" w:hAnsi="Times New Roman" w:cs="Times New Roman"/>
          <w:noProof/>
          <w:sz w:val="24"/>
          <w:lang w:val="en-US"/>
        </w:rPr>
        <w:t xml:space="preserve"> et al.</w:t>
      </w:r>
      <w:r w:rsidRPr="00C215EB">
        <w:rPr>
          <w:rFonts w:ascii="Times New Roman" w:hAnsi="Times New Roman" w:cs="Times New Roman"/>
          <w:noProof/>
          <w:sz w:val="24"/>
          <w:lang w:val="en-US"/>
        </w:rPr>
        <w:t xml:space="preserve"> (2009) Polychlorinated </w:t>
      </w:r>
      <w:r w:rsidR="004A11B1" w:rsidRPr="00C215EB">
        <w:rPr>
          <w:rFonts w:ascii="Times New Roman" w:hAnsi="Times New Roman" w:cs="Times New Roman"/>
          <w:noProof/>
          <w:sz w:val="24"/>
          <w:lang w:val="en-US"/>
        </w:rPr>
        <w:t xml:space="preserve">biphenyls </w:t>
      </w:r>
      <w:r w:rsidRPr="00C215EB">
        <w:rPr>
          <w:rFonts w:ascii="Times New Roman" w:hAnsi="Times New Roman" w:cs="Times New Roman"/>
          <w:noProof/>
          <w:sz w:val="24"/>
          <w:lang w:val="en-US"/>
        </w:rPr>
        <w:t xml:space="preserve">PCB 153 and PCB 126 </w:t>
      </w:r>
      <w:r w:rsidR="004A11B1" w:rsidRPr="00C215EB">
        <w:rPr>
          <w:rFonts w:ascii="Times New Roman" w:hAnsi="Times New Roman" w:cs="Times New Roman"/>
          <w:noProof/>
          <w:sz w:val="24"/>
          <w:lang w:val="en-US"/>
        </w:rPr>
        <w:t>impair the glutamate- nitric oxide-cgmpglutamate – nitric oxid</w:t>
      </w:r>
      <w:r w:rsidRPr="00C215EB">
        <w:rPr>
          <w:rFonts w:ascii="Times New Roman" w:hAnsi="Times New Roman" w:cs="Times New Roman"/>
          <w:noProof/>
          <w:sz w:val="24"/>
          <w:lang w:val="en-US"/>
        </w:rPr>
        <w:t xml:space="preserve">e – cGMP </w:t>
      </w:r>
      <w:r w:rsidR="004A11B1" w:rsidRPr="00C215EB">
        <w:rPr>
          <w:rFonts w:ascii="Times New Roman" w:hAnsi="Times New Roman" w:cs="Times New Roman"/>
          <w:noProof/>
          <w:sz w:val="24"/>
          <w:lang w:val="en-US"/>
        </w:rPr>
        <w:lastRenderedPageBreak/>
        <w:t>pathway in cerebellar neurons in culture by different mechani</w:t>
      </w:r>
      <w:r w:rsidRPr="00C215EB">
        <w:rPr>
          <w:rFonts w:ascii="Times New Roman" w:hAnsi="Times New Roman" w:cs="Times New Roman"/>
          <w:noProof/>
          <w:sz w:val="24"/>
          <w:lang w:val="en-US"/>
        </w:rPr>
        <w:t>sms. Chem Res Toxicol 23:813–820. https://doi.org/10.1007/s12640-009-9055-8</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53. </w:t>
      </w:r>
      <w:r w:rsidRPr="00C215EB">
        <w:rPr>
          <w:rFonts w:ascii="Times New Roman" w:hAnsi="Times New Roman" w:cs="Times New Roman"/>
          <w:noProof/>
          <w:sz w:val="24"/>
          <w:lang w:val="en-US"/>
        </w:rPr>
        <w:tab/>
        <w:t>Vinggaard AM, Hass U, Dalgaard M</w:t>
      </w:r>
      <w:r w:rsidR="004A11B1">
        <w:rPr>
          <w:rFonts w:ascii="Times New Roman" w:hAnsi="Times New Roman" w:cs="Times New Roman"/>
          <w:noProof/>
          <w:sz w:val="24"/>
          <w:lang w:val="en-US"/>
        </w:rPr>
        <w:t xml:space="preserve"> et al.</w:t>
      </w:r>
      <w:r w:rsidRPr="00C215EB">
        <w:rPr>
          <w:rFonts w:ascii="Times New Roman" w:hAnsi="Times New Roman" w:cs="Times New Roman"/>
          <w:noProof/>
          <w:sz w:val="24"/>
          <w:lang w:val="en-US"/>
        </w:rPr>
        <w:t xml:space="preserve"> (2006) Prochloraz: An imidazole fungicide with multiple mechanisms of action. Int J Androl 29:186–192. https://doi.org/10.1111/j.1365-2605.2005.00604.x</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54. </w:t>
      </w:r>
      <w:r w:rsidRPr="00C215EB">
        <w:rPr>
          <w:rFonts w:ascii="Times New Roman" w:hAnsi="Times New Roman" w:cs="Times New Roman"/>
          <w:noProof/>
          <w:sz w:val="24"/>
          <w:lang w:val="en-US"/>
        </w:rPr>
        <w:tab/>
        <w:t>Campbell EA, Korzheva N, Mustaev A</w:t>
      </w:r>
      <w:r w:rsidR="004A11B1">
        <w:rPr>
          <w:rFonts w:ascii="Times New Roman" w:hAnsi="Times New Roman" w:cs="Times New Roman"/>
          <w:noProof/>
          <w:sz w:val="24"/>
          <w:lang w:val="en-US"/>
        </w:rPr>
        <w:t xml:space="preserve"> et al.</w:t>
      </w:r>
      <w:r w:rsidRPr="00C215EB">
        <w:rPr>
          <w:rFonts w:ascii="Times New Roman" w:hAnsi="Times New Roman" w:cs="Times New Roman"/>
          <w:noProof/>
          <w:sz w:val="24"/>
          <w:lang w:val="en-US"/>
        </w:rPr>
        <w:t xml:space="preserve"> (2001) Structural mechanism for rifampicin inhibition of bacterial RNA polymerase. Cell 104:901–912. https://doi.org/10.1016/S0092-8674(01)00286-0</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55. </w:t>
      </w:r>
      <w:r w:rsidRPr="00C215EB">
        <w:rPr>
          <w:rFonts w:ascii="Times New Roman" w:hAnsi="Times New Roman" w:cs="Times New Roman"/>
          <w:noProof/>
          <w:sz w:val="24"/>
          <w:lang w:val="en-US"/>
        </w:rPr>
        <w:tab/>
        <w:t>Mahatthanatrakul W, Nontaput T, Ridtitid W</w:t>
      </w:r>
      <w:r w:rsidR="004A11B1">
        <w:rPr>
          <w:rFonts w:ascii="Times New Roman" w:hAnsi="Times New Roman" w:cs="Times New Roman"/>
          <w:noProof/>
          <w:sz w:val="24"/>
          <w:lang w:val="en-US"/>
        </w:rPr>
        <w:t xml:space="preserve"> et al.</w:t>
      </w:r>
      <w:r w:rsidRPr="00C215EB">
        <w:rPr>
          <w:rFonts w:ascii="Times New Roman" w:hAnsi="Times New Roman" w:cs="Times New Roman"/>
          <w:noProof/>
          <w:sz w:val="24"/>
          <w:lang w:val="en-US"/>
        </w:rPr>
        <w:t xml:space="preserve"> (2007) Rifampin, a cytochrome P450 3A inducer, decreases plasma concentrations of antipsychotic risperidone in healthy volunteers. J Clin Pharm Ther 32:161–167. https://doi.org/10.1111/j.1365-2710.2007.00811.x</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56. </w:t>
      </w:r>
      <w:r w:rsidRPr="00C215EB">
        <w:rPr>
          <w:rFonts w:ascii="Times New Roman" w:hAnsi="Times New Roman" w:cs="Times New Roman"/>
          <w:noProof/>
          <w:sz w:val="24"/>
          <w:lang w:val="en-US"/>
        </w:rPr>
        <w:tab/>
        <w:t>Pinho BR, Santos MM, Fonseca-Silva A</w:t>
      </w:r>
      <w:r w:rsidR="004A11B1">
        <w:rPr>
          <w:rFonts w:ascii="Times New Roman" w:hAnsi="Times New Roman" w:cs="Times New Roman"/>
          <w:noProof/>
          <w:sz w:val="24"/>
          <w:lang w:val="en-US"/>
        </w:rPr>
        <w:t xml:space="preserve"> et al.</w:t>
      </w:r>
      <w:r w:rsidRPr="00C215EB">
        <w:rPr>
          <w:rFonts w:ascii="Times New Roman" w:hAnsi="Times New Roman" w:cs="Times New Roman"/>
          <w:noProof/>
          <w:sz w:val="24"/>
          <w:lang w:val="en-US"/>
        </w:rPr>
        <w:t xml:space="preserve"> (2013) How mitochondrial dysfunction affects zebrafish development and cardiovascular function: An in vivo model for testing mitochondria-targeted drugs. Br J Pharmacol 169:1072–1090. https://doi.org/10.1111/bph.12186</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57. </w:t>
      </w:r>
      <w:r w:rsidRPr="00C215EB">
        <w:rPr>
          <w:rFonts w:ascii="Times New Roman" w:hAnsi="Times New Roman" w:cs="Times New Roman"/>
          <w:noProof/>
          <w:sz w:val="24"/>
          <w:lang w:val="en-US"/>
        </w:rPr>
        <w:tab/>
      </w:r>
      <w:r w:rsidRPr="004A11B1">
        <w:rPr>
          <w:rFonts w:ascii="Times New Roman" w:hAnsi="Times New Roman" w:cs="Times New Roman"/>
          <w:noProof/>
          <w:sz w:val="24"/>
          <w:lang w:val="de-DE"/>
        </w:rPr>
        <w:t>Wang Y, Liu W, Yang J</w:t>
      </w:r>
      <w:r w:rsidR="004A11B1" w:rsidRPr="004A11B1">
        <w:rPr>
          <w:rFonts w:ascii="Times New Roman" w:hAnsi="Times New Roman" w:cs="Times New Roman"/>
          <w:noProof/>
          <w:sz w:val="24"/>
          <w:lang w:val="de-DE"/>
        </w:rPr>
        <w:t xml:space="preserve"> et al.</w:t>
      </w:r>
      <w:r w:rsidRPr="004A11B1">
        <w:rPr>
          <w:rFonts w:ascii="Times New Roman" w:hAnsi="Times New Roman" w:cs="Times New Roman"/>
          <w:noProof/>
          <w:sz w:val="24"/>
          <w:lang w:val="de-DE"/>
        </w:rPr>
        <w:t xml:space="preserve"> </w:t>
      </w:r>
      <w:r w:rsidRPr="00C215EB">
        <w:rPr>
          <w:rFonts w:ascii="Times New Roman" w:hAnsi="Times New Roman" w:cs="Times New Roman"/>
          <w:noProof/>
          <w:sz w:val="24"/>
          <w:lang w:val="en-US"/>
        </w:rPr>
        <w:t>(2017) Parkinson’s disease-like motor and non-motor symptoms in rotenone-treated zebrafish. Neurotoxicology 58:103–109. https://doi.org/10.1016/j.neuro.2016.11.006</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58. </w:t>
      </w:r>
      <w:r w:rsidRPr="00C215EB">
        <w:rPr>
          <w:rFonts w:ascii="Times New Roman" w:hAnsi="Times New Roman" w:cs="Times New Roman"/>
          <w:noProof/>
          <w:sz w:val="24"/>
          <w:lang w:val="en-US"/>
        </w:rPr>
        <w:tab/>
        <w:t>Cheng WW, Farrell AP (2007) Acute and sublethal toxicities of rotenone in juvenile rainbow trout (Oncorhynchus mykiss): Swimming performance and oxygen consumption. Arch Environ Contam Toxicol 52:388–396. https://doi.org/10.1007/s00244-006-0051-1</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59. </w:t>
      </w:r>
      <w:r w:rsidRPr="00C215EB">
        <w:rPr>
          <w:rFonts w:ascii="Times New Roman" w:hAnsi="Times New Roman" w:cs="Times New Roman"/>
          <w:noProof/>
          <w:sz w:val="24"/>
          <w:lang w:val="en-US"/>
        </w:rPr>
        <w:tab/>
        <w:t>McCallum L, Lip S, Padmanabhan S (2015) The hidden hand of chloride in hypertension. Pflügers Arch - Eur J Physiol 467:595–603. https://doi.org/10.1007/s00424-015-1690-8</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60. </w:t>
      </w:r>
      <w:r w:rsidRPr="00C215EB">
        <w:rPr>
          <w:rFonts w:ascii="Times New Roman" w:hAnsi="Times New Roman" w:cs="Times New Roman"/>
          <w:noProof/>
          <w:sz w:val="24"/>
          <w:lang w:val="en-US"/>
        </w:rPr>
        <w:tab/>
        <w:t>Cooley-Andrade O, Cheung K, Chew AN</w:t>
      </w:r>
      <w:r w:rsidR="004A11B1">
        <w:rPr>
          <w:rFonts w:ascii="Times New Roman" w:hAnsi="Times New Roman" w:cs="Times New Roman"/>
          <w:noProof/>
          <w:sz w:val="24"/>
          <w:lang w:val="en-US"/>
        </w:rPr>
        <w:t xml:space="preserve"> et al.</w:t>
      </w:r>
      <w:r w:rsidRPr="00C215EB">
        <w:rPr>
          <w:rFonts w:ascii="Times New Roman" w:hAnsi="Times New Roman" w:cs="Times New Roman"/>
          <w:noProof/>
          <w:sz w:val="24"/>
          <w:lang w:val="en-US"/>
        </w:rPr>
        <w:t xml:space="preserve"> (2016) Detergent sclerosants at sub-lytic concentrations induce endothelial cell apoptosis through a caspase dependent pathway. Apoptosis 21:836–845. https://doi.org/10.1007/s10495-016-1252-3</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61. </w:t>
      </w:r>
      <w:r w:rsidRPr="00C215EB">
        <w:rPr>
          <w:rFonts w:ascii="Times New Roman" w:hAnsi="Times New Roman" w:cs="Times New Roman"/>
          <w:noProof/>
          <w:sz w:val="24"/>
          <w:lang w:val="en-US"/>
        </w:rPr>
        <w:tab/>
        <w:t>Hong YL, Hossler PA, Calhoun DH, Meshnick SR (1995) Inhibition of recombinant Pneumocystis carinii dihydropteroate synthetase by sulfa drugs. Antimicrob Agents Chemother 39:1756–1763. https://doi.org/10.1128/AAC.39.8.1756</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62. </w:t>
      </w:r>
      <w:r w:rsidRPr="00C215EB">
        <w:rPr>
          <w:rFonts w:ascii="Times New Roman" w:hAnsi="Times New Roman" w:cs="Times New Roman"/>
          <w:noProof/>
          <w:sz w:val="24"/>
          <w:lang w:val="en-US"/>
        </w:rPr>
        <w:tab/>
        <w:t>Brito DA, Yang Z, Rieder CL (2008) Microtubules do not promote mitotic slippage when the spindle assembly checkpoint cannot be satisfied. J Cell Biol 182:623–629. https://doi.org/10.1083/jcb.200805072</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63. </w:t>
      </w:r>
      <w:r w:rsidRPr="00C215EB">
        <w:rPr>
          <w:rFonts w:ascii="Times New Roman" w:hAnsi="Times New Roman" w:cs="Times New Roman"/>
          <w:noProof/>
          <w:sz w:val="24"/>
          <w:lang w:val="en-US"/>
        </w:rPr>
        <w:tab/>
        <w:t>Lisse TS, Middleton LJ, Pellegrini AD</w:t>
      </w:r>
      <w:r w:rsidR="004A11B1">
        <w:rPr>
          <w:rFonts w:ascii="Times New Roman" w:hAnsi="Times New Roman" w:cs="Times New Roman"/>
          <w:noProof/>
          <w:sz w:val="24"/>
          <w:lang w:val="en-US"/>
        </w:rPr>
        <w:t xml:space="preserve"> et al.</w:t>
      </w:r>
      <w:r w:rsidRPr="00C215EB">
        <w:rPr>
          <w:rFonts w:ascii="Times New Roman" w:hAnsi="Times New Roman" w:cs="Times New Roman"/>
          <w:noProof/>
          <w:sz w:val="24"/>
          <w:lang w:val="en-US"/>
        </w:rPr>
        <w:t xml:space="preserve"> (2016) Paclitaxel-induced epithelial damage and ectopic MMP-13 expression promotes neurotoxicity in zebrafish. Proc Natl Acad Sci 113:2189–2198. https://doi.org/10.1073/pnas.1525096113</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64. </w:t>
      </w:r>
      <w:r w:rsidRPr="00C215EB">
        <w:rPr>
          <w:rFonts w:ascii="Times New Roman" w:hAnsi="Times New Roman" w:cs="Times New Roman"/>
          <w:noProof/>
          <w:sz w:val="24"/>
          <w:lang w:val="en-US"/>
        </w:rPr>
        <w:tab/>
        <w:t>Sancho E, Villarroel MJ, Fernández C</w:t>
      </w:r>
      <w:r w:rsidR="004A11B1">
        <w:rPr>
          <w:rFonts w:ascii="Times New Roman" w:hAnsi="Times New Roman" w:cs="Times New Roman"/>
          <w:noProof/>
          <w:sz w:val="24"/>
          <w:lang w:val="en-US"/>
        </w:rPr>
        <w:t xml:space="preserve"> et al.</w:t>
      </w:r>
      <w:r w:rsidRPr="00C215EB">
        <w:rPr>
          <w:rFonts w:ascii="Times New Roman" w:hAnsi="Times New Roman" w:cs="Times New Roman"/>
          <w:noProof/>
          <w:sz w:val="24"/>
          <w:lang w:val="en-US"/>
        </w:rPr>
        <w:t xml:space="preserve"> (2010) Short-term exposure to sublethal tebuconazole induces physiological impairment in male zebrafish (</w:t>
      </w:r>
      <w:r w:rsidRPr="004A11B1">
        <w:rPr>
          <w:rFonts w:ascii="Times New Roman" w:hAnsi="Times New Roman" w:cs="Times New Roman"/>
          <w:i/>
          <w:noProof/>
          <w:sz w:val="24"/>
          <w:lang w:val="en-US"/>
        </w:rPr>
        <w:t>Danio rerio</w:t>
      </w:r>
      <w:r w:rsidRPr="00C215EB">
        <w:rPr>
          <w:rFonts w:ascii="Times New Roman" w:hAnsi="Times New Roman" w:cs="Times New Roman"/>
          <w:noProof/>
          <w:sz w:val="24"/>
          <w:lang w:val="en-US"/>
        </w:rPr>
        <w:t xml:space="preserve">). </w:t>
      </w:r>
      <w:r w:rsidRPr="00C215EB">
        <w:rPr>
          <w:rFonts w:ascii="Times New Roman" w:hAnsi="Times New Roman" w:cs="Times New Roman"/>
          <w:noProof/>
          <w:sz w:val="24"/>
          <w:lang w:val="en-US"/>
        </w:rPr>
        <w:lastRenderedPageBreak/>
        <w:t>Ecotoxicol Environ Saf 73:370–376. https://doi.org/10.1016/j.ecoenv.2009.09.020</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65. </w:t>
      </w:r>
      <w:r w:rsidRPr="00C215EB">
        <w:rPr>
          <w:rFonts w:ascii="Times New Roman" w:hAnsi="Times New Roman" w:cs="Times New Roman"/>
          <w:noProof/>
          <w:sz w:val="24"/>
          <w:lang w:val="en-US"/>
        </w:rPr>
        <w:tab/>
        <w:t>Yu L, Chen M, Liu Y</w:t>
      </w:r>
      <w:r w:rsidR="004A11B1">
        <w:rPr>
          <w:rFonts w:ascii="Times New Roman" w:hAnsi="Times New Roman" w:cs="Times New Roman"/>
          <w:noProof/>
          <w:sz w:val="24"/>
          <w:lang w:val="en-US"/>
        </w:rPr>
        <w:t xml:space="preserve"> et al.</w:t>
      </w:r>
      <w:r w:rsidRPr="00C215EB">
        <w:rPr>
          <w:rFonts w:ascii="Times New Roman" w:hAnsi="Times New Roman" w:cs="Times New Roman"/>
          <w:noProof/>
          <w:sz w:val="24"/>
          <w:lang w:val="en-US"/>
        </w:rPr>
        <w:t xml:space="preserve"> (2013) Thyroid endocrine disruption in zebrafish larvae following exposure to hexaconazole and tebuconazole. Aquat Toxicol 138–139:35–42. https://doi.org/10.1016/j.aquatox.2013.04.001</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66. </w:t>
      </w:r>
      <w:r w:rsidRPr="00C215EB">
        <w:rPr>
          <w:rFonts w:ascii="Times New Roman" w:hAnsi="Times New Roman" w:cs="Times New Roman"/>
          <w:noProof/>
          <w:sz w:val="24"/>
          <w:lang w:val="en-US"/>
        </w:rPr>
        <w:tab/>
        <w:t>Yang J Di, Liu SH, Liao MH</w:t>
      </w:r>
      <w:r w:rsidR="004A11B1">
        <w:rPr>
          <w:rFonts w:ascii="Times New Roman" w:hAnsi="Times New Roman" w:cs="Times New Roman"/>
          <w:noProof/>
          <w:sz w:val="24"/>
          <w:lang w:val="en-US"/>
        </w:rPr>
        <w:t xml:space="preserve"> et al.</w:t>
      </w:r>
      <w:r w:rsidRPr="00C215EB">
        <w:rPr>
          <w:rFonts w:ascii="Times New Roman" w:hAnsi="Times New Roman" w:cs="Times New Roman"/>
          <w:noProof/>
          <w:sz w:val="24"/>
          <w:lang w:val="en-US"/>
        </w:rPr>
        <w:t xml:space="preserve"> (2018) Effects of tebuconazole on cytochrome P450 enzymes, oxidative stress, and endocrine disruption in male rats. Environ Toxicol 33:899–907. https://doi.org/10.1002/tox.22575</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67. </w:t>
      </w:r>
      <w:r w:rsidRPr="00C215EB">
        <w:rPr>
          <w:rFonts w:ascii="Times New Roman" w:hAnsi="Times New Roman" w:cs="Times New Roman"/>
          <w:noProof/>
          <w:sz w:val="24"/>
          <w:lang w:val="en-US"/>
        </w:rPr>
        <w:tab/>
      </w:r>
      <w:r w:rsidRPr="004A11B1">
        <w:rPr>
          <w:rFonts w:ascii="Times New Roman" w:hAnsi="Times New Roman" w:cs="Times New Roman"/>
          <w:noProof/>
          <w:sz w:val="24"/>
          <w:lang w:val="de-DE"/>
        </w:rPr>
        <w:t>Altenhofen S, Nabinger DD, Wiprich MT</w:t>
      </w:r>
      <w:r w:rsidR="004A11B1" w:rsidRPr="004A11B1">
        <w:rPr>
          <w:rFonts w:ascii="Times New Roman" w:hAnsi="Times New Roman" w:cs="Times New Roman"/>
          <w:noProof/>
          <w:sz w:val="24"/>
          <w:lang w:val="de-DE"/>
        </w:rPr>
        <w:t xml:space="preserve"> et al.</w:t>
      </w:r>
      <w:r w:rsidRPr="004A11B1">
        <w:rPr>
          <w:rFonts w:ascii="Times New Roman" w:hAnsi="Times New Roman" w:cs="Times New Roman"/>
          <w:noProof/>
          <w:sz w:val="24"/>
          <w:lang w:val="de-DE"/>
        </w:rPr>
        <w:t xml:space="preserve"> </w:t>
      </w:r>
      <w:r w:rsidRPr="00C215EB">
        <w:rPr>
          <w:rFonts w:ascii="Times New Roman" w:hAnsi="Times New Roman" w:cs="Times New Roman"/>
          <w:noProof/>
          <w:sz w:val="24"/>
          <w:lang w:val="en-US"/>
        </w:rPr>
        <w:t>(2017) Tebuconazole alters morphological, behavioral and neurochemical parameters in larvae and adult zebrafish (</w:t>
      </w:r>
      <w:r w:rsidRPr="004A11B1">
        <w:rPr>
          <w:rFonts w:ascii="Times New Roman" w:hAnsi="Times New Roman" w:cs="Times New Roman"/>
          <w:i/>
          <w:noProof/>
          <w:sz w:val="24"/>
          <w:lang w:val="en-US"/>
        </w:rPr>
        <w:t>Danio rerio</w:t>
      </w:r>
      <w:r w:rsidRPr="00C215EB">
        <w:rPr>
          <w:rFonts w:ascii="Times New Roman" w:hAnsi="Times New Roman" w:cs="Times New Roman"/>
          <w:noProof/>
          <w:sz w:val="24"/>
          <w:lang w:val="en-US"/>
        </w:rPr>
        <w:t>). Chemosphere 180:483–490. https://doi.org/10.1016/j.chemosphere.2017.04.029</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68. </w:t>
      </w:r>
      <w:r w:rsidRPr="00C215EB">
        <w:rPr>
          <w:rFonts w:ascii="Times New Roman" w:hAnsi="Times New Roman" w:cs="Times New Roman"/>
          <w:noProof/>
          <w:sz w:val="24"/>
          <w:lang w:val="en-US"/>
        </w:rPr>
        <w:tab/>
        <w:t xml:space="preserve">Zhou S-F, Zhou Z-W, Yang L-P, Cai J-P (2009) Substrates, inducers, inhibitors and structure-activity relationships of human </w:t>
      </w:r>
      <w:r w:rsidR="004A11B1">
        <w:rPr>
          <w:rFonts w:ascii="Times New Roman" w:hAnsi="Times New Roman" w:cs="Times New Roman"/>
          <w:noProof/>
          <w:sz w:val="24"/>
          <w:lang w:val="en-US"/>
        </w:rPr>
        <w:t>c</w:t>
      </w:r>
      <w:r w:rsidRPr="00C215EB">
        <w:rPr>
          <w:rFonts w:ascii="Times New Roman" w:hAnsi="Times New Roman" w:cs="Times New Roman"/>
          <w:noProof/>
          <w:sz w:val="24"/>
          <w:lang w:val="en-US"/>
        </w:rPr>
        <w:t>ytochrome P450 2C9 and implications in drug development. Curr Med Chem 16:3480–675. https://doi.org/CMC - AbsEpub - 001 [pii]</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69. </w:t>
      </w:r>
      <w:r w:rsidRPr="00C215EB">
        <w:rPr>
          <w:rFonts w:ascii="Times New Roman" w:hAnsi="Times New Roman" w:cs="Times New Roman"/>
          <w:noProof/>
          <w:sz w:val="24"/>
          <w:lang w:val="en-US"/>
        </w:rPr>
        <w:tab/>
      </w:r>
      <w:r w:rsidRPr="004A11B1">
        <w:rPr>
          <w:rFonts w:ascii="Times New Roman" w:hAnsi="Times New Roman" w:cs="Times New Roman"/>
          <w:noProof/>
          <w:sz w:val="24"/>
          <w:lang w:val="de-DE"/>
        </w:rPr>
        <w:t>Huang M, Jiao J, Wang J</w:t>
      </w:r>
      <w:r w:rsidR="004A11B1" w:rsidRPr="004A11B1">
        <w:rPr>
          <w:rFonts w:ascii="Times New Roman" w:hAnsi="Times New Roman" w:cs="Times New Roman"/>
          <w:noProof/>
          <w:sz w:val="24"/>
          <w:lang w:val="de-DE"/>
        </w:rPr>
        <w:t xml:space="preserve"> et al.</w:t>
      </w:r>
      <w:r w:rsidRPr="004A11B1">
        <w:rPr>
          <w:rFonts w:ascii="Times New Roman" w:hAnsi="Times New Roman" w:cs="Times New Roman"/>
          <w:noProof/>
          <w:sz w:val="24"/>
          <w:lang w:val="de-DE"/>
        </w:rPr>
        <w:t xml:space="preserve"> </w:t>
      </w:r>
      <w:r w:rsidRPr="00C215EB">
        <w:rPr>
          <w:rFonts w:ascii="Times New Roman" w:hAnsi="Times New Roman" w:cs="Times New Roman"/>
          <w:noProof/>
          <w:sz w:val="24"/>
          <w:lang w:val="en-US"/>
        </w:rPr>
        <w:t>(2018) Characterization of acrylamide-induced oxidative stress and cardiovascular toxicity in zebrafish embryos. J Hazard Mater 347:451–460. https://doi.org/10.1016/j.jhazmat.2018.01.016</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70. </w:t>
      </w:r>
      <w:r w:rsidRPr="00C215EB">
        <w:rPr>
          <w:rFonts w:ascii="Times New Roman" w:hAnsi="Times New Roman" w:cs="Times New Roman"/>
          <w:noProof/>
          <w:sz w:val="24"/>
          <w:lang w:val="en-US"/>
        </w:rPr>
        <w:tab/>
        <w:t>Stoker TE, Gibson EK, Zorrilla LM (2010) Triclosan exposure modulates estrogen-dependent responses in the female wistar rat. Toxicol Sci 117:45–53. https://doi.org/10.1093/toxsci/kfq180</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71. </w:t>
      </w:r>
      <w:r w:rsidRPr="00C215EB">
        <w:rPr>
          <w:rFonts w:ascii="Times New Roman" w:hAnsi="Times New Roman" w:cs="Times New Roman"/>
          <w:noProof/>
          <w:sz w:val="24"/>
          <w:lang w:val="en-US"/>
        </w:rPr>
        <w:tab/>
        <w:t>Ballantyne B, Snellings WM (2005) Developmental toxicity study with triethylene glycol given by gavage to CD rats and CD-1 mice. J Appl Toxicol 25:418–426. https://doi.org/10.1002/jat.1089</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72. </w:t>
      </w:r>
      <w:r w:rsidRPr="00C215EB">
        <w:rPr>
          <w:rFonts w:ascii="Times New Roman" w:hAnsi="Times New Roman" w:cs="Times New Roman"/>
          <w:noProof/>
          <w:sz w:val="24"/>
          <w:lang w:val="en-US"/>
        </w:rPr>
        <w:tab/>
        <w:t>Vassiliadis J, Graudins A, Dowsett RP (1999) Triethylene glycol poisoning treated with intravenous ethanol infusion. J Toxicol - Clin Toxicol 37:773–776. https://doi.org/10.1081/CLT-100102455</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73. </w:t>
      </w:r>
      <w:r w:rsidRPr="00C215EB">
        <w:rPr>
          <w:rFonts w:ascii="Times New Roman" w:hAnsi="Times New Roman" w:cs="Times New Roman"/>
          <w:noProof/>
          <w:sz w:val="24"/>
          <w:lang w:val="en-US"/>
        </w:rPr>
        <w:tab/>
        <w:t>Ichikawa Y, Yamanaka Y, Suzuki N</w:t>
      </w:r>
      <w:r w:rsidR="004A11B1">
        <w:rPr>
          <w:rFonts w:ascii="Times New Roman" w:hAnsi="Times New Roman" w:cs="Times New Roman"/>
          <w:noProof/>
          <w:sz w:val="24"/>
          <w:lang w:val="en-US"/>
        </w:rPr>
        <w:t xml:space="preserve"> et al.</w:t>
      </w:r>
      <w:r w:rsidRPr="00C215EB">
        <w:rPr>
          <w:rFonts w:ascii="Times New Roman" w:hAnsi="Times New Roman" w:cs="Times New Roman"/>
          <w:noProof/>
          <w:sz w:val="24"/>
          <w:lang w:val="en-US"/>
        </w:rPr>
        <w:t xml:space="preserve"> (1979) A </w:t>
      </w:r>
      <w:r w:rsidR="004A11B1" w:rsidRPr="00C215EB">
        <w:rPr>
          <w:rFonts w:ascii="Times New Roman" w:hAnsi="Times New Roman" w:cs="Times New Roman"/>
          <w:noProof/>
          <w:sz w:val="24"/>
          <w:lang w:val="en-US"/>
        </w:rPr>
        <w:t>new process for the production of trimethylhydroq</w:t>
      </w:r>
      <w:r w:rsidRPr="00C215EB">
        <w:rPr>
          <w:rFonts w:ascii="Times New Roman" w:hAnsi="Times New Roman" w:cs="Times New Roman"/>
          <w:noProof/>
          <w:sz w:val="24"/>
          <w:lang w:val="en-US"/>
        </w:rPr>
        <w:t>uinone. Ind Eng Chem Prod Res Dev 18:373–375. https://doi.org/10.1021/i360072a029</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74. </w:t>
      </w:r>
      <w:r w:rsidRPr="00C215EB">
        <w:rPr>
          <w:rFonts w:ascii="Times New Roman" w:hAnsi="Times New Roman" w:cs="Times New Roman"/>
          <w:noProof/>
          <w:sz w:val="24"/>
          <w:lang w:val="en-US"/>
        </w:rPr>
        <w:tab/>
        <w:t>Liu X, Jung D, Jo A</w:t>
      </w:r>
      <w:r w:rsidR="004A11B1">
        <w:rPr>
          <w:rFonts w:ascii="Times New Roman" w:hAnsi="Times New Roman" w:cs="Times New Roman"/>
          <w:noProof/>
          <w:sz w:val="24"/>
          <w:lang w:val="en-US"/>
        </w:rPr>
        <w:t xml:space="preserve"> et al.</w:t>
      </w:r>
      <w:r w:rsidRPr="00C215EB">
        <w:rPr>
          <w:rFonts w:ascii="Times New Roman" w:hAnsi="Times New Roman" w:cs="Times New Roman"/>
          <w:noProof/>
          <w:sz w:val="24"/>
          <w:lang w:val="en-US"/>
        </w:rPr>
        <w:t xml:space="preserve"> (2016) Long-term exposure to triphenylphosphate alters hormone balance and HPG, HPI, and HPT gene expression in zebrafish (</w:t>
      </w:r>
      <w:r w:rsidRPr="004A11B1">
        <w:rPr>
          <w:rFonts w:ascii="Times New Roman" w:hAnsi="Times New Roman" w:cs="Times New Roman"/>
          <w:i/>
          <w:noProof/>
          <w:sz w:val="24"/>
          <w:lang w:val="en-US"/>
        </w:rPr>
        <w:t>Danio rerio</w:t>
      </w:r>
      <w:r w:rsidRPr="00C215EB">
        <w:rPr>
          <w:rFonts w:ascii="Times New Roman" w:hAnsi="Times New Roman" w:cs="Times New Roman"/>
          <w:noProof/>
          <w:sz w:val="24"/>
          <w:lang w:val="en-US"/>
        </w:rPr>
        <w:t>). Environ Toxicol Chem 35:2288–2296. https://doi.org/10.1002/etc.3395</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75. </w:t>
      </w:r>
      <w:r w:rsidRPr="00C215EB">
        <w:rPr>
          <w:rFonts w:ascii="Times New Roman" w:hAnsi="Times New Roman" w:cs="Times New Roman"/>
          <w:noProof/>
          <w:sz w:val="24"/>
          <w:lang w:val="en-US"/>
        </w:rPr>
        <w:tab/>
      </w:r>
      <w:r w:rsidRPr="004A11B1">
        <w:rPr>
          <w:rFonts w:ascii="Times New Roman" w:hAnsi="Times New Roman" w:cs="Times New Roman"/>
          <w:noProof/>
          <w:sz w:val="24"/>
          <w:lang w:val="de-DE"/>
        </w:rPr>
        <w:t>Du Z, Zhang Y, Wang G</w:t>
      </w:r>
      <w:r w:rsidR="004A11B1" w:rsidRPr="004A11B1">
        <w:rPr>
          <w:rFonts w:ascii="Times New Roman" w:hAnsi="Times New Roman" w:cs="Times New Roman"/>
          <w:noProof/>
          <w:sz w:val="24"/>
          <w:lang w:val="de-DE"/>
        </w:rPr>
        <w:t xml:space="preserve"> et al.</w:t>
      </w:r>
      <w:r w:rsidRPr="004A11B1">
        <w:rPr>
          <w:rFonts w:ascii="Times New Roman" w:hAnsi="Times New Roman" w:cs="Times New Roman"/>
          <w:noProof/>
          <w:sz w:val="24"/>
          <w:lang w:val="de-DE"/>
        </w:rPr>
        <w:t xml:space="preserve"> </w:t>
      </w:r>
      <w:r w:rsidRPr="00C215EB">
        <w:rPr>
          <w:rFonts w:ascii="Times New Roman" w:hAnsi="Times New Roman" w:cs="Times New Roman"/>
          <w:noProof/>
          <w:sz w:val="24"/>
          <w:lang w:val="en-US"/>
        </w:rPr>
        <w:t>(2016) TPhP exposure disturbs carbohydrate metabolism, lipid metabolism, and the DNA damage repair system in zebrafish liver. Sci Rep 6:1–10. https://doi.org/10.1038/srep21827</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76. </w:t>
      </w:r>
      <w:r w:rsidRPr="00C215EB">
        <w:rPr>
          <w:rFonts w:ascii="Times New Roman" w:hAnsi="Times New Roman" w:cs="Times New Roman"/>
          <w:noProof/>
          <w:sz w:val="24"/>
          <w:lang w:val="en-US"/>
        </w:rPr>
        <w:tab/>
        <w:t>Isales GM, Hipszer RA, Raftery TD</w:t>
      </w:r>
      <w:r w:rsidR="004A11B1">
        <w:rPr>
          <w:rFonts w:ascii="Times New Roman" w:hAnsi="Times New Roman" w:cs="Times New Roman"/>
          <w:noProof/>
          <w:sz w:val="24"/>
          <w:lang w:val="en-US"/>
        </w:rPr>
        <w:t xml:space="preserve"> et al.</w:t>
      </w:r>
      <w:r w:rsidRPr="00C215EB">
        <w:rPr>
          <w:rFonts w:ascii="Times New Roman" w:hAnsi="Times New Roman" w:cs="Times New Roman"/>
          <w:noProof/>
          <w:sz w:val="24"/>
          <w:lang w:val="en-US"/>
        </w:rPr>
        <w:t xml:space="preserve"> (2015) Triphenyl phosphate-induced developmental toxicity in zebrafish: Potential role of the retinoic acid receptor. Aquat Toxicol 161:221–230. https://doi.org/10.1016/j.aquatox.2015.02.009</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lastRenderedPageBreak/>
        <w:t xml:space="preserve">77. </w:t>
      </w:r>
      <w:r w:rsidRPr="00C215EB">
        <w:rPr>
          <w:rFonts w:ascii="Times New Roman" w:hAnsi="Times New Roman" w:cs="Times New Roman"/>
          <w:noProof/>
          <w:sz w:val="24"/>
          <w:lang w:val="en-US"/>
        </w:rPr>
        <w:tab/>
        <w:t>Gougoux A, Zan N, Dansereau D, Vinay P (1989) Experimental Fanconi’s syndrome resulting from 4-pentenoate infusion in the dog. Am J Physiol Physiol 257:959–966. https://doi.org/10.1152/ajprenal.1989.257.6.F959</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78. </w:t>
      </w:r>
      <w:r w:rsidRPr="00C215EB">
        <w:rPr>
          <w:rFonts w:ascii="Times New Roman" w:hAnsi="Times New Roman" w:cs="Times New Roman"/>
          <w:noProof/>
          <w:sz w:val="24"/>
          <w:lang w:val="en-US"/>
        </w:rPr>
        <w:tab/>
        <w:t>Chateauvieux S, Morceau F, Dicato M, Diederich M (2010) Molecular and therapeutic potential and toxicity of valproic acid. J Biomed Biotechnol 2010:1–18. https://doi.org/10.1155/2010/479364</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79. </w:t>
      </w:r>
      <w:r w:rsidRPr="00C215EB">
        <w:rPr>
          <w:rFonts w:ascii="Times New Roman" w:hAnsi="Times New Roman" w:cs="Times New Roman"/>
          <w:noProof/>
          <w:sz w:val="24"/>
          <w:lang w:val="en-US"/>
        </w:rPr>
        <w:tab/>
        <w:t>Godhe-Puranik Y, Thorn CF, Lambra JK, Leeder JS (2013) Valproic acid pathway: pharmacokinetics and pharmacodynamics. Pharmacogenet Genomics 23:236–241. https://doi.org/10.1097/FPC.0b013e32835ea0b2.Valproic</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80. </w:t>
      </w:r>
      <w:r w:rsidRPr="00C215EB">
        <w:rPr>
          <w:rFonts w:ascii="Times New Roman" w:hAnsi="Times New Roman" w:cs="Times New Roman"/>
          <w:noProof/>
          <w:sz w:val="24"/>
          <w:lang w:val="en-US"/>
        </w:rPr>
        <w:tab/>
        <w:t xml:space="preserve">Chandler CJ, Segel IH (1978) Mechanism of the </w:t>
      </w:r>
      <w:r w:rsidR="004A11B1" w:rsidRPr="00C215EB">
        <w:rPr>
          <w:rFonts w:ascii="Times New Roman" w:hAnsi="Times New Roman" w:cs="Times New Roman"/>
          <w:noProof/>
          <w:sz w:val="24"/>
          <w:lang w:val="en-US"/>
        </w:rPr>
        <w:t>antimicrobial action of pyrithione: effects on membrane transpo</w:t>
      </w:r>
      <w:r w:rsidRPr="00C215EB">
        <w:rPr>
          <w:rFonts w:ascii="Times New Roman" w:hAnsi="Times New Roman" w:cs="Times New Roman"/>
          <w:noProof/>
          <w:sz w:val="24"/>
          <w:lang w:val="en-US"/>
        </w:rPr>
        <w:t xml:space="preserve">rt, ATP </w:t>
      </w:r>
      <w:r w:rsidR="004A11B1" w:rsidRPr="00C215EB">
        <w:rPr>
          <w:rFonts w:ascii="Times New Roman" w:hAnsi="Times New Roman" w:cs="Times New Roman"/>
          <w:noProof/>
          <w:sz w:val="24"/>
          <w:lang w:val="en-US"/>
        </w:rPr>
        <w:t>levels, and protein synt</w:t>
      </w:r>
      <w:r w:rsidRPr="00C215EB">
        <w:rPr>
          <w:rFonts w:ascii="Times New Roman" w:hAnsi="Times New Roman" w:cs="Times New Roman"/>
          <w:noProof/>
          <w:sz w:val="24"/>
          <w:lang w:val="en-US"/>
        </w:rPr>
        <w:t>hesis. Antimicrob Agents Chemother 14:60–68. https://doi.org/10.1128/AAC.14.1.60</w:t>
      </w:r>
    </w:p>
    <w:p w:rsidR="004E31DB" w:rsidRPr="00C215EB" w:rsidRDefault="004E31DB" w:rsidP="008E6C1C">
      <w:pPr>
        <w:widowControl w:val="0"/>
        <w:autoSpaceDE w:val="0"/>
        <w:autoSpaceDN w:val="0"/>
        <w:adjustRightInd w:val="0"/>
        <w:spacing w:line="276" w:lineRule="auto"/>
        <w:ind w:left="426" w:hanging="426"/>
        <w:jc w:val="both"/>
        <w:rPr>
          <w:rFonts w:ascii="Times New Roman" w:hAnsi="Times New Roman" w:cs="Times New Roman"/>
          <w:noProof/>
          <w:sz w:val="24"/>
          <w:lang w:val="en-US"/>
        </w:rPr>
      </w:pPr>
      <w:r w:rsidRPr="00C215EB">
        <w:rPr>
          <w:rFonts w:ascii="Times New Roman" w:hAnsi="Times New Roman" w:cs="Times New Roman"/>
          <w:noProof/>
          <w:sz w:val="24"/>
          <w:lang w:val="en-US"/>
        </w:rPr>
        <w:t xml:space="preserve">81. </w:t>
      </w:r>
      <w:r w:rsidRPr="00C215EB">
        <w:rPr>
          <w:rFonts w:ascii="Times New Roman" w:hAnsi="Times New Roman" w:cs="Times New Roman"/>
          <w:noProof/>
          <w:sz w:val="24"/>
          <w:lang w:val="en-US"/>
        </w:rPr>
        <w:tab/>
        <w:t xml:space="preserve">Roberts T, Hutson D (1999) Azoles and </w:t>
      </w:r>
      <w:r w:rsidR="004A11B1" w:rsidRPr="00C215EB">
        <w:rPr>
          <w:rFonts w:ascii="Times New Roman" w:hAnsi="Times New Roman" w:cs="Times New Roman"/>
          <w:noProof/>
          <w:sz w:val="24"/>
          <w:lang w:val="en-US"/>
        </w:rPr>
        <w:t>analogues</w:t>
      </w:r>
      <w:r w:rsidRPr="00C215EB">
        <w:rPr>
          <w:rFonts w:ascii="Times New Roman" w:hAnsi="Times New Roman" w:cs="Times New Roman"/>
          <w:noProof/>
          <w:sz w:val="24"/>
          <w:lang w:val="en-US"/>
        </w:rPr>
        <w:t>. In: Metabolic P</w:t>
      </w:r>
      <w:r w:rsidR="004A11B1" w:rsidRPr="00C215EB">
        <w:rPr>
          <w:rFonts w:ascii="Times New Roman" w:hAnsi="Times New Roman" w:cs="Times New Roman"/>
          <w:noProof/>
          <w:sz w:val="24"/>
          <w:lang w:val="en-US"/>
        </w:rPr>
        <w:t>athways of agrochemica</w:t>
      </w:r>
      <w:r w:rsidRPr="00C215EB">
        <w:rPr>
          <w:rFonts w:ascii="Times New Roman" w:hAnsi="Times New Roman" w:cs="Times New Roman"/>
          <w:noProof/>
          <w:sz w:val="24"/>
          <w:lang w:val="en-US"/>
        </w:rPr>
        <w:t xml:space="preserve">ls: Part 2: Insecticides and </w:t>
      </w:r>
      <w:r w:rsidR="004A11B1" w:rsidRPr="00C215EB">
        <w:rPr>
          <w:rFonts w:ascii="Times New Roman" w:hAnsi="Times New Roman" w:cs="Times New Roman"/>
          <w:noProof/>
          <w:sz w:val="24"/>
          <w:lang w:val="en-US"/>
        </w:rPr>
        <w:t>fungicides</w:t>
      </w:r>
      <w:r w:rsidRPr="00C215EB">
        <w:rPr>
          <w:rFonts w:ascii="Times New Roman" w:hAnsi="Times New Roman" w:cs="Times New Roman"/>
          <w:noProof/>
          <w:sz w:val="24"/>
          <w:lang w:val="en-US"/>
        </w:rPr>
        <w:t>. pp 1011–1104</w:t>
      </w:r>
    </w:p>
    <w:p w:rsidR="008E041A" w:rsidRPr="00C215EB" w:rsidRDefault="008E041A" w:rsidP="008E6C1C">
      <w:pPr>
        <w:widowControl w:val="0"/>
        <w:autoSpaceDE w:val="0"/>
        <w:autoSpaceDN w:val="0"/>
        <w:adjustRightInd w:val="0"/>
        <w:spacing w:line="276" w:lineRule="auto"/>
        <w:ind w:left="426" w:hanging="426"/>
        <w:jc w:val="both"/>
        <w:rPr>
          <w:rFonts w:ascii="Times New Roman" w:hAnsi="Times New Roman" w:cs="Times New Roman"/>
          <w:sz w:val="24"/>
          <w:szCs w:val="24"/>
          <w:lang w:val="en-US"/>
        </w:rPr>
      </w:pPr>
      <w:r w:rsidRPr="00C215EB">
        <w:rPr>
          <w:rFonts w:ascii="Times New Roman" w:hAnsi="Times New Roman" w:cs="Times New Roman"/>
          <w:sz w:val="24"/>
          <w:szCs w:val="24"/>
          <w:lang w:val="en-US"/>
        </w:rPr>
        <w:fldChar w:fldCharType="end"/>
      </w:r>
    </w:p>
    <w:sectPr w:rsidR="008E041A" w:rsidRPr="00C215EB" w:rsidSect="00B9658F">
      <w:type w:val="continuous"/>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3F3CB2"/>
    <w:multiLevelType w:val="hybridMultilevel"/>
    <w:tmpl w:val="70E0B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F4A4159"/>
    <w:multiLevelType w:val="hybridMultilevel"/>
    <w:tmpl w:val="C28AC35C"/>
    <w:lvl w:ilvl="0" w:tplc="16BEE520">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EA97D30"/>
    <w:multiLevelType w:val="hybridMultilevel"/>
    <w:tmpl w:val="91FC0FE8"/>
    <w:lvl w:ilvl="0" w:tplc="C0D432F0">
      <w:start w:val="10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1B13485"/>
    <w:multiLevelType w:val="hybridMultilevel"/>
    <w:tmpl w:val="42CA9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48540E1"/>
    <w:multiLevelType w:val="hybridMultilevel"/>
    <w:tmpl w:val="5C909E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312506F4"/>
    <w:multiLevelType w:val="hybridMultilevel"/>
    <w:tmpl w:val="880A6904"/>
    <w:lvl w:ilvl="0" w:tplc="B6AC61C6">
      <w:start w:val="110"/>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6025B3B"/>
    <w:multiLevelType w:val="hybridMultilevel"/>
    <w:tmpl w:val="FAAE6B7C"/>
    <w:lvl w:ilvl="0" w:tplc="4FEEF70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5DE365B"/>
    <w:multiLevelType w:val="hybridMultilevel"/>
    <w:tmpl w:val="80FCA98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9DE3D33"/>
    <w:multiLevelType w:val="hybridMultilevel"/>
    <w:tmpl w:val="C61E0AD0"/>
    <w:lvl w:ilvl="0" w:tplc="C9D449F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7BF41D64"/>
    <w:multiLevelType w:val="hybridMultilevel"/>
    <w:tmpl w:val="0686BAE0"/>
    <w:lvl w:ilvl="0" w:tplc="0407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0">
    <w:nsid w:val="7C342B16"/>
    <w:multiLevelType w:val="hybridMultilevel"/>
    <w:tmpl w:val="879C0E28"/>
    <w:lvl w:ilvl="0" w:tplc="1A2C85E8">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D0449CF"/>
    <w:multiLevelType w:val="hybridMultilevel"/>
    <w:tmpl w:val="AD90E820"/>
    <w:lvl w:ilvl="0" w:tplc="08090001">
      <w:start w:val="1"/>
      <w:numFmt w:val="bullet"/>
      <w:lvlText w:val=""/>
      <w:lvlJc w:val="left"/>
      <w:pPr>
        <w:ind w:left="938" w:hanging="360"/>
      </w:pPr>
      <w:rPr>
        <w:rFonts w:ascii="Symbol" w:hAnsi="Symbol" w:hint="default"/>
      </w:rPr>
    </w:lvl>
    <w:lvl w:ilvl="1" w:tplc="08090003" w:tentative="1">
      <w:start w:val="1"/>
      <w:numFmt w:val="bullet"/>
      <w:lvlText w:val="o"/>
      <w:lvlJc w:val="left"/>
      <w:pPr>
        <w:ind w:left="1658" w:hanging="360"/>
      </w:pPr>
      <w:rPr>
        <w:rFonts w:ascii="Courier New" w:hAnsi="Courier New" w:cs="Courier New" w:hint="default"/>
      </w:rPr>
    </w:lvl>
    <w:lvl w:ilvl="2" w:tplc="08090005" w:tentative="1">
      <w:start w:val="1"/>
      <w:numFmt w:val="bullet"/>
      <w:lvlText w:val=""/>
      <w:lvlJc w:val="left"/>
      <w:pPr>
        <w:ind w:left="2378" w:hanging="360"/>
      </w:pPr>
      <w:rPr>
        <w:rFonts w:ascii="Wingdings" w:hAnsi="Wingdings" w:hint="default"/>
      </w:rPr>
    </w:lvl>
    <w:lvl w:ilvl="3" w:tplc="08090001" w:tentative="1">
      <w:start w:val="1"/>
      <w:numFmt w:val="bullet"/>
      <w:lvlText w:val=""/>
      <w:lvlJc w:val="left"/>
      <w:pPr>
        <w:ind w:left="3098" w:hanging="360"/>
      </w:pPr>
      <w:rPr>
        <w:rFonts w:ascii="Symbol" w:hAnsi="Symbol" w:hint="default"/>
      </w:rPr>
    </w:lvl>
    <w:lvl w:ilvl="4" w:tplc="08090003" w:tentative="1">
      <w:start w:val="1"/>
      <w:numFmt w:val="bullet"/>
      <w:lvlText w:val="o"/>
      <w:lvlJc w:val="left"/>
      <w:pPr>
        <w:ind w:left="3818" w:hanging="360"/>
      </w:pPr>
      <w:rPr>
        <w:rFonts w:ascii="Courier New" w:hAnsi="Courier New" w:cs="Courier New" w:hint="default"/>
      </w:rPr>
    </w:lvl>
    <w:lvl w:ilvl="5" w:tplc="08090005" w:tentative="1">
      <w:start w:val="1"/>
      <w:numFmt w:val="bullet"/>
      <w:lvlText w:val=""/>
      <w:lvlJc w:val="left"/>
      <w:pPr>
        <w:ind w:left="4538" w:hanging="360"/>
      </w:pPr>
      <w:rPr>
        <w:rFonts w:ascii="Wingdings" w:hAnsi="Wingdings" w:hint="default"/>
      </w:rPr>
    </w:lvl>
    <w:lvl w:ilvl="6" w:tplc="08090001" w:tentative="1">
      <w:start w:val="1"/>
      <w:numFmt w:val="bullet"/>
      <w:lvlText w:val=""/>
      <w:lvlJc w:val="left"/>
      <w:pPr>
        <w:ind w:left="5258" w:hanging="360"/>
      </w:pPr>
      <w:rPr>
        <w:rFonts w:ascii="Symbol" w:hAnsi="Symbol" w:hint="default"/>
      </w:rPr>
    </w:lvl>
    <w:lvl w:ilvl="7" w:tplc="08090003" w:tentative="1">
      <w:start w:val="1"/>
      <w:numFmt w:val="bullet"/>
      <w:lvlText w:val="o"/>
      <w:lvlJc w:val="left"/>
      <w:pPr>
        <w:ind w:left="5978" w:hanging="360"/>
      </w:pPr>
      <w:rPr>
        <w:rFonts w:ascii="Courier New" w:hAnsi="Courier New" w:cs="Courier New" w:hint="default"/>
      </w:rPr>
    </w:lvl>
    <w:lvl w:ilvl="8" w:tplc="08090005" w:tentative="1">
      <w:start w:val="1"/>
      <w:numFmt w:val="bullet"/>
      <w:lvlText w:val=""/>
      <w:lvlJc w:val="left"/>
      <w:pPr>
        <w:ind w:left="6698" w:hanging="360"/>
      </w:pPr>
      <w:rPr>
        <w:rFonts w:ascii="Wingdings" w:hAnsi="Wingdings" w:hint="default"/>
      </w:rPr>
    </w:lvl>
  </w:abstractNum>
  <w:num w:numId="1">
    <w:abstractNumId w:val="9"/>
  </w:num>
  <w:num w:numId="2">
    <w:abstractNumId w:val="0"/>
  </w:num>
  <w:num w:numId="3">
    <w:abstractNumId w:val="2"/>
  </w:num>
  <w:num w:numId="4">
    <w:abstractNumId w:val="6"/>
  </w:num>
  <w:num w:numId="5">
    <w:abstractNumId w:val="4"/>
  </w:num>
  <w:num w:numId="6">
    <w:abstractNumId w:val="3"/>
  </w:num>
  <w:num w:numId="7">
    <w:abstractNumId w:val="5"/>
  </w:num>
  <w:num w:numId="8">
    <w:abstractNumId w:val="11"/>
  </w:num>
  <w:num w:numId="9">
    <w:abstractNumId w:val="8"/>
  </w:num>
  <w:num w:numId="10">
    <w:abstractNumId w:val="1"/>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revisionView w:markup="0"/>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41A"/>
    <w:rsid w:val="000C603D"/>
    <w:rsid w:val="004A11B1"/>
    <w:rsid w:val="004E31DB"/>
    <w:rsid w:val="008E041A"/>
    <w:rsid w:val="008E6C1C"/>
    <w:rsid w:val="00A04BA8"/>
    <w:rsid w:val="00A74143"/>
    <w:rsid w:val="00B9658F"/>
    <w:rsid w:val="00C05F3B"/>
    <w:rsid w:val="00C215EB"/>
    <w:rsid w:val="00C24C65"/>
    <w:rsid w:val="00DA7AE0"/>
    <w:rsid w:val="00E3123E"/>
    <w:rsid w:val="00FD6D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A0AFF2-6954-7D4F-AEFC-63EBCFD6C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041A"/>
    <w:pPr>
      <w:spacing w:after="160" w:line="259" w:lineRule="auto"/>
    </w:pPr>
    <w:rPr>
      <w:sz w:val="22"/>
      <w:szCs w:val="22"/>
      <w:lang w:val="en-GB"/>
    </w:rPr>
  </w:style>
  <w:style w:type="paragraph" w:styleId="Heading1">
    <w:name w:val="heading 1"/>
    <w:basedOn w:val="Normal"/>
    <w:next w:val="Normal"/>
    <w:link w:val="Heading1Char"/>
    <w:uiPriority w:val="9"/>
    <w:qFormat/>
    <w:rsid w:val="008E041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E041A"/>
    <w:pPr>
      <w:spacing w:before="100" w:beforeAutospacing="1" w:after="100" w:afterAutospacing="1" w:line="240" w:lineRule="auto"/>
      <w:outlineLvl w:val="1"/>
    </w:pPr>
    <w:rPr>
      <w:rFonts w:ascii="Times New Roman" w:eastAsia="Times New Roman" w:hAnsi="Times New Roman" w:cs="Times New Roman"/>
      <w:b/>
      <w:bCs/>
      <w:sz w:val="36"/>
      <w:szCs w:val="36"/>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hDThesisChapters">
    <w:name w:val="PhD Thesis Chapters"/>
    <w:next w:val="Normal"/>
    <w:qFormat/>
    <w:rsid w:val="000C603D"/>
    <w:pPr>
      <w:ind w:left="850" w:right="850"/>
    </w:pPr>
    <w:rPr>
      <w:rFonts w:ascii="Times New Roman" w:hAnsi="Times New Roman"/>
      <w:b/>
      <w:sz w:val="30"/>
      <w:lang w:val="en-GB"/>
    </w:rPr>
  </w:style>
  <w:style w:type="paragraph" w:customStyle="1" w:styleId="PhDThesissubtitlessmall">
    <w:name w:val="PhD Thesis subtitles small"/>
    <w:basedOn w:val="Normal"/>
    <w:qFormat/>
    <w:rsid w:val="000C603D"/>
    <w:pPr>
      <w:ind w:left="850" w:right="850"/>
    </w:pPr>
    <w:rPr>
      <w:rFonts w:ascii="Times New Roman" w:hAnsi="Times New Roman"/>
      <w:b/>
    </w:rPr>
  </w:style>
  <w:style w:type="paragraph" w:customStyle="1" w:styleId="PhDThesistext">
    <w:name w:val="PhD Thesis text"/>
    <w:basedOn w:val="Normal"/>
    <w:qFormat/>
    <w:rsid w:val="000C603D"/>
    <w:pPr>
      <w:ind w:left="850" w:right="850"/>
    </w:pPr>
    <w:rPr>
      <w:rFonts w:ascii="Times New Roman" w:hAnsi="Times New Roman"/>
    </w:rPr>
  </w:style>
  <w:style w:type="character" w:customStyle="1" w:styleId="Heading1Char">
    <w:name w:val="Heading 1 Char"/>
    <w:basedOn w:val="DefaultParagraphFont"/>
    <w:link w:val="Heading1"/>
    <w:uiPriority w:val="9"/>
    <w:rsid w:val="008E041A"/>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8E041A"/>
    <w:rPr>
      <w:rFonts w:ascii="Times New Roman" w:eastAsia="Times New Roman" w:hAnsi="Times New Roman" w:cs="Times New Roman"/>
      <w:b/>
      <w:bCs/>
      <w:sz w:val="36"/>
      <w:szCs w:val="36"/>
      <w:lang w:val="de-DE" w:eastAsia="de-DE"/>
    </w:rPr>
  </w:style>
  <w:style w:type="paragraph" w:styleId="Caption">
    <w:name w:val="caption"/>
    <w:basedOn w:val="Normal"/>
    <w:next w:val="Normal"/>
    <w:uiPriority w:val="35"/>
    <w:unhideWhenUsed/>
    <w:qFormat/>
    <w:rsid w:val="008E041A"/>
    <w:pPr>
      <w:spacing w:after="200" w:line="240" w:lineRule="auto"/>
    </w:pPr>
    <w:rPr>
      <w:i/>
      <w:iCs/>
      <w:color w:val="44546A" w:themeColor="text2"/>
      <w:sz w:val="18"/>
      <w:szCs w:val="18"/>
    </w:rPr>
  </w:style>
  <w:style w:type="table" w:customStyle="1" w:styleId="PlainTable21">
    <w:name w:val="Plain Table 21"/>
    <w:basedOn w:val="TableNormal"/>
    <w:uiPriority w:val="42"/>
    <w:rsid w:val="008E041A"/>
    <w:rPr>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8E041A"/>
    <w:pPr>
      <w:ind w:left="720"/>
      <w:contextualSpacing/>
    </w:pPr>
  </w:style>
  <w:style w:type="table" w:styleId="TableGrid">
    <w:name w:val="Table Grid"/>
    <w:basedOn w:val="TableNormal"/>
    <w:uiPriority w:val="39"/>
    <w:rsid w:val="008E041A"/>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E041A"/>
    <w:rPr>
      <w:sz w:val="16"/>
      <w:szCs w:val="16"/>
    </w:rPr>
  </w:style>
  <w:style w:type="paragraph" w:styleId="CommentText">
    <w:name w:val="annotation text"/>
    <w:basedOn w:val="Normal"/>
    <w:link w:val="CommentTextChar"/>
    <w:uiPriority w:val="99"/>
    <w:unhideWhenUsed/>
    <w:rsid w:val="008E041A"/>
    <w:pPr>
      <w:spacing w:line="240" w:lineRule="auto"/>
    </w:pPr>
    <w:rPr>
      <w:sz w:val="20"/>
      <w:szCs w:val="20"/>
    </w:rPr>
  </w:style>
  <w:style w:type="character" w:customStyle="1" w:styleId="CommentTextChar">
    <w:name w:val="Comment Text Char"/>
    <w:basedOn w:val="DefaultParagraphFont"/>
    <w:link w:val="CommentText"/>
    <w:uiPriority w:val="99"/>
    <w:rsid w:val="008E041A"/>
    <w:rPr>
      <w:sz w:val="20"/>
      <w:szCs w:val="20"/>
      <w:lang w:val="en-GB"/>
    </w:rPr>
  </w:style>
  <w:style w:type="paragraph" w:styleId="CommentSubject">
    <w:name w:val="annotation subject"/>
    <w:basedOn w:val="CommentText"/>
    <w:next w:val="CommentText"/>
    <w:link w:val="CommentSubjectChar"/>
    <w:uiPriority w:val="99"/>
    <w:semiHidden/>
    <w:unhideWhenUsed/>
    <w:rsid w:val="008E041A"/>
    <w:rPr>
      <w:b/>
      <w:bCs/>
    </w:rPr>
  </w:style>
  <w:style w:type="character" w:customStyle="1" w:styleId="CommentSubjectChar">
    <w:name w:val="Comment Subject Char"/>
    <w:basedOn w:val="CommentTextChar"/>
    <w:link w:val="CommentSubject"/>
    <w:uiPriority w:val="99"/>
    <w:semiHidden/>
    <w:rsid w:val="008E041A"/>
    <w:rPr>
      <w:b/>
      <w:bCs/>
      <w:sz w:val="20"/>
      <w:szCs w:val="20"/>
      <w:lang w:val="en-GB"/>
    </w:rPr>
  </w:style>
  <w:style w:type="paragraph" w:styleId="BalloonText">
    <w:name w:val="Balloon Text"/>
    <w:basedOn w:val="Normal"/>
    <w:link w:val="BalloonTextChar"/>
    <w:uiPriority w:val="99"/>
    <w:semiHidden/>
    <w:unhideWhenUsed/>
    <w:rsid w:val="008E04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041A"/>
    <w:rPr>
      <w:rFonts w:ascii="Segoe UI" w:hAnsi="Segoe UI" w:cs="Segoe UI"/>
      <w:sz w:val="18"/>
      <w:szCs w:val="18"/>
      <w:lang w:val="en-GB"/>
    </w:rPr>
  </w:style>
  <w:style w:type="paragraph" w:styleId="Revision">
    <w:name w:val="Revision"/>
    <w:hidden/>
    <w:uiPriority w:val="99"/>
    <w:semiHidden/>
    <w:rsid w:val="008E041A"/>
    <w:rPr>
      <w:sz w:val="22"/>
      <w:szCs w:val="22"/>
      <w:lang w:val="en-GB"/>
    </w:rPr>
  </w:style>
  <w:style w:type="paragraph" w:styleId="Header">
    <w:name w:val="header"/>
    <w:basedOn w:val="Normal"/>
    <w:link w:val="HeaderChar"/>
    <w:uiPriority w:val="99"/>
    <w:unhideWhenUsed/>
    <w:rsid w:val="008E041A"/>
    <w:pPr>
      <w:tabs>
        <w:tab w:val="center" w:pos="4536"/>
        <w:tab w:val="right" w:pos="9072"/>
      </w:tabs>
      <w:spacing w:after="0" w:line="240" w:lineRule="auto"/>
    </w:pPr>
  </w:style>
  <w:style w:type="character" w:customStyle="1" w:styleId="HeaderChar">
    <w:name w:val="Header Char"/>
    <w:basedOn w:val="DefaultParagraphFont"/>
    <w:link w:val="Header"/>
    <w:uiPriority w:val="99"/>
    <w:rsid w:val="008E041A"/>
    <w:rPr>
      <w:sz w:val="22"/>
      <w:szCs w:val="22"/>
      <w:lang w:val="en-GB"/>
    </w:rPr>
  </w:style>
  <w:style w:type="paragraph" w:styleId="Footer">
    <w:name w:val="footer"/>
    <w:basedOn w:val="Normal"/>
    <w:link w:val="FooterChar"/>
    <w:uiPriority w:val="99"/>
    <w:unhideWhenUsed/>
    <w:rsid w:val="008E041A"/>
    <w:pPr>
      <w:tabs>
        <w:tab w:val="center" w:pos="4536"/>
        <w:tab w:val="right" w:pos="9072"/>
      </w:tabs>
      <w:spacing w:after="0" w:line="240" w:lineRule="auto"/>
    </w:pPr>
  </w:style>
  <w:style w:type="character" w:customStyle="1" w:styleId="FooterChar">
    <w:name w:val="Footer Char"/>
    <w:basedOn w:val="DefaultParagraphFont"/>
    <w:link w:val="Footer"/>
    <w:uiPriority w:val="99"/>
    <w:rsid w:val="008E041A"/>
    <w:rPr>
      <w:sz w:val="22"/>
      <w:szCs w:val="22"/>
      <w:lang w:val="en-GB"/>
    </w:rPr>
  </w:style>
  <w:style w:type="character" w:styleId="LineNumber">
    <w:name w:val="line number"/>
    <w:basedOn w:val="DefaultParagraphFont"/>
    <w:uiPriority w:val="99"/>
    <w:semiHidden/>
    <w:unhideWhenUsed/>
    <w:rsid w:val="008E041A"/>
  </w:style>
  <w:style w:type="character" w:styleId="Hyperlink">
    <w:name w:val="Hyperlink"/>
    <w:basedOn w:val="DefaultParagraphFont"/>
    <w:uiPriority w:val="99"/>
    <w:unhideWhenUsed/>
    <w:rsid w:val="008E041A"/>
    <w:rPr>
      <w:color w:val="0563C1" w:themeColor="hyperlink"/>
      <w:u w:val="single"/>
    </w:rPr>
  </w:style>
  <w:style w:type="table" w:customStyle="1" w:styleId="EinfacheTabelle21">
    <w:name w:val="Einfache Tabelle 21"/>
    <w:basedOn w:val="TableNormal"/>
    <w:next w:val="PlainTable21"/>
    <w:uiPriority w:val="42"/>
    <w:rsid w:val="008E041A"/>
    <w:rPr>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8E041A"/>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customStyle="1" w:styleId="UnresolvedMention1">
    <w:name w:val="Unresolved Mention1"/>
    <w:basedOn w:val="DefaultParagraphFont"/>
    <w:uiPriority w:val="99"/>
    <w:semiHidden/>
    <w:unhideWhenUsed/>
    <w:rsid w:val="008E041A"/>
    <w:rPr>
      <w:color w:val="605E5C"/>
      <w:shd w:val="clear" w:color="auto" w:fill="E1DFDD"/>
    </w:rPr>
  </w:style>
  <w:style w:type="character" w:styleId="FollowedHyperlink">
    <w:name w:val="FollowedHyperlink"/>
    <w:basedOn w:val="DefaultParagraphFont"/>
    <w:uiPriority w:val="99"/>
    <w:semiHidden/>
    <w:unhideWhenUsed/>
    <w:rsid w:val="008E041A"/>
    <w:rPr>
      <w:color w:val="954F72" w:themeColor="followedHyperlink"/>
      <w:u w:val="single"/>
    </w:rPr>
  </w:style>
  <w:style w:type="character" w:styleId="PageNumber">
    <w:name w:val="page number"/>
    <w:basedOn w:val="DefaultParagraphFont"/>
    <w:uiPriority w:val="99"/>
    <w:semiHidden/>
    <w:unhideWhenUsed/>
    <w:rsid w:val="008E041A"/>
  </w:style>
  <w:style w:type="character" w:customStyle="1" w:styleId="NichtaufgelsteErwhnung1">
    <w:name w:val="Nicht aufgelöste Erwähnung1"/>
    <w:basedOn w:val="DefaultParagraphFont"/>
    <w:uiPriority w:val="99"/>
    <w:semiHidden/>
    <w:unhideWhenUsed/>
    <w:rsid w:val="008E04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igmaaldrich.com" TargetMode="External"/><Relationship Id="rId13" Type="http://schemas.openxmlformats.org/officeDocument/2006/relationships/hyperlink" Target="https://www.carbosynth.com" TargetMode="External"/><Relationship Id="rId3" Type="http://schemas.openxmlformats.org/officeDocument/2006/relationships/styles" Target="styles.xml"/><Relationship Id="rId7" Type="http://schemas.openxmlformats.org/officeDocument/2006/relationships/hyperlink" Target="https://www.nlm.nih.gov/toxnet" TargetMode="External"/><Relationship Id="rId12" Type="http://schemas.openxmlformats.org/officeDocument/2006/relationships/hyperlink" Target="http://www.npic.orst.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drugbank.ca/drugs" TargetMode="External"/><Relationship Id="rId11" Type="http://schemas.openxmlformats.org/officeDocument/2006/relationships/hyperlink" Target="https://comptox.epa.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thegoodscentscompany.com/" TargetMode="External"/><Relationship Id="rId4" Type="http://schemas.openxmlformats.org/officeDocument/2006/relationships/settings" Target="settings.xml"/><Relationship Id="rId9" Type="http://schemas.openxmlformats.org/officeDocument/2006/relationships/hyperlink" Target="https://pubchem.ncbi.nlm.nih.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792EF3-336D-4283-8E3C-7CC6E577E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43965</Words>
  <Characters>250603</Characters>
  <Application>Microsoft Office Word</Application>
  <DocSecurity>0</DocSecurity>
  <Lines>2088</Lines>
  <Paragraphs>587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293981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vonHellfeld</dc:creator>
  <cp:keywords/>
  <dc:description/>
  <cp:lastModifiedBy>Pavithra K.</cp:lastModifiedBy>
  <cp:revision>9</cp:revision>
  <dcterms:created xsi:type="dcterms:W3CDTF">2020-06-26T08:21:00Z</dcterms:created>
  <dcterms:modified xsi:type="dcterms:W3CDTF">2020-09-14T21:59:00Z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http://csl.mendeley.com/styles/461868281/ESEU</vt:lpwstr>
  </property>
  <property fmtid="{D5CDD505-2E9C-101B-9397-08002B2CF9AE}" pid="9" name="Mendeley Recent Style Name 3_1">
    <vt:lpwstr>ESEU RvH</vt:lpwstr>
  </property>
  <property fmtid="{D5CDD505-2E9C-101B-9397-08002B2CF9AE}" pid="10" name="Mendeley Recent Style Id 4_1">
    <vt:lpwstr>http://csl.mendeley.com/styles/461868281/ESEUnew</vt:lpwstr>
  </property>
  <property fmtid="{D5CDD505-2E9C-101B-9397-08002B2CF9AE}" pid="11" name="Mendeley Recent Style Name 4_1">
    <vt:lpwstr>ET&amp;C new</vt:lpwstr>
  </property>
  <property fmtid="{D5CDD505-2E9C-101B-9397-08002B2CF9AE}" pid="12" name="Mendeley Recent Style Id 5_1">
    <vt:lpwstr>http://csl.mendeley.com/styles/461868281/ETCref</vt:lpwstr>
  </property>
  <property fmtid="{D5CDD505-2E9C-101B-9397-08002B2CF9AE}" pid="13" name="Mendeley Recent Style Name 5_1">
    <vt:lpwstr>ET&amp;C style</vt:lpwstr>
  </property>
  <property fmtid="{D5CDD505-2E9C-101B-9397-08002B2CF9AE}" pid="14" name="Mendeley Recent Style Id 6_1">
    <vt:lpwstr>http://www.zotero.org/styles/environmental-sciences-europe</vt:lpwstr>
  </property>
  <property fmtid="{D5CDD505-2E9C-101B-9397-08002B2CF9AE}" pid="15" name="Mendeley Recent Style Name 6_1">
    <vt:lpwstr>Environmental Sciences Europe</vt:lpwstr>
  </property>
  <property fmtid="{D5CDD505-2E9C-101B-9397-08002B2CF9AE}" pid="16" name="Mendeley Recent Style Id 7_1">
    <vt:lpwstr>http://www.zotero.org/styles/harvard-educational-review</vt:lpwstr>
  </property>
  <property fmtid="{D5CDD505-2E9C-101B-9397-08002B2CF9AE}" pid="17" name="Mendeley Recent Style Name 7_1">
    <vt:lpwstr>Harvard Educational Review</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http://www.zotero.org/styles/environmental-sciences-europe</vt:lpwstr>
  </property>
  <property fmtid="{D5CDD505-2E9C-101B-9397-08002B2CF9AE}" pid="23" name="Mendeley Document_1">
    <vt:lpwstr>True</vt:lpwstr>
  </property>
  <property fmtid="{D5CDD505-2E9C-101B-9397-08002B2CF9AE}" pid="24" name="Mendeley Unique User Id_1">
    <vt:lpwstr>598b600d-2773-31e3-bc83-0968aa889914</vt:lpwstr>
  </property>
</Properties>
</file>