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8D504" w14:textId="5A7D65D8" w:rsidR="003A45CF" w:rsidRPr="005D5611" w:rsidRDefault="003A45CF" w:rsidP="003A45CF">
      <w:pPr>
        <w:spacing w:line="480" w:lineRule="auto"/>
        <w:jc w:val="center"/>
        <w:rPr>
          <w:rFonts w:ascii="Times New Roman" w:hAnsi="Times New Roman"/>
          <w:sz w:val="36"/>
          <w:szCs w:val="36"/>
        </w:rPr>
      </w:pPr>
      <w:r w:rsidRPr="005D5611">
        <w:rPr>
          <w:rFonts w:ascii="Times New Roman" w:hAnsi="Times New Roman"/>
          <w:sz w:val="36"/>
          <w:szCs w:val="36"/>
        </w:rPr>
        <w:t>Supplementary Materials for</w:t>
      </w:r>
    </w:p>
    <w:p w14:paraId="5440E274" w14:textId="77777777" w:rsidR="003A45CF" w:rsidRPr="005D5611" w:rsidRDefault="003A45CF" w:rsidP="003A45CF">
      <w:pPr>
        <w:spacing w:line="480" w:lineRule="auto"/>
        <w:jc w:val="center"/>
        <w:rPr>
          <w:rFonts w:ascii="Times New Roman" w:hAnsi="Times New Roman"/>
          <w:sz w:val="28"/>
          <w:szCs w:val="28"/>
        </w:rPr>
      </w:pPr>
      <w:r w:rsidRPr="005D5611">
        <w:rPr>
          <w:rFonts w:ascii="Times New Roman" w:hAnsi="Times New Roman"/>
          <w:sz w:val="28"/>
          <w:szCs w:val="28"/>
        </w:rPr>
        <w:t>Bio-economics of Indian hybrid Bt cotton and farmer suicides</w:t>
      </w:r>
    </w:p>
    <w:p w14:paraId="583C5A79" w14:textId="77777777" w:rsidR="003A45CF" w:rsidRPr="005D5611" w:rsidRDefault="003A45CF" w:rsidP="003A45CF">
      <w:pPr>
        <w:pStyle w:val="Authors"/>
        <w:spacing w:before="0" w:after="0" w:line="480" w:lineRule="auto"/>
        <w:rPr>
          <w:lang w:val="it-IT"/>
        </w:rPr>
      </w:pPr>
      <w:r w:rsidRPr="005D5611">
        <w:t xml:space="preserve">Andrew Paul Gutierrez, Luigi Ponti, Keshav R. Kranthi, Johann Baumgärtner, Peter. </w:t>
      </w:r>
      <w:r w:rsidRPr="005D5611">
        <w:rPr>
          <w:lang w:val="it-IT"/>
        </w:rPr>
        <w:t>E. Kenmore, Gianni Gilioli, Antonio Boggia, Jose Ricardo Cure, Daniel Rodríguez</w:t>
      </w:r>
    </w:p>
    <w:p w14:paraId="1E67C819" w14:textId="77777777" w:rsidR="003A45CF" w:rsidRPr="005D5611" w:rsidRDefault="003A45CF" w:rsidP="003A45CF">
      <w:pPr>
        <w:spacing w:line="480" w:lineRule="auto"/>
      </w:pPr>
      <w:r w:rsidRPr="005D5611">
        <w:rPr>
          <w:rFonts w:ascii="Times New Roman" w:hAnsi="Times New Roman"/>
          <w:sz w:val="24"/>
          <w:szCs w:val="24"/>
        </w:rPr>
        <w:t xml:space="preserve">Correspondence to: </w:t>
      </w:r>
      <w:hyperlink r:id="rId8" w:history="1">
        <w:r w:rsidRPr="005D5611">
          <w:rPr>
            <w:rStyle w:val="Hyperlink"/>
            <w:rFonts w:ascii="Times New Roman" w:hAnsi="Times New Roman"/>
            <w:sz w:val="24"/>
            <w:szCs w:val="24"/>
          </w:rPr>
          <w:t>CASAS.Global@berkeley.edu</w:t>
        </w:r>
      </w:hyperlink>
      <w:bookmarkStart w:id="0" w:name="Tables"/>
      <w:bookmarkStart w:id="1" w:name="MaterialsMethods"/>
      <w:bookmarkEnd w:id="0"/>
      <w:bookmarkEnd w:id="1"/>
      <w:r w:rsidRPr="005D5611">
        <w:t>Supplementary materials</w:t>
      </w:r>
    </w:p>
    <w:p w14:paraId="0E742F64" w14:textId="77777777" w:rsidR="003A45CF" w:rsidRPr="005D5611" w:rsidRDefault="003A45CF" w:rsidP="003A45CF">
      <w:pPr>
        <w:pStyle w:val="SMText"/>
        <w:ind w:firstLine="0"/>
        <w:rPr>
          <w:szCs w:val="24"/>
        </w:rPr>
      </w:pPr>
      <w:r w:rsidRPr="005D5611">
        <w:rPr>
          <w:szCs w:val="24"/>
        </w:rPr>
        <w:t>Supplemental materials - Table of contents:</w:t>
      </w:r>
    </w:p>
    <w:p w14:paraId="1A4ACDAC" w14:textId="77777777" w:rsidR="003A45CF" w:rsidRPr="005D5611" w:rsidRDefault="003A45CF" w:rsidP="003A45CF">
      <w:pPr>
        <w:pStyle w:val="SMText"/>
        <w:spacing w:line="360" w:lineRule="auto"/>
        <w:rPr>
          <w:szCs w:val="24"/>
          <w:u w:val="single"/>
        </w:rPr>
      </w:pPr>
      <w:r w:rsidRPr="005D5611">
        <w:rPr>
          <w:szCs w:val="24"/>
          <w:u w:val="single"/>
        </w:rPr>
        <w:t>S1 Approaches to analyze ecological complexity</w:t>
      </w:r>
    </w:p>
    <w:p w14:paraId="42C0F7C1" w14:textId="77777777" w:rsidR="003A45CF" w:rsidRPr="005D5611" w:rsidRDefault="003A45CF" w:rsidP="003A45CF">
      <w:pPr>
        <w:pStyle w:val="SMText"/>
        <w:spacing w:line="360" w:lineRule="auto"/>
        <w:ind w:left="720" w:firstLine="720"/>
        <w:rPr>
          <w:szCs w:val="24"/>
        </w:rPr>
      </w:pPr>
      <w:r w:rsidRPr="005D5611">
        <w:rPr>
          <w:szCs w:val="24"/>
        </w:rPr>
        <w:t>S1.1 Species Distribution Models (SDMs) and Ecological Niche Models (ENM</w:t>
      </w:r>
      <w:r>
        <w:rPr>
          <w:szCs w:val="24"/>
        </w:rPr>
        <w:t>s</w:t>
      </w:r>
      <w:r w:rsidRPr="005D5611">
        <w:rPr>
          <w:szCs w:val="24"/>
        </w:rPr>
        <w:t>)</w:t>
      </w:r>
    </w:p>
    <w:p w14:paraId="7FED90C2" w14:textId="77777777" w:rsidR="003A45CF" w:rsidRPr="005D5611" w:rsidRDefault="003A45CF" w:rsidP="003A45CF">
      <w:pPr>
        <w:pStyle w:val="SMText"/>
        <w:spacing w:line="360" w:lineRule="auto"/>
        <w:ind w:left="720" w:firstLine="720"/>
        <w:rPr>
          <w:szCs w:val="24"/>
        </w:rPr>
      </w:pPr>
      <w:r w:rsidRPr="005D5611">
        <w:rPr>
          <w:szCs w:val="24"/>
        </w:rPr>
        <w:t>S1.2 Mathematical models of populations</w:t>
      </w:r>
    </w:p>
    <w:p w14:paraId="57D76706" w14:textId="77777777" w:rsidR="003A45CF" w:rsidRPr="005D5611" w:rsidRDefault="003A45CF" w:rsidP="003A45CF">
      <w:pPr>
        <w:pStyle w:val="SMText"/>
        <w:spacing w:line="360" w:lineRule="auto"/>
        <w:ind w:left="720" w:firstLine="720"/>
        <w:rPr>
          <w:szCs w:val="24"/>
        </w:rPr>
      </w:pPr>
      <w:r w:rsidRPr="005D5611">
        <w:rPr>
          <w:szCs w:val="24"/>
        </w:rPr>
        <w:t>S1.3 Eco-physiological-thermodynamic approaches</w:t>
      </w:r>
    </w:p>
    <w:p w14:paraId="7D983774" w14:textId="77777777" w:rsidR="003A45CF" w:rsidRPr="005D5611" w:rsidRDefault="003A45CF" w:rsidP="003A45CF">
      <w:pPr>
        <w:pStyle w:val="SMText"/>
        <w:spacing w:line="360" w:lineRule="auto"/>
        <w:rPr>
          <w:szCs w:val="24"/>
          <w:u w:val="single"/>
        </w:rPr>
      </w:pPr>
      <w:r w:rsidRPr="005D5611">
        <w:rPr>
          <w:szCs w:val="24"/>
          <w:u w:val="single"/>
        </w:rPr>
        <w:t>S2 Analogies between biological and human economic systems</w:t>
      </w:r>
    </w:p>
    <w:p w14:paraId="53945B05" w14:textId="77777777" w:rsidR="003A45CF" w:rsidRPr="005D5611" w:rsidRDefault="003A45CF" w:rsidP="003A45CF">
      <w:pPr>
        <w:pStyle w:val="SMText"/>
        <w:spacing w:line="360" w:lineRule="auto"/>
        <w:rPr>
          <w:szCs w:val="24"/>
          <w:u w:val="single"/>
        </w:rPr>
      </w:pPr>
      <w:r w:rsidRPr="005D5611">
        <w:rPr>
          <w:szCs w:val="24"/>
          <w:u w:val="single"/>
        </w:rPr>
        <w:t>S3 Physiologically based demographic models</w:t>
      </w:r>
    </w:p>
    <w:p w14:paraId="7D74AEA5" w14:textId="77777777" w:rsidR="003A45CF" w:rsidRPr="005D5611" w:rsidRDefault="003A45CF" w:rsidP="003A45CF">
      <w:pPr>
        <w:pStyle w:val="SMText"/>
        <w:spacing w:line="360" w:lineRule="auto"/>
        <w:ind w:left="720" w:firstLine="720"/>
        <w:rPr>
          <w:szCs w:val="24"/>
        </w:rPr>
      </w:pPr>
      <w:r w:rsidRPr="005D5611">
        <w:rPr>
          <w:szCs w:val="24"/>
        </w:rPr>
        <w:t>S3.1 Simple PBDM/MP systems</w:t>
      </w:r>
    </w:p>
    <w:p w14:paraId="005CFC5C" w14:textId="77777777" w:rsidR="003A45CF" w:rsidRPr="005D5611" w:rsidRDefault="003A45CF" w:rsidP="003A45CF">
      <w:pPr>
        <w:pStyle w:val="SMText"/>
        <w:spacing w:line="360" w:lineRule="auto"/>
        <w:ind w:left="1440" w:firstLine="0"/>
        <w:rPr>
          <w:szCs w:val="24"/>
        </w:rPr>
      </w:pPr>
      <w:r w:rsidRPr="005D5611">
        <w:rPr>
          <w:szCs w:val="24"/>
        </w:rPr>
        <w:t>S3.2 PBDM/MP with age, stage, and mass structured and distributed maturation times</w:t>
      </w:r>
    </w:p>
    <w:p w14:paraId="0A4A1830" w14:textId="77777777" w:rsidR="003A45CF" w:rsidRPr="005D5611" w:rsidRDefault="003A45CF" w:rsidP="003A45CF">
      <w:pPr>
        <w:pStyle w:val="SMText"/>
        <w:spacing w:line="360" w:lineRule="auto"/>
        <w:ind w:left="720" w:firstLine="720"/>
        <w:rPr>
          <w:szCs w:val="24"/>
        </w:rPr>
      </w:pPr>
      <w:r w:rsidRPr="005D5611">
        <w:rPr>
          <w:szCs w:val="24"/>
        </w:rPr>
        <w:t>S3.3 Modeling individual organisms</w:t>
      </w:r>
    </w:p>
    <w:p w14:paraId="578E96D8" w14:textId="77777777" w:rsidR="003A45CF" w:rsidRPr="005D5611" w:rsidRDefault="003A45CF" w:rsidP="003A45CF">
      <w:pPr>
        <w:pStyle w:val="SMText"/>
        <w:spacing w:line="360" w:lineRule="auto"/>
        <w:ind w:left="720" w:firstLine="720"/>
        <w:rPr>
          <w:szCs w:val="24"/>
        </w:rPr>
      </w:pPr>
      <w:r w:rsidRPr="005D5611">
        <w:rPr>
          <w:szCs w:val="24"/>
        </w:rPr>
        <w:t>S3.4 Realistic population dynamics models of poikilotherms (e.g., plants, insects)</w:t>
      </w:r>
    </w:p>
    <w:p w14:paraId="143DC789" w14:textId="77777777" w:rsidR="003A45CF" w:rsidRPr="005D5611" w:rsidRDefault="003A45CF" w:rsidP="003A45CF">
      <w:pPr>
        <w:pStyle w:val="SMText"/>
        <w:spacing w:line="360" w:lineRule="auto"/>
        <w:ind w:left="720" w:firstLine="720"/>
        <w:rPr>
          <w:szCs w:val="24"/>
        </w:rPr>
      </w:pPr>
      <w:r w:rsidRPr="005D5611">
        <w:rPr>
          <w:szCs w:val="24"/>
        </w:rPr>
        <w:t>S3.5 Individual models of higher trophic levels</w:t>
      </w:r>
    </w:p>
    <w:p w14:paraId="211C8C9E" w14:textId="77777777" w:rsidR="003A45CF" w:rsidRPr="005D5611" w:rsidRDefault="003A45CF" w:rsidP="003A45CF">
      <w:pPr>
        <w:pStyle w:val="SMText"/>
        <w:spacing w:line="360" w:lineRule="auto"/>
        <w:ind w:left="720" w:firstLine="720"/>
        <w:rPr>
          <w:szCs w:val="24"/>
        </w:rPr>
      </w:pPr>
      <w:r w:rsidRPr="005D5611">
        <w:rPr>
          <w:szCs w:val="24"/>
        </w:rPr>
        <w:t>S3.6 Meta populations across trophic levels</w:t>
      </w:r>
    </w:p>
    <w:p w14:paraId="5F4B4590" w14:textId="77777777" w:rsidR="003A45CF" w:rsidRPr="005D5611" w:rsidRDefault="003A45CF" w:rsidP="003A45CF">
      <w:pPr>
        <w:pStyle w:val="SMText"/>
        <w:spacing w:line="360" w:lineRule="auto"/>
        <w:rPr>
          <w:szCs w:val="24"/>
          <w:u w:val="single"/>
        </w:rPr>
      </w:pPr>
      <w:r w:rsidRPr="005D5611">
        <w:rPr>
          <w:szCs w:val="24"/>
          <w:u w:val="single"/>
        </w:rPr>
        <w:t>S4 Simplifying PBDM development using biodemographic functions (BDFs)</w:t>
      </w:r>
    </w:p>
    <w:p w14:paraId="65B8A00B" w14:textId="77777777" w:rsidR="003A45CF" w:rsidRPr="005D5611" w:rsidRDefault="003A45CF" w:rsidP="003A45CF">
      <w:pPr>
        <w:pStyle w:val="SMText"/>
        <w:spacing w:line="360" w:lineRule="auto"/>
        <w:ind w:left="720" w:firstLine="720"/>
        <w:rPr>
          <w:szCs w:val="24"/>
        </w:rPr>
      </w:pPr>
      <w:r w:rsidRPr="005D5611">
        <w:rPr>
          <w:szCs w:val="24"/>
        </w:rPr>
        <w:t>S4.1 Temperature dependent developmental rates</w:t>
      </w:r>
    </w:p>
    <w:p w14:paraId="76E0B410" w14:textId="77777777" w:rsidR="003A45CF" w:rsidRPr="005D5611" w:rsidRDefault="003A45CF" w:rsidP="003A45CF">
      <w:pPr>
        <w:pStyle w:val="SMText"/>
        <w:spacing w:line="360" w:lineRule="auto"/>
        <w:ind w:left="720" w:firstLine="720"/>
        <w:rPr>
          <w:szCs w:val="24"/>
        </w:rPr>
      </w:pPr>
      <w:r w:rsidRPr="005D5611">
        <w:rPr>
          <w:szCs w:val="24"/>
        </w:rPr>
        <w:t>S4.2 The functional response model</w:t>
      </w:r>
    </w:p>
    <w:p w14:paraId="2568C37F" w14:textId="77777777" w:rsidR="003A45CF" w:rsidRPr="005D5611" w:rsidRDefault="003A45CF" w:rsidP="003A45CF">
      <w:pPr>
        <w:pStyle w:val="SMText"/>
        <w:spacing w:line="360" w:lineRule="auto"/>
        <w:ind w:left="720" w:firstLine="720"/>
        <w:rPr>
          <w:szCs w:val="24"/>
        </w:rPr>
      </w:pPr>
      <w:r w:rsidRPr="005D5611">
        <w:rPr>
          <w:szCs w:val="24"/>
        </w:rPr>
        <w:t>S4.3 Reproduction</w:t>
      </w:r>
    </w:p>
    <w:p w14:paraId="3F20B860" w14:textId="77777777" w:rsidR="003A45CF" w:rsidRPr="005D5611" w:rsidRDefault="003A45CF" w:rsidP="003A45CF">
      <w:pPr>
        <w:pStyle w:val="SMText"/>
        <w:spacing w:line="360" w:lineRule="auto"/>
        <w:ind w:left="720" w:firstLine="720"/>
        <w:rPr>
          <w:szCs w:val="24"/>
        </w:rPr>
      </w:pPr>
      <w:r w:rsidRPr="005D5611">
        <w:rPr>
          <w:szCs w:val="24"/>
        </w:rPr>
        <w:t>S4.4 Mortality</w:t>
      </w:r>
    </w:p>
    <w:p w14:paraId="654E2186" w14:textId="77777777" w:rsidR="003A45CF" w:rsidRPr="005D5611" w:rsidRDefault="003A45CF" w:rsidP="003A45CF">
      <w:pPr>
        <w:pStyle w:val="SMText"/>
        <w:spacing w:line="360" w:lineRule="auto"/>
        <w:ind w:left="720" w:firstLine="720"/>
        <w:rPr>
          <w:szCs w:val="24"/>
        </w:rPr>
      </w:pPr>
      <w:r w:rsidRPr="005D5611">
        <w:rPr>
          <w:szCs w:val="24"/>
        </w:rPr>
        <w:t>S4.5 Dormancy</w:t>
      </w:r>
    </w:p>
    <w:p w14:paraId="01690C0B" w14:textId="77777777" w:rsidR="003A45CF" w:rsidRPr="005D5611" w:rsidRDefault="003A45CF" w:rsidP="003A45CF">
      <w:pPr>
        <w:pStyle w:val="SMText"/>
        <w:spacing w:line="360" w:lineRule="auto"/>
        <w:rPr>
          <w:szCs w:val="24"/>
          <w:u w:val="single"/>
        </w:rPr>
      </w:pPr>
      <w:r w:rsidRPr="005D5611">
        <w:rPr>
          <w:szCs w:val="24"/>
          <w:u w:val="single"/>
        </w:rPr>
        <w:t>S5 Borland Pascal code for the delay model with and without attrition</w:t>
      </w:r>
    </w:p>
    <w:p w14:paraId="35FFA6DD" w14:textId="4BD7B374" w:rsidR="003A45CF" w:rsidRDefault="003A45CF" w:rsidP="003A45CF">
      <w:pPr>
        <w:pStyle w:val="SMText"/>
        <w:spacing w:line="360" w:lineRule="auto"/>
        <w:rPr>
          <w:noProof/>
          <w:szCs w:val="24"/>
          <w:u w:val="single"/>
        </w:rPr>
      </w:pPr>
      <w:r w:rsidRPr="005D5611">
        <w:rPr>
          <w:noProof/>
          <w:szCs w:val="24"/>
          <w:u w:val="single"/>
        </w:rPr>
        <w:t>S6 Summaries of statewide data for AP, GJ,</w:t>
      </w:r>
      <w:r>
        <w:rPr>
          <w:noProof/>
          <w:szCs w:val="24"/>
          <w:u w:val="single"/>
        </w:rPr>
        <w:t xml:space="preserve"> </w:t>
      </w:r>
      <w:r w:rsidRPr="005D5611">
        <w:rPr>
          <w:noProof/>
          <w:szCs w:val="24"/>
          <w:u w:val="single"/>
        </w:rPr>
        <w:t>KA, MH</w:t>
      </w:r>
      <w:r>
        <w:rPr>
          <w:noProof/>
          <w:szCs w:val="24"/>
          <w:u w:val="single"/>
        </w:rPr>
        <w:t>, and</w:t>
      </w:r>
      <w:r w:rsidRPr="005D5611">
        <w:rPr>
          <w:noProof/>
          <w:szCs w:val="24"/>
          <w:u w:val="single"/>
        </w:rPr>
        <w:t xml:space="preserve"> MP used in the text</w:t>
      </w:r>
    </w:p>
    <w:p w14:paraId="2BB12DDA" w14:textId="4086C429" w:rsidR="003A45CF" w:rsidRPr="005D5611" w:rsidRDefault="00542149" w:rsidP="00542149">
      <w:pPr>
        <w:pStyle w:val="SMText"/>
        <w:rPr>
          <w:sz w:val="22"/>
          <w:szCs w:val="22"/>
          <w:u w:val="single"/>
        </w:rPr>
      </w:pPr>
      <w:r w:rsidRPr="00542149">
        <w:rPr>
          <w:noProof/>
          <w:szCs w:val="24"/>
          <w:u w:val="words"/>
        </w:rPr>
        <w:t>References found only in Supplementary materials</w:t>
      </w:r>
    </w:p>
    <w:p w14:paraId="4738C0AA" w14:textId="77777777" w:rsidR="003A45CF" w:rsidRPr="005D5611" w:rsidRDefault="003A45CF" w:rsidP="003A45CF">
      <w:pPr>
        <w:pStyle w:val="SMText"/>
        <w:spacing w:line="360" w:lineRule="auto"/>
        <w:ind w:firstLine="0"/>
        <w:rPr>
          <w:sz w:val="22"/>
          <w:szCs w:val="22"/>
          <w:u w:val="single"/>
        </w:rPr>
      </w:pPr>
    </w:p>
    <w:p w14:paraId="674403A3" w14:textId="77777777" w:rsidR="003A45CF" w:rsidRPr="00395E09" w:rsidRDefault="003A45CF" w:rsidP="003A45CF">
      <w:pPr>
        <w:pStyle w:val="SMText"/>
        <w:spacing w:line="360" w:lineRule="auto"/>
        <w:ind w:firstLine="0"/>
        <w:rPr>
          <w:sz w:val="28"/>
          <w:szCs w:val="28"/>
          <w:u w:val="words"/>
        </w:rPr>
      </w:pPr>
      <w:r w:rsidRPr="00395E09">
        <w:rPr>
          <w:sz w:val="28"/>
          <w:szCs w:val="28"/>
          <w:u w:val="words"/>
        </w:rPr>
        <w:t>S1 Approaches to analyze ecological complexity</w:t>
      </w:r>
      <w:bookmarkStart w:id="2" w:name="_Toc15650832"/>
    </w:p>
    <w:p w14:paraId="374C61CD" w14:textId="5A3855D1" w:rsidR="003A45CF" w:rsidRPr="005D5611" w:rsidRDefault="003A45CF" w:rsidP="003A45CF">
      <w:pPr>
        <w:pStyle w:val="SMText"/>
        <w:ind w:firstLine="0"/>
      </w:pPr>
      <w:r w:rsidRPr="005D5611">
        <w:rPr>
          <w:b/>
          <w:bCs/>
        </w:rPr>
        <w:t>S1.1 Species Distribution Models (SDMs) and Ecological Niche Models (ENM</w:t>
      </w:r>
      <w:r>
        <w:rPr>
          <w:b/>
          <w:bCs/>
        </w:rPr>
        <w:t>s</w:t>
      </w:r>
      <w:r w:rsidRPr="005D5611">
        <w:rPr>
          <w:b/>
          <w:bCs/>
        </w:rPr>
        <w:t>)</w:t>
      </w:r>
      <w:bookmarkEnd w:id="2"/>
      <w:r w:rsidRPr="005D5611">
        <w:rPr>
          <w:b/>
          <w:bCs/>
        </w:rPr>
        <w:t xml:space="preserve"> -</w:t>
      </w:r>
      <w:r w:rsidRPr="005D5611">
        <w:t xml:space="preserve"> </w:t>
      </w:r>
      <w:r w:rsidRPr="005D5611">
        <w:rPr>
          <w:rFonts w:eastAsiaTheme="minorHAnsi"/>
        </w:rPr>
        <w:t xml:space="preserve">SDMs and ENMs are tools used to generate probabilistic predictions of the distribution of biological entities in geographical space </w:t>
      </w:r>
      <w:r w:rsidRPr="005D5611">
        <w:rPr>
          <w:rFonts w:eastAsiaTheme="minorHAnsi"/>
        </w:rPr>
        <w:fldChar w:fldCharType="begin"/>
      </w:r>
      <w:r w:rsidR="002F5A10">
        <w:rPr>
          <w:rFonts w:eastAsiaTheme="minorHAnsi"/>
        </w:rPr>
        <w:instrText xml:space="preserve"> ADDIN ZOTERO_ITEM CSL_CITATION {"citationID":"FXZv9UDB","properties":{"formattedCitation":"[57, 58]","plainCitation":"[57, 58]","noteIndex":0},"citationItems":[{"id":12275,"uris":["http://zotero.org/users/1272936/items/GG86TGHW"],"uri":["http://zotero.org/users/1272936/items/GG86TGHW"],"itemData":{"id":12275,"type":"article-journal","abstract":"With the rise of new powerful statistical techniques and GIS tools, the development of predictive habitat distribution models has rapidly increased in ecology. Such models are static and probabilistic in nature, since they statistically relate the geographical distribution of species or communities to their present environment. A wide array of models has been developed to cover aspects as diverse as biogeography, conservation biology, climate change research, and habitat or species management. In this paper, we present a review of predictive habitat distribution modeling. The variety of statistical techniques used is growing. Ordinary multiple regression and its generalized form (GLM) are very popular and are often used for modeling species distributions. Other methods include neural networks, ordination and classification methods, Bayesian models, locally weighted approaches (e.g. GAM), environmental envelopes or even combinations of these models. The selection of an appropriate method should not depend solely on statistical considerations. Some models are better suited to reflect theoretical findings on the shape and nature of the species’ response (or realized niche). Conceptual considerations include e.g. the trade-off between optimizing accuracy versus optimizing generality. In the field of static distribution modeling, the latter is mostly related to selecting appropriate predictor variables and to designing an appropriate procedure for model selection. New methods, including threshold-independent measures (e.g. receiver operating characteristic (ROC)-plots) and resampling techniques (e.g. bootstrap, cross-validation) have been introduced in ecology for testing the accuracy of predictive models. The choice of an evaluation measure should be driven primarily by the goals of the study. This may possibly lead to the attribution of different weights to the various types of prediction errors (e.g. omission, commission or confusion). Testing the model in a wider range of situations (in space and time) will permit one to define the range of applications for which the model predictions are suitable. In turn, the qualification of the model depends primarily on the goals of the study that define the qualification criteria and on the usability of the model, rather than on statistics alone.","container-title":"Ecological Modelling","DOI":"10.1016/S0304-3800(00)00354-9","ISSN":"0304-3800","issue":"2","journalAbbreviation":"Ecological Modelling","page":"147-186","source":"ScienceDirect","title":"Predictive habitat distribution models in ecology","volume":"135","author":[{"family":"Guisan","given":"Antoine"},{"family":"Zimmermann","given":"Niklaus E."}],"issued":{"date-parts":[["2000",12,5]]}}},{"id":2662,"uris":["http://zotero.org/users/1272936/items/8S8NKVE8"],"uri":["http://zotero.org/users/1272936/items/8S8NKVE8"],"itemData":{"id":2662,"type":"article-journal","container-title":"Ecography","issue":"2","page":"129-151","title":"Novel methods improve prediction of species’ distributions from occurrence data","volume":"29","author":[{"family":"Elith","given":"Jane"},{"family":"H. Graham","given":"Catherine"},{"family":"P. Anderson","given":"Robert"},{"family":"Dudík","given":"Miroslav"},{"family":"Ferrier","given":"Simon"},{"family":"Guisan","given":"Antoine"},{"family":"J. Hijmans","given":"Robert"},{"family":"Huettmann","given":"Falk"},{"family":"R. Leathwick","given":"John"},{"family":"Lehmann","given":"Anthony"},{"family":"Li","given":"Jin"},{"family":"G. Lohmann","given":"Lucia"},{"family":"A. Loiselle","given":"Bette"},{"family":"Manion","given":"Glenn"},{"family":"Moritz","given":"Craig"},{"family":"Nakamura","given":"Miguel"},{"family":"Nakazawa","given":"Yoshinori"},{"family":"McC. M. Overton","given":"Jacob"},{"family":"Townsend Peterson","given":"A."},{"family":"J. Phillips","given":"Steven"},{"family":"Richardson","given":"Karen"},{"family":"Scachetti-Pereira","given":"Ricardo"},{"family":"E. Schapire","given":"Robert"},{"family":"Soberón","given":"Jorge"},{"family":"Williams","given":"Stephen"},{"family":"S. Wisz","given":"Mary"},{"family":"E. Zimmermann","given":"Niklaus"}],"issued":{"date-parts":[["2006"]]}}}],"schema":"https://github.com/citation-style-language/schema/raw/master/csl-citation.json"} </w:instrText>
      </w:r>
      <w:r w:rsidRPr="005D5611">
        <w:rPr>
          <w:rFonts w:eastAsiaTheme="minorHAnsi"/>
        </w:rPr>
        <w:fldChar w:fldCharType="separate"/>
      </w:r>
      <w:r w:rsidR="00C51ED3">
        <w:t>[57, 58]</w:t>
      </w:r>
      <w:r w:rsidRPr="005D5611">
        <w:rPr>
          <w:rFonts w:eastAsiaTheme="minorHAnsi"/>
        </w:rPr>
        <w:fldChar w:fldCharType="end"/>
      </w:r>
      <w:r w:rsidRPr="005D5611">
        <w:rPr>
          <w:rFonts w:eastAsiaTheme="minorHAnsi"/>
        </w:rPr>
        <w:t xml:space="preserve">. They </w:t>
      </w:r>
      <w:r w:rsidRPr="005D5611">
        <w:t xml:space="preserve">may be statistical, physiological indices or based on information theory (see </w:t>
      </w:r>
      <w:r w:rsidRPr="005D5611">
        <w:fldChar w:fldCharType="begin"/>
      </w:r>
      <w:r w:rsidR="002F5A10">
        <w:instrText xml:space="preserve"> ADDIN ZOTERO_ITEM CSL_CITATION {"citationID":"yQ4DUI7u","properties":{"formattedCitation":"[59, 60]","plainCitation":"[59, 60]","noteIndex":0},"citationItems":[{"id":4400,"uris":["http://zotero.org/users/1272936/items/6245E33V"],"uri":["http://zotero.org/users/1272936/items/6245E33V"],"itemData":{"id":4400,"type":"article-journal","abstract":"A wide range of insects affect crop production and cause considerable yield losses. Difficulties reside on the development and adaptation of adequate strategies to predict insect pests for their timely management to ensure enhanced agricultural production. Several conceptual modelling frameworks have been proposed, and the choice of an approach depends largely on the objective of the model and the availability of data. This paper presents a summary of decades of advances in insect population dynamics, phenology models, distribution and risk mapping. Existing challenges on the modelling of insects are listed; followed by innovations in the field. New approaches include artificial neural networks, cellular automata (CA) coupled with fuzzy logic (FL), fractal, multi-fractal, percolation, synchronization and individual/agent-based approaches. A concept for assessing climate change impacts and providing adaptation options for agricultural pest management independently of the United Nations Intergovernmental Panel on Climate Change (IPCC) emission scenarios is suggested. A framework for estimating losses and optimizing yields within crop production system is proposed and a summary on modelling the economic impact of pests control is presented. The assessment shows that the majority of known insect modelling approaches are not holistic; they only concentrate on a single component of the system, i.e. the pest, rather than the whole crop production system. We suggest system thinking as a possible approach for linking crop, pest, and environmental conditions to provide a more comprehensive assessment of agricultural crop production.","container-title":"Ecological Modelling","DOI":"10.1016/j.ecolmodel.2017.03.015","ISSN":"0304-3800","journalAbbreviation":"Ecological Modelling","page":"88-103","source":"ScienceDirect","title":"Advances in crop insect modelling methods—Towards a whole system approach","volume":"354","author":[{"family":"Tonnang","given":"Henri E. Z."},{"family":"Hervé","given":"Bisseleua D. B."},{"family":"Biber-Freudenberger","given":"Lisa"},{"family":"Salifu","given":"Daisy"},{"family":"Subramanian","given":"Sevgan"},{"family":"Ngowi","given":"Valentine B."},{"family":"Guimapi","given":"Ritter Y. A."},{"family":"Anani","given":"Bruce"},{"family":"Kakmeni","given":"Francois M. M."},{"family":"Affognon","given":"Hippolyte"},{"family":"Niassy","given":"Saliou"},{"family":"Landmann","given":"Tobias"},{"family":"Ndjomatchoua","given":"Frank T."},{"family":"Pedro","given":"Sansao A."},{"family":"Johansson","given":"Tino"},{"family":"Tanga","given":"Chrysantus M."},{"family":"Nana","given":"Paulin"},{"family":"Fiaboe","given":"Komi M."},{"family":"Mohamed","given":"Samira F."},{"family":"Maniania","given":"Nguya K."},{"family":"Nedorezov","given":"Lev V."},{"family":"Ekesi","given":"Sunday"},{"family":"Borgemeister","given":"Christian"}],"issued":{"date-parts":[["2017",6,24]]}}},{"id":1826,"uris":["http://zotero.org/users/1272936/items/VEB7ZI2H"],"uri":["http://zotero.org/users/1272936/items/VEB7ZI2H"],"itemData":{"id":1826,"type":"article-journal","container-title":"Annual Review of Ecology, Evolution, and Systematics","DOI":"10.1146/annurev.ecolsys.110308.120159","ISSN":"1543-592X","journalAbbreviation":"Annu. Rev. Ecol. Evol. Syst.","page":"677-697","title":"Species distribution models: ecological explanation and prediction across space and time","volume":"40","author":[{"family":"Elith","given":"J."},{"family":"Leathwick","given":"J. R."}],"issued":{"date-parts":[["2009"]]}}}],"schema":"https://github.com/citation-style-language/schema/raw/master/csl-citation.json"} </w:instrText>
      </w:r>
      <w:r w:rsidRPr="005D5611">
        <w:fldChar w:fldCharType="separate"/>
      </w:r>
      <w:r w:rsidR="00C51ED3">
        <w:t>[59, 60]</w:t>
      </w:r>
      <w:r w:rsidRPr="005D5611">
        <w:fldChar w:fldCharType="end"/>
      </w:r>
      <w:r w:rsidRPr="005D5611">
        <w:t xml:space="preserve">) and </w:t>
      </w:r>
      <w:r w:rsidRPr="005D5611">
        <w:rPr>
          <w:rFonts w:eastAsiaTheme="minorHAnsi"/>
        </w:rPr>
        <w:t xml:space="preserve">operate through the establishment of an empirical link between known presence locations and the physical characteristics of the environment where the entities were recorded. Among these methods are </w:t>
      </w:r>
      <w:r w:rsidRPr="005D5611">
        <w:t xml:space="preserve">correlative climate envelope models of species developed to characterize climatically the geographic range of species based on aggregate weather data and other factors in areas of their recorded distribution </w:t>
      </w:r>
      <w:r w:rsidRPr="005D5611">
        <w:fldChar w:fldCharType="begin"/>
      </w:r>
      <w:r w:rsidR="002F5A10">
        <w:instrText xml:space="preserve"> ADDIN ZOTERO_ITEM CSL_CITATION {"citationID":"XNd55jji","properties":{"formattedCitation":"[61\\uc0\\u8211{}63]","plainCitation":"[61–63]","noteIndex":0},"citationItems":[{"id":12278,"uris":["http://zotero.org/users/1272936/items/KR98HQ64"],"uri":["http://zotero.org/users/1272936/items/KR98HQ64"],"itemData":{"id":12278,"type":"article-journal","container-title":"Plant protection quarterly (Australia)","issue":"1","page":"8-9","source":"http://agris.fao.org/agris-search/search.do?recordID=AU9103158","title":"BIOCLIM - a bioclimate analysis and prediction system","volume":"6","author":[{"family":"Busby","given":"JR"}],"issued":{"date-parts":[["1991"]]}}},{"id":821,"uris":["http://zotero.org/users/1272936/items/GGISPAMK"],"uri":["http://zotero.org/users/1272936/items/GGISPAMK"],"itemData":{"id":821,"type":"article-journal","abstract":"Aim We explore the impact of calibrating ecological niche models (ENMs) using (1) native range (NR) data versus (2) entire range (ER) data (native and invasive) on projections of current and future distributions of three Hieracium species.Location  H. aurantiacum, H. murorum and H. pilosella are native to Europe and invasive in Australia, New Zealand and North America.Methods  Differences among the native and invasive realized climatic niches of each species were quantified. Eight ENMs in BIOMOD were calibrated with (1) NR and (2) ER data. Current European, North American and Australian distributions were projected. Future Australian distributions were modelled using four climate change scenarios for 2030.Results  The invasive climatic niche of H. murorum is primarily a subset of that expressed in its native range. Invasive populations of H. aurantiacum and H. pilosella occupy different climatic niches to those realized in their native ranges. Furthermore, geographically separate invasive populations of these two species have distinct climatic niches. ENMs calibrated on the realized niche of native regions projected smaller distributions than models incorporating data from species' entire ranges, and failed to correctly predict many known invasive populations. Under future climate scenarios, projected distributions decreased by similar percentages, regardless of the data used to calibrate ENMs; however, the overall sizes of projected distributions varied substantially.Main conclusions  This study provides quantitative evidence that invasive populations of Hieracium species can occur in areas with different climatic conditions than experienced in their native ranges. For these, and similar species, calibration of ENMs based on NR data only will misrepresent their potential invasive distribution. These errors will propagate when estimating climate change impacts. Thus, incorporating data from species' entire distributions may result in a more thorough assessment of current and future ranges, and provides a closer approximation of the elusive fundamental niche.","container-title":"Diversity and Distributions","DOI":"10.1111/j.1472-4642.2008.00547.x","ISSN":"1472-4642","issue":"3","page":"409-420","title":"Different climatic envelopes among invasive populations may lead to underestimations of current and future biological invasions","volume":"15","author":[{"family":"Beaumont","given":"Linda J."},{"family":"Gallagher","given":"Rachael V."},{"family":"Thuiller","given":"Wilfried"},{"family":"Downey","given":"Paul O."},{"family":"Leishman","given":"Michelle R."},{"family":"Hughes","given":"Lesley"}],"issued":{"date-parts":[["2009"]]}}},{"id":2802,"uris":["http://zotero.org/users/1272936/items/GQG4JQD7"],"uri":["http://zotero.org/users/1272936/items/GQG4JQD7"],"itemData":{"id":2802,"type":"article-journal","container-title":"Biodiversity and Conservation","DOI":"10.1007/s10531-009-9584-8","ISSN":"0960-3115","issue":"8","page":"2255-2261","title":"The projection of species distribution models and the problem of non-analog climate","volume":"18","author":[{"family":"Fitzpatrick","given":"Matthew C."},{"family":"Hargrove","given":"William W."}],"issued":{"date-parts":[["2009"]]}}}],"schema":"https://github.com/citation-style-language/schema/raw/master/csl-citation.json"} </w:instrText>
      </w:r>
      <w:r w:rsidRPr="005D5611">
        <w:fldChar w:fldCharType="separate"/>
      </w:r>
      <w:r w:rsidR="00C51ED3" w:rsidRPr="00C51ED3">
        <w:t>[61–63]</w:t>
      </w:r>
      <w:r w:rsidRPr="005D5611">
        <w:fldChar w:fldCharType="end"/>
      </w:r>
      <w:r w:rsidRPr="005D5611">
        <w:rPr>
          <w:rFonts w:eastAsiaTheme="minorHAnsi"/>
        </w:rPr>
        <w:t xml:space="preserve">. </w:t>
      </w:r>
      <w:r w:rsidRPr="005D5611">
        <w:t xml:space="preserve">SDMs are commonly used to assess potential climate change impacts on biodiversity, but several critical methodological decisions are often made arbitrarily </w:t>
      </w:r>
      <w:r w:rsidRPr="005D5611">
        <w:fldChar w:fldCharType="begin"/>
      </w:r>
      <w:r w:rsidR="002F5A10">
        <w:instrText xml:space="preserve"> ADDIN ZOTERO_ITEM CSL_CITATION {"citationID":"RhAc8mot","properties":{"formattedCitation":"[64]","plainCitation":"[64]","noteIndex":0},"citationItems":[{"id":4687,"uris":["http://zotero.org/users/1272936/items/FGGLD7IG"],"uri":["http://zotero.org/users/1272936/items/FGGLD7IG"],"itemData":{"id":4687,"type":"article-journal","abstract":"Species distribution models (SDMs) are commonly used to assess potential climate change impacts on biodiversity, but several critical methodological decisions are often made arbitrarily. We compare variability arising from these decisions to the uncertainty in future climate change itself. We also test whether certain choices offer improved skill for extrapolating to a changed climate and whether internal cross-­validation skill indicates extrapolative skill. We compared projected vulnerability for 29 wetland-­dependent bird species breeding in the climatically dynamic Prairie Pothole Region, USA. For each species we built 1,080 SDMs to represent a unique combination of: future climate, class of climate covariates, collinearity level, and thresholding procedure. We examined the variation in projected vulnerability attributed to each uncertainty source. To assess ­extrapolation skill under a changed climate, we compared model predictions with observations from historic drought years. Uncertainty in projected vulnerability was substantial, and the largest source was that of future climate change. Large uncertainty was also attributed to climate covariate class with hydrological covariates projecting half the range loss of bioclimatic covariates or other summaries of temperature and precipitation. We found that choices based on performance in cross-­validation improved skill in extrapolation. Qualitative rankings were also highly uncertain. Given uncertainty in projected vulnerability and resulting uncertainty in rankings used for conservation prioritization, a number of considerations appear critical for using bioclimatic SDMs to inform climate change mitigation strategies. Our results emphasize explicitly selecting climate summaries that most closely represent processes likely to underlie ecological response to climate change. For example, hydrological covariates projected substantially reduced vulnerability, highlighting the importance of considering whether water availability may be a more proximal driver than precipitation. However, because cross-­validation results were correlated with extrapolation results, the use of cross-­validation performance metrics to guide modeling choices where knowledge is limited was supported.","container-title":"Ecology and Evolution","DOI":"10.1002/ece3.3403","ISSN":"20457758","issue":"21","language":"en","page":"8841-8851","source":"Crossref","title":"Projecting species’ vulnerability to climate change: Which uncertainty sources matter most and extrapolate best?","title-short":"Projecting species’ vulnerability to climate change","volume":"7","author":[{"family":"Steen","given":"Valerie"},{"family":"Sofaer","given":"Helen R."},{"family":"Skagen","given":"Susan K."},{"family":"Ray","given":"Andrea J."},{"family":"Noon","given":"Barry R."}],"issued":{"date-parts":[["2017",11]]}}}],"schema":"https://github.com/citation-style-language/schema/raw/master/csl-citation.json"} </w:instrText>
      </w:r>
      <w:r w:rsidRPr="005D5611">
        <w:fldChar w:fldCharType="separate"/>
      </w:r>
      <w:r w:rsidR="00C51ED3">
        <w:t>[64]</w:t>
      </w:r>
      <w:r w:rsidRPr="005D5611">
        <w:fldChar w:fldCharType="end"/>
      </w:r>
      <w:r w:rsidRPr="005D5611">
        <w:t xml:space="preserve">. The transferability of SDM and ENM results were critically reviewed by </w:t>
      </w:r>
      <w:bookmarkStart w:id="3" w:name="_Hlk530131940"/>
      <w:r w:rsidRPr="005D5611">
        <w:t>Yates</w:t>
      </w:r>
      <w:r w:rsidRPr="005D5611">
        <w:rPr>
          <w:i/>
        </w:rPr>
        <w:t xml:space="preserve"> et al</w:t>
      </w:r>
      <w:r w:rsidRPr="005D5611">
        <w:t xml:space="preserve">. </w:t>
      </w:r>
      <w:r w:rsidRPr="005D5611">
        <w:fldChar w:fldCharType="begin"/>
      </w:r>
      <w:r w:rsidR="002F5A10">
        <w:instrText xml:space="preserve"> ADDIN ZOTERO_ITEM CSL_CITATION {"citationID":"BhIwMDHy","properties":{"formattedCitation":"[65]","plainCitation":"[65]","noteIndex":0},"citationItems":[{"id":4765,"uris":["http://zotero.org/users/1272936/items/6UZFAVXQ"],"uri":["http://zotero.org/users/1272936/items/6UZFAVXQ"],"itemData":{"id":4765,"type":"article-journal","container-title":"Trends in Ecology &amp; Evolution","DOI":"10.1016/j.tree.2018.08.001","ISSN":"0169-5347","issue":"10","journalAbbreviation":"Trends in Ecology &amp; Evolution","language":"English","page":"790-802","source":"www.cell.com","title":"Outstanding challenges in the transferability of ecological models","volume":"33","author":[{"family":"Yates","given":"Katherine L."},{"family":"Bouchet","given":"Phil J."},{"family":"Caley","given":"M. Julian"},{"family":"Mengersen","given":"Kerrie"},{"family":"Randin","given":"Christophe F."},{"family":"Parnell","given":"Stephen"},{"family":"Fielding","given":"Alan H."},{"family":"Bamford","given":"Andrew J."},{"family":"Ban","given":"Stephen"},{"family":"Barbosa","given":"A. Márcia"},{"family":"Dormann","given":"Carsten F."},{"family":"Elith","given":"Jane"},{"family":"Embling","given":"Clare B."},{"family":"Ervin","given":"Gary N."},{"family":"Fisher","given":"Rebecca"},{"family":"Gould","given":"Susan"},{"family":"Graf","given":"Roland F."},{"family":"Gregr","given":"Edward J."},{"family":"Halpin","given":"Patrick N."},{"family":"Heikkinen","given":"Risto K."},{"family":"Heinänen","given":"Stefan"},{"family":"Jones","given":"Alice R."},{"family":"Krishnakumar","given":"Periyadan K."},{"family":"Lauria","given":"Valentina"},{"family":"Lozano-Montes","given":"Hector"},{"family":"Mannocci","given":"Laura"},{"family":"Mellin","given":"Camille"},{"family":"Mesgaran","given":"Mohsen B."},{"family":"Moreno-Amat","given":"Elena"},{"family":"Mormede","given":"Sophie"},{"family":"Novaczek","given":"Emilie"},{"family":"Oppel","given":"Steffen"},{"family":"Crespo","given":"Guillermo Ortuño"},{"family":"Peterson","given":"A. Townsend"},{"family":"Rapacciuolo","given":"Giovanni"},{"family":"Roberts","given":"Jason J."},{"family":"Ross","given":"Rebecca E."},{"family":"Scales","given":"Kylie L."},{"family":"Schoeman","given":"David"},{"family":"Snelgrove","given":"Paul"},{"family":"Sundblad","given":"Göran"},{"family":"Thuiller","given":"Wilfried"},{"family":"Torres","given":"Leigh G."},{"family":"Verbruggen","given":"Heroen"},{"family":"Wang","given":"Lifei"},{"family":"Wenger","given":"Seth"},{"family":"Whittingham","given":"Mark J."},{"family":"Zharikov","given":"Yuri"},{"family":"Zurell","given":"Damaris"},{"family":"Sequeira","given":"Ana M. M."}],"issued":{"date-parts":[["2018"]]}}}],"schema":"https://github.com/citation-style-language/schema/raw/master/csl-citation.json"} </w:instrText>
      </w:r>
      <w:r w:rsidRPr="005D5611">
        <w:fldChar w:fldCharType="separate"/>
      </w:r>
      <w:r w:rsidR="00C51ED3">
        <w:t>[65]</w:t>
      </w:r>
      <w:r w:rsidRPr="005D5611">
        <w:fldChar w:fldCharType="end"/>
      </w:r>
      <w:r w:rsidRPr="005D5611">
        <w:t xml:space="preserve"> </w:t>
      </w:r>
      <w:bookmarkEnd w:id="3"/>
      <w:r w:rsidRPr="005D5611">
        <w:t xml:space="preserve">to give direction for future research to increase their applicability across time and geographic space. Globally, the broad-scale climatic limitations on the distributions of exotic species are more important than trade patterns in explaining variation in the number of shared species among countries </w:t>
      </w:r>
      <w:r w:rsidRPr="005D5611">
        <w:fldChar w:fldCharType="begin"/>
      </w:r>
      <w:r w:rsidR="002F5A10">
        <w:instrText xml:space="preserve"> ADDIN ZOTERO_ITEM C</w:instrText>
      </w:r>
      <w:r w:rsidR="002F5A10" w:rsidRPr="00DE6FE5">
        <w:rPr>
          <w:lang w:val="it-IT"/>
        </w:rPr>
        <w:instrText>SL_CITATION {"citationID":"dnSwQcqB","properties":{"formattedCitation":"[66]","plainCitation":"[66]","noteIndex":0},"citationItems":[{"id":4800,"uris":["http://zotero.org/users/1272936/items/GP9TEL3U"],"uri":["http://zotero.org/users/1272936/items/GP9TEL3U"],"itemData":{"id":4800,"type":"article-journal","abstract":"Aim: The distributions of exotic species reflect patterns of human-mediated dispersal, species climatic tolerances and a suite of other biotic and abiotic factors. The relative importance of each of these factors will shape how the spread of exotic species is affected by ongoing economic globalization and climate change. However, patterns of trade may be correlated with variation in scientific sampling effort globally, potentially confounding studies that do not account for sampling patterns.","container-title":"Global Ecology and Biogeography","DOI":"10.1111/geb.12577","ISSN":"1466822X","issue":"6","language":"en","page":"669-678","source":"Crossref","title":"Accounting for sampling patterns reverses the relative importance of trade and climate for the global sharing of exotic plants","title-short":"Accounting for sampling patterns reverses the relative importance of trade and climate for the global sharing of exotic plants","volume":"26","author":[</w:instrText>
      </w:r>
      <w:r w:rsidR="002F5A10" w:rsidRPr="002F5A10">
        <w:rPr>
          <w:lang w:val="it-IT"/>
        </w:rPr>
        <w:instrText xml:space="preserve">{"family":"Sofaer","given":"Helen R."},{"family":"Jarnevich","given":"Catherine S."}],"issued":{"date-parts":[["2017",6]]}}}],"schema":"https://github.com/citation-style-language/schema/raw/master/csl-citation.json"} </w:instrText>
      </w:r>
      <w:r w:rsidRPr="005D5611">
        <w:fldChar w:fldCharType="separate"/>
      </w:r>
      <w:r w:rsidR="00C51ED3">
        <w:rPr>
          <w:lang w:val="it-IT"/>
        </w:rPr>
        <w:t>[66]</w:t>
      </w:r>
      <w:r w:rsidRPr="005D5611">
        <w:fldChar w:fldCharType="end"/>
      </w:r>
      <w:bookmarkStart w:id="4" w:name="_Hlk530131955"/>
      <w:r w:rsidRPr="005D5611">
        <w:rPr>
          <w:lang w:val="it-IT"/>
        </w:rPr>
        <w:t xml:space="preserve">. </w:t>
      </w:r>
      <w:r w:rsidRPr="00DE6FE5">
        <w:rPr>
          <w:lang w:val="it-IT"/>
        </w:rPr>
        <w:t>Guillera-Arroita</w:t>
      </w:r>
      <w:r w:rsidRPr="00DE6FE5">
        <w:rPr>
          <w:i/>
          <w:lang w:val="it-IT"/>
        </w:rPr>
        <w:t xml:space="preserve"> et al</w:t>
      </w:r>
      <w:r w:rsidRPr="00DE6FE5">
        <w:rPr>
          <w:lang w:val="it-IT"/>
        </w:rPr>
        <w:t xml:space="preserve">. </w:t>
      </w:r>
      <w:r w:rsidRPr="005D5611">
        <w:rPr>
          <w:lang w:val="en-GB"/>
        </w:rPr>
        <w:fldChar w:fldCharType="begin"/>
      </w:r>
      <w:r w:rsidR="002F5A10" w:rsidRPr="00DE6FE5">
        <w:rPr>
          <w:lang w:val="it-IT"/>
        </w:rPr>
        <w:instrText xml:space="preserve"> ADDIN ZOTERO_ITEM CSL_CITATION {"citationID":"cjMNOlQ5","properties":{"formattedCitation":"[67]","plainCitation":"[67]","noteIndex":0},"citationItems":[{"id":4803,"uris":["http://zotero.org/users/1272936/items/GV3VADVJ"],"uri":["http://zotero.org/users/1272936/items/GV3VADVJ"],"itemData":{"id":4803,"type":"article-journal","abstract":"Species distribution models (SDMs) are used to inform a range of ecological, biogeographical and conservation applications. However, users often underestimate the strong links between data type, model output and suitability for end-use. We synthesize current knowledge and provide a simple framework that summarizes how interactions between data type and the sampling process (i.e. imperfect detection and sampling bias) determine the quantity that is estimated by a SDM. We then draw upon the published literature and simulations to illustrate and evaluate the information needs of the most common ecological, biogeographical and conservation applications of SDM outputs. We </w:instrText>
      </w:r>
      <w:r w:rsidR="002F5A10">
        <w:rPr>
          <w:lang w:val="it-IT"/>
        </w:rPr>
        <w:instrText>ﬁ</w:instrText>
      </w:r>
      <w:r w:rsidR="002F5A10" w:rsidRPr="00DE6FE5">
        <w:rPr>
          <w:lang w:val="it-IT"/>
        </w:rPr>
        <w:instrText xml:space="preserve">nd that, while predictions of models </w:instrText>
      </w:r>
      <w:r w:rsidR="002F5A10">
        <w:rPr>
          <w:lang w:val="it-IT"/>
        </w:rPr>
        <w:instrText>ﬁ</w:instrText>
      </w:r>
      <w:r w:rsidR="002F5A10" w:rsidRPr="00DE6FE5">
        <w:rPr>
          <w:lang w:val="it-IT"/>
        </w:rPr>
        <w:instrText>tted to the most commonly available observational data (presence records) suf</w:instrText>
      </w:r>
      <w:r w:rsidR="002F5A10">
        <w:rPr>
          <w:lang w:val="it-IT"/>
        </w:rPr>
        <w:instrText>ﬁ</w:instrText>
      </w:r>
      <w:r w:rsidR="002F5A10" w:rsidRPr="00DE6FE5">
        <w:rPr>
          <w:lang w:val="it-IT"/>
        </w:rPr>
        <w:instrText>ce for some applications, others require estimates of occurrence probabilities, which are unattainable without reliable absence records. Our literature review and simulations reveal that, while converting continuous SDM outputs into categories of assumed presence or absence is common practice, it is seldom clearly justi</w:instrText>
      </w:r>
      <w:r w:rsidR="002F5A10">
        <w:rPr>
          <w:lang w:val="it-IT"/>
        </w:rPr>
        <w:instrText>ﬁ</w:instrText>
      </w:r>
      <w:r w:rsidR="002F5A10" w:rsidRPr="00DE6FE5">
        <w:rPr>
          <w:lang w:val="it-IT"/>
        </w:rPr>
        <w:instrText>ed by the application’s objective and it usually degrades inference. Matching SDMs to the needs of particular applications is critical to avoid poor scienti</w:instrText>
      </w:r>
      <w:r w:rsidR="002F5A10">
        <w:rPr>
          <w:lang w:val="it-IT"/>
        </w:rPr>
        <w:instrText>ﬁ</w:instrText>
      </w:r>
      <w:r w:rsidR="002F5A10" w:rsidRPr="00DE6FE5">
        <w:rPr>
          <w:lang w:val="it-IT"/>
        </w:rPr>
        <w:instrText xml:space="preserve">c inference and management outcomes. This paper aims to help modellers and users assess whether their intended SDM outputs are indeed </w:instrText>
      </w:r>
      <w:r w:rsidR="002F5A10">
        <w:rPr>
          <w:lang w:val="it-IT"/>
        </w:rPr>
        <w:instrText>ﬁ</w:instrText>
      </w:r>
      <w:r w:rsidR="002F5A10" w:rsidRPr="00DE6FE5">
        <w:rPr>
          <w:lang w:val="it-IT"/>
        </w:rPr>
        <w:instrText xml:space="preserve">t for purpose.","container-title":"Global Ecology and Biogeography","DOI":"10.1111/geb.12268","ISSN":"1466822X","issue":"3","language":"en","page":"276-292","source":"Crossref","title":"Is my species distribution model fit for purpose? Matching data and models to applications","title-short":"Is my species distribution model fit for purpose?","volume":"24","author":[{"family":"Guillera-Arroita","given":"Gurutzeta"},{"family":"Lahoz-Monfort","given":"José J."},{"family":"Elith","given":"Jane"},{"family":"Gordon","given":"Ascelin"},{"family":"Kujala","given":"Heini"},{"family":"Lentini","given":"Pia E."},{"family":"McCarthy","given":"Michael A."},{"family":"Tingley","given":"Reid"},{"family":"Wintle","given":"Brendan A."}],"issued":{"date-parts":[["2015",3]]}}}],"schema":"https://github.com/citation-style-language/schema/raw/master/csl-citation.json"} </w:instrText>
      </w:r>
      <w:r w:rsidRPr="005D5611">
        <w:rPr>
          <w:lang w:val="en-GB"/>
        </w:rPr>
        <w:fldChar w:fldCharType="separate"/>
      </w:r>
      <w:r w:rsidR="00C51ED3" w:rsidRPr="00DE6FE5">
        <w:rPr>
          <w:lang w:val="it-IT"/>
        </w:rPr>
        <w:t>[67]</w:t>
      </w:r>
      <w:r w:rsidRPr="005D5611">
        <w:rPr>
          <w:lang w:val="en-GB"/>
        </w:rPr>
        <w:fldChar w:fldCharType="end"/>
      </w:r>
      <w:r w:rsidRPr="00DE6FE5">
        <w:rPr>
          <w:lang w:val="it-IT"/>
        </w:rPr>
        <w:t xml:space="preserve"> </w:t>
      </w:r>
      <w:bookmarkEnd w:id="4"/>
      <w:r w:rsidRPr="00DE6FE5">
        <w:rPr>
          <w:lang w:val="it-IT"/>
        </w:rPr>
        <w:t>found that SDM users often underestimate the strong links between data type, model output and suitability for end</w:t>
      </w:r>
      <w:r w:rsidRPr="00DE6FE5">
        <w:rPr>
          <w:rFonts w:ascii="Cambria Math" w:hAnsi="Cambria Math" w:cs="Cambria Math"/>
          <w:lang w:val="it-IT"/>
        </w:rPr>
        <w:t>‐</w:t>
      </w:r>
      <w:r w:rsidRPr="00DE6FE5">
        <w:rPr>
          <w:lang w:val="it-IT"/>
        </w:rPr>
        <w:t xml:space="preserve">use such as ecosystem management applications. </w:t>
      </w:r>
      <w:r w:rsidRPr="005D5611">
        <w:t xml:space="preserve">Most serious, is that SDM-ENMs have few implicit bio-ecological and mathematical assumptions and lack mechanistic biological underpinnings (see </w:t>
      </w:r>
      <w:r w:rsidRPr="005D5611">
        <w:fldChar w:fldCharType="begin"/>
      </w:r>
      <w:r w:rsidR="002F5A10">
        <w:instrText xml:space="preserve"> ADDIN ZOTERO_ITEM CSL_CITATION {"citationID":"h9HOzktg","properties":{"formattedCitation":"[68]","plainCitation":"[68]","noteIndex":0},"citationItems":[{"id":1810,"uris":["http://zotero.org/users/1272936/items/J4VVGHTA"],"uri":["http://zotero.org/users/1272936/items/J4VVGHTA"],"itemData":{"id":1810,"type":"article-journal","abstract":"Estimating actual and potential areas of distribution of species via ecological niche modeling has become a very active field of research, yet important conceptual issues in this field remain confused. We argue that conceptual clarity is enhanced by adopting restricted definitions of “niche” that enable operational definitions of basic concepts like fundamental, potential, and realized niches and potential and actual distributional areas. We apply these definitions to the question of niche conservatism, addressing what it is that is conserved and showing with a quantitative example how niche change can be measured. In this example, we display the extremely irregular structure of niche space, arguing that it is an important factor in understanding niche evolution. Many cases of apparently successful models of distributions ignore biotic factors: we suggest explanations to account for this paradox. Finally, relating the probability of observing a species to ecological factors, we address the issue of what objects are actually calculated by different niche modeling algorithms and stress the fact that methods that use only presence data calculate very different quantities than methods that use absence data. We conclude that the results of niche modeling exercises can be interpreted much better if the ecological and mathematical assumptions of the modeling process are made explicit.","container-title":"Proceedings of the National Academy of Sciences, USA","DOI":"10.1073/pnas.0901637106","issue":"Supplement 2","page":"19644-19650","title":"Niches and distributional areas: Concepts, methods, and assumptions","volume":"106","author":[{"family":"Soberón","given":"Jorge"},{"family":"Nakamura","given":"Miguel"}],"issued":{"date-parts":[["2009"]]}}}],"schema":"https://github.com/citation-style-language/schema/raw/master/csl-citation.json"} </w:instrText>
      </w:r>
      <w:r w:rsidRPr="005D5611">
        <w:fldChar w:fldCharType="separate"/>
      </w:r>
      <w:r w:rsidR="00C51ED3">
        <w:t>[68]</w:t>
      </w:r>
      <w:r w:rsidRPr="005D5611">
        <w:fldChar w:fldCharType="end"/>
      </w:r>
      <w:r w:rsidRPr="005D5611">
        <w:t>).</w:t>
      </w:r>
      <w:r w:rsidRPr="005D5611">
        <w:rPr>
          <w:i/>
        </w:rPr>
        <w:t xml:space="preserve"> </w:t>
      </w:r>
      <w:r w:rsidRPr="005D5611">
        <w:t xml:space="preserve">As concluded by the Fourth and Fifth Assessment Report of the Intergovernmental Panel on Climate Change Working Group 2 </w:t>
      </w:r>
      <w:r w:rsidRPr="005D5611">
        <w:fldChar w:fldCharType="begin"/>
      </w:r>
      <w:r w:rsidR="002F5A10">
        <w:instrText xml:space="preserve"> ADDIN ZOTERO_ITEM CSL_CITATION {"citationID":"d5LpSBD1","properties":{"formattedCitation":"[69, 70]","plainCitation":"[69, 70]","noteIndex":0},"citationItems":[{"id":4380,"uris":["http://zotero.org/users/1272936/items/8MFQF29H"],"uri":["http://zotero.org/users/1272936/items/8MFQF29H"],"itemData":{"id":4380,"type":"book","event-place":"Cambridge, United Kingdom and New York, NY, USA","ISBN":"978-1-107-64165-5","note":"[Field, C.B., V.R. Barros, D.J. Dokken, K.J. Mach, M.D. Mastrandrea, T.E. Bilir, M. Chatterjee, K.L. Ebi, Y.O. Estrada, R.C. Genova, B. Girma, E.S. Kissel, A.N. Levy, S. MacCracken, P.R. Mastrandrea, and L.L. White (eds.)]","number-of-pages":"1140","publisher":"Cambridge University Press","publisher-place":"Cambridge, United Kingdom and New York, NY, USA","title":"Climate change 2014: Impacts, Adaptation, and Vulnerability. Part A: global and sectoral aspects. Contribution of Working Group II to the Fifth Assessment Report of the Intergovernmental Panel on Climate Change","URL":"https://www.ipcc.ch/report/ar5/wg2/","author":[{"family":"IPCC","given":"","suffix":"Intergovernmental Panel on Climate Change"}],"issued":{"date-parts":[["2014"]]}}},{"id":4381,"uris":["http://zotero.org/users/1272936/items/6GDE8IJC"],"uri":["http://zotero.org/users/1272936/items/6GDE8IJC"],"itemData":{"id":4381,"type":"book","event-place":"Cambridge, United Kingdom and New York, NY, USA","ISBN":"978-0-521-70597-4","note":"[Parry, M.L., O.F. Canziani, J.P. Palutikof, P.J. van der Linden and C.E. Hanson (eds.)]","number-of-pages":"986","publisher":"Cambridge University Press","publisher-place":"Cambridge, United Kingdom and New York, NY, USA","title":"Climate Change 2007: Impacts, Adaptation and Vulnerability. Contribution of Working Group II to the Fourth Assessment Report of the Intergovernmental Panel on Climate Change","URL":"https://www.ipcc.ch/report/ar4/wg2/","author":[{"family":"IPCC","given":"","suffix":"Intergovernmental Panel on Climate Change"}],"issued":{"date-parts":[["2007"]]}}}],"schema":"https://github.com/citation-style-language/schema/raw/master/csl-citation.json"} </w:instrText>
      </w:r>
      <w:r w:rsidRPr="005D5611">
        <w:fldChar w:fldCharType="separate"/>
      </w:r>
      <w:r w:rsidR="00C51ED3">
        <w:t>[69, 70]</w:t>
      </w:r>
      <w:r w:rsidRPr="005D5611">
        <w:fldChar w:fldCharType="end"/>
      </w:r>
      <w:r w:rsidRPr="005D5611">
        <w:t xml:space="preserve">, SDM-ENMs are unable to account for species interactions and population processes making them problematic when extended to analyses of range expansion or contraction under climate change and for management applications (see </w:t>
      </w:r>
      <w:r w:rsidRPr="005D5611">
        <w:fldChar w:fldCharType="begin"/>
      </w:r>
      <w:r w:rsidR="002F5A10">
        <w:instrText xml:space="preserve"> ADDIN ZOTERO_ITEM CSL_CITATION {"citationID":"D6b5nv9A","properties":{"formattedCitation":"[67, 71]","plainCitation":"[67, 71]","noteIndex":0},"citationItems":[{"id":4803,"uris":["http://zotero.org/users/1272936/items/GV3VADVJ"],"uri":["http://zotero.org/users/1272936/items/GV3VADVJ"],"itemData":{"id":4803,"type":"article-journal","abstract":"Species distribution models (SDMs) are used to inform a range of ecological, biogeographical and conservation applications. However, users often underestimate the strong links between data type, model output and suitability for end-use. We synthesize current knowledge and provide a simple framework that summarizes how interactions between data type and the sampling process (i.e. imperfect detection and sampling bias) determine the quantity that is estimated by a SDM. We then draw upon the published literature and simulations to illustrate and evaluate the information needs of the most common ecological, biogeographical and conservation applications of SDM outputs. We ﬁnd that, while predictions of models ﬁtted to the most commonly available observational data (presence records) sufﬁce for some applications, others require estimates of occurrence probabilities, which are unattainable without reliable absence records. Our literature review and simulations reveal that, while converting continuous SDM outputs into categories of assumed presence or absence is common practice, it is seldom clearly justiﬁed by the application’s objective and it usually degrades inference. Matching SDMs to the needs of particular applications is critical to avoid poor scientiﬁc inference and management outcomes. This paper aims to help modellers and users assess whether their intended SDM outputs are indeed ﬁt for purpose.","container-title":"Global Ecology and Biogeography","DOI":"10.1111/geb.12268","ISSN":"1466822X","issue":"3","language":"en","page":"276-292","source":"Crossref","title":"Is my species distribution model fit for purpose? Matching data and models to applications","title-short":"Is my species distribution model fit for purpose?","volume":"24","author":[{"family":"Guillera-Arroita","given":"Gurutzeta"},{"family":"Lahoz-Monfort","given":"José J."},{"family":"Elith","given":"Jane"},{"family":"Gordon","given":"Ascelin"},{"family":"Kujala","given":"Heini"},{"family":"Lentini","given":"Pia E."},{"family":"McCarthy","given":"Michael A."},{"family":"Tingley","given":"Reid"},{"family":"Wintle","given":"Brendan A."}],"issued":{"date-parts":[["2015",3]]}}},{"id":2114,"uris":["http://zotero.org/users/1272936/items/Q6GNVV9R"],"uri":["http://zotero.org/users/1272936/items/Q6GNVV9R"],"itemData":{"id":2114,"type":"article-journal","abstract":"Habitat suitability models developed for non-native, invasive species often implicitly assume that projected invasion risk equates to risk of impact. I aim to test to what extent this assumption is true by comparing commonly-used invasive plant distribution datasets to abundance records. I compared herbarium occurrence records (downloaded from an online database) and regional occurrence records (compiled from individual states) to abundance estimates collected from over 300 invasive plant experts for 9 invasive species in the western U.S. I also created habitat suitability models (HSMs) using these datasets and compared the areas of predicted suitability. Sixty percent of the time, herbarium occurrences were located in regions where the species was rare enough to be undetected by experts, while only 26 % coincided with locations identified as having high abundance. Regional occurrences were located in areas where the species was not detected 32 % of the time, and on high abundance 42 % of the time. HSMs based on herbarium records encompassed 89 % of land area at risk of abundance, but overestimated the area of estimated risk (27–46 % false positive rate). HSMs based on regional occurrences had a smaller false positive rate (22–31 %), but encompassed only 67–68 % of area suitable for abundance. Herbarium records are strongly skewed towards locations with low invasive plant abundance, leading to invasion risk models that vastly overestimate abundance risk. Models based on occurrence points should be interpreted as risk of establishment only, not risk of abundance or impact. If HSMs aim to be more management relevant, invasion risk models should include abundance as well as occurrence.","container-title":"Biological Invasions","DOI":"10.1007/s10530-012-0380-0","ISSN":"1387-3547, 1573-1464","issue":"7","journalAbbreviation":"Biol Invasions","language":"en","page":"1417-1429","source":"link.springer.com","title":"Distribution models of invasive plants over-estimate potential impact","volume":"15","author":[{"family":"Bradley","given":"Bethany A."}],"issued":{"date-parts":[["2013",7,1]]}}}],"schema":"https://github.com/citation-style-language/schema/raw/master/csl-citation.json"} </w:instrText>
      </w:r>
      <w:r w:rsidRPr="005D5611">
        <w:fldChar w:fldCharType="separate"/>
      </w:r>
      <w:r w:rsidR="00C51ED3">
        <w:t>[67, 71]</w:t>
      </w:r>
      <w:r w:rsidRPr="005D5611">
        <w:fldChar w:fldCharType="end"/>
      </w:r>
      <w:r w:rsidRPr="005D5611">
        <w:t xml:space="preserve">). To circumvent some of the limitations, </w:t>
      </w:r>
      <w:bookmarkStart w:id="5" w:name="_Hlk530132029"/>
      <w:r w:rsidRPr="005D5611">
        <w:t>Fordham</w:t>
      </w:r>
      <w:r w:rsidRPr="005D5611">
        <w:rPr>
          <w:i/>
        </w:rPr>
        <w:t xml:space="preserve"> et al</w:t>
      </w:r>
      <w:r w:rsidRPr="005D5611">
        <w:t xml:space="preserve">. </w:t>
      </w:r>
      <w:r w:rsidRPr="005D5611">
        <w:fldChar w:fldCharType="begin"/>
      </w:r>
      <w:r w:rsidR="002F5A10">
        <w:instrText xml:space="preserve"> ADDIN ZOTERO_ITEM CSL_CITATION {"citationID":"aL0uSLOi","properties":{"formattedCitation":"[72]","plainCitation":"[72]","noteIndex":0},"citationItems":[{"id":4682,"uris":["http://zotero.org/users/1272936/items/FKKML9WT"],"uri":["http://zotero.org/users/1272936/items/FKKML9WT"],"itemData":{"id":4682,"type":"article-journal","abstract":"Criticism has been levelled at climate-change-induced forecasts of species range shifts that do not account explicitly for complex population dynamics. The relative importance of such dynamics under climate change is, however, undetermined because direct tests comparing the performance of demographic models vs. simpler ecological niche models are still lacking owing to difficulties in evaluating forecasts using real-world data. We provide the first comparison of the skill of coupled ecological-niche-population models and ecological niche models in predicting documented shifts in the ranges of 20 British breeding bird species across a 40-year period. Forecasts from models calibrated with data centred on 1970 were evaluated using data centred on 2010. We found that more complex coupled ecological-nichepopulation models (that account for dispersal and metapopulation dynamics) tend to have higher predictive accuracy in forecasting species range shifts than structurally simpler models that only account for variation in climate. However, these better forecasts are achieved only if ecological responses to climate change are simulated without static snapshots of historic land use, taken at a single point in time. In contrast, including both static land use and dynamic climate variables in simpler ecological niche models improve forecasts of observed range shifts. Despite being less skilful at predicting range changes at the grid-cell level, ecological niche models do as well, or better, than more complex models at predicting the magnitude of relative change in range size. Therefore, ecological niche models can provide a reasonable first approximation of the magnitude of species’ potential range shifts, especially when more detailed data are lacking on dispersal dynamics, demographic processes underpinning population performance, and change in land cover.","container-title":"Global Change Biology","DOI":"10.1111/gcb.13935","ISSN":"13541013","issue":"3","language":"en","page":"1357-1370","source":"Crossref","title":"How complex should models be? Comparing correlative and mechanistic range dynamics models","title-short":"How complex should models be?","volume":"24","author":[{"family":"Fordham","given":"Damien A."},{"family":"Bertelsmeier","given":"Cleo"},{"family":"Brook","given":"Barry W."},{"family":"Early","given":"Regan"},{"family":"Neto","given":"Dora"},{"family":"Brown","given":"Stuart C."},{"family":"Ollier","given":"Sébastien"},{"family":"Araújo","given":"Miguel B."}],"issued":{"date-parts":[["2018",3]]}}}],"schema":"https://github.com/citation-style-language/schema/raw/master/csl-citation.json"} </w:instrText>
      </w:r>
      <w:r w:rsidRPr="005D5611">
        <w:fldChar w:fldCharType="separate"/>
      </w:r>
      <w:r w:rsidR="00C51ED3">
        <w:t>[72]</w:t>
      </w:r>
      <w:r w:rsidRPr="005D5611">
        <w:fldChar w:fldCharType="end"/>
      </w:r>
      <w:r w:rsidRPr="005D5611">
        <w:t xml:space="preserve"> </w:t>
      </w:r>
      <w:bookmarkEnd w:id="5"/>
      <w:r w:rsidRPr="005D5611">
        <w:t xml:space="preserve">proposed the use of hybrid ecological niche models. </w:t>
      </w:r>
      <w:bookmarkStart w:id="6" w:name="_Hlk530132044"/>
      <w:r w:rsidRPr="005D5611">
        <w:t>Sinclair</w:t>
      </w:r>
      <w:r w:rsidRPr="005D5611">
        <w:rPr>
          <w:i/>
        </w:rPr>
        <w:t xml:space="preserve"> et al</w:t>
      </w:r>
      <w:r w:rsidRPr="005D5611">
        <w:t xml:space="preserve">. </w:t>
      </w:r>
      <w:r w:rsidRPr="005D5611">
        <w:fldChar w:fldCharType="begin"/>
      </w:r>
      <w:r w:rsidR="002F5A10">
        <w:instrText xml:space="preserve"> ADDIN ZOTERO_ITEM CSL_CITATION {"citationID":"gGaw2YQI","properties":{"formattedCitation":"[73]","plainCitation":"[73]","noteIndex":0},"citationItems":[{"id":4701,"uris":["http://zotero.org/users/1272936/items/RSMFBIQ3"],"uri":["http://zotero.org/users/1272936/items/RSMFBIQ3"],"itemData":{"id":4701,"type":"article-journal","abstract":"Thermal performance curves (TPCs), which quantify how an ectotherm's body temperature (Tb) affects its performance or fitness, are often used in an attempt to predict organismal responses to climate change. Here, we examine the key – but often biologically unreasonable – assumptions underlying this approach; for example, that physiology and thermal regimes are invariant over ontogeny, space and time, and also that TPCs are independent of previously experienced Tb. We show how a critical consideration of these assumptions can lead to biologically useful hypotheses and experimental designs. For example, rather than assuming that TPCs are fixed during ontogeny, one can measure TPCs for each major life stage and incorporate these into stage-specific ecological models to reveal the life stage most likely to be vulnerable to climate change. Our overall goal is to explicitly examine the assumptions underlying the integration of TPCs with Tb, to develop a framework within which empiricists can place their work within these limitations, and to facilitate the application of thermal physiology to understanding the biological implications of climate change.","container-title":"Ecology Letters","DOI":"10.1111/ele.12686","ISSN":"1461-0248","issue":"11","language":"en","page":"1372-1385","source":"Wiley Online Library","title":"Can we predict ectotherm responses to climate change using thermal performance curves and body temperatures?","volume":"19","author":[{"family":"Sinclair","given":"Brent J."},{"family":"Marshall","given":"Katie E."},{"family":"Sewell","given":"Mary A."},{"family":"Levesque","given":"Danielle L."},{"family":"Willett","given":"Christopher S."},{"family":"Slotsbo","given":"Stine"},{"family":"Dong","given":"Yunwei"},{"family":"Harley","given":"Christopher D. G."},{"family":"Marshall","given":"David J."},{"family":"Helmuth","given":"Brian S."},{"family":"Huey","given":"Raymond B."}],"issued":{"date-parts":[["2016",11,1]]}}}],"schema":"https://github.com/citation-style-language/schema/raw/master/csl-citation.json"} </w:instrText>
      </w:r>
      <w:r w:rsidRPr="005D5611">
        <w:fldChar w:fldCharType="separate"/>
      </w:r>
      <w:r w:rsidR="00C51ED3">
        <w:t>[73]</w:t>
      </w:r>
      <w:r w:rsidRPr="005D5611">
        <w:fldChar w:fldCharType="end"/>
      </w:r>
      <w:bookmarkEnd w:id="6"/>
      <w:r w:rsidRPr="005D5611">
        <w:t xml:space="preserve"> proposed using thermal performance curves (TPCs) and body temperatures to predict ectotherm responses to climate change. </w:t>
      </w:r>
      <w:bookmarkStart w:id="7" w:name="_Hlk530132061"/>
      <w:r w:rsidRPr="005D5611">
        <w:t xml:space="preserve">Buckley and Csergő </w:t>
      </w:r>
      <w:r w:rsidRPr="005D5611">
        <w:fldChar w:fldCharType="begin"/>
      </w:r>
      <w:r w:rsidR="002F5A10">
        <w:instrText xml:space="preserve"> ADDIN ZOTERO_ITEM CSL_CITATION {"citationID":"qw3SmS1s","properties":{"formattedCitation":"[74]","plainCitation":"[74]","noteIndex":0},"citationItems":[{"id":4805,"uris":["http://zotero.org/users/1272936/items/N3Q73Z9E"],"uri":["http://zotero.org/users/1272936/items/N3Q73Z9E"],"itemData":{"id":4805,"type":"article-journal","abstract":"Invasive plant species are human-introduced, nonnative, and damaging. They can restructure natural habitats, change community composition, disrupt food webs, and degrade ecosystem services. Global climatic changes are often thought to exacerbate invasions (1), but no consensus exists over the generality of this phenomenon (2). As a consequence, anticipating areas of high invasion risk or decreased impact in the future is still uncertain. By combining experimental biogeography with demographic models, Merow et al. (3) develop climate driven process-based models to predict population growth or decline under current and future climate scenarios for two established and damaging invasive plant species in New England, United States. They find that one invasive species will likely perform better, whereas the other will do worse in areas that are currently occupied.\n\nForecasting the distribution and performance of invasive species under a changing climate comes with particular challenges. Invasive species have not had time to colonize all favorable habitats available in the nonnative range. This nonequilibrium situation is problematic for correlative species distribution models, which may then use incomplete occurrences in the nonnative range as inputs for predicting suitable climatic conditions. However, predictions can be improved by using occurrence data from the native range (4). A more concerning challenge is that invasives may be able to establish in environmental conditions the species has not encountered in the native range (4</w:instrText>
      </w:r>
      <w:r w:rsidR="002F5A10">
        <w:rPr>
          <w:rFonts w:ascii="Cambria Math" w:hAnsi="Cambria Math" w:cs="Cambria Math"/>
        </w:rPr>
        <w:instrText>⇓⇓</w:instrText>
      </w:r>
      <w:r w:rsidR="002F5A10">
        <w:instrText>–7), even if those conditions occur but are unoccupied in the native range (6). Niche … \n\n[</w:instrText>
      </w:r>
      <w:r w:rsidR="002F5A10">
        <w:rPr>
          <w:rFonts w:ascii="Cambria Math" w:hAnsi="Cambria Math" w:cs="Cambria Math"/>
        </w:rPr>
        <w:instrText>↵</w:instrText>
      </w:r>
      <w:r w:rsidR="002F5A10">
        <w:instrText xml:space="preserve">][1]1To whom correspondence should be addressed. Email: buckleyy{at}tcd.ie.\n\n [1]: #xref-corresp-1-1","container-title":"Proceedings of the National Academy of Sciences, USA","DOI":"10.1073/pnas.1703510114","ISSN":"0027-8424, 1091-6490","issue":"16","journalAbbreviation":"PNAS","language":"en","note":"PMID: 28377519","page":"4040-4041","source":"www.pnas.org","title":"Predicting invasion winners and losers under climate change","volume":"114","author":[{"family":"Buckley","given":"Yvonne M."},{"family":"Csergő","given":"Anna M."}],"issued":{"date-parts":[["2017",4,18]]}}}],"schema":"https://github.com/citation-style-language/schema/raw/master/csl-citation.json"} </w:instrText>
      </w:r>
      <w:r w:rsidRPr="005D5611">
        <w:fldChar w:fldCharType="separate"/>
      </w:r>
      <w:r w:rsidR="00C51ED3">
        <w:t>[74]</w:t>
      </w:r>
      <w:r w:rsidRPr="005D5611">
        <w:fldChar w:fldCharType="end"/>
      </w:r>
      <w:r w:rsidRPr="005D5611">
        <w:t xml:space="preserve"> </w:t>
      </w:r>
      <w:bookmarkEnd w:id="7"/>
      <w:r w:rsidRPr="005D5611">
        <w:t xml:space="preserve">report demographic modeling of invasive plant range as a new innovation </w:t>
      </w:r>
      <w:r w:rsidRPr="005D5611">
        <w:fldChar w:fldCharType="begin"/>
      </w:r>
      <w:r w:rsidR="00FF3F09">
        <w:instrText xml:space="preserve"> ADDIN ZOTERO_ITEM CSL_CITATION {"citationID":"a1sg71nl5eb","properties":{"formattedCitation":"[11, 75]","plainCitation":"[11, 75]","noteIndex":0},"citationItems":[{"id":2958,"uris":["http://zotero.org/users/1272936/items/3HJHR46H"],"uri":["http://zotero.org/users/1272936/items/3HJHR46H"],"itemData":{"id":2958,"type":"book","abstract":"The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id":1645,"uris":["http://zotero.org/users/1272936/items/435XGCRP"],"uri":["http://zotero.org/users/1272936/items/435XGCRP"],"itemData":{"id":1645,"type":"article-journal","container-title":"Biological Control","DOI":"10.1016/j.biocontrol.2005.04.015","issue":"2","journalAbbreviation":"Biological Control","page":"115-131","title":"Evaluating biological control of yellow starthistle (&lt;i&gt;Centaurea solstitialis&lt;/i&gt;) in California: A GIS based supply-demand demographic model","volume":"34","author":[{"family":"Gutierrez","given":"A.P."},{"family":"Pitcairn","given":"Michael J."},{"family":"Ellis","given":"C.K."},{"family":"Carruthers","given":"Nada"},{"family":"Ghezelbash","given":"Reza"}],"issued":{"date-parts":[["2005"]]}}}],"schema":"https://github.com/citation-style-language/schema/raw/master/csl-citation.json"} </w:instrText>
      </w:r>
      <w:r w:rsidRPr="005D5611">
        <w:fldChar w:fldCharType="separate"/>
      </w:r>
      <w:r w:rsidR="00C51ED3">
        <w:t>[11, 75]</w:t>
      </w:r>
      <w:r w:rsidRPr="005D5611">
        <w:fldChar w:fldCharType="end"/>
      </w:r>
      <w:r w:rsidRPr="005D5611">
        <w:t>), and wrongly state (see text) that “</w:t>
      </w:r>
      <w:r w:rsidRPr="005D5611">
        <w:rPr>
          <w:i/>
        </w:rPr>
        <w:t>mechanistic approaches require large-scale field experimentation across multiple species, a task often beyond the resources of a typical ecology research grant.</w:t>
      </w:r>
      <w:r w:rsidRPr="005D5611">
        <w:t xml:space="preserve">” </w:t>
      </w:r>
      <w:bookmarkStart w:id="8" w:name="_Hlk530132097"/>
      <w:r w:rsidRPr="005D5611">
        <w:t>Poisot</w:t>
      </w:r>
      <w:r w:rsidRPr="005D5611">
        <w:rPr>
          <w:i/>
        </w:rPr>
        <w:t xml:space="preserve"> et al</w:t>
      </w:r>
      <w:r w:rsidRPr="005D5611">
        <w:t xml:space="preserve">. </w:t>
      </w:r>
      <w:r w:rsidRPr="005D5611">
        <w:fldChar w:fldCharType="begin"/>
      </w:r>
      <w:r w:rsidR="002F5A10">
        <w:instrText xml:space="preserve"> ADDIN ZOTERO_ITEM CSL_CITATION {"citationID":"wRPLtGKG","properties":{"formattedCitation":"[76]","plainCitation":"[76]","noteIndex":0},"citationItems":[{"id":4804,"uris":["http://zotero.org/users/1272936/items/ZKFW4382"],"uri":["http://zotero.org/users/1272936/items/ZKFW4382"],"itemData":{"id":4804,"type":"article-journal","abstract":"Community ecology is tasked with the considerable challenge of predicting the structure, and properties, of emerging ecosystems. It requires the ability to understand how and why species interact, as this will allow the development of mechanism-based predictive models, and as such to better characterize how ecological mechanisms act locally on the existence of inter-specific interactions. Here we argue that the current conceptualization of species interaction networks is ill-suited for this task. Instead, we propose that future research must start to account for the intrinsic variability of species interactions, then scale up from here onto complex networks. This can be accomplished simply by recognizing that there exists intra-specific variability, in traits or properties related to the establishment of species interactions. By shifting the scale towards population-based processes, we show that this new approach will improve our predictive ability and mechanistic understanding of how species interact over large spatial or temporal scales. Synthesis Although species interactions are the backbone of ecological communities, we have little insights on how (and why) they vary through space and time. In this article, we build on existing empirical literature to show that the same species may happen to interact in different ways when their local abundances vary, their trait distribution changes, or when the environment affects either of these factors. We discuss how these findings can be integrated in existing frameworks for the analysis and simulation of species interactions.","container-title":"Oikos","DOI":"10.1111/oik.01719","ISSN":"1600-0706","issue":"3","language":"en","page":"243-251","source":"Wiley Online Library","title":"Beyond species: why ecological interaction networks vary through space and time","title-short":"Beyond species","volume":"124","author":[{"family":"Poisot","given":"Timothée"},{"family":"Stouffer","given":"Daniel B."},{"family":"Gravel","given":"Dominique"}],"issued":{"date-parts":[["2015"]]}}}],"schema":"https://github.com/citation-style-language/schema/raw/master/csl-citation.json"} </w:instrText>
      </w:r>
      <w:r w:rsidRPr="005D5611">
        <w:fldChar w:fldCharType="separate"/>
      </w:r>
      <w:r w:rsidR="00C51ED3">
        <w:t>[76]</w:t>
      </w:r>
      <w:r w:rsidRPr="005D5611">
        <w:fldChar w:fldCharType="end"/>
      </w:r>
      <w:r w:rsidRPr="005D5611">
        <w:t xml:space="preserve"> </w:t>
      </w:r>
      <w:bookmarkEnd w:id="8"/>
      <w:r w:rsidRPr="005D5611">
        <w:t>argue that shifting the scale towards population</w:t>
      </w:r>
      <w:r w:rsidRPr="005D5611">
        <w:rPr>
          <w:rFonts w:ascii="Cambria Math" w:hAnsi="Cambria Math" w:cs="Cambria Math"/>
        </w:rPr>
        <w:t>‐</w:t>
      </w:r>
      <w:r w:rsidRPr="005D5611">
        <w:t xml:space="preserve">based processes will improve our predictive ability and mechanistic understanding of how species interact over large spatial or temporal scales (we agree). </w:t>
      </w:r>
    </w:p>
    <w:p w14:paraId="0850CA4C" w14:textId="77777777" w:rsidR="003A45CF" w:rsidRPr="005D5611" w:rsidRDefault="003A45CF" w:rsidP="003A45CF">
      <w:pPr>
        <w:pStyle w:val="SMText"/>
        <w:rPr>
          <w:sz w:val="28"/>
          <w:szCs w:val="28"/>
        </w:rPr>
      </w:pPr>
    </w:p>
    <w:p w14:paraId="1E6D6A67" w14:textId="6DA16FEF" w:rsidR="003A45CF" w:rsidRPr="005D5611" w:rsidRDefault="003A45CF" w:rsidP="003A45CF">
      <w:pPr>
        <w:pStyle w:val="SMText"/>
        <w:ind w:firstLine="0"/>
        <w:rPr>
          <w:b/>
          <w:bCs/>
          <w:sz w:val="28"/>
          <w:szCs w:val="28"/>
        </w:rPr>
      </w:pPr>
      <w:r w:rsidRPr="005D5611">
        <w:rPr>
          <w:b/>
          <w:bCs/>
        </w:rPr>
        <w:t>S1.2 Mathematical models of populations -</w:t>
      </w:r>
      <w:r w:rsidRPr="005D5611">
        <w:rPr>
          <w:b/>
          <w:bCs/>
          <w:sz w:val="28"/>
          <w:szCs w:val="28"/>
        </w:rPr>
        <w:t xml:space="preserve"> </w:t>
      </w:r>
      <w:r w:rsidRPr="005D5611">
        <w:t xml:space="preserve">The perceived ecological complexity led many biologists to seek explanation via simple mathematical models of species dynamics and stability </w:t>
      </w:r>
      <w:r w:rsidRPr="005D5611">
        <w:fldChar w:fldCharType="begin"/>
      </w:r>
      <w:r w:rsidR="002F5A10">
        <w:instrText xml:space="preserve"> ADDIN ZOTERO_ITEM CSL_CITATION {"citationID":"BJuOdTaH","properties":{"formattedCitation":"[77\\uc0\\u8211{}79]","plainCitation":"[77–79]","noteIndex":0},"citationItems":[{"id":12162,"uris":["http://zotero.org/users/1272936/items/NAZ4RHAF"],"uri":["http://zotero.org/users/1272936/items/NAZ4RHAF"],"itemData":{"id":12162,"type":"article-journal","abstract":"Many biological populations breed seasonally and have nonoverlapping generations, so that their dynamics are described by first-order difference equations, Nt+1 = F (Nt). In many cases, F(N) as a function of N will have a hump. We show, very generally, that as such a hump steepens, the dynamics goes from a stable point, to a bifurcating hierarchy of stable cycles of period 2n, into a region of chaotic behavior where the population exhibits an apparently random sequence of \"outbreaks\" followed by \"crashes.\" We give a detailed account of the underlying mathematics of this process and review other situations (in two- and higher dimensional systems, or in differential equation systems) where apparently random dynamics can arise from bifurcation processes. This complicated behavior, in simple deterministic models, can have disturbing implications for the analysis and interpretation of biological data.","container-title":"The American Naturalist","ISSN":"0003-0147","issue":"974","page":"573-599","source":"JSTOR","title":"Bifurcations and dynamic complexity in simple ecological models","volume":"110","author":[{"family":"May","given":"Robert M."},{"family":"Oster","given":"George F."}],"issued":{"date-parts":[["1976"]]}}},{"id":12029,"uris":["http://zotero.org/users/1272936/items/D8KB276T"],"uri":["http://zotero.org/users/1272936/items/D8KB276T"],"itemData":{"id":12029,"type":"article-journal","container-title":"Nature","DOI":"10.1038/255058a0","ISSN":"0028-0836, 1476-4687","issue":"5503","language":"en","page":"58-60","source":"Crossref","title":"Dynamic complexity in predator-prey models framed in difference equations","volume":"255","author":[{"family":"Beddington","given":"J. R."},{"family":"Free","given":"C. A."},{"family":"Lawton","given":"J. H."}],"issued":{"date-parts":[["1975",5]]}}},{"id":12112,"uris":["http://zotero.org/users/1272936/items/CSJ6FPG7"],"uri":["http://zotero.org/users/1272936/items/CSJ6FPG7"],"itemData":{"id":12112,"type":"book","collection-number":"13","collection-title":"Monographs in population biology","event-place":"Princeton, New Jersey, USA","ISBN":"978-0-691-08215-8","language":"eng","note":"OCLC: 3844383","number-of-pages":"237","publisher":"Princeton University Press","publisher-place":"Princeton, New Jersey, USA","source":"Gemeinsamer Bibliotheksverbund ISBN","title":"The dynamics of arthropod predator-prey systems","author":[{"family":"Hassell","given":"Michael Patrick"}],"issued":{"date-parts":[["1978"]]}}}],"schema":"https://github.com/citation-style-language/schema/raw/master/csl-citation.json"} </w:instrText>
      </w:r>
      <w:r w:rsidRPr="005D5611">
        <w:fldChar w:fldCharType="separate"/>
      </w:r>
      <w:r w:rsidR="00C51ED3" w:rsidRPr="00C51ED3">
        <w:t>[77–79]</w:t>
      </w:r>
      <w:r w:rsidRPr="005D5611">
        <w:fldChar w:fldCharType="end"/>
      </w:r>
      <w:r w:rsidRPr="005D5611">
        <w:t xml:space="preserve">. </w:t>
      </w:r>
      <w:r w:rsidRPr="005D5611">
        <w:rPr>
          <w:rFonts w:eastAsiaTheme="minorHAnsi"/>
        </w:rPr>
        <w:t xml:space="preserve">Murdoch </w:t>
      </w:r>
      <w:r w:rsidRPr="005D5611">
        <w:rPr>
          <w:rFonts w:eastAsiaTheme="minorHAnsi"/>
        </w:rPr>
        <w:fldChar w:fldCharType="begin"/>
      </w:r>
      <w:r w:rsidR="002F5A10">
        <w:rPr>
          <w:rFonts w:eastAsiaTheme="minorHAnsi"/>
        </w:rPr>
        <w:instrText xml:space="preserve"> ADDIN ZOTERO_ITEM CSL_CITATION {"citationID":"2TayC1LE","properties":{"formattedCitation":"[80]","plainCitation":"[80]","noteIndex":0},"citationItems":[{"id":12170,"uris":["http://zotero.org/users/1272936/items/HAJJGBHD"],"uri":["http://zotero.org/users/1272936/items/HAJJGBHD"],"itemData":{"id":12170,"type":"article-journal","container-title":"Bulletin of the Ecological Society of America","DOI":"10.2307/20167250","ISSN":"2327-6096","issue":"1","journalAbbreviation":"Bull. Ecol. Soc. Am.","language":"en","page":"49-51","source":"Wiley Online Library","title":"Meeting reviews: The shift from equilibrium to a non-equilibrium paradigm in ecology","volume":"72","author":[{"family":"Murdoch","given":"W.W."}],"issued":{"date-parts":[["1991"]]}}}],"schema":"https://github.com/citation-style-language/schema/raw/master/csl-citation.json"} </w:instrText>
      </w:r>
      <w:r w:rsidRPr="005D5611">
        <w:rPr>
          <w:rFonts w:eastAsiaTheme="minorHAnsi"/>
        </w:rPr>
        <w:fldChar w:fldCharType="separate"/>
      </w:r>
      <w:r w:rsidR="00C51ED3">
        <w:t>[80]</w:t>
      </w:r>
      <w:r w:rsidRPr="005D5611">
        <w:rPr>
          <w:rFonts w:eastAsiaTheme="minorHAnsi"/>
        </w:rPr>
        <w:fldChar w:fldCharType="end"/>
      </w:r>
      <w:r w:rsidRPr="005D5611">
        <w:rPr>
          <w:rFonts w:eastAsiaTheme="minorHAnsi"/>
        </w:rPr>
        <w:t xml:space="preserve"> concluded that point equilibrium of systems (vs. equilibrium space) exists only in theory, and hence attempts to capture the essence of complex population behavior by constants is futile </w:t>
      </w:r>
      <w:r w:rsidRPr="005D5611">
        <w:rPr>
          <w:rFonts w:eastAsiaTheme="minorHAnsi"/>
        </w:rPr>
        <w:fldChar w:fldCharType="begin"/>
      </w:r>
      <w:r w:rsidR="002F5A10">
        <w:rPr>
          <w:rFonts w:eastAsiaTheme="minorHAnsi"/>
        </w:rPr>
        <w:instrText xml:space="preserve"> ADDIN ZOTERO_ITEM CSL_CITATION {"citationID":"TLV1jSDY","properties":{"formattedCitation":"[81]","plainCitation":"[81]","noteIndex":0},"citationItems":[{"id":1259,"uris":["http://zotero.org/users/1272936/items/MF9MXAFT"],"uri":["http://zotero.org/users/1272936/items/MF9MXAFT"],"itemData":{"id":1259,"type":"article-journal","abstract":"The authors evaluate the use of point stability analyses in ecological models by examining the stability properties of simple models with and without age structure incorporating the Nicholson-Bailey, Hassell-Varley and Frazer-Gilbert survivorship submodels. A more complex model for Anthonomus grandis Boh. on cotton using the same survivorship submodels is assessed via simulation. The results of stability analyses appear to reflect the formulation, assumptions and parameter values of the models rather than testable field biology, casting doubt on the applicability of stability analyses to ecological models. Simulation results using the A. grandis-cotton model suggest that the notion of equilibrium space put forward by R. M. May in 1973 is more realistic and appropriate.","container-title":"Journal of Animal Ecology","DOI":"10.2307/4256","issue":"2","page":"435-452","title":"An assessment of the use of stability analyses in population ecology","volume":"49","author":[{"family":"Wang","given":"Y. H."},{"family":"Gutierrez","given":"A. P."}],"issued":{"date-parts":[["1980"]]}}}],"schema":"https://github.com/citation-style-language/schema/raw/master/csl-citation.json"} </w:instrText>
      </w:r>
      <w:r w:rsidRPr="005D5611">
        <w:rPr>
          <w:rFonts w:eastAsiaTheme="minorHAnsi"/>
        </w:rPr>
        <w:fldChar w:fldCharType="separate"/>
      </w:r>
      <w:r w:rsidR="00C51ED3">
        <w:t>[81]</w:t>
      </w:r>
      <w:r w:rsidRPr="005D5611">
        <w:rPr>
          <w:rFonts w:eastAsiaTheme="minorHAnsi"/>
        </w:rPr>
        <w:fldChar w:fldCharType="end"/>
      </w:r>
      <w:r w:rsidRPr="005D5611">
        <w:rPr>
          <w:rFonts w:eastAsiaTheme="minorHAnsi"/>
        </w:rPr>
        <w:t xml:space="preserve">. While </w:t>
      </w:r>
      <w:r w:rsidRPr="005D5611">
        <w:t xml:space="preserve">simple models provided significant insights into aspect of population regulation theory (e.g., </w:t>
      </w:r>
      <w:r w:rsidRPr="005D5611">
        <w:fldChar w:fldCharType="begin"/>
      </w:r>
      <w:r w:rsidR="002F5A10">
        <w:instrText xml:space="preserve"> ADDIN ZOTERO_ITEM CSL_CITATION {"citationID":"ZVO7xzWt","properties":{"formattedCitation":"[82, 83]","plainCitation":"[82, 83]","noteIndex":0},"citationItems":[{"id":12164,"uris":["http://zotero.org/users/1272936/items/3U8LJEX8"],"uri":["http://zotero.org/users/1272936/items/3U8LJEX8"],"itemData":{"id":12164,"type":"book","event-place":"Princeton, New Jersey, USA","ISBN":"978-0-691-08861-7","number-of-pages":"265","publisher":"Princeton University Press","publisher-place":"Princeton, New Jersey, USA","source":"Library of Congress ISBN","title":"Stability and complexity in model ecosystems","author":[{"family":"May","given":"Robert M."}],"issued":{"date-parts":[["1973"]]}}},{"id":12166,"uris":["http://zotero.org/users/1272936/items/WQKR47QN"],"uri":["http://zotero.org/users/1272936/items/WQKR47QN"],"itemData":{"id":12166,"type":"book","call-number":"QH541 .T49 1981","edition":"2","event-place":"Sunderland, Massachusetts, USA","ISBN":"978-0-87893-514-7","number-of-pages":"489","publisher":"Sinauer Associates","publisher-place":"Sunderland, Massachusetts, USA","source":"Library of Congress ISBN","title":"Theoretical ecology: principles and applications","title-short":"Theoretical ecology","editor":[{"family":"May","given":"Robert M."}],"issued":{"date-parts":[["1981"]]}}}],"schema":"https://github.com/citation-style-language/schema/raw/master/csl-citation.json"} </w:instrText>
      </w:r>
      <w:r w:rsidRPr="005D5611">
        <w:fldChar w:fldCharType="separate"/>
      </w:r>
      <w:r w:rsidR="00C51ED3">
        <w:t>[82, 83]</w:t>
      </w:r>
      <w:r w:rsidRPr="005D5611">
        <w:fldChar w:fldCharType="end"/>
      </w:r>
      <w:r w:rsidRPr="005D5611">
        <w:t xml:space="preserve">), they are difficult to test against field data and observations. </w:t>
      </w:r>
      <w:r w:rsidRPr="005D5611">
        <w:rPr>
          <w:lang w:eastAsia="zh-CN"/>
        </w:rPr>
        <w:t xml:space="preserve">Ecosystems do not work according to Lotka–Volterra equations </w:t>
      </w:r>
      <w:r w:rsidRPr="005D5611">
        <w:rPr>
          <w:lang w:eastAsia="zh-CN"/>
        </w:rPr>
        <w:fldChar w:fldCharType="begin"/>
      </w:r>
      <w:r w:rsidR="00FF3F09">
        <w:rPr>
          <w:lang w:eastAsia="zh-CN"/>
        </w:rPr>
        <w:instrText xml:space="preserve"> ADDIN ZOTERO_ITEM CSL_CITATION {"citationID":"MoIbxlfY","properties":{"formattedCitation":"[48]","plainCitation":"[48]","noteIndex":0},"citationItems":[{"id":12140,"uris":["http://zotero.org/users/1272936/items/V7NRWKLV"],"uri":["http://zotero.org/users/1272936/items/V7NRWKLV"],"itemData":{"id":12140,"type":"article-journal","abstract":"Systems ecology is sufficiently developed today to offer a consistent theory about ecosystem function due to the contributions from a number of system ecologists during the last forty to fifty years. During the last five years, additional important contributions to systems ecology have been published in Ecological Modelling in the areas of hierarchy theory, landscape processes, and thermodynamic indicators. For example, research showed that hierarchical organization has an important damping effect in the higher levels on disturbances occurring in the lower levels and that the damping effect increases with increasing biodiversity; this result is consistent with experimental and model results. A first attempt has been made to integrate hierarchical and network theory on the levels of ecosystems/landscapes using model experiments. The model experiments point toward an expansion of the Ecological Law of Thermodynamics (ELT) to ecosystems developing on the landscape, where it previous was shown valid for populations fitting in an ecosystem. Regarding thermodynamic indicators of ecological organization, flow transfers were used to quantify the usable work energy, including the work energy of information, in ecological networks. In particular, this new approach included the cycling of information, which is changed by transfers of work energy due to different values of the donors and the receptors. These changes, however, distribute to all the components of the network. The cardinal network hypotheses proposed by B. Patten have been expanded (published in this issue of Ecological Modelling) and it has been shown that both the maximization of power (the flows of useful work energy) and the maximization of the storage of usable work energy including that of information in ecosystems’ networks are valid and complementary. This result represents a first integration of the Maximum Power Hypothesis and the Ecological Law of Thermodynamics with Network Theory, and it is presumed that a complete integration of all three theories, hierarchical, network and thermodynamic, could be expected in the coming years.","collection-title":"40th Anniversary of Ecological Modelling Journal","container-title":"Ecological Modelling","DOI":"10.1016/j.ecolmodel.2015.08.007","ISSN":"0304-3800","journalAbbreviation":"Ecol. Model.","page":"112-118","source":"ScienceDirect","title":"Recent progress in systems ecology","volume":"319","author":[{"family":"Jørgensen","given":"Sven E."},{"family":"Nielsen","given":"Søren Nors"},{"family":"Fath","given":"Brian D."}],"issued":{"date-parts":[["2016",1,10]]}}}],"schema":"https://github.com/citation-style-language/schema/raw/master/csl-citation.json"} </w:instrText>
      </w:r>
      <w:r w:rsidRPr="005D5611">
        <w:rPr>
          <w:lang w:eastAsia="zh-CN"/>
        </w:rPr>
        <w:fldChar w:fldCharType="separate"/>
      </w:r>
      <w:r w:rsidR="00C51ED3">
        <w:t>[48]</w:t>
      </w:r>
      <w:r w:rsidRPr="005D5611">
        <w:rPr>
          <w:lang w:eastAsia="zh-CN"/>
        </w:rPr>
        <w:fldChar w:fldCharType="end"/>
      </w:r>
      <w:r w:rsidRPr="005D5611">
        <w:t xml:space="preserve">, and hence </w:t>
      </w:r>
      <w:r w:rsidRPr="005D5611">
        <w:rPr>
          <w:lang w:eastAsia="zh-CN"/>
        </w:rPr>
        <w:t xml:space="preserve">more nuanced approaches must be used to analyze system interactions (e.g., </w:t>
      </w:r>
      <w:r w:rsidRPr="005D5611">
        <w:rPr>
          <w:lang w:eastAsia="zh-CN"/>
        </w:rPr>
        <w:fldChar w:fldCharType="begin"/>
      </w:r>
      <w:r w:rsidR="002F5A10">
        <w:rPr>
          <w:lang w:eastAsia="zh-CN"/>
        </w:rPr>
        <w:instrText xml:space="preserve"> ADDIN ZOTERO_ITEM CSL_CITATION {"citationID":"Bztnmt3M","properties":{"formattedCitation":"[84, 85]","plainCitation":"[84, 85]","noteIndex":0},"citationItems":[{"id":12191,"uris":["http://zotero.org/users/1272936/items/RSJYJ2QU"],"uri":["http://zotero.org/users/1272936/items/RSJYJ2QU"],"itemData":{"id":12191,"type":"article-journal","abstract":"This is the first of two numbered papers for this Special Issue dealing with the ecological basis of environmentalism. The second follows, in a subsequent issue if not here. Patten (2013) gives a short preview of both papers. Problems of environmentalism—environmental protection, conservation, and preservation—are now widely appreciated as important to human enterprise and destiny. Called to attention by advances in descriptive empirical ecology, the new problems are too complex for this same ecology to solve without further expansion of basic knowledge. To understand how nature works two kinds of science are needed, one empirical, describing what is immediate and tangible, the other theoretical, developing first-principles understanding of what is indirect and intangible. Development of a complex systems theory based ecology is hindered by over-commitment of attention and resources to applied environmentalism. This may in its inadequacy run counter to how nature works, which could be detrimental to both humanity and nature. It is important to get the science right. As background for a revisionary hypothesis presented in Part II, five elements of basic ecology and five of applied environmentalism are here reviewed. The basic topics are ecological energetics, linear vs. nonlinear dynamics, steady vs. non-steady states, epistemic mediation, and indirect effects. The environmental topics are overpopulation, biodiversity, invasive species, sustainability, and global change.","collection-title":"Systems Ecology: A Network Perspective and Retrospective","container-title":"Ecological Modelling","DOI":"10.1016/j.ecolmodel.2014.04.010","ISSN":"0304-3800","page":"4-21","source":"ScienceDirect","title":"Systems ecology and environmentalism: Getting the science right. Part I: Facets for a more holistic &lt;i&gt;Nature Book&lt;/i&gt; of ecology","title-short":"Systems ecology and environmentalism","volume":"293","author":[{"family":"Patten","given":"Bernard C."}],"issued":{"date-parts":[["2014",12,10]]}}},{"id":12194,"uris":["http://zotero.org/users/1272936/items/UVYC3AAB"],"uri":["http://zotero.org/users/1272936/items/UVYC3AAB"],"itemData":{"id":12194,"type":"article-journal","abstract":"Causality in Complex Adaptive Hierarchical Systems (CAHSystems) is bipolar. In the hierarchical organization, within-scale contributions come both from below (reductionistic) and above (holistic). Holoecology is ecology that seeks to bring holism and formalism into the traditional mix of descriptive, empirical approaches to elaborating ecological cause and effect. The holism is philosophical and methodological, ecological modeling being an important element in the latter. The formalism (presently) is built around a body of environmental system theory called the Theory of Environs. This theory encompasses a set of “principles” of transactional network organization, where a transaction is a flow of conservative substance (energy or matter) between two system components. These are numbered, and referred to not as principles, but as cardinal hypotheses, because they are conditioned on verification or falsification by empirical or theoretical means. Presently, there are 20 of them:1.Network pathway proliferation—increase of pathway numbers with length.2.Network nonlocality—dominance of indirect effects.3.Network homogenization—trend to uniform distribution of transaction based causation.4.Network aggradation—network growth and development properties move systems away from thermodynamic equilibrium.5.Network throughflow maximization—system-wide virtual goal function.6.Network storage maximization—system-wide concrete goal function.7.Network boundary amplification—benefits of agency in boundary crossing.8.Network interior amplification—benefits of high node in-degree.9.Network enfolding—entwinement of boundary relations into deep interiors.10.Network unfolding—conversion of networks to macrochains.11.Network centrifugality/centripetality—expansion and contraction of influence from node storage in, respectively, output and input environs.12.Network topogenesis—quantitative determination of stocks and flows by topological properties of qualitative digraphs.13.Network synergism—system-wide benefits&gt;costs emergent in network organization.14.Network interaction typing—structural determination (by digraph topology) vs. parametric determination (by quantitative flow-storage transactions) of qualitative relations specifying binary interaction types (e.g., predation, competition, mutualism) between component pairs in systems.15.Network mutualism—emergence of positive interaction types (symbioses) in network organization.16.Network Janus Enigma Hypothesis—stronger adjacent transactions produce stronger ultimate expression of positive binary relations (network synergism), but also stronger proximate environmental degradation.17.Network clockwork stockworks (holon autonomy)—time delay of substance flow in storage causes nodes to dominate in determining network properties; “‘net’works” are really more like “clockwork ‘stock’works” that contribute constrained autonomy to their entities.18.Network environ autonomy—boundary-based partitioning of transactional stocks and flows in systems, causing environs to be isolated “small worlds” spanning intra-system organization and expressing implicate order.19.Network distributed control—Expression among system components of distributed (indirect, decentralized, or remote) control at a network distance.20.Network ecogenetic coevolution—system-wide coevolution of mutually implicated parts and wholes to achieve and sustain systemic coherence and life. These hypotheses are grouped into sections by shared affinities. Eight of them are identified as having special potential to: transform ecology into a systems science that integrates bipolar causality; unify the reductive and holistic modes of science; and shift the ecological worldview more towards holism.","collection-title":"40th Anniversary of Ecological Modelling Journal","container-title":"Ecological Modelling","DOI":"10.1016/j.ecolmodel.2015.08.004","ISSN":"0304-3800","journalAbbreviation":"Ecological Modelling","page":"63-111","source":"ScienceDirect","title":"The cardinal hypotheses of &lt;i&gt;Holoecology&lt;/i&gt;: Facets for a general systems theory of the organism–environment relationship","title-short":"The cardinal hypotheses of Holoecology","volume":"319","author":[{"family":"Patten","given":"Bernard C."}],"issued":{"date-parts":[["2016",1,10]]}}}],"schema":"https://github.com/citation-style-language/schema/raw/master/csl-citation.json"} </w:instrText>
      </w:r>
      <w:r w:rsidRPr="005D5611">
        <w:rPr>
          <w:lang w:eastAsia="zh-CN"/>
        </w:rPr>
        <w:fldChar w:fldCharType="separate"/>
      </w:r>
      <w:r w:rsidR="00C51ED3">
        <w:t>[84, 85]</w:t>
      </w:r>
      <w:r w:rsidRPr="005D5611">
        <w:rPr>
          <w:lang w:eastAsia="zh-CN"/>
        </w:rPr>
        <w:fldChar w:fldCharType="end"/>
      </w:r>
      <w:r w:rsidRPr="005D5611">
        <w:rPr>
          <w:lang w:eastAsia="zh-CN"/>
        </w:rPr>
        <w:t xml:space="preserve">). </w:t>
      </w:r>
    </w:p>
    <w:p w14:paraId="6697AC03" w14:textId="69A3657D" w:rsidR="003A45CF" w:rsidRPr="005D5611" w:rsidRDefault="003A45CF" w:rsidP="003A45CF">
      <w:pPr>
        <w:pStyle w:val="SMText"/>
      </w:pPr>
      <w:r w:rsidRPr="005D5611">
        <w:t xml:space="preserve">Some have proposed individual–based models </w:t>
      </w:r>
      <w:r w:rsidRPr="005D5611">
        <w:fldChar w:fldCharType="begin"/>
      </w:r>
      <w:r w:rsidR="002F5A10">
        <w:instrText xml:space="preserve"> ADDIN ZOTERO_ITEM CSL_CITATION {"citationID":"jMaIB2e6","properties":{"formattedCitation":"[86]","plainCitation":"[86]","noteIndex":0},"citationItems":[{"id":12133,"uris":["http://zotero.org/users/1272936/items/4NATKVVR"],"uri":["http://zotero.org/users/1272936/items/4NATKVVR"],"itemData":{"id":12133,"type":"article-journal","container-title":"BioScience","DOI":"10.2307/1310870","ISSN":"0006-3568","issue":"10","page":"682-691","source":"JSTOR","title":"New computer models unify ecological theory","volume":"38","author":[{"family":"Huston","given":"Michael"},{"family":"DeAngelis","given":"Donald"},{"family":"Post","given":"Wilfred"}],"issued":{"date-parts":[["1988"]]}}}],"schema":"https://github.com/citation-style-language/schema/raw/master/csl-citation.json"} </w:instrText>
      </w:r>
      <w:r w:rsidRPr="005D5611">
        <w:fldChar w:fldCharType="separate"/>
      </w:r>
      <w:r w:rsidR="00C51ED3">
        <w:t>[86]</w:t>
      </w:r>
      <w:r w:rsidRPr="005D5611">
        <w:fldChar w:fldCharType="end"/>
      </w:r>
      <w:r w:rsidRPr="005D5611">
        <w:t xml:space="preserve"> to capture the complexity, and other have opted for correlative approaches (e.g., ecological niche models (</w:t>
      </w:r>
      <w:r w:rsidRPr="005D5611">
        <w:rPr>
          <w:i/>
          <w:iCs/>
        </w:rPr>
        <w:t>ENM</w:t>
      </w:r>
      <w:r w:rsidRPr="005D5611">
        <w:t>) and species distribution models (</w:t>
      </w:r>
      <w:r w:rsidRPr="005D5611">
        <w:rPr>
          <w:i/>
          <w:iCs/>
        </w:rPr>
        <w:t>SDM</w:t>
      </w:r>
      <w:r w:rsidRPr="005D5611">
        <w:t xml:space="preserve">) that </w:t>
      </w:r>
      <w:bookmarkStart w:id="9" w:name="_Hlk19547109"/>
      <w:r w:rsidRPr="005D5611">
        <w:t>subsume the biology in rough measures of weather and climate in areas where the species has been recorded</w:t>
      </w:r>
      <w:bookmarkEnd w:id="9"/>
      <w:r w:rsidRPr="005D5611">
        <w:t xml:space="preserve"> (</w:t>
      </w:r>
      <w:r w:rsidRPr="005D5611">
        <w:fldChar w:fldCharType="begin"/>
      </w:r>
      <w:r w:rsidR="002F5A10">
        <w:instrText xml:space="preserve"> ADDIN ZOTERO_ITEM CSL_CITATION {"citationID":"7sOPR3lX","properties":{"formattedCitation":"[87]","plainCitation":"[87]","noteIndex":0},"citationItems":[{"id":12582,"uris":["http://zotero.org/users/1272936/items/FTZP5FQ8"],"uri":["http://zotero.org/users/1272936/items/FTZP5FQ8"],"itemData":{"id":12582,"type":"article-journal","container-title":"Trends in Ecology &amp; Evolution","DOI":"10.1016/j.tree.2019.08.006","ISSN":"0169-5347","issue":"1","journalAbbreviation":"Trends in Ecology &amp; Evolution","language":"English","note":"PMID: 31676190","page":"56-67","source":"www.cell.com","title":"Data integration for large-scale models of species distributions","volume":"35","author":[{"family":"Isaac","given":"Nick J. B."},{"family":"Jarzyna","given":"Marta A."},{"family":"Keil","given":"Petr"},{"family":"Dambly","given":"Lea I."},{"family":"Boersch-Supan","given":"Philipp H."},{"family":"Browning","given":"Ella"},{"family":"Freeman","given":"Stephen N."},{"family":"Golding","given":"Nick"},{"family":"Guillera-Arroita","given":"Gurutzeta"},{"family":"Henrys","given":"Peter A."},{"family":"Jarvis","given":"Susan"},{"family":"Lahoz-Monfort","given":"José"},{"family":"Pagel","given":"Jörn"},{"family":"Pescott","given":"Oliver L."},{"family":"Schmucki","given":"Reto"},{"family":"Simmonds","given":"Emily G."},{"family":"O’Hara","given":"Robert B."}],"issued":{"date-parts":[["2020"]]}}}],"schema":"https://github.com/citation-style-language/schema/raw/master/csl-citation.json"} </w:instrText>
      </w:r>
      <w:r w:rsidRPr="005D5611">
        <w:fldChar w:fldCharType="separate"/>
      </w:r>
      <w:r w:rsidR="00C51ED3">
        <w:t>[87]</w:t>
      </w:r>
      <w:r w:rsidRPr="005D5611">
        <w:fldChar w:fldCharType="end"/>
      </w:r>
      <w:r w:rsidRPr="005D5611">
        <w:t>; see Supplementary Text S3). Correlative models tell us little about the dynamics and interactions of species, and it is questionable whether the results can be used prospectively to analyze the effects of climate change on species distribution and abundance.</w:t>
      </w:r>
    </w:p>
    <w:p w14:paraId="63AECA93" w14:textId="184A7697" w:rsidR="003A45CF" w:rsidRPr="005D5611" w:rsidRDefault="003A45CF" w:rsidP="003A45CF">
      <w:pPr>
        <w:pStyle w:val="SMText"/>
      </w:pPr>
      <w:r w:rsidRPr="005D5611">
        <w:t xml:space="preserve"> State and transition models (STM) have been developed using Bayesian networks based on prior knowledge (or intuition) about how a system functions; knowledge that can be updated over time to reflect new data or experience </w:t>
      </w:r>
      <w:r w:rsidRPr="005D5611">
        <w:fldChar w:fldCharType="begin"/>
      </w:r>
      <w:r w:rsidR="002F5A10">
        <w:instrText xml:space="preserve"> ADDIN ZOTERO_ITEM CSL_CITATION {"citationID":"DXjp6Nkg","properties":{"formattedCitation":"[88]","plainCitation":"[88]","noteIndex":0},"citationItems":[{"id":12254,"uris":["http://zotero.org/users/1272936/items/XUJ244W2"],"uri":["http://zotero.org/users/1272936/items/XUJ244W2"],"itemData":{"id":12254,"type":"article-journal","abstract":"Adaptive Management (AM) is widely advocated as an approach to dealing with uncertainty in natural resource management as it provides an explicit framework for motivating, designing and interpreting the results of monitoring. One of the major factors impeding implementation is the failure to use appropriate process models; a core element of AM. Process models represent beliefs about the properties and dynamics of an ecological system and ecosystem responses to management. Quantitative models of ecosystem response help resolve ambiguity about the efficacy of management and facilitate iterative updating of knowledge using monitoring data. We report on the use of a state-and-transition model (STM) in the Adaptive Management of native woodland vegetation in south-eastern Australia. The STM is implemented as a Bayesian network, making it simple to communicate and update with new data as they arise. Application of the model is demonstrated using case-study and simulation data. We show how the model may be used to predict the probability of achieving desirable state transitions at restoration sites and how monitoring of those sites can be used to update the model (learn) and adapt (review restoration strategies). After just one monitoring/learning cycle, 7years after the first investments, we found that updated models predict markedly different transition probabilities compared with initial models based on expert opinion. This has strong implications for the apparent cost-efficiency of restoration strategies. The STM approach provides a sound theoretical basis for restoration decisions, while the Bayesian network implementation provides a workable framework for using the STM adaptively.","collection-title":"Adaptive management for biodiversity conservation in an uncertain world","container-title":"Biological Conservation","DOI":"10.1016/j.biocon.2010.10.026","ISSN":"0006-3207","issue":"4","journalAbbreviation":"Biological Conservation","page":"1224-1236","source":"ScienceDirect","title":"State-and-transition modelling for Adaptive Management of native woodlands","volume":"144","author":[{"family":"Rumpff","given":"L."},{"family":"Duncan","given":"D. H."},{"family":"Vesk","given":"P. A."},{"family":"Keith","given":"D. A."},{"family":"Wintle","given":"B. A."}],"issued":{"date-parts":[["2011",4,1]]}}}],"schema":"https://github.com/citation-style-language/schema/raw/master/csl-citation.json"} </w:instrText>
      </w:r>
      <w:r w:rsidRPr="005D5611">
        <w:fldChar w:fldCharType="separate"/>
      </w:r>
      <w:r w:rsidR="00C51ED3">
        <w:t>[88]</w:t>
      </w:r>
      <w:r w:rsidRPr="005D5611">
        <w:fldChar w:fldCharType="end"/>
      </w:r>
      <w:r w:rsidRPr="005D5611">
        <w:t>.</w:t>
      </w:r>
    </w:p>
    <w:p w14:paraId="439E614A" w14:textId="24639464" w:rsidR="003A45CF" w:rsidRPr="005D5611" w:rsidRDefault="003A45CF" w:rsidP="003A45CF">
      <w:pPr>
        <w:pStyle w:val="SMText"/>
      </w:pPr>
      <w:r w:rsidRPr="005D5611">
        <w:t xml:space="preserve">Plant ecologist have used plant morphological, anatomical, physiological, biochemical and phenological characteristics and their organs, to determine how primary producers respond to environmental factors, affect other trophic levels, influence ecosystem processes, services and affect species richness, ecosystem functional diversity for a wide range of research </w:t>
      </w:r>
      <w:r w:rsidRPr="005D5611">
        <w:fldChar w:fldCharType="begin"/>
      </w:r>
      <w:r w:rsidR="002F5A10">
        <w:instrText xml:space="preserve"> ADDIN ZOTERO_ITEM CSL_CITATION {"citationID":"wgYVry5Z","properties":{"formattedCitation":"[89]","plainCitation":"[89]","noteIndex":0},"citationItems":[{"id":12148,"uris":["http://zotero.org/users/1272936/items/YKC954KR"],"uri":["http://zotero.org/users/1272936/items/YKC954KR"],"itemData":{"id":12148,"type":"article-journal","container-title":"Global Change Biology","DOI":"10.1111/j.1365-2486.2011.02451.x","ISSN":"13541013","issue":"9","language":"en","page":"2905-2935","source":"Crossref","title":"TRY - a global database of plant traits","title-short":"TRY - a global database of plant traits","volume":"17","author":[{"family":"Kattge","given":"J."},{"family":"Díaz","given":"S."},{"family":"Lavorel","given":"S."},{"family":"Prentice","given":"I. C."},{"family":"Leadley","given":"P."},{"family":"Bönisch","given":"G."},{"family":"Garnier","given":"E."},{"family":"Westoby","given":"M."},{"family":"Reich","given":"P. B."},{"family":"Wright","given":"I. J."},{"family":"Cornelissen","given":"J. H. C."},{"family":"Violle","given":"C."},{"family":"Harrison","given":"S. P."},{"family":"Van BODEGOM","given":"P. M."},{"family":"Reichstein","given":"M."},{"family":"Enquist","given":"B. J."},{"family":"Soudzilovskaia","given":"N. A."},{"family":"Ackerly","given":"D. D."},{"family":"Anand","given":"M."},{"family":"Atkin","given":"O."},{"family":"Bahn","given":"M."},{"family":"Baker","given":"T. R."},{"family":"Baldocchi","given":"D."},{"family":"Bekker","given":"R."},{"family":"Blanco","given":"C. C."},{"family":"Blonder","given":"B."},{"family":"Bond","given":"W. J."},{"family":"Bradstock","given":"R."},{"family":"Bunker","given":"D. E."},{"family":"Casanoves","given":"F."},{"family":"Cavender-Bares","given":"J."},{"family":"Chambers","given":"J. Q."},{"family":"Chapin Iii","given":"F. S."},{"family":"Chave","given":"J."},{"family":"Coomes","given":"D."},{"family":"Cornwell","given":"W. K."},{"family":"Craine","given":"J. M."},{"family":"Dobrin","given":"B. H."},{"family":"Duarte","given":"L."},{"family":"Durka","given":"W."},{"family":"Elser","given":"J."},{"family":"Esser","given":"G."},{"family":"Estiarte","given":"M."},{"family":"Fagan","given":"W. F."},{"family":"Fang","given":"J."},{"family":"Fernández-Méndez","given":"F."},{"family":"Fidelis","given":"A."},{"family":"Finegan","given":"B."},{"family":"Flores","given":"O."},{"family":"Ford","given":"H."},{"family":"Frank","given":"D."},{"family":"Freschet","given":"G. T."},{"family":"Fyllas","given":"N. M."},{"family":"Gallagher","given":"R. V."},{"family":"Green","given":"W. A."},{"family":"Gutierrez","given":"A. G."},{"family":"Hickler","given":"T."},{"family":"Higgins","given":"S. I."},{"family":"Hodgson","given":"J. G."},{"family":"Jalili","given":"A."},{"family":"Jansen","given":"S."},{"family":"Joly","given":"C. A."},{"family":"Kerkhoff","given":"A. J."},{"family":"Kirkup","given":"D."},{"family":"Kitajima","given":"K."},{"family":"Kleyer","given":"M."},{"family":"Klotz","given":"S."},{"family":"Knops","given":"J. M. H."},{"family":"Kramer","given":"K."},{"family":"Kühn","given":"I."},{"family":"Kurokawa","given":"H."},{"family":"Laughlin","given":"D."},{"family":"Lee","given":"T. D."},{"family":"Leishman","given":"M."},{"family":"Lens","given":"F."},{"family":"Lenz","given":"T."},{"family":"Lewis","given":"S. L."},{"family":"Lloyd","given":"J."},{"family":"Llusià","given":"J."},{"family":"Louault","given":"F."},{"family":"Ma","given":"S."},{"family":"Mahecha","given":"M. D."},{"family":"Manning","given":"P."},{"family":"Massad","given":"T."},{"family":"Medlyn","given":"B. E."},{"family":"Messier","given":"J."},{"family":"Moles","given":"A. T."},{"family":"Müller","given":"S. C."},{"family":"Nadrowski","given":"K."},{"family":"Naeem","given":"S."},{"family":"Niinemets","given":"Ü."},{"family":"Nöllert","given":"S."},{"family":"Nüske","given":"A."},{"family":"Ogaya","given":"R."},{"family":"Oleksyn","given":"J."},{"family":"Onipchenko","given":"V. G."},{"family":"Onoda","given":"Y."},{"family":"Ordoñez","given":"J."},{"family":"Overbeck","given":"G."},{"family":"Ozinga","given":"W. A."},{"family":"Patiño","given":"S."},{"family":"Paula","given":"S."},{"family":"Pausas","given":"J. G."},{"family":"Peñuelas","given":"J."},{"family":"Phillips","given":"O. L."},{"family":"Pillar","given":"V."},{"family":"Poorter","given":"H."},{"family":"Poorter","given":"L."},{"family":"Poschlod","given":"P."},{"family":"Prinzing","given":"A."},{"family":"Proulx","given":"R."},{"family":"Rammig","given":"A."},{"family":"Reinsch","given":"S."},{"family":"Reu","given":"B."},{"family":"Sack","given":"L."},{"family":"Salgado-Negret","given":"B."},{"family":"Sardans","given":"J."},{"family":"Shiodera","given":"S."},{"family":"Shipley","given":"B."},{"family":"Siefert","given":"A."},{"family":"Sosinski","given":"E."},{"family":"Soussana","given":"J.-F."},{"family":"Swaine","given":"E."},{"family":"Swenson","given":"N."},{"family":"Thompson","given":"K."},{"family":"Thornton","given":"P."},{"family":"Waldram","given":"M."},{"family":"Weiher","given":"E."},{"family":"White","given":"M."},{"family":"White","given":"S."},{"family":"Wright","given":"S. J."},{"family":"Yguel","given":"B."},{"family":"Zaehle","given":"S."},{"family":"Zanne","given":"A. E."},{"family":"Wirth","given":"C."}],"issued":{"date-parts":[["2011",9]]}}}],"schema":"https://github.com/citation-style-language/schema/raw/master/csl-citation.json"} </w:instrText>
      </w:r>
      <w:r w:rsidRPr="005D5611">
        <w:fldChar w:fldCharType="separate"/>
      </w:r>
      <w:r w:rsidR="00C51ED3">
        <w:t>[89]</w:t>
      </w:r>
      <w:r w:rsidRPr="005D5611">
        <w:fldChar w:fldCharType="end"/>
      </w:r>
      <w:r w:rsidRPr="005D5611">
        <w:t>.</w:t>
      </w:r>
    </w:p>
    <w:p w14:paraId="2E071F56" w14:textId="70C5DEF6" w:rsidR="003A45CF" w:rsidRPr="005D5611" w:rsidRDefault="003A45CF" w:rsidP="003A45CF">
      <w:pPr>
        <w:pStyle w:val="SMText"/>
        <w:rPr>
          <w:rFonts w:eastAsiaTheme="minorHAnsi"/>
        </w:rPr>
      </w:pPr>
      <w:r w:rsidRPr="005D5611">
        <w:t xml:space="preserve">General models have been proposed to capture emergent global patterns of ecosystem structure and function with the ultimate goal of modeling all life on earth </w:t>
      </w:r>
      <w:r w:rsidRPr="005D5611">
        <w:fldChar w:fldCharType="begin"/>
      </w:r>
      <w:r w:rsidR="002F5A10">
        <w:instrText xml:space="preserve"> ADDIN ZOTERO_ITEM CSL_CITATION {"citationID":"U2ffU5CL","properties":{"formattedCitation":"[90, 91]","plainCitation":"[90, 91]","noteIndex":0},"citationItems":[{"id":4802,"uris":["http://zotero.org/users/1272936/items/CJC67XMR"],"uri":["http://zotero.org/users/1272936/items/CJC67XMR"],"itemData":{"id":4802,"type":"article-journal","abstract":"To help transform our understanding of the biosphere, ecologists — like climate scientists — should simulate whole ecosystems, argue Drew Purves and colleagues.","container-title":"Nature","DOI":"10.1038/493295a","ISSN":"0028-0836","issue":"7432","journalAbbreviation":"Nature","language":"en","page":"295-297","source":"www.nature.com","title":"Ecosystems: Time to model all life on Earth","title-short":"Ecosystems","volume":"493","author":[{"family":"Purves","given":"Drew"},{"family":"Scharlemann","given":"Jörn P. W."},{"family":"Harfoot","given":"Mike"},{"family":"Newbold","given":"Tim"},{"family":"Tittensor","given":"Derek P."},{"family":"Hutton","given":"Jon"},{"family":"Emmott","given":"Stephen"}],"issued":{"date-parts":[["2013",1,17]]}}},{"id":3905,"uris":["http://zotero.org/users/1272936/items/I5975NMX"],"uri":["http://zotero.org/users/1272936/items/I5975NMX"],"itemData":{"id":3905,"type":"article-journal","abstract":"This paper presents the first mathematical model that attempts to represent the biology and behavior of all individual organisms globally, taking us a step closer to holistic ecological and conservation science founded on mechanistic predictions.","container-title":"PLoS Biology","DOI":"10.1371/journal.pbio.1001841","ISSN":"1545-7885","issue":"4","journalAbbreviation":"PLoS Biol","page":"e1001841","source":"PLoS Journals","title":"Emergent global patterns of ecosystem structure and function from a mechanistic general ecosystem model","volume":"12","author":[{"family":"Harfoot","given":"Michael B. J."},{"family":"Newbold","given":"Tim"},{"family":"Tittensor","given":"Derek P."},{"family":"Emmott","given":"Stephen"},{"family":"Hutton","given":"Jon"},{"family":"Lyutsarev","given":"Vassily"},{"family":"Smith","given":"Matthew J."},{"family":"Scharlemann","given":"Jörn P. W."},{"family":"Purves","given":"Drew W."}],"issued":{"date-parts":[["2014",4,22]]}}}],"schema":"https://github.com/citation-style-language/schema/raw/master/csl-citation.json"} </w:instrText>
      </w:r>
      <w:r w:rsidRPr="005D5611">
        <w:fldChar w:fldCharType="separate"/>
      </w:r>
      <w:r w:rsidR="00C51ED3">
        <w:t>[90, 91]</w:t>
      </w:r>
      <w:r w:rsidRPr="005D5611">
        <w:fldChar w:fldCharType="end"/>
      </w:r>
      <w:r w:rsidRPr="005D5611">
        <w:t xml:space="preserve">. At the ecosystem level, </w:t>
      </w:r>
      <w:r w:rsidRPr="005D5611">
        <w:rPr>
          <w:rFonts w:eastAsiaTheme="minorHAnsi"/>
        </w:rPr>
        <w:t xml:space="preserve">meta-analyses of  &gt;1000 published studies found that a simple power function </w:t>
      </w:r>
      <w:r w:rsidR="00947966" w:rsidRPr="005D5611">
        <w:rPr>
          <w:noProof/>
          <w:position w:val="-10"/>
        </w:rPr>
        <w:object w:dxaOrig="660" w:dyaOrig="360" w14:anchorId="1ACD6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9pt;height:19.9pt;mso-width-percent:0;mso-height-percent:0;mso-width-percent:0;mso-height-percent:0" o:ole="">
            <v:imagedata r:id="rId9" o:title=""/>
          </v:shape>
          <o:OLEObject Type="Embed" ProgID="Equation.DSMT4" ShapeID="_x0000_i1025" DrawAspect="Content" ObjectID="_1662177434" r:id="rId10"/>
        </w:object>
      </w:r>
      <w:r w:rsidRPr="005D5611">
        <w:rPr>
          <w:rFonts w:eastAsiaTheme="minorHAnsi"/>
        </w:rPr>
        <w:t xml:space="preserve">recurs across a variety of ecosystem types that describes relative changes in the shape of the “Eltonian” pyramid of biomass distribution across communities in different trophic levels in the food chain/web </w:t>
      </w:r>
      <w:r w:rsidRPr="005D5611">
        <w:rPr>
          <w:rFonts w:eastAsiaTheme="minorHAnsi"/>
        </w:rPr>
        <w:fldChar w:fldCharType="begin"/>
      </w:r>
      <w:r w:rsidR="002F5A10">
        <w:rPr>
          <w:rFonts w:eastAsiaTheme="minorHAnsi"/>
        </w:rPr>
        <w:instrText xml:space="preserve"> ADDIN ZOTERO_ITEM CSL_CITATION {"citationID":"7L3vC5Qv","properties":{"formattedCitation":"[92]","plainCitation":"[92]","noteIndex":0},"citationItems":[{"id":12114,"uris":["http://zotero.org/users/1272936/items/4N3AKS9K"],"uri":["http://zotero.org/users/1272936/items/4N3AKS9K"],"itemData":{"id":12114,"type":"article-journal","abstract":"A general scaling law for ecology\nDespite the huge diversity of ecological communities, they can have unexpected patterns in common. Hatton et al. describe a general scaling law that relates total predator and prey biomass in terrestrial and aquatic animal communities (see the Perspective by Cebrian). They draw on data from many thousands of population counts of animal communities ranging from plankton to large mammals, across a wide range of biomes. They find a ubiquitous pattern of biomass scaling, which may suggest an underlying organization in ecosystems. It seems that communities follow systematic changes in structure and dynamics across environmental gradients.\nScience, this issue 10.1126/science.aac6284; see also p. 1053\nStructured Abstract\nINTRODUCTIONA surprisingly general pattern at very large scales casts light on the link between ecosystem structure and function. We show a robust scaling law that emerges uniquely at the level of whole ecosystems and is conserved across terrestrial and aquatic biomes worldwide. This pattern describes the changing structure and productivity of the predator-prey biomass pyramid, which represents the biomass of communities at different levels of the food chain. Scaling exponents of the relation between predator versus prey biomass and community production versus biomass are often near ¾, which indicates that very different communities of species exhibit similar high-level structure and function. This recurrent community growth pattern is remarkably similar to individual growth patterns and may hint at a basic process that reemerges across levels of organization.\nRATIONALEWe assembled a global data set for community biomass and production across 2260 large mammal, invertebrate, plant, and plankton communities. These data reveal two ecosystem-level power law scaling relations: (i) predator biomass versus prey biomass, which indicates how the biomass pyramid changes shape, and (ii) community production versus community biomass, which indicates how per capita productivity changes at a given level in the pyramid. Both relations span a wide range of ecosystems along large-scale biomass gradients. These relations can be linked theoretically to show how pyramid shape depends on flux rates into and out of predator-prey communities. In order to link community-level patterns to individual processes, we examined community size structure and, particularly, how the mean body mass of a community relates to its biomass.\nRESULTSAcross ecosystems globally, pyramid structure becomes consistently more bottom-heavy, and per capita production declines with increasing biomass. These two ecosystem-level patterns both follow power laws with near ¾ exponents and are shown to be robust to different methods and assumptions. These structural and functional relations are linked theoretically, suggesting that a common community-growth pattern influences predator-prey interactions and underpins pyramid shape. Several of these patterns are highly regular (R2 &gt; 0.80) and yet are unexpected from classic theories or from empirical relations at the population or individual level. By examining community size structure, we show these patterns emerge distinctly at the ecosystem level and independently from individual near ¾ body-mass allometries.\nCONCLUSIONSystematic changes in biomass and production across trophic communities link fundamental aspects of ecosystem structure and function. The striking similarities that are observed across different kinds of systems imply a process that does not depend on system details. The regularity of many of these relations allows large-scale predictions and suggests high-level organization. This community-level growth pattern suggests a systematic form of density-dependent growth and is intriguing given the parallels it exhibits to growth scaling at the individual level, both of which independently follow near ¾ exponents. Although we can make ecosystem-level predictions from individual-level data, we have yet to fully understand this similarity, which may offer insight into growth processes in physiology and ecology across the tree of life. &lt;img class=\"fragment-image\" aria-describedby=\"F1-caption\" src=\"https://science.sciencemag.org/content/sci/349/6252/aac6284/F1.medium.gif\"/&gt; Download high-res image Open in new tab Download Powerpoint African large-mammal communities are highly structured.In lush savanna, there are three times more prey per predator than in dry desert, a pattern that is unexpected and systematic. [Photo: Amaury Laporte]\nEcosystems exhibit surprising regularities in structure and function across terrestrial and aquatic biomes worldwide. We assembled a global data set for 2260 communities of large mammals, invertebrates, plants, and plankton. We find that predator and prey biomass follow a general scaling law with exponents consistently near ¾. This pervasive pattern implies that the structure of the biomass pyramid becomes increasingly bottom-heavy at higher biomass. Similar exponents are obtained for community production-biomass relations, suggesting conserved links between ecosystem structure and function. These exponents are similar to many body mass allometries, and yet ecosystem scaling emerges independently from individual-level scaling, which is not fully understood. These patterns suggest a greater degree of ecosystem-level organization than previously recognized and a more predictive approach to ecological theory.\nThe number and size of predators and their prey scale across a broad range of terrestrial and aquatic animal communities. [Also see Perspective by Cebrian]\nThe number and size of predators and their prey scale across a broad range of terrestrial and aquatic animal communities. [Also see Perspective by Cebrian]","container-title":"Science","DOI":"10.1126/science.aac6284","ISSN":"0036-8075, 1095-9203","issue":"6252","language":"en","note":"PMID: 26339034","page":"aac6284","source":"science.sciencemag.org","title":"The predator-prey power law: Biomass scaling across terrestrial and aquatic biomes","title-short":"The predator-prey power law","volume":"349","author":[{"family":"Hatton","given":"Ian A."},{"family":"McCann","given":"Kevin S."},{"family":"Fryxell","given":"John M."},{"family":"Davies","given":"T. Jonathan"},{"family":"Smerlak","given":"Matteo"},{"family":"Sinclair","given":"Anthony R. E."},{"family":"Loreau","given":"Michel"}],"issued":{"date-parts":[["2015",9,4]]}}}],"schema":"https://github.com/citation-style-language/schema/raw/master/csl-citation.json"} </w:instrText>
      </w:r>
      <w:r w:rsidRPr="005D5611">
        <w:rPr>
          <w:rFonts w:eastAsiaTheme="minorHAnsi"/>
        </w:rPr>
        <w:fldChar w:fldCharType="separate"/>
      </w:r>
      <w:r w:rsidR="00C51ED3">
        <w:t>[92]</w:t>
      </w:r>
      <w:r w:rsidRPr="005D5611">
        <w:rPr>
          <w:rFonts w:eastAsiaTheme="minorHAnsi"/>
        </w:rPr>
        <w:fldChar w:fldCharType="end"/>
      </w:r>
      <w:r w:rsidRPr="005D5611">
        <w:rPr>
          <w:rFonts w:eastAsiaTheme="minorHAnsi"/>
        </w:rPr>
        <w:t xml:space="preserve">. Highly conserved patterns in pyramid size, shape, and growth were found across different ecosystems, with community production biomass commonly scaling near </w:t>
      </w:r>
      <w:r w:rsidRPr="005D5611">
        <w:rPr>
          <w:rFonts w:eastAsiaTheme="minorHAnsi"/>
          <w:i/>
        </w:rPr>
        <w:t>k</w:t>
      </w:r>
      <w:r w:rsidRPr="005D5611">
        <w:rPr>
          <w:rFonts w:eastAsiaTheme="minorHAnsi"/>
        </w:rPr>
        <w:t xml:space="preserve"> = ¾, a value “</w:t>
      </w:r>
      <w:r w:rsidRPr="005D5611">
        <w:rPr>
          <w:rFonts w:eastAsiaTheme="minorHAnsi"/>
          <w:i/>
          <w:iCs/>
        </w:rPr>
        <w:t>curiously similar to individual production-body mass allometry</w:t>
      </w:r>
      <w:r w:rsidRPr="005D5611">
        <w:rPr>
          <w:rFonts w:eastAsiaTheme="minorHAnsi"/>
        </w:rPr>
        <w:t xml:space="preserve">”. </w:t>
      </w:r>
    </w:p>
    <w:p w14:paraId="6249FCB5" w14:textId="77777777" w:rsidR="003A45CF" w:rsidRPr="005D5611" w:rsidRDefault="003A45CF" w:rsidP="003A45CF">
      <w:pPr>
        <w:pStyle w:val="SMText"/>
        <w:rPr>
          <w:rFonts w:eastAsiaTheme="minorHAnsi"/>
        </w:rPr>
      </w:pPr>
    </w:p>
    <w:p w14:paraId="4B709D1F" w14:textId="51B02964" w:rsidR="003A45CF" w:rsidRPr="005D5611" w:rsidRDefault="003A45CF" w:rsidP="003A45CF">
      <w:pPr>
        <w:pStyle w:val="SMText"/>
        <w:ind w:firstLine="0"/>
      </w:pPr>
      <w:r w:rsidRPr="005D5611">
        <w:rPr>
          <w:b/>
        </w:rPr>
        <w:t>S1.3 Eco-physiological-thermodynamic a</w:t>
      </w:r>
      <w:bookmarkStart w:id="10" w:name="_GoBack"/>
      <w:bookmarkEnd w:id="10"/>
      <w:r w:rsidRPr="005D5611">
        <w:rPr>
          <w:b/>
        </w:rPr>
        <w:t>pproaches</w:t>
      </w:r>
      <w:r w:rsidRPr="005D5611">
        <w:rPr>
          <w:rFonts w:eastAsiaTheme="minorHAnsi"/>
        </w:rPr>
        <w:t xml:space="preserve"> - </w:t>
      </w:r>
      <w:r w:rsidRPr="005D5611">
        <w:t xml:space="preserve">Interest in developing a unified population and ecosystem approach are rooted in the eco-physiology of organisms, in particular, in the constraints that govern the acquisition and allocation of materials and energy by individual and population </w:t>
      </w:r>
      <w:r w:rsidRPr="005D5611">
        <w:rPr>
          <w:noProof/>
        </w:rPr>
        <w:t xml:space="preserve">(e.g., </w:t>
      </w:r>
      <w:r w:rsidRPr="005D5611">
        <w:rPr>
          <w:noProof/>
        </w:rPr>
        <w:fldChar w:fldCharType="begin"/>
      </w:r>
      <w:r w:rsidR="00FF3F09">
        <w:rPr>
          <w:noProof/>
        </w:rPr>
        <w:instrText xml:space="preserve"> ADDIN ZOTERO_ITEM CSL_CITATION {"citationID":"i46HW15C","properties":{"formattedCitation":"[9, 12, 93, 94]","plainCitation":"[9, 12, 93, 94]","noteIndex":0},"citationItems":[{"id":13047,"uris":["http://zotero.org/users/1272936/items/LIM6S3YY"],"uri":["http://zotero.org/users/1272936/items/LIM6S3YY"],"itemData":{"id":13047,"type":"article-journal","abstract":"Adapted species in nature are assumed to have solved renewable resource management problems, and this is examined here using a physiologically based model of energy acquisition and allocation. Newly established invasive species are merely in an early phase of this process in their new environment. Analogies between the economies of humans and other species are used to develop an objective function for individual utility of energy allocation. The objective function includes the physiologically based population dynamics models of the consumer and resource species in a food chain as constraints. The model applies to all trophic levels in a food chain including human harvesting of renewable resources (see also Regev et al. (Regev, U., Gutierrez, A.P., Schreiber, S., Zilberman, D., 1998. Biological and Economic Foundation of Renewable Resource Exploitation. Ecological Economics. 26 (3), 227-242.)).\nSpecifically, the analysis:\n(1) Attempts to combine ecological and economic theory;\n(2) Points out the importance of time frame in the two economies (evolutionary vs. market time);\n(3) Examines the effects of expected uncertainty due to environmental hazards in defining energy acquisition and allocation strategies in two invasive aphid species at the extremes of so called r- and K-strategies and the well adapted Central American cotton-cotton bollweevil system;\n(4) Evaluates the effects of changes in behavioral and physiological parameters and environmental degradation on the abundance of resource and consumer species. (c) 2004 Elsevier B.V. All rights reserved.","container-title":"Ecological Economics","DOI":"10.1016/j.ecolecon.2004.05.007","ISSN":"0921-8009","issue":"3","journalAbbreviation":"Ecol. Econ.","language":"English","page":"383-396","title":"The bioeconomics of tritrophic systems: applications to invasive species","volume":"52","author":[{"family":"Gutierrez","given":"A. P."},{"family":"Regev","given":"U."}],"issued":{"date-parts":[["2005",2,15]]}}},{"id":4888,"uris":["http://zotero.org/users/1272936/items/8XVG77ZT"],"uri":["http://zotero.org/users/1272936/items/8XVG77ZT"],"itemData":{"id":4888,"type":"article-journal","abstract":"A simple age-specific energetics (calories or biomass) model for the growth and development, reproduction, respiration, ageing and intrinsic survivorship as a function of temperature and per capita energy availability for Acyrthosiphon pisum (Harris) is reported. Extensive published age-specific life-data sets on the aphid are used to test the model, and the results suggest that the lower thermal threshold for development is raised and the upper one is lowered as food resources are decreased; the temperature-dependent rate of development is slowed with decreasing energy resources; and the size of individuals and reproduction become smaller as temperature approaches the upper and lower thermal thresholds. A simple model for multitrophic level (predator-prey) interactions, incorporating the acquisition and assimilation functions, is prepared.","container-title":"Canadian Entomologist","DOI":"10.4039/Ent116923-7","issue":"7","journalAbbreviation":"Can. Entomol.","page":"924-932","title":"Multitrophic level models of predator-prey energetics: I. Age-specific energetics models - pea aphid &lt;i&gt;Acyrthosiphon pisum&lt;/i&gt; (Homoptera: Aphididae) as an example","volume":"116","author":[{"family":"Gutierrez","given":"A.P."},{"family":"Baumgärtner","given":"J.U."}],"issued":{"date-parts":[["1984"]]}}},{"id":12161,"uris":["http://zotero.org/users/1272936/items/9WW5MDKP"],"uri":["http://zotero.org/users/1272936/items/9WW5MDKP"],"itemData":{"id":12161,"type":"book","abstract":"The major subdisciplines of ecology--population ecology, community ecology, ecosystem ecology, and evolutionary ecology--have diverged increasingly in recent decades. What is critically needed today is an integrated, real-world approach to ecology that reflects the interdependency of biodiversity and ecosystem functioning. From Populations to Ecosystems proposes an innovative theoretical synthesis that will enable us to advance our fundamental understanding of ecological systems and help us to respond to today's emerging global ecological crisis. Michel Loreau begins by explaining how the principles of population dynamics and ecosystem functioning can be merged. He then addresses key issues in the study of biodiversity and ecosystems, such as functional complementarity, food webs, stability and complexity, material cycling, and metacommunities. Loreau describes the most recent theoretical advances that link the properties of individual populations to the aggregate properties of communities, and the properties of functional groups or trophic levels to the functioning of whole ecosystems, placing special emphasis on the relationship between biodiversity and ecosystem functioning. Finally, he turns his attention to the controversial issue of the evolution of entire ecosystems and their properties, laying the theoretical foundations for a genuine evolutionary ecosystem ecology. From Populations to Ecosystems points the way to a much-needed synthesis in ecology, one that offers a fuller understanding of ecosystem processes in the natural world.","collection-title":"Monographs in population biology","event-place":"Princeton, New Jersey, USA","ISBN":"978-1-4008-3416-7","language":"In English.","note":"DOI:10.1515/9781400834167","number-of-pages":"320","publisher":"Princeton University Press","publisher-place":"Princeton, New Jersey, USA","source":"Open WorldCat","title":"From populations to ecosystems: theoretical foundations for a new ecological synthesis","title-short":"From Populations to Ecosystems","URL":"https://doi.org/10.1515/9781400834167","volume":"46","author":[{"family":"Loreau","given":"Michel"}],"accessed":{"date-parts":[["2019",7,4]]},"issued":{"date-parts":[["2010"]]}}},{"id":12064,"uris":["http://zotero.org/users/1272936/items/ZBHJMUTI"],"uri":["http://zotero.org/users/1272936/items/ZBHJMUTI"],"itemData":{"id":12064,"type":"article-journal","container-title":"Basic and Applied Ecology","DOI":"10.1016/j.baae.2010.12.001","ISSN":"1439-1791","issue":"4","language":"en","page":"382-383","source":"www.sciencedirect.com","title":"Book review: From populations to ecosystems: theoretical foundations for a new ecological synthesis, monographs in population biology, Vol. 46, M. Loreau. Princeton University Press, Princeton (2010). 328 pp.","title-short":"From Populations to Ecosystems","volume":"12","author":[{"family":"Dormann","given":"Carsten F."}],"issued":{"date-parts":[["2011",6,1]]}}}],"schema":"https://github.com/citation-style-language/schema/raw/master/csl-citation.json"} </w:instrText>
      </w:r>
      <w:r w:rsidRPr="005D5611">
        <w:rPr>
          <w:noProof/>
        </w:rPr>
        <w:fldChar w:fldCharType="separate"/>
      </w:r>
      <w:r w:rsidR="00C51ED3">
        <w:t>[9, 12, 93, 94]</w:t>
      </w:r>
      <w:r w:rsidRPr="005D5611">
        <w:rPr>
          <w:noProof/>
        </w:rPr>
        <w:fldChar w:fldCharType="end"/>
      </w:r>
      <w:r w:rsidRPr="005D5611">
        <w:t>) that must obey the first and second Laws of Thermodynamics. A metabolic theory of ecology (</w:t>
      </w:r>
      <w:r w:rsidRPr="005D5611">
        <w:rPr>
          <w:i/>
        </w:rPr>
        <w:t>MTE</w:t>
      </w:r>
      <w:r w:rsidRPr="005D5611">
        <w:t xml:space="preserve">) was proposed as a framework for predicting resource-consumer dynamics over gradients of temperature and for making predictions in the context of climate change </w:t>
      </w:r>
      <w:r w:rsidRPr="005D5611">
        <w:fldChar w:fldCharType="begin"/>
      </w:r>
      <w:r w:rsidR="002F5A10">
        <w:instrText xml:space="preserve"> ADDIN ZOTERO_ITEM CSL_CITATION {"citationID":"rImjFRVc","properties":{"formattedCitation":"[95\\uc0\\u8211{}97]","plainCitation":"[95–97]","noteIndex":0},"citationItems":[{"id":12036,"uris":["http://zotero.org/users/1272936/items/VKKFTJTV"],"uri":["http://zotero.org/users/1272936/items/VKKFTJTV"],"itemData":{"id":12036,"type":"article-journal","abstract":"Metabolism provides a basis for using first principles of physics, chemistry, and biology to link the biology of individual organisms to the ecology of populations, communities, and ecosystems. Metabolic rate, the rate at which organisms take up, transform, and expend energy and materials, is the most fundamental biological rate. We have developed a quantitative theory for how metabolic rate varies with body size and temperature. Metabolic theory predicts how metabolic rate, by setting the rates of resource uptake from the environment and resource allocation to survival, growth, and reproduction, controls ecological processes at all levels of organization from individuals to the biosphere. Examples include: (1) life history attributes, including development rate, mortality rate, age at maturity, life span, and population growth rate; (2) population interactions, including carrying capacity, rates of competition and predation, and patterns of species diversity; and (3) ecosystem processes, including rates of biomass production and respiration and patterns of trophic dynamics. Data compiled from the ecological literature strongly support the theoretical predictions. Eventually, metabolic theory may provide a conceptual foundation for much of ecology, just as genetic theory provides a foundation for much of evolutionary biology.","container-title":"Ecology","DOI":"10.1890/03-9000","ISSN":"1939-9170","issue":"7","language":"en","page":"1771-1789","source":"Wiley Online Library","title":"Toward a metabolic theory of ecology","volume":"85","author":[{"family":"Brown","given":"James H."},{"family":"Gillooly","given":"James F."},{"family":"Allen","given":"Andrew P."},{"family":"Savage","given":"Van M."},{"family":"West","given":"Geoffrey B."}],"issued":{"date-parts":[["2004"]]}}},{"id":2733,"uris":["http://zotero.org/users/1272936/items/XQHKAU5S"],"uri":["http://zotero.org/users/1272936/items/XQHKAU5S"],"itemData":{"id":2733,"type":"article-journal","container-title":"Nature","DOI":"10.1038/417070a","ISSN":"0028-0836","issue":"6884","page":"70-73","title":"Effects of size and temperature on developmental time","volume":"417","author":[{"family":"Gillooly","given":"James F."},{"family":"Charnov","given":"Eric L."},{"family":"West","given":"Geoffrey B."},{"family":"Savage","given":"Van M."},{"family":"Brown","given":"James H."}],"issued":{"date-parts":[["2002"]]}}},{"id":4620,"uris":["http://zotero.org/users/1272936/items/BQJ47EPI"],"uri":["http://zotero.org/users/1272936/items/BQJ47EPI"],"itemData":{"id":4620,"type":"article-journal","abstract":"With over 1 million species on earth, each biologically unique, do we have any hope of understanding whether species will persist in a warming world? We might, because it turns out that there is surprising regularity in how warming accelerates the major metabolic processes that power life. A persistent challenge has been to understand ecological effects of temperature in the context of species interactions, especially when individuals not only experience temperature but also mortality due to parasitism or predation. Kirk et al. have shown how the effects of parasites vary with warming in a manner entirely consistent with general temperature dependence of host and parasite metabolism.","container-title":"PLoS Biology","DOI":"10.1371/journal.pbio.2005628","ISSN":"1545-7885","issue":"4","journalAbbreviation":"PLoS Biol","language":"en","page":"e2005628","source":"PLoS Journals","title":"The metabolic theory of ecology and the cost of parasitism","volume":"16","author":[{"family":"O’Connor","given":"Mary I."},{"family":"Bernhardt","given":"Joanna R."}],"issued":{"date-parts":[["2018",4,2]]}}}],"schema":"https://github.com/citation-style-language/schema/raw/master/csl-citation.json"} </w:instrText>
      </w:r>
      <w:r w:rsidRPr="005D5611">
        <w:fldChar w:fldCharType="separate"/>
      </w:r>
      <w:r w:rsidR="00C51ED3" w:rsidRPr="00C51ED3">
        <w:t>[95–97]</w:t>
      </w:r>
      <w:r w:rsidRPr="005D5611">
        <w:fldChar w:fldCharType="end"/>
      </w:r>
      <w:r w:rsidRPr="005D5611">
        <w:t xml:space="preserve">. Attempts to simplify the models on biophysical processes underlying individual development include allometric relationships predicting ontogenetic development as a function of body mass and temperature </w:t>
      </w:r>
      <w:r w:rsidRPr="005D5611">
        <w:fldChar w:fldCharType="begin"/>
      </w:r>
      <w:r w:rsidR="002F5A10">
        <w:instrText xml:space="preserve"> ADDIN ZOTERO_ITEM CSL_CITATION {"citationID":"OD9ja5Vo","properties":{"formattedCitation":"[98]","plainCitation":"[98]","noteIndex":0},"citationItems":[{"id":12257,"uris":["http://zotero.org/users/1272936/items/EVTVQ298"],"uri":["http://zotero.org/users/1272936/items/EVTVQ298"],"itemData":{"id":12257,"type":"article-journal","container-title":"Journal of Sea Research","DOI":"10.1016/j.seares.2014.09.004","page":"1-166","title":"Dynamic Energy Budget theory: applications in marine sciences and fishery biology","volume":"94","editor":[{"family":"Meer","given":"Jaap","non-dropping-particle":"van der"},{"family":"Kooijman","given":"Sebastiaan"},{"family":"Klok","given":"Chris"},{"family":"Michael","given":"Kearney"},{"family":"Wijsman","given":"Jeroen"}],"issued":{"date-parts":[["2014"]]}}}],"schema":"https://github.com/citation-style-language/schema/raw/master/csl-citation.json"} </w:instrText>
      </w:r>
      <w:r w:rsidRPr="005D5611">
        <w:fldChar w:fldCharType="separate"/>
      </w:r>
      <w:r w:rsidR="00C51ED3">
        <w:t>[98]</w:t>
      </w:r>
      <w:r w:rsidRPr="005D5611">
        <w:fldChar w:fldCharType="end"/>
      </w:r>
      <w:r w:rsidRPr="005D5611">
        <w:t>. The dynamic energy budget (</w:t>
      </w:r>
      <w:r w:rsidRPr="005D5611">
        <w:rPr>
          <w:i/>
        </w:rPr>
        <w:t>DEB</w:t>
      </w:r>
      <w:r w:rsidRPr="005D5611">
        <w:t xml:space="preserve">) </w:t>
      </w:r>
      <w:r w:rsidRPr="005D5611">
        <w:rPr>
          <w:i/>
        </w:rPr>
        <w:t>k-rule</w:t>
      </w:r>
      <w:r w:rsidRPr="005D5611">
        <w:t xml:space="preserve"> model of Kooijman </w:t>
      </w:r>
      <w:r w:rsidRPr="005D5611">
        <w:fldChar w:fldCharType="begin"/>
      </w:r>
      <w:r w:rsidR="002F5A10">
        <w:instrText xml:space="preserve"> ADDIN ZOTERO_ITEM CSL_CITATION {"citationID":"XjOcQHbc","properties":{"formattedCitation":"[99\\uc0\\u8211{}101]","plainCitation":"[99–101]","noteIndex":0},"citationItems":[{"id":12150,"uris":["http://zotero.org/users/1272936/items/D9BQ6H5I"],"uri":["http://zotero.org/users/1272936/items/D9BQ6H5I"],"itemData":{"id":12150,"type":"chapter","abstract":"The Dynamics of Physiologically Structured Populations...","collection-title":"Lecture Notes in Biomathematics","container-title":"The dynamics of physiologically structured populations","event-place":"Berlin Heidelberg, Germany","ISBN":"978-3-540-16786-0","language":"en","note":"DOI:10.1007/978-3-662-13159-6","page":"266-375","publisher":"Springer-Verlag","publisher-place":"Berlin Heidelberg, Germany","source":"www.springer.com","title":"Population dynamics on basis of budgets","URL":"https://www.springer.com/gp/book/9783540167860","editor":[{"family":"Metz","given":"Johan A."},{"family":"Diekmann","given":"Odo"}],"author":[{"family":"Kooijman","given":"S.A.L.M."}],"accessed":{"date-parts":[["2019",7,4]]},"issued":{"date-parts":[["1986"]]}}},{"id":12152,"uris":["http://zotero.org/users/1272936/items/APJZ4WHA"],"uri":["http://zotero.org/users/1272936/items/APJZ4WHA"],"itemData":{"id":12152,"type":"book","edition":"1","event-place":"New York, USA","ISBN":"0-521-45223-6","number-of-pages":"350","publisher":"Cambridge University Press","publisher-place":"New York, USA","title":"Dynamic energy budgets in biological systems: theory and applications in ecotoxicology","author":[{"family":"Kooijman","given":"S.A.L.M."}],"issued":{"date-parts":[["1993"]]}}},{"id":12154,"uris":["http://zotero.org/users/1272936/items/86JI74AP"],"uri":["http://zotero.org/users/1272936/items/86JI74AP"],"itemData":{"id":12154,"type":"book","edition":"2","event-place":"New York, USA","ISBN":"0-521-45223-6","number-of-pages":"426","publisher":"Cambridge University Press","publisher-place":"New York, USA","title":"Dynamic energy and mass budgets in biological systems","author":[{"family":"Kooijman","given":"S.A.L.M."}],"issued":{"date-parts":[["2000"]]}}}],"schema":"https://github.com/citation-style-language/schema/raw/master/csl-citation.json"} </w:instrText>
      </w:r>
      <w:r w:rsidRPr="005D5611">
        <w:fldChar w:fldCharType="separate"/>
      </w:r>
      <w:r w:rsidR="00C51ED3" w:rsidRPr="00C51ED3">
        <w:t>[99–101]</w:t>
      </w:r>
      <w:r w:rsidRPr="005D5611">
        <w:fldChar w:fldCharType="end"/>
      </w:r>
      <w:r w:rsidRPr="005D5611">
        <w:t xml:space="preserve"> is grounded in first principles</w:t>
      </w:r>
      <w:r w:rsidRPr="005D5611">
        <w:rPr>
          <w:color w:val="221E1F"/>
        </w:rPr>
        <w:t xml:space="preserve"> and imbedded in general systems theory, where the state of the system is quantified by a set of state variables and the changes in state by a set of ODE's. Nine parameters at abundant food determining dry/wet weight ratio, age at birth, puberty, death, weight at birth, metamorphosis, puberty, ultimate weight, and ultimate reproduction rate</w:t>
      </w:r>
      <w:r w:rsidRPr="005D5611">
        <w:t xml:space="preserve">. The focus of </w:t>
      </w:r>
      <w:r w:rsidRPr="005D5611">
        <w:rPr>
          <w:i/>
          <w:iCs/>
        </w:rPr>
        <w:t>DEB</w:t>
      </w:r>
      <w:r w:rsidRPr="005D5611">
        <w:t xml:space="preserve"> has been on aquatic systems, but application have been found across a wide array of taxa </w:t>
      </w:r>
      <w:r w:rsidRPr="005D5611">
        <w:fldChar w:fldCharType="begin"/>
      </w:r>
      <w:r w:rsidR="002F5A10">
        <w:instrText xml:space="preserve"> ADDIN ZOTERO_ITEM CSL_CITATION {"citationID":"GUTwMXkH","properties":{"formattedCitation":"[102]","plainCitation":"[102]","noteIndex":0},"citationItems":[{"id":12158,"uris":["http://zotero.org/users/1272936/items/PP2M2PH3"],"uri":["http://zotero.org/users/1272936/items/PP2M2PH3"],"itemData":{"id":12158,"type":"article-journal","abstract":"The standard Dynamic Energy Budget (DEB) model assumes that food is converted to reserve and a fraction κ of mobilised reserve of an individual is allocated to somatic maintenance plus growth, while the rest is allocated to maturity maintenance plus maturation (in embryos and juveniles) or reproduction (in adults). The add_my_pet collection of over 300 animal species from most larger phyla, and all chordate classes, shows that this model fits energy data very well. Nine parameters determine nine data points at abundant food: dry/wet weight ratio, age at birth, puberty, death, weight at birth, metamorphosis, puberty, ultimate weight and ultimate reproduction rate. We demonstrate that, given a few other parameters, these nine data points also determine the nine parameters uniquely that are independent of food availability: maturity at birth, metamorphosis and puberty, specific assimilation, somatic maintenance and costs for structure, allocation fraction of mobilised reserve to soma, energy conductance, and ageing acceleration. We provide an efficient algorithm for mapping between data and parameter space in both directions and found expressions for the boundaries of the parameter and data spaces. One of them quantifies the position of species in the supply–demand spectrum, which reflects the internalisation of energetic control. We link eco-physiological properties of species to their position in this spectrum and discuss it in the context of homeostasis. Invertebrates and ray-finned fish turn out to be close to the supply end of the spectrum, while other vertebrates, including cartilaginous fish, have stronger demand tendencies. We explain why birds and mammals up-regulate metabolism during reproduction. We study some properties of the bijection using elasticity coefficients. The properties have applications in parameter estimation and in the analysis of evolutionary constraints on parameter values; the relationship between DEB parameters and data has similarities to that between genotype and phenotype.","container-title":"Journal of Theoretical Biology","DOI":"10.1016/j.jtbi.2014.03.025","ISSN":"0022-5193","journalAbbreviation":"Journal of Theoretical Biology","page":"35-47","source":"ScienceDirect","title":"The bijection from data to parameter space with the standard DEB model quantifies the supply–demand spectrum","volume":"354","author":[{"family":"Lika","given":"Konstadia"},{"family":"Augustine","given":"Starrlight"},{"family":"Pecquerie","given":"Laure"},{"family":"Kooijman","given":"Sebastiaan A. L. M."}],"issued":{"date-parts":[["2014",8,7]]}}}],"schema":"https://github.com/citation-style-language/schema/raw/master/csl-citation.json"} </w:instrText>
      </w:r>
      <w:r w:rsidRPr="005D5611">
        <w:fldChar w:fldCharType="separate"/>
      </w:r>
      <w:r w:rsidR="00C51ED3">
        <w:t>[102]</w:t>
      </w:r>
      <w:r w:rsidRPr="005D5611">
        <w:fldChar w:fldCharType="end"/>
      </w:r>
      <w:r w:rsidRPr="005D5611">
        <w:rPr>
          <w:color w:val="221E1F"/>
        </w:rPr>
        <w:t xml:space="preserve">. However, it is not clear how to apply </w:t>
      </w:r>
      <w:r w:rsidRPr="005D5611">
        <w:rPr>
          <w:i/>
          <w:color w:val="221E1F"/>
        </w:rPr>
        <w:t>DEB</w:t>
      </w:r>
      <w:r w:rsidRPr="005D5611">
        <w:rPr>
          <w:color w:val="221E1F"/>
        </w:rPr>
        <w:t xml:space="preserve"> to multispecies population dynamics in the field, though </w:t>
      </w:r>
      <w:r w:rsidRPr="005D5611">
        <w:t xml:space="preserve">linkage of </w:t>
      </w:r>
      <w:r w:rsidRPr="005D5611">
        <w:rPr>
          <w:i/>
        </w:rPr>
        <w:t>DEB</w:t>
      </w:r>
      <w:r w:rsidRPr="005D5611">
        <w:t xml:space="preserve"> across levels of biological organization has begun (see </w:t>
      </w:r>
      <w:r w:rsidRPr="005D5611">
        <w:fldChar w:fldCharType="begin"/>
      </w:r>
      <w:r w:rsidR="002F5A10">
        <w:instrText xml:space="preserve"> ADDIN ZOTERO_ITEM CSL_CITATION {"citationID":"8pYZXsMS","properties":{"formattedCitation":"[98, 103]","plainCitation":"[98, 103]","noteIndex":0},"citationItems":[{"id":12257,"uris":["http://zotero.org/users/1272936/items/EVTVQ298"],"uri":["http://zotero.org/users/1272936/items/EVTVQ298"],"itemData":{"id":12257,"type":"article-journal","container-title":"Journal of Sea Research","DOI":"10.1016/j.seares.2014.09.004","page":"1-166","title":"Dynamic Energy Budget theory: applications in marine sciences and fishery biology","volume":"94","editor":[{"family":"Meer","given":"Jaap","non-dropping-particle":"van der"},{"family":"Kooijman","given":"Sebastiaan"},{"family":"Klok","given":"Chris"},{"family":"Michael","given":"Kearney"},{"family":"Wijsman","given":"Jeroen"}],"issued":{"date-parts":[["2014"]]}}},{"id":12182,"uris":["http://zotero.org/users/1272936/items/YQ732IH9"],"uri":["http://zotero.org/users/1272936/items/YQ732IH9"],"itemData":{"id":12182,"type":"article-journal","abstract":"1. Dynamic energy budget (DEB) models describe how individuals acquire and utilize energy, and can serve as a link between different levels of biological organization. 2. We describe the formulation and testing of DEB models, and show how the dynamics of individual organisms link to molecular processes, to population dynamics, and (more tenuously) to ecosystem dynamics. 3. DEB models offer mechanistic explanations of body-size scaling relationships. 4. DEB models constitute powerful tools for applications in toxicology and biotechnology. 5. Challenging questions arise when linking DEB models with evolutionary theory.","container-title":"Journal of Animal Ecology","DOI":"10.1111/j.1365-2656.2000.00448.x","ISSN":"1365-2656","issue":"6","language":"en","page":"913-926","source":"Wiley Online Library","title":"From molecules to ecosystems through dynamic energy budget models","volume":"69","author":[{"family":"Nisbet","given":"R. M."},{"family":"Muller","given":"E. B."},{"family":"Lika","given":"K."},{"family":"Kooijman","given":"S. a. L. M."}],"issued":{"date-parts":[["2000"]]}}}],"schema":"https://github.com/citation-style-language/schema/raw/master/csl-citation.json"} </w:instrText>
      </w:r>
      <w:r w:rsidRPr="005D5611">
        <w:fldChar w:fldCharType="separate"/>
      </w:r>
      <w:r w:rsidR="00C51ED3">
        <w:t>[98, 103]</w:t>
      </w:r>
      <w:r w:rsidRPr="005D5611">
        <w:fldChar w:fldCharType="end"/>
      </w:r>
      <w:r w:rsidRPr="005D5611">
        <w:t>).</w:t>
      </w:r>
    </w:p>
    <w:p w14:paraId="3A488148" w14:textId="77777777" w:rsidR="003A45CF" w:rsidRPr="005D5611" w:rsidRDefault="003A45CF" w:rsidP="003A45CF">
      <w:pPr>
        <w:spacing w:line="480" w:lineRule="auto"/>
      </w:pPr>
      <w:r w:rsidRPr="005D5611">
        <w:br w:type="page"/>
      </w:r>
    </w:p>
    <w:p w14:paraId="0A948AE4" w14:textId="0EC2FCBF" w:rsidR="003A45CF" w:rsidRPr="005D5611" w:rsidRDefault="003A45CF" w:rsidP="003A45CF">
      <w:pPr>
        <w:pStyle w:val="SMSubheading"/>
        <w:spacing w:line="480" w:lineRule="auto"/>
        <w:rPr>
          <w:i/>
          <w:sz w:val="28"/>
          <w:szCs w:val="28"/>
        </w:rPr>
      </w:pPr>
      <w:bookmarkStart w:id="11" w:name="_Toc15650831"/>
      <w:r w:rsidRPr="005D5611">
        <w:rPr>
          <w:sz w:val="28"/>
          <w:szCs w:val="28"/>
        </w:rPr>
        <w:t xml:space="preserve">S2 Analogies between biological and human economic systems </w:t>
      </w:r>
      <w:bookmarkEnd w:id="11"/>
      <w:r w:rsidR="00AA62BB">
        <w:rPr>
          <w:sz w:val="28"/>
          <w:szCs w:val="28"/>
        </w:rPr>
        <w:fldChar w:fldCharType="begin"/>
      </w:r>
      <w:r w:rsidR="00FF3F09">
        <w:rPr>
          <w:sz w:val="28"/>
          <w:szCs w:val="28"/>
        </w:rPr>
        <w:instrText xml:space="preserve"> ADDIN ZOTERO_ITEM CSL_CITATION {"citationID":"a23am14isnl","properties":{"formattedCitation":"[8, 9]","plainCitation":"[8, 9]","noteIndex":0},"citationItems":[{"id":13047,"uris":["http://zotero.org/users/1272936/items/LIM6S3YY"],"uri":["http://zotero.org/users/1272936/items/LIM6S3YY"],"itemData":{"id":13047,"type":"article-journal","abstract":"Adapted species in nature are assumed to have solved renewable resource management problems, and this is examined here using a physiologically based model of energy acquisition and allocation. Newly established invasive species are merely in an early phase of this process in their new environment. Analogies between the economies of humans and other species are used to develop an objective function for individual utility of energy allocation. The objective function includes the physiologically based population dynamics models of the consumer and resource species in a food chain as constraints. The model applies to all trophic levels in a food chain including human harvesting of renewable resources (see also Regev et al. (Regev, U., Gutierrez, A.P., Schreiber, S., Zilberman, D., 1998. Biological and Economic Foundation of Renewable Resource Exploitation. Ecological Economics. 26 (3), 227-242.)).\nSpecifically, the analysis:\n(1) Attempts to combine ecological and economic theory;\n(2) Points out the importance of time frame in the two economies (evolutionary vs. market time);\n(3) Examines the effects of expected uncertainty due to environmental hazards in defining energy acquisition and allocation strategies in two invasive aphid species at the extremes of so called r- and K-strategies and the well adapted Central American cotton-cotton bollweevil system;\n(4) Evaluates the effects of changes in behavioral and physiological parameters and environmental degradation on the abundance of resource and consumer species. (c) 2004 Elsevier B.V. All rights reserved.","container-title":"Ecological Economics","DOI":"10.1016/j.ecolecon.2004.05.007","ISSN":"0921-8009","issue":"3","journalAbbreviation":"Ecol. Econ.","language":"English","page":"383-396","title":"The bioeconomics of tritrophic systems: applications to invasive species","volume":"52","author":[{"family":"Gutierrez","given":"A. P."},{"family":"Regev","given":"U."}],"issued":{"date-parts":[["2005",2,15]]}}},{"id":3850,"uris":["http://zotero.org/users/1272936/items/9ZM82ZKP"],"uri":["http://zotero.org/users/1272936/items/9ZM82ZKP"],"itemData":{"id":3850,"type":"article-journal","abstract":"A physiologically based population dynamics model of a renewable resource is used as the basis to develop a model of human harvesting. The model incorporates developing technology and the effects of market forces on the sustainability of common property resources. The bases of the model are analogies between the economics of resource harvesting and allocation by firms and adapted organisms in nature. Specifically, the paper makes the following points: (1) it shows how economic and ecological theories may be unified; (2) it punctuates the importance of time frame in the two systems (evolutionary versus market); (3) it shows, contrary to prevailing economic wisdom, how technological progress may be detrimental to resource preservation; (4) it shows how the anticipated effects of high discount rates on resource use can be catastrophic when synergized by progress in harvesting technology; (5) it suggests that increases in efficiency of utilization of the harvest encourages higher levels of resource exploitation; and (6) it shows the effects of environmental degradation on consumer and resource dynamics. The model leads to global implications on the relationship between economic growth and the ability of modern societies to maintain the environment at a sustainable level.","container-title":"Ecological Economics","DOI":"10.1016/S0921-8009(97)00103-1","issue":"3","journalAbbreviation":"Ecol. Econ.","page":"227-242","title":"Biological and economic foundations of renewable resource exploitation","volume":"26","author":[{"family":"Regev","given":"U."},{"family":"Gutierrez","given":"A. P."},{"family":"Schreiber","given":"S. J."},{"family":"Zilberman","given":"D."}],"issued":{"date-parts":[["1998"]]}}}],"schema":"https://github.com/citation-style-language/schema/raw/master/csl-citation.json"} </w:instrText>
      </w:r>
      <w:r w:rsidR="00AA62BB">
        <w:rPr>
          <w:sz w:val="28"/>
          <w:szCs w:val="28"/>
        </w:rPr>
        <w:fldChar w:fldCharType="separate"/>
      </w:r>
      <w:r w:rsidR="00C51ED3">
        <w:rPr>
          <w:sz w:val="28"/>
        </w:rPr>
        <w:t>[8, 9]</w:t>
      </w:r>
      <w:r w:rsidR="00AA62BB">
        <w:rPr>
          <w:sz w:val="28"/>
          <w:szCs w:val="28"/>
        </w:rPr>
        <w:fldChar w:fldCharType="end"/>
      </w:r>
    </w:p>
    <w:p w14:paraId="7FA0F73C" w14:textId="77777777" w:rsidR="003A45CF" w:rsidRPr="005D5611" w:rsidRDefault="003A45CF" w:rsidP="003A45CF">
      <w:pPr>
        <w:spacing w:line="360" w:lineRule="auto"/>
        <w:ind w:firstLine="720"/>
        <w:rPr>
          <w:b/>
          <w:sz w:val="24"/>
          <w:szCs w:val="24"/>
          <w:u w:val="single"/>
        </w:rPr>
      </w:pPr>
      <w:r w:rsidRPr="005D5611">
        <w:rPr>
          <w:b/>
          <w:sz w:val="24"/>
          <w:szCs w:val="24"/>
          <w:u w:val="single"/>
        </w:rPr>
        <w:t>BIOLOGY</w:t>
      </w:r>
      <w:r w:rsidRPr="005D5611">
        <w:rPr>
          <w:b/>
          <w:sz w:val="24"/>
          <w:szCs w:val="24"/>
          <w:u w:val="single"/>
        </w:rPr>
        <w:tab/>
      </w:r>
      <w:r w:rsidRPr="005D5611">
        <w:rPr>
          <w:b/>
          <w:sz w:val="24"/>
          <w:szCs w:val="24"/>
          <w:u w:val="single"/>
        </w:rPr>
        <w:tab/>
      </w:r>
      <w:r w:rsidRPr="005D5611">
        <w:rPr>
          <w:b/>
          <w:sz w:val="24"/>
          <w:szCs w:val="24"/>
          <w:u w:val="single"/>
        </w:rPr>
        <w:tab/>
      </w:r>
      <w:r w:rsidRPr="005D5611">
        <w:rPr>
          <w:b/>
          <w:sz w:val="24"/>
          <w:szCs w:val="24"/>
          <w:u w:val="single"/>
        </w:rPr>
        <w:tab/>
      </w:r>
      <w:r w:rsidRPr="005D5611">
        <w:rPr>
          <w:b/>
          <w:sz w:val="24"/>
          <w:szCs w:val="24"/>
          <w:u w:val="single"/>
        </w:rPr>
        <w:tab/>
        <w:t>ECONOMICS</w:t>
      </w:r>
    </w:p>
    <w:p w14:paraId="5D39B1A8" w14:textId="77777777" w:rsidR="003A45CF" w:rsidRPr="005D5611" w:rsidRDefault="003A45CF" w:rsidP="003A45CF">
      <w:pPr>
        <w:spacing w:line="360" w:lineRule="auto"/>
        <w:ind w:firstLine="720"/>
        <w:rPr>
          <w:sz w:val="24"/>
          <w:szCs w:val="24"/>
        </w:rPr>
      </w:pPr>
      <w:r w:rsidRPr="005D5611">
        <w:rPr>
          <w:rFonts w:eastAsiaTheme="minorHAnsi"/>
          <w:sz w:val="24"/>
          <w:szCs w:val="24"/>
        </w:rPr>
        <w:t xml:space="preserve">biosphere </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t xml:space="preserve">total </w:t>
      </w:r>
      <w:r w:rsidRPr="005D5611">
        <w:rPr>
          <w:rFonts w:eastAsiaTheme="minorHAnsi"/>
          <w:sz w:val="24"/>
          <w:szCs w:val="24"/>
        </w:rPr>
        <w:t>global economies and inter</w:t>
      </w:r>
      <w:r w:rsidRPr="005D5611">
        <w:rPr>
          <w:sz w:val="24"/>
          <w:szCs w:val="24"/>
        </w:rPr>
        <w:t>actions</w:t>
      </w:r>
      <w:r w:rsidRPr="005D5611">
        <w:rPr>
          <w:rFonts w:eastAsiaTheme="minorHAnsi"/>
          <w:sz w:val="24"/>
          <w:szCs w:val="24"/>
        </w:rPr>
        <w:t xml:space="preserve"> </w:t>
      </w:r>
    </w:p>
    <w:p w14:paraId="0961536D" w14:textId="77777777" w:rsidR="003A45CF" w:rsidRPr="005D5611" w:rsidRDefault="003A45CF" w:rsidP="003A45CF">
      <w:pPr>
        <w:spacing w:line="360" w:lineRule="auto"/>
        <w:ind w:firstLine="720"/>
        <w:rPr>
          <w:sz w:val="24"/>
          <w:szCs w:val="24"/>
        </w:rPr>
      </w:pPr>
      <w:r w:rsidRPr="005D5611">
        <w:rPr>
          <w:rFonts w:eastAsiaTheme="minorHAnsi"/>
          <w:sz w:val="24"/>
          <w:szCs w:val="24"/>
        </w:rPr>
        <w:t xml:space="preserve">ecosystem </w:t>
      </w:r>
      <w:r w:rsidRPr="005D5611">
        <w:rPr>
          <w:sz w:val="24"/>
          <w:szCs w:val="24"/>
        </w:rPr>
        <w:tab/>
      </w:r>
      <w:r w:rsidRPr="005D5611">
        <w:rPr>
          <w:sz w:val="24"/>
          <w:szCs w:val="24"/>
        </w:rPr>
        <w:tab/>
      </w:r>
      <w:r w:rsidRPr="005D5611">
        <w:rPr>
          <w:sz w:val="24"/>
          <w:szCs w:val="24"/>
        </w:rPr>
        <w:tab/>
      </w:r>
      <w:r w:rsidRPr="005D5611">
        <w:rPr>
          <w:rFonts w:eastAsiaTheme="minorHAnsi"/>
          <w:sz w:val="24"/>
          <w:szCs w:val="24"/>
        </w:rPr>
        <w:t xml:space="preserve"> </w:t>
      </w:r>
      <w:r w:rsidRPr="005D5611">
        <w:rPr>
          <w:sz w:val="24"/>
          <w:szCs w:val="24"/>
        </w:rPr>
        <w:tab/>
      </w:r>
      <w:r w:rsidRPr="005D5611">
        <w:rPr>
          <w:sz w:val="24"/>
          <w:szCs w:val="24"/>
        </w:rPr>
        <w:tab/>
      </w:r>
      <w:r w:rsidRPr="005D5611">
        <w:rPr>
          <w:rFonts w:eastAsiaTheme="minorHAnsi"/>
          <w:sz w:val="24"/>
          <w:szCs w:val="24"/>
        </w:rPr>
        <w:t>economic system (communism, capitalism)</w:t>
      </w:r>
    </w:p>
    <w:p w14:paraId="75CA2475" w14:textId="77777777" w:rsidR="003A45CF" w:rsidRPr="005D5611" w:rsidRDefault="003A45CF" w:rsidP="003A45CF">
      <w:pPr>
        <w:spacing w:line="360" w:lineRule="auto"/>
        <w:ind w:firstLine="720"/>
        <w:rPr>
          <w:sz w:val="24"/>
          <w:szCs w:val="24"/>
        </w:rPr>
      </w:pPr>
      <w:r w:rsidRPr="005D5611">
        <w:rPr>
          <w:sz w:val="24"/>
          <w:szCs w:val="24"/>
        </w:rPr>
        <w:t>species</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t>firms in an</w:t>
      </w:r>
      <w:r w:rsidRPr="005D5611">
        <w:rPr>
          <w:rFonts w:eastAsiaTheme="minorHAnsi"/>
          <w:sz w:val="24"/>
          <w:szCs w:val="24"/>
        </w:rPr>
        <w:t xml:space="preserve"> industry,</w:t>
      </w:r>
    </w:p>
    <w:p w14:paraId="66E58E9E" w14:textId="77777777" w:rsidR="003A45CF" w:rsidRPr="005D5611" w:rsidRDefault="003A45CF" w:rsidP="003A45CF">
      <w:pPr>
        <w:spacing w:line="360" w:lineRule="auto"/>
        <w:ind w:firstLine="720"/>
        <w:rPr>
          <w:sz w:val="24"/>
          <w:szCs w:val="24"/>
        </w:rPr>
      </w:pPr>
      <w:r w:rsidRPr="005D5611">
        <w:rPr>
          <w:sz w:val="24"/>
          <w:szCs w:val="24"/>
        </w:rPr>
        <w:t>population</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r>
      <w:r w:rsidRPr="005D5611">
        <w:rPr>
          <w:rFonts w:eastAsiaTheme="minorHAnsi"/>
          <w:sz w:val="24"/>
          <w:szCs w:val="24"/>
        </w:rPr>
        <w:t xml:space="preserve">firms in </w:t>
      </w:r>
      <w:r w:rsidRPr="005D5611">
        <w:rPr>
          <w:sz w:val="24"/>
          <w:szCs w:val="24"/>
        </w:rPr>
        <w:t>an area</w:t>
      </w:r>
      <w:r w:rsidRPr="005D5611">
        <w:rPr>
          <w:rFonts w:eastAsiaTheme="minorHAnsi"/>
          <w:sz w:val="24"/>
          <w:szCs w:val="24"/>
        </w:rPr>
        <w:t xml:space="preserve"> </w:t>
      </w:r>
    </w:p>
    <w:p w14:paraId="0F9D35D1" w14:textId="77777777" w:rsidR="003A45CF" w:rsidRPr="005D5611" w:rsidRDefault="003A45CF" w:rsidP="003A45CF">
      <w:pPr>
        <w:spacing w:line="360" w:lineRule="auto"/>
        <w:rPr>
          <w:sz w:val="24"/>
          <w:szCs w:val="24"/>
        </w:rPr>
      </w:pPr>
      <w:r w:rsidRPr="005D5611">
        <w:rPr>
          <w:rFonts w:eastAsiaTheme="minorHAnsi"/>
          <w:sz w:val="24"/>
          <w:szCs w:val="24"/>
        </w:rPr>
        <w:t xml:space="preserve"> </w:t>
      </w:r>
      <w:r w:rsidRPr="005D5611">
        <w:rPr>
          <w:rFonts w:eastAsiaTheme="minorHAnsi"/>
          <w:sz w:val="24"/>
          <w:szCs w:val="24"/>
        </w:rPr>
        <w:tab/>
        <w:t xml:space="preserve">individual </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t>firm</w:t>
      </w:r>
    </w:p>
    <w:p w14:paraId="1D26546A"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 xml:space="preserve">genome </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t>firm decision rules</w:t>
      </w:r>
      <w:r w:rsidRPr="005D5611">
        <w:rPr>
          <w:rFonts w:eastAsiaTheme="minorHAnsi"/>
          <w:sz w:val="24"/>
          <w:szCs w:val="24"/>
        </w:rPr>
        <w:t xml:space="preserve"> </w:t>
      </w:r>
    </w:p>
    <w:p w14:paraId="628136E7" w14:textId="77777777" w:rsidR="003A45CF" w:rsidRPr="005D5611" w:rsidRDefault="003A45CF" w:rsidP="003A45CF">
      <w:pPr>
        <w:spacing w:line="360" w:lineRule="auto"/>
        <w:ind w:firstLine="720"/>
        <w:rPr>
          <w:sz w:val="24"/>
          <w:szCs w:val="24"/>
        </w:rPr>
      </w:pPr>
      <w:r w:rsidRPr="005D5611">
        <w:rPr>
          <w:rFonts w:eastAsiaTheme="minorHAnsi"/>
          <w:sz w:val="24"/>
          <w:szCs w:val="24"/>
        </w:rPr>
        <w:t>epigenetics</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flexibility in decision rule implementation</w:t>
      </w:r>
    </w:p>
    <w:p w14:paraId="1224384D"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 xml:space="preserve">energy or biomass </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rFonts w:eastAsiaTheme="minorHAnsi"/>
          <w:sz w:val="24"/>
          <w:szCs w:val="24"/>
        </w:rPr>
        <w:t>monetary units</w:t>
      </w:r>
    </w:p>
    <w:p w14:paraId="1290A988"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respiration</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costs of operation</w:t>
      </w:r>
    </w:p>
    <w:p w14:paraId="52C48BCA" w14:textId="77777777" w:rsidR="003A45CF" w:rsidRPr="005D5611" w:rsidRDefault="003A45CF" w:rsidP="003A45CF">
      <w:pPr>
        <w:spacing w:line="360" w:lineRule="auto"/>
        <w:ind w:firstLine="720"/>
        <w:rPr>
          <w:sz w:val="24"/>
          <w:szCs w:val="24"/>
        </w:rPr>
      </w:pPr>
      <w:r w:rsidRPr="005D5611">
        <w:rPr>
          <w:rFonts w:eastAsiaTheme="minorHAnsi"/>
          <w:sz w:val="24"/>
          <w:szCs w:val="24"/>
        </w:rPr>
        <w:t>growth</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investments in infrastructure</w:t>
      </w:r>
    </w:p>
    <w:p w14:paraId="5933A5DD" w14:textId="77777777" w:rsidR="003A45CF" w:rsidRPr="005D5611" w:rsidRDefault="003A45CF" w:rsidP="003A45CF">
      <w:pPr>
        <w:spacing w:line="360" w:lineRule="auto"/>
        <w:ind w:firstLine="720"/>
        <w:rPr>
          <w:sz w:val="24"/>
          <w:szCs w:val="24"/>
        </w:rPr>
      </w:pPr>
      <w:r w:rsidRPr="005D5611">
        <w:rPr>
          <w:rFonts w:eastAsiaTheme="minorHAnsi"/>
          <w:sz w:val="24"/>
          <w:szCs w:val="24"/>
        </w:rPr>
        <w:t xml:space="preserve">reproduction </w:t>
      </w:r>
      <w:r w:rsidRPr="005D5611">
        <w:rPr>
          <w:sz w:val="24"/>
          <w:szCs w:val="24"/>
        </w:rPr>
        <w:tab/>
      </w:r>
      <w:r w:rsidRPr="005D5611">
        <w:rPr>
          <w:sz w:val="24"/>
          <w:szCs w:val="24"/>
        </w:rPr>
        <w:tab/>
      </w:r>
      <w:r w:rsidRPr="005D5611">
        <w:rPr>
          <w:sz w:val="24"/>
          <w:szCs w:val="24"/>
        </w:rPr>
        <w:tab/>
      </w:r>
      <w:r w:rsidRPr="005D5611">
        <w:rPr>
          <w:sz w:val="24"/>
          <w:szCs w:val="24"/>
        </w:rPr>
        <w:tab/>
        <w:t xml:space="preserve"> </w:t>
      </w:r>
      <w:r w:rsidRPr="005D5611">
        <w:rPr>
          <w:sz w:val="24"/>
          <w:szCs w:val="24"/>
        </w:rPr>
        <w:tab/>
        <w:t>profit</w:t>
      </w:r>
    </w:p>
    <w:p w14:paraId="2D6EF530"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fitness (genetic contribution</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firm profitability (contributions to</w:t>
      </w:r>
    </w:p>
    <w:p w14:paraId="14C10D7A" w14:textId="77777777" w:rsidR="003A45CF" w:rsidRPr="005D5611" w:rsidRDefault="003A45CF" w:rsidP="003A45CF">
      <w:pPr>
        <w:spacing w:line="360" w:lineRule="auto"/>
        <w:rPr>
          <w:sz w:val="24"/>
          <w:szCs w:val="24"/>
        </w:rPr>
      </w:pPr>
      <w:r w:rsidRPr="005D5611">
        <w:rPr>
          <w:rFonts w:eastAsiaTheme="minorHAnsi"/>
          <w:sz w:val="24"/>
          <w:szCs w:val="24"/>
        </w:rPr>
        <w:t xml:space="preserve">  </w:t>
      </w:r>
      <w:r w:rsidRPr="005D5611">
        <w:rPr>
          <w:rFonts w:eastAsiaTheme="minorHAnsi"/>
          <w:sz w:val="24"/>
          <w:szCs w:val="24"/>
        </w:rPr>
        <w:tab/>
        <w:t xml:space="preserve">  </w:t>
      </w:r>
      <w:r w:rsidRPr="005D5611">
        <w:rPr>
          <w:rFonts w:eastAsiaTheme="minorHAnsi"/>
          <w:sz w:val="24"/>
          <w:szCs w:val="24"/>
        </w:rPr>
        <w:tab/>
        <w:t xml:space="preserve"> to next generation) </w:t>
      </w:r>
      <w:r w:rsidRPr="005D5611">
        <w:rPr>
          <w:sz w:val="24"/>
          <w:szCs w:val="24"/>
        </w:rPr>
        <w:tab/>
        <w:t xml:space="preserve">     </w:t>
      </w:r>
      <w:r w:rsidRPr="005D5611">
        <w:rPr>
          <w:sz w:val="24"/>
          <w:szCs w:val="24"/>
        </w:rPr>
        <w:tab/>
      </w:r>
      <w:r w:rsidRPr="005D5611">
        <w:rPr>
          <w:sz w:val="24"/>
          <w:szCs w:val="24"/>
        </w:rPr>
        <w:tab/>
      </w:r>
      <w:r w:rsidRPr="005D5611">
        <w:rPr>
          <w:sz w:val="24"/>
          <w:szCs w:val="24"/>
        </w:rPr>
        <w:tab/>
        <w:t xml:space="preserve"> </w:t>
      </w:r>
      <w:r w:rsidRPr="005D5611">
        <w:rPr>
          <w:rFonts w:eastAsiaTheme="minorHAnsi"/>
          <w:sz w:val="24"/>
          <w:szCs w:val="24"/>
        </w:rPr>
        <w:t>next business cycle)</w:t>
      </w:r>
      <w:r w:rsidRPr="005D5611">
        <w:rPr>
          <w:sz w:val="24"/>
          <w:szCs w:val="24"/>
        </w:rPr>
        <w:tab/>
      </w:r>
    </w:p>
    <w:p w14:paraId="4D2ECF65"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 xml:space="preserve">adaptedness </w:t>
      </w:r>
      <w:r w:rsidRPr="005D5611">
        <w:rPr>
          <w:sz w:val="24"/>
          <w:szCs w:val="24"/>
        </w:rPr>
        <w:tab/>
      </w:r>
      <w:r w:rsidRPr="005D5611">
        <w:rPr>
          <w:sz w:val="24"/>
          <w:szCs w:val="24"/>
        </w:rPr>
        <w:tab/>
      </w:r>
      <w:r w:rsidRPr="005D5611">
        <w:rPr>
          <w:sz w:val="24"/>
          <w:szCs w:val="24"/>
        </w:rPr>
        <w:tab/>
      </w:r>
      <w:r w:rsidRPr="005D5611">
        <w:rPr>
          <w:sz w:val="24"/>
          <w:szCs w:val="24"/>
        </w:rPr>
        <w:tab/>
      </w:r>
      <w:r w:rsidRPr="005D5611">
        <w:rPr>
          <w:sz w:val="24"/>
          <w:szCs w:val="24"/>
        </w:rPr>
        <w:tab/>
      </w:r>
      <w:r w:rsidRPr="005D5611">
        <w:rPr>
          <w:rFonts w:eastAsiaTheme="minorHAnsi"/>
          <w:sz w:val="24"/>
          <w:szCs w:val="24"/>
        </w:rPr>
        <w:t>firm stability</w:t>
      </w:r>
    </w:p>
    <w:p w14:paraId="17D739E0" w14:textId="77777777" w:rsidR="003A45CF" w:rsidRPr="005D5611" w:rsidRDefault="003A45CF" w:rsidP="003A45CF">
      <w:pPr>
        <w:spacing w:line="360" w:lineRule="auto"/>
        <w:ind w:firstLine="720"/>
        <w:rPr>
          <w:rFonts w:eastAsiaTheme="minorHAnsi"/>
          <w:sz w:val="24"/>
          <w:szCs w:val="24"/>
        </w:rPr>
      </w:pPr>
      <w:r w:rsidRPr="005D5611">
        <w:rPr>
          <w:rFonts w:eastAsiaTheme="minorHAnsi"/>
          <w:sz w:val="24"/>
          <w:szCs w:val="24"/>
        </w:rPr>
        <w:t>energy</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currency</w:t>
      </w:r>
    </w:p>
    <w:p w14:paraId="36D3F43B" w14:textId="77777777" w:rsidR="003A45CF" w:rsidRPr="005D5611" w:rsidRDefault="003A45CF" w:rsidP="003A45CF">
      <w:pPr>
        <w:spacing w:line="360" w:lineRule="auto"/>
        <w:ind w:firstLine="720"/>
        <w:rPr>
          <w:sz w:val="24"/>
          <w:szCs w:val="24"/>
        </w:rPr>
      </w:pPr>
      <w:r w:rsidRPr="005D5611">
        <w:rPr>
          <w:rFonts w:eastAsiaTheme="minorHAnsi"/>
          <w:sz w:val="24"/>
          <w:szCs w:val="24"/>
        </w:rPr>
        <w:t xml:space="preserve">intrinsic mortality rate </w:t>
      </w:r>
      <w:r w:rsidRPr="005D5611">
        <w:rPr>
          <w:sz w:val="24"/>
          <w:szCs w:val="24"/>
        </w:rPr>
        <w:tab/>
      </w:r>
      <w:r w:rsidRPr="005D5611">
        <w:rPr>
          <w:sz w:val="24"/>
          <w:szCs w:val="24"/>
        </w:rPr>
        <w:tab/>
      </w:r>
      <w:r w:rsidRPr="005D5611">
        <w:rPr>
          <w:sz w:val="24"/>
          <w:szCs w:val="24"/>
        </w:rPr>
        <w:tab/>
      </w:r>
      <w:r w:rsidRPr="005D5611">
        <w:rPr>
          <w:rFonts w:eastAsiaTheme="minorHAnsi"/>
          <w:sz w:val="24"/>
          <w:szCs w:val="24"/>
        </w:rPr>
        <w:t>discount rate</w:t>
      </w:r>
    </w:p>
    <w:p w14:paraId="7C4D5B90" w14:textId="77777777" w:rsidR="003A45CF" w:rsidRPr="005D5611" w:rsidRDefault="003A45CF" w:rsidP="003A45CF">
      <w:pPr>
        <w:shd w:val="clear" w:color="auto" w:fill="F2F2F2" w:themeFill="background1" w:themeFillShade="F2"/>
        <w:spacing w:line="360" w:lineRule="auto"/>
        <w:ind w:firstLine="720"/>
        <w:rPr>
          <w:sz w:val="24"/>
          <w:szCs w:val="24"/>
        </w:rPr>
      </w:pPr>
      <w:r w:rsidRPr="005D5611">
        <w:rPr>
          <w:rFonts w:eastAsiaTheme="minorHAnsi"/>
          <w:sz w:val="24"/>
          <w:szCs w:val="24"/>
        </w:rPr>
        <w:t>supply (</w:t>
      </w:r>
      <w:r w:rsidRPr="005D5611">
        <w:rPr>
          <w:sz w:val="24"/>
          <w:szCs w:val="24"/>
        </w:rPr>
        <w:t>per capita acquisition rate)</w:t>
      </w:r>
      <w:r w:rsidRPr="005D5611">
        <w:rPr>
          <w:sz w:val="24"/>
          <w:szCs w:val="24"/>
        </w:rPr>
        <w:tab/>
      </w:r>
      <w:r w:rsidRPr="005D5611">
        <w:rPr>
          <w:sz w:val="24"/>
          <w:szCs w:val="24"/>
        </w:rPr>
        <w:tab/>
        <w:t xml:space="preserve"> </w:t>
      </w:r>
      <w:r w:rsidRPr="005D5611">
        <w:rPr>
          <w:rFonts w:eastAsiaTheme="minorHAnsi"/>
          <w:sz w:val="24"/>
          <w:szCs w:val="24"/>
        </w:rPr>
        <w:t>all the resource that is available</w:t>
      </w:r>
    </w:p>
    <w:p w14:paraId="3EBEA53D" w14:textId="77777777" w:rsidR="003A45CF" w:rsidRPr="005D5611" w:rsidRDefault="003A45CF" w:rsidP="003A45CF">
      <w:pPr>
        <w:shd w:val="clear" w:color="auto" w:fill="F2F2F2" w:themeFill="background1" w:themeFillShade="F2"/>
        <w:spacing w:line="360" w:lineRule="auto"/>
        <w:ind w:firstLine="720"/>
        <w:rPr>
          <w:sz w:val="24"/>
          <w:szCs w:val="24"/>
        </w:rPr>
      </w:pPr>
      <w:r w:rsidRPr="005D5611">
        <w:rPr>
          <w:rFonts w:eastAsiaTheme="minorHAnsi"/>
          <w:sz w:val="24"/>
          <w:szCs w:val="24"/>
        </w:rPr>
        <w:t xml:space="preserve">demand </w:t>
      </w:r>
      <w:r w:rsidRPr="005D5611">
        <w:rPr>
          <w:sz w:val="24"/>
          <w:szCs w:val="24"/>
        </w:rPr>
        <w:t>(</w:t>
      </w:r>
      <w:r w:rsidRPr="005D5611">
        <w:rPr>
          <w:rFonts w:eastAsiaTheme="minorHAnsi"/>
          <w:sz w:val="24"/>
          <w:szCs w:val="24"/>
        </w:rPr>
        <w:t>maximum assimilate</w:t>
      </w:r>
      <w:r w:rsidRPr="005D5611">
        <w:rPr>
          <w:sz w:val="24"/>
          <w:szCs w:val="24"/>
        </w:rPr>
        <w:t xml:space="preserve"> rate)</w:t>
      </w:r>
      <w:r w:rsidRPr="005D5611">
        <w:rPr>
          <w:sz w:val="24"/>
          <w:szCs w:val="24"/>
        </w:rPr>
        <w:tab/>
      </w:r>
      <w:r w:rsidRPr="005D5611">
        <w:rPr>
          <w:sz w:val="24"/>
          <w:szCs w:val="24"/>
        </w:rPr>
        <w:tab/>
        <w:t xml:space="preserve">all the </w:t>
      </w:r>
      <w:r w:rsidRPr="005D5611">
        <w:rPr>
          <w:rFonts w:eastAsiaTheme="minorHAnsi"/>
          <w:sz w:val="24"/>
          <w:szCs w:val="24"/>
        </w:rPr>
        <w:t>resource available and more</w:t>
      </w:r>
    </w:p>
    <w:p w14:paraId="32D5EDCD" w14:textId="77777777" w:rsidR="003A45CF" w:rsidRPr="005D5611" w:rsidRDefault="003A45CF" w:rsidP="003A45CF">
      <w:pPr>
        <w:shd w:val="clear" w:color="auto" w:fill="F2F2F2" w:themeFill="background1" w:themeFillShade="F2"/>
        <w:autoSpaceDE w:val="0"/>
        <w:autoSpaceDN w:val="0"/>
        <w:adjustRightInd w:val="0"/>
        <w:spacing w:line="360" w:lineRule="auto"/>
        <w:ind w:left="3600" w:hanging="2880"/>
        <w:rPr>
          <w:rFonts w:eastAsiaTheme="minorHAnsi"/>
          <w:sz w:val="24"/>
          <w:szCs w:val="24"/>
        </w:rPr>
      </w:pPr>
      <w:r w:rsidRPr="005D5611">
        <w:rPr>
          <w:rFonts w:eastAsiaTheme="minorHAnsi"/>
          <w:sz w:val="24"/>
          <w:szCs w:val="24"/>
        </w:rPr>
        <w:t>consumption (?)</w:t>
      </w:r>
      <w:r w:rsidRPr="005D5611">
        <w:rPr>
          <w:rFonts w:eastAsiaTheme="minorHAnsi"/>
          <w:sz w:val="24"/>
          <w:szCs w:val="24"/>
        </w:rPr>
        <w:tab/>
      </w:r>
      <w:r w:rsidRPr="005D5611">
        <w:rPr>
          <w:rFonts w:eastAsiaTheme="minorHAnsi"/>
          <w:sz w:val="24"/>
          <w:szCs w:val="24"/>
        </w:rPr>
        <w:tab/>
        <w:t xml:space="preserve"> </w:t>
      </w:r>
      <w:r w:rsidRPr="005D5611">
        <w:rPr>
          <w:rFonts w:eastAsiaTheme="minorHAnsi"/>
          <w:sz w:val="24"/>
          <w:szCs w:val="24"/>
        </w:rPr>
        <w:tab/>
        <w:t xml:space="preserve"> consumption </w:t>
      </w:r>
      <w:r w:rsidRPr="005D5611">
        <w:rPr>
          <w:sz w:val="24"/>
          <w:szCs w:val="24"/>
        </w:rPr>
        <w:t>(</w:t>
      </w:r>
      <w:r w:rsidRPr="005D5611">
        <w:rPr>
          <w:rFonts w:eastAsiaTheme="minorHAnsi"/>
          <w:sz w:val="24"/>
          <w:szCs w:val="24"/>
        </w:rPr>
        <w:t>not contributing to growth)</w:t>
      </w:r>
    </w:p>
    <w:p w14:paraId="5410A6BD" w14:textId="77777777" w:rsidR="003A45CF" w:rsidRPr="005D5611" w:rsidRDefault="003A45CF" w:rsidP="003A45CF">
      <w:pPr>
        <w:shd w:val="clear" w:color="auto" w:fill="F2F2F2" w:themeFill="background1" w:themeFillShade="F2"/>
        <w:autoSpaceDE w:val="0"/>
        <w:autoSpaceDN w:val="0"/>
        <w:adjustRightInd w:val="0"/>
        <w:spacing w:line="360" w:lineRule="auto"/>
        <w:ind w:firstLine="720"/>
        <w:rPr>
          <w:rFonts w:eastAsiaTheme="minorHAnsi"/>
          <w:sz w:val="24"/>
          <w:szCs w:val="24"/>
        </w:rPr>
      </w:pPr>
      <w:r w:rsidRPr="005D5611">
        <w:rPr>
          <w:rFonts w:eastAsiaTheme="minorHAnsi"/>
          <w:sz w:val="24"/>
          <w:szCs w:val="24"/>
        </w:rPr>
        <w:t>endosomatic constraints</w:t>
      </w:r>
      <w:r w:rsidRPr="005D5611">
        <w:rPr>
          <w:rFonts w:eastAsiaTheme="minorHAnsi"/>
          <w:sz w:val="24"/>
          <w:szCs w:val="24"/>
        </w:rPr>
        <w:tab/>
      </w:r>
      <w:r w:rsidRPr="005D5611">
        <w:rPr>
          <w:rFonts w:eastAsiaTheme="minorHAnsi"/>
          <w:sz w:val="24"/>
          <w:szCs w:val="24"/>
        </w:rPr>
        <w:tab/>
      </w:r>
      <w:r w:rsidRPr="005D5611">
        <w:rPr>
          <w:rFonts w:eastAsiaTheme="minorHAnsi"/>
          <w:sz w:val="24"/>
          <w:szCs w:val="24"/>
        </w:rPr>
        <w:tab/>
        <w:t xml:space="preserve"> exosomatic capacities</w:t>
      </w:r>
    </w:p>
    <w:p w14:paraId="1DD995A0" w14:textId="77777777" w:rsidR="003A45CF" w:rsidRPr="005D5611" w:rsidRDefault="003A45CF" w:rsidP="003A45CF">
      <w:pPr>
        <w:spacing w:line="480" w:lineRule="auto"/>
        <w:rPr>
          <w:rFonts w:eastAsiaTheme="minorHAnsi"/>
          <w:color w:val="000000"/>
          <w:szCs w:val="24"/>
        </w:rPr>
      </w:pPr>
      <w:r w:rsidRPr="005D5611">
        <w:rPr>
          <w:rFonts w:eastAsiaTheme="minorHAnsi"/>
          <w:color w:val="000000"/>
          <w:szCs w:val="24"/>
        </w:rPr>
        <w:br w:type="page"/>
      </w:r>
    </w:p>
    <w:p w14:paraId="3F4DE35B" w14:textId="77777777" w:rsidR="003A45CF" w:rsidRPr="005D5611" w:rsidRDefault="003A45CF" w:rsidP="003A45CF">
      <w:pPr>
        <w:pStyle w:val="SMSubheading"/>
        <w:spacing w:line="480" w:lineRule="auto"/>
        <w:rPr>
          <w:sz w:val="28"/>
          <w:szCs w:val="28"/>
        </w:rPr>
      </w:pPr>
      <w:bookmarkStart w:id="12" w:name="_Toc15650833"/>
      <w:r w:rsidRPr="005D5611">
        <w:rPr>
          <w:sz w:val="28"/>
          <w:szCs w:val="28"/>
        </w:rPr>
        <w:t>S3 Physiologically based demographic models</w:t>
      </w:r>
      <w:bookmarkEnd w:id="12"/>
    </w:p>
    <w:p w14:paraId="2A17F7CC" w14:textId="0A9768F7" w:rsidR="003A45CF" w:rsidRPr="005D5611" w:rsidRDefault="003A45CF" w:rsidP="003A45CF">
      <w:pPr>
        <w:pStyle w:val="SMText"/>
        <w:ind w:firstLine="0"/>
        <w:rPr>
          <w:rFonts w:eastAsiaTheme="minorHAnsi"/>
        </w:rPr>
      </w:pPr>
      <w:r w:rsidRPr="005D5611">
        <w:rPr>
          <w:b/>
          <w:bCs/>
        </w:rPr>
        <w:t xml:space="preserve">S3.1 Simple PBDM/MP systems - </w:t>
      </w:r>
      <w:r w:rsidRPr="005D5611">
        <w:rPr>
          <w:rFonts w:eastAsiaTheme="minorHAnsi"/>
        </w:rPr>
        <w:t xml:space="preserve">The core bioeconomic idea for all trophic levels (e.g., </w:t>
      </w:r>
      <w:r w:rsidRPr="005D5611">
        <w:rPr>
          <w:rFonts w:eastAsiaTheme="minorHAnsi"/>
          <w:i/>
          <w:iCs/>
        </w:rPr>
        <w:t>i, i+1,…, i+n</w:t>
      </w:r>
      <w:r w:rsidRPr="005D5611">
        <w:rPr>
          <w:rFonts w:eastAsiaTheme="minorHAnsi"/>
        </w:rPr>
        <w:t xml:space="preserve">) (main text Fig. 1) is captured as a simple bioeconomic mass (energy) conservation balance model of the </w:t>
      </w:r>
      <w:r w:rsidRPr="005D5611">
        <w:rPr>
          <w:rFonts w:eastAsiaTheme="minorHAnsi"/>
          <w:i/>
        </w:rPr>
        <w:t>demand-driven</w:t>
      </w:r>
      <w:r w:rsidRPr="005D5611">
        <w:rPr>
          <w:rFonts w:eastAsiaTheme="minorHAnsi"/>
        </w:rPr>
        <w:t xml:space="preserve"> dynamics per unit consumer in any trophic level that </w:t>
      </w:r>
      <w:r w:rsidRPr="005D5611">
        <w:rPr>
          <w:rFonts w:eastAsiaTheme="minorHAnsi"/>
          <w:color w:val="000000" w:themeColor="text1"/>
        </w:rPr>
        <w:t xml:space="preserve">determine growth and reproductive rates (Eqn. 1; see </w:t>
      </w:r>
      <w:r w:rsidRPr="005D5611">
        <w:rPr>
          <w:rFonts w:eastAsiaTheme="minorHAnsi"/>
          <w:color w:val="000000" w:themeColor="text1"/>
        </w:rPr>
        <w:fldChar w:fldCharType="begin"/>
      </w:r>
      <w:r w:rsidR="00FF3F09">
        <w:rPr>
          <w:rFonts w:eastAsiaTheme="minorHAnsi"/>
          <w:color w:val="000000" w:themeColor="text1"/>
        </w:rPr>
        <w:instrText xml:space="preserve"> ADDIN ZOTERO_ITEM CSL_CITATION {"citationID":"f2C4SL1e","properties":{"formattedCitation":"[9, 11, 14, 104]","plainCitation":"[9, 11, 14, 104]","noteIndex":0},"citationItems":[{"id":2958,"uris":["http://zotero.org/users/1272936/items/3HJHR46H"],"uri":["http://zotero.org/users/1272936/items/3HJHR46H"],"itemData":{"id":2958,"type":"book","abstract":"The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id":13047,"uris":["http://zotero.org/users/1272936/items/LIM6S3YY"],"uri":["http://zotero.org/users/1272936/items/LIM6S3YY"],"itemData":{"id":13047,"type":"article-journal","abstract":"Adapted species in nature are assumed to have solved renewable resource management problems, and this is examined here using a physiologically based model of energy acquisition and allocation. Newly established invasive species are merely in an early phase of this process in their new environment. Analogies between the economies of humans and other species are used to develop an objective function for individual utility of energy allocation. The objective function includes the physiologically based population dynamics models of the consumer and resource species in a food chain as constraints. The model applies to all trophic levels in a food chain including human harvesting of renewable resources (see also Regev et al. (Regev, U., Gutierrez, A.P., Schreiber, S., Zilberman, D., 1998. Biological and Economic Foundation of Renewable Resource Exploitation. Ecological Economics. 26 (3), 227-242.)).\nSpecifically, the analysis:\n(1) Attempts to combine ecological and economic theory;\n(2) Points out the importance of time frame in the two economies (evolutionary vs. market time);\n(3) Examines the effects of expected uncertainty due to environmental hazards in defining energy acquisition and allocation strategies in two invasive aphid species at the extremes of so called r- and K-strategies and the well adapted Central American cotton-cotton bollweevil system;\n(4) Evaluates the effects of changes in behavioral and physiological parameters and environmental degradation on the abundance of resource and consumer species. (c) 2004 Elsevier B.V. All rights reserved.","container-title":"Ecological Economics","DOI":"10.1016/j.ecolecon.2004.05.007","ISSN":"0921-8009","issue":"3","journalAbbreviation":"Ecol. Econ.","language":"English","page":"383-396","title":"The bioeconomics of tritrophic systems: applications to invasive species","volume":"52","author":[{"family":"Gutierrez","given":"A. P."},{"family":"Regev","given":"U."}],"issued":{"date-parts":[["2005",2,15]]}}},{"id":4636,"uris":["http://zotero.org/users/1272936/items/DZMGTXVE"],"uri":["http://zotero.org/users/1272936/items/DZMGTXVE"],"itemData":{"id":4636,"type":"article-journal","container-title":"Ecology","DOI":"10.2307/1940008","page":"1552-1563","title":"The physiological basis of ratio-dependent predator-prey theory: the metabolic pool model as a paradigm","volume":"73","author":[{"family":"Gutierrez","given":"A.P."}],"issued":{"date-parts":[["1992"]]}}},{"id":3821,"uris":["http://zotero.org/users/1272936/items/ZQ93INXA"],"uri":["http://zotero.org/users/1272936/items/ZQ93INXA"],"itemData":{"id":3821,"type":"article-journal","abstract":"A general tritrophic model of intermediate complexity representing the dynamics of trophic level biomass and numbers is presented. The rudiments of the behavior and physiology of resource acquisition and conversion are incorporated as functional and numerical response models. The tritrophic model is used to examine the effects of trophic position on bottom-up-top-down regulation of populations in theory and in practice. The zero growth isoclines of the interacting populations are used to examine the dynamics of the tritrophic system. The herbivore (M\"2) and predator (M\"3) but not the plant (M\"1) isoclines can be solved explicitly. The plant and herbivore isoclines have two forms that depend on whether the proportion of the trophic level available to its consumer (i.e., its apparency) is greater than or less than its potential per unit biomass population growth rate. Rough estimates of the parameters of these inequalities may be deduced from our knowledge of the search biology of the species and known size to growth rate relationships. The model shows clearly that bottom-up regulation sets the upper limit for trophic-level growth and top-down regulation determines the level of realized growth. The model explains the paradoxes of enrichment and of biological control that arise from the standard Lotka-Volterra models, and its qualitative predictions compare well to the general conclusions of intensive studies on biological control of the cassava mealybug on cassava by an exotic parasitoid. However, discrepancies that were found caution against unconsidered extrapolation of theoretical predictions to specific situations. The model qualitatively defines the dynamics required of a successful weed biological control agent, of a stable fresh water algal-arthropod herbivore-vertebrate predator system, and of a marine phytoplankton-krill-whale system. The utility of the model is its generality and its basis in quantifiable biology.","container-title":"Ecology","DOI":"10.2307/1940879","issue":"8","page":"2227-2242","title":"A physiologically based tritrophic perspective on bottom-up-top-down regulation of populations","volume":"75","author":[{"family":"Gutierrez","given":"A.P."},{"family":"Mills","given":"N.J."},{"family":"Schreiber","given":"S.J."},{"family":"Ellis","given":"C.K."}],"issued":{"date-parts":[["1994"]]}}}],"schema":"https://github.com/citation-style-language/schema/raw/master/csl-citation.json"} </w:instrText>
      </w:r>
      <w:r w:rsidRPr="005D5611">
        <w:rPr>
          <w:rFonts w:eastAsiaTheme="minorHAnsi"/>
          <w:color w:val="000000" w:themeColor="text1"/>
        </w:rPr>
        <w:fldChar w:fldCharType="separate"/>
      </w:r>
      <w:r w:rsidR="00C51ED3">
        <w:rPr>
          <w:color w:val="000000"/>
        </w:rPr>
        <w:t>[9, 11, 14, 104]</w:t>
      </w:r>
      <w:r w:rsidRPr="005D5611">
        <w:rPr>
          <w:rFonts w:eastAsiaTheme="minorHAnsi"/>
          <w:color w:val="000000" w:themeColor="text1"/>
        </w:rPr>
        <w:fldChar w:fldCharType="end"/>
      </w:r>
      <w:r w:rsidRPr="005D5611">
        <w:rPr>
          <w:rFonts w:eastAsiaTheme="minorHAnsi"/>
        </w:rPr>
        <w:t xml:space="preserve">. The notation can be simplified by aggregating terms, but we keep the detail for heuristic reasons (see </w:t>
      </w:r>
      <w:r w:rsidRPr="005D5611">
        <w:rPr>
          <w:rFonts w:eastAsiaTheme="minorHAnsi"/>
        </w:rPr>
        <w:fldChar w:fldCharType="begin"/>
      </w:r>
      <w:r w:rsidR="002F5A10">
        <w:rPr>
          <w:rFonts w:eastAsiaTheme="minorHAnsi"/>
        </w:rPr>
        <w:instrText xml:space="preserve"> ADDIN ZOTERO_ITEM CSL_CITATION {"citationID":"NnPiAILL","properties":{"formattedCitation":"[11]","plainCitation":"[11]","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schema":"https://github.com/citation-style-language/schema/raw/master/csl-citation.json"} </w:instrText>
      </w:r>
      <w:r w:rsidRPr="005D5611">
        <w:rPr>
          <w:rFonts w:eastAsiaTheme="minorHAnsi"/>
        </w:rPr>
        <w:fldChar w:fldCharType="separate"/>
      </w:r>
      <w:r w:rsidR="00C51ED3">
        <w:t>[11]</w:t>
      </w:r>
      <w:r w:rsidRPr="005D5611">
        <w:rPr>
          <w:rFonts w:eastAsiaTheme="minorHAnsi"/>
        </w:rPr>
        <w:fldChar w:fldCharType="end"/>
      </w:r>
      <w:r w:rsidRPr="005D5611">
        <w:rPr>
          <w:rFonts w:eastAsiaTheme="minorHAnsi"/>
        </w:rPr>
        <w:t>)</w:t>
      </w:r>
    </w:p>
    <w:p w14:paraId="748A0980" w14:textId="77777777" w:rsidR="003A45CF" w:rsidRPr="005D5611" w:rsidRDefault="00947966" w:rsidP="003A45CF">
      <w:pPr>
        <w:pStyle w:val="SMText"/>
      </w:pPr>
      <w:r w:rsidRPr="005D5611">
        <w:rPr>
          <w:noProof/>
          <w:position w:val="-76"/>
        </w:rPr>
        <w:object w:dxaOrig="6560" w:dyaOrig="1640" w14:anchorId="707BE7C2">
          <v:shape id="_x0000_i1026" type="#_x0000_t75" alt="" style="width:330.15pt;height:81.95pt;mso-width-percent:0;mso-height-percent:0;mso-width-percent:0;mso-height-percent:0" o:ole="">
            <v:imagedata r:id="rId11" o:title=""/>
          </v:shape>
          <o:OLEObject Type="Embed" ProgID="Equation.DSMT4" ShapeID="_x0000_i1026" DrawAspect="Content" ObjectID="_1662177435" r:id="rId12"/>
        </w:object>
      </w:r>
      <w:r w:rsidR="003A45CF" w:rsidRPr="005D5611">
        <w:tab/>
      </w:r>
      <w:r w:rsidR="003A45CF" w:rsidRPr="005D5611">
        <w:tab/>
        <w:t>(S1)</w:t>
      </w:r>
    </w:p>
    <w:p w14:paraId="6E9B5CC6" w14:textId="052C80DC" w:rsidR="003A45CF" w:rsidRPr="005D5611" w:rsidRDefault="003A45CF" w:rsidP="003A45CF">
      <w:pPr>
        <w:pStyle w:val="SMText"/>
        <w:rPr>
          <w:rFonts w:eastAsiaTheme="minorHAnsi"/>
          <w:color w:val="000000" w:themeColor="text1"/>
        </w:rPr>
      </w:pPr>
      <w:r w:rsidRPr="005D5611">
        <w:rPr>
          <w:rFonts w:eastAsiaTheme="minorHAnsi"/>
        </w:rPr>
        <w:t xml:space="preserve">The type II </w:t>
      </w:r>
      <w:r w:rsidRPr="005D5611">
        <w:rPr>
          <w:rFonts w:eastAsiaTheme="minorHAnsi"/>
          <w:color w:val="000000"/>
        </w:rPr>
        <w:t xml:space="preserve">ratio-dependent functional response </w:t>
      </w:r>
      <w:r w:rsidRPr="005D5611">
        <w:rPr>
          <w:rFonts w:eastAsiaTheme="minorHAnsi"/>
          <w:color w:val="000000" w:themeColor="text1"/>
        </w:rPr>
        <w:t>model</w:t>
      </w:r>
      <w:r w:rsidRPr="005D5611">
        <w:t xml:space="preserve"> (</w:t>
      </w:r>
      <w:r w:rsidR="00947966" w:rsidRPr="005D5611">
        <w:rPr>
          <w:noProof/>
          <w:position w:val="-30"/>
        </w:rPr>
        <w:object w:dxaOrig="3080" w:dyaOrig="680" w14:anchorId="1E9557E3">
          <v:shape id="_x0000_i1027" type="#_x0000_t75" alt="" style="width:137pt;height:27.5pt;mso-width-percent:0;mso-height-percent:0;mso-width-percent:0;mso-height-percent:0" o:ole="">
            <v:imagedata r:id="rId13" o:title=""/>
          </v:shape>
          <o:OLEObject Type="Embed" ProgID="Equation.DSMT4" ShapeID="_x0000_i1027" DrawAspect="Content" ObjectID="_1662177436" r:id="rId14"/>
        </w:object>
      </w:r>
      <w:r w:rsidRPr="005D5611">
        <w:rPr>
          <w:noProof/>
        </w:rPr>
        <w:t xml:space="preserve">; </w:t>
      </w:r>
      <w:r w:rsidRPr="005D5611">
        <w:rPr>
          <w:noProof/>
        </w:rPr>
        <w:fldChar w:fldCharType="begin"/>
      </w:r>
      <w:r w:rsidR="00FF3F09">
        <w:rPr>
          <w:noProof/>
        </w:rPr>
        <w:instrText xml:space="preserve"> ADDIN ZOTERO_ITEM CSL_CITATION {"citationID":"DiTmCVyI","properties":{"formattedCitation":"[9]","plainCitation":"[9]","noteIndex":0},"citationItems":[{"id":13047,"uris":["http://zotero.org/users/1272936/items/LIM6S3YY"],"uri":["http://zotero.org/users/1272936/items/LIM6S3YY"],"itemData":{"id":13047,"type":"article-journal","abstract":"Adapted species in nature are assumed to have solved renewable resource management problems, and this is examined here using a physiologically based model of energy acquisition and allocation. Newly established invasive species are merely in an early phase of this process in their new environment. Analogies between the economies of humans and other species are used to develop an objective function for individual utility of energy allocation. The objective function includes the physiologically based population dynamics models of the consumer and resource species in a food chain as constraints. The model applies to all trophic levels in a food chain including human harvesting of renewable resources (see also Regev et al. (Regev, U., Gutierrez, A.P., Schreiber, S., Zilberman, D., 1998. Biological and Economic Foundation of Renewable Resource Exploitation. Ecological Economics. 26 (3), 227-242.)).\nSpecifically, the analysis:\n(1) Attempts to combine ecological and economic theory;\n(2) Points out the importance of time frame in the two economies (evolutionary vs. market time);\n(3) Examines the effects of expected uncertainty due to environmental hazards in defining energy acquisition and allocation strategies in two invasive aphid species at the extremes of so called r- and K-strategies and the well adapted Central American cotton-cotton bollweevil system;\n(4) Evaluates the effects of changes in behavioral and physiological parameters and environmental degradation on the abundance of resource and consumer species. (c) 2004 Elsevier B.V. All rights reserved.","container-title":"Ecological Economics","DOI":"10.1016/j.ecolecon.2004.05.007","ISSN":"0921-8009","issue":"3","journalAbbreviation":"Ecol. Econ.","language":"English","page":"383-396","title":"The bioeconomics of tritrophic systems: applications to invasive species","volume":"52","author":[{"family":"Gutierrez","given":"A. P."},{"family":"Regev","given":"U."}],"issued":{"date-parts":[["2005",2,15]]}}}],"schema":"https://github.com/citation-style-language/schema/raw/master/csl-citation.json"} </w:instrText>
      </w:r>
      <w:r w:rsidRPr="005D5611">
        <w:rPr>
          <w:noProof/>
        </w:rPr>
        <w:fldChar w:fldCharType="separate"/>
      </w:r>
      <w:r w:rsidR="00C51ED3">
        <w:t>[9]</w:t>
      </w:r>
      <w:r w:rsidRPr="005D5611">
        <w:rPr>
          <w:noProof/>
        </w:rPr>
        <w:fldChar w:fldCharType="end"/>
      </w:r>
      <w:r w:rsidRPr="005D5611">
        <w:rPr>
          <w:rFonts w:eastAsiaTheme="minorHAnsi"/>
          <w:color w:val="000000" w:themeColor="text1"/>
        </w:rPr>
        <w:t xml:space="preserve">) is demand driven and estimates the proportion of the per unit </w:t>
      </w:r>
      <w:r w:rsidRPr="005D5611">
        <w:rPr>
          <w:rFonts w:eastAsiaTheme="minorHAnsi"/>
          <w:i/>
          <w:color w:val="000000" w:themeColor="text1"/>
        </w:rPr>
        <w:t>demand</w:t>
      </w:r>
      <w:r w:rsidRPr="005D5611">
        <w:rPr>
          <w:rFonts w:eastAsiaTheme="minorHAnsi"/>
          <w:color w:val="000000" w:themeColor="text1"/>
        </w:rPr>
        <w:t xml:space="preserve"> for resources (</w:t>
      </w:r>
      <w:r w:rsidRPr="005D5611">
        <w:rPr>
          <w:rFonts w:eastAsiaTheme="minorHAnsi"/>
          <w:i/>
          <w:color w:val="000000" w:themeColor="text1"/>
        </w:rPr>
        <w:t>D</w:t>
      </w:r>
      <w:r w:rsidRPr="005D5611">
        <w:rPr>
          <w:rFonts w:eastAsiaTheme="minorHAnsi"/>
          <w:i/>
          <w:color w:val="000000" w:themeColor="text1"/>
          <w:vertAlign w:val="subscript"/>
        </w:rPr>
        <w:t>i</w:t>
      </w:r>
      <w:r w:rsidRPr="005D5611">
        <w:rPr>
          <w:rFonts w:eastAsiaTheme="minorHAnsi"/>
          <w:color w:val="000000" w:themeColor="text1"/>
        </w:rPr>
        <w:t xml:space="preserve">) acquired (i.e. </w:t>
      </w:r>
      <w:r w:rsidRPr="005D5611">
        <w:rPr>
          <w:rFonts w:eastAsiaTheme="minorHAnsi"/>
          <w:i/>
          <w:color w:val="000000" w:themeColor="text1"/>
        </w:rPr>
        <w:t>supply</w:t>
      </w:r>
      <w:r w:rsidRPr="005D5611">
        <w:rPr>
          <w:rFonts w:eastAsiaTheme="minorHAnsi"/>
          <w:color w:val="000000" w:themeColor="text1"/>
        </w:rPr>
        <w:t xml:space="preserve">; </w:t>
      </w:r>
      <w:r w:rsidR="00947966" w:rsidRPr="005D5611">
        <w:rPr>
          <w:noProof/>
          <w:position w:val="-12"/>
        </w:rPr>
        <w:object w:dxaOrig="1200" w:dyaOrig="360" w14:anchorId="3FFDA0E1">
          <v:shape id="_x0000_i1028" type="#_x0000_t75" alt="" style="width:60.3pt;height:18.75pt;mso-width-percent:0;mso-height-percent:0;mso-width-percent:0;mso-height-percent:0" o:ole="">
            <v:imagedata r:id="rId15" o:title=""/>
          </v:shape>
          <o:OLEObject Type="Embed" ProgID="Equation.DSMT4" ShapeID="_x0000_i1028" DrawAspect="Content" ObjectID="_1662177437" r:id="rId16"/>
        </w:object>
      </w:r>
      <w:r w:rsidRPr="005D5611">
        <w:rPr>
          <w:rFonts w:eastAsiaTheme="minorHAnsi"/>
          <w:color w:val="000000" w:themeColor="text1"/>
        </w:rPr>
        <w:t xml:space="preserve">) by trophic level </w:t>
      </w:r>
      <w:r w:rsidRPr="005D5611">
        <w:rPr>
          <w:rFonts w:eastAsiaTheme="minorHAnsi"/>
          <w:i/>
          <w:color w:val="000000" w:themeColor="text1"/>
        </w:rPr>
        <w:t>i</w:t>
      </w:r>
      <w:r w:rsidRPr="005D5611">
        <w:rPr>
          <w:rFonts w:eastAsiaTheme="minorHAnsi"/>
          <w:color w:val="000000" w:themeColor="text1"/>
        </w:rPr>
        <w:t xml:space="preserve"> from trophic level </w:t>
      </w:r>
      <w:r w:rsidRPr="005D5611">
        <w:rPr>
          <w:rFonts w:eastAsiaTheme="minorHAnsi"/>
          <w:i/>
          <w:color w:val="000000" w:themeColor="text1"/>
        </w:rPr>
        <w:t>i-1</w:t>
      </w:r>
      <w:r w:rsidRPr="005D5611">
        <w:rPr>
          <w:rFonts w:eastAsiaTheme="minorHAnsi"/>
          <w:color w:val="000000" w:themeColor="text1"/>
        </w:rPr>
        <w:t xml:space="preserve">. </w:t>
      </w:r>
      <w:r w:rsidRPr="005D5611">
        <w:rPr>
          <w:color w:val="000000" w:themeColor="text1"/>
        </w:rPr>
        <w:t>The parameter 0</w:t>
      </w:r>
      <w:r w:rsidRPr="005D5611">
        <w:rPr>
          <w:color w:val="000000" w:themeColor="text1"/>
          <w:u w:val="single"/>
        </w:rPr>
        <w:t>&lt;</w:t>
      </w:r>
      <w:r w:rsidRPr="005D5611">
        <w:rPr>
          <w:rFonts w:eastAsiaTheme="minorHAnsi"/>
          <w:i/>
          <w:color w:val="000000" w:themeColor="text1"/>
        </w:rPr>
        <w:sym w:font="Symbol" w:char="F061"/>
      </w:r>
      <w:r w:rsidRPr="005D5611">
        <w:rPr>
          <w:rFonts w:eastAsiaTheme="minorHAnsi"/>
          <w:i/>
          <w:color w:val="000000" w:themeColor="text1"/>
          <w:vertAlign w:val="subscript"/>
        </w:rPr>
        <w:t>i</w:t>
      </w:r>
      <w:r w:rsidRPr="005D5611">
        <w:rPr>
          <w:rFonts w:eastAsiaTheme="minorHAnsi"/>
          <w:color w:val="000000" w:themeColor="text1"/>
        </w:rPr>
        <w:t xml:space="preserve"> &lt;1 is the proportion of trophic level </w:t>
      </w:r>
      <w:r w:rsidRPr="005D5611">
        <w:rPr>
          <w:rFonts w:eastAsiaTheme="minorHAnsi"/>
          <w:i/>
          <w:color w:val="000000" w:themeColor="text1"/>
        </w:rPr>
        <w:t>i-1</w:t>
      </w:r>
      <w:r w:rsidRPr="005D5611">
        <w:rPr>
          <w:rFonts w:eastAsiaTheme="minorHAnsi"/>
          <w:color w:val="000000" w:themeColor="text1"/>
        </w:rPr>
        <w:t xml:space="preserve"> accessible to the </w:t>
      </w:r>
      <w:r w:rsidRPr="005D5611">
        <w:rPr>
          <w:rFonts w:eastAsiaTheme="minorHAnsi"/>
          <w:i/>
          <w:color w:val="000000" w:themeColor="text1"/>
        </w:rPr>
        <w:t>i</w:t>
      </w:r>
      <w:r w:rsidRPr="005D5611">
        <w:rPr>
          <w:rFonts w:eastAsiaTheme="minorHAnsi"/>
          <w:color w:val="000000" w:themeColor="text1"/>
        </w:rPr>
        <w:t>th level and, 1-</w:t>
      </w:r>
      <w:r w:rsidRPr="005D5611">
        <w:rPr>
          <w:rFonts w:eastAsiaTheme="minorHAnsi"/>
          <w:i/>
          <w:color w:val="000000" w:themeColor="text1"/>
        </w:rPr>
        <w:sym w:font="Symbol" w:char="F061"/>
      </w:r>
      <w:r w:rsidRPr="005D5611">
        <w:rPr>
          <w:rFonts w:eastAsiaTheme="minorHAnsi"/>
          <w:i/>
          <w:color w:val="000000" w:themeColor="text1"/>
          <w:vertAlign w:val="subscript"/>
        </w:rPr>
        <w:t>i</w:t>
      </w:r>
      <w:r w:rsidRPr="005D5611">
        <w:rPr>
          <w:rFonts w:eastAsiaTheme="minorHAnsi"/>
          <w:color w:val="000000" w:themeColor="text1"/>
        </w:rPr>
        <w:t xml:space="preserve"> is a refuge; </w:t>
      </w:r>
      <w:r w:rsidR="00947966" w:rsidRPr="005D5611">
        <w:rPr>
          <w:noProof/>
          <w:color w:val="000000" w:themeColor="text1"/>
          <w:position w:val="-12"/>
        </w:rPr>
        <w:object w:dxaOrig="920" w:dyaOrig="360" w14:anchorId="42563FB3">
          <v:shape id="_x0000_i1029" type="#_x0000_t75" alt="" style="width:48pt;height:18.75pt;mso-width-percent:0;mso-height-percent:0;mso-width-percent:0;mso-height-percent:0" o:ole="">
            <v:imagedata r:id="rId17" o:title=""/>
          </v:shape>
          <o:OLEObject Type="Embed" ProgID="Equation.DSMT4" ShapeID="_x0000_i1029" DrawAspect="Content" ObjectID="_1662177438" r:id="rId18"/>
        </w:object>
      </w:r>
      <w:r w:rsidRPr="005D5611">
        <w:rPr>
          <w:color w:val="000000" w:themeColor="text1"/>
        </w:rPr>
        <w:t xml:space="preserve"> is the efficiency of converting the assimilated biomass to consumer biomass; 0&lt; </w:t>
      </w:r>
      <w:r w:rsidRPr="005D5611">
        <w:rPr>
          <w:i/>
          <w:color w:val="000000" w:themeColor="text1"/>
        </w:rPr>
        <w:sym w:font="Symbol" w:char="F062"/>
      </w:r>
      <w:r w:rsidRPr="005D5611">
        <w:rPr>
          <w:i/>
          <w:color w:val="000000" w:themeColor="text1"/>
          <w:vertAlign w:val="subscript"/>
        </w:rPr>
        <w:t>i</w:t>
      </w:r>
      <w:r w:rsidRPr="005D5611">
        <w:rPr>
          <w:color w:val="000000" w:themeColor="text1"/>
        </w:rPr>
        <w:t xml:space="preserve"> &lt;1 is a correction for egestion; </w:t>
      </w:r>
      <w:r w:rsidRPr="005D5611">
        <w:rPr>
          <w:rFonts w:eastAsiaTheme="minorHAnsi"/>
          <w:i/>
          <w:color w:val="000000" w:themeColor="text1"/>
        </w:rPr>
        <w:t>v</w:t>
      </w:r>
      <w:r w:rsidRPr="005D5611">
        <w:rPr>
          <w:i/>
          <w:color w:val="000000" w:themeColor="text1"/>
          <w:vertAlign w:val="subscript"/>
        </w:rPr>
        <w:t>i</w:t>
      </w:r>
      <w:r w:rsidRPr="005D5611">
        <w:rPr>
          <w:rFonts w:eastAsiaTheme="minorHAnsi"/>
          <w:color w:val="000000" w:themeColor="text1"/>
        </w:rPr>
        <w:t xml:space="preserve"> is respiration rate that in poikilotherms is related to body size (</w:t>
      </w:r>
      <w:r w:rsidRPr="005D5611">
        <w:rPr>
          <w:rFonts w:eastAsiaTheme="minorHAnsi"/>
          <w:i/>
          <w:color w:val="000000" w:themeColor="text1"/>
        </w:rPr>
        <w:t>M</w:t>
      </w:r>
      <w:r w:rsidRPr="005D5611">
        <w:rPr>
          <w:rFonts w:eastAsiaTheme="minorHAnsi"/>
          <w:color w:val="000000" w:themeColor="text1"/>
        </w:rPr>
        <w:t xml:space="preserve">) (e.g., </w:t>
      </w:r>
      <w:r w:rsidR="00947966" w:rsidRPr="005D5611">
        <w:rPr>
          <w:noProof/>
          <w:color w:val="000000" w:themeColor="text1"/>
          <w:position w:val="-6"/>
        </w:rPr>
        <w:object w:dxaOrig="1460" w:dyaOrig="320" w14:anchorId="4419042C">
          <v:shape id="_x0000_i1030" type="#_x0000_t75" alt="" style="width:58.55pt;height:17.55pt;mso-width-percent:0;mso-height-percent:0;mso-width-percent:0;mso-height-percent:0" o:ole="">
            <v:imagedata r:id="rId19" o:title=""/>
          </v:shape>
          <o:OLEObject Type="Embed" ProgID="Equation.DSMT4" ShapeID="_x0000_i1030" DrawAspect="Content" ObjectID="_1662177439" r:id="rId20"/>
        </w:object>
      </w:r>
      <w:r w:rsidRPr="005D5611">
        <w:rPr>
          <w:noProof/>
          <w:color w:val="000000" w:themeColor="text1"/>
        </w:rPr>
        <w:t xml:space="preserve"> </w:t>
      </w:r>
      <w:r w:rsidRPr="005D5611">
        <w:rPr>
          <w:noProof/>
          <w:color w:val="000000" w:themeColor="text1"/>
        </w:rPr>
        <w:fldChar w:fldCharType="begin"/>
      </w:r>
      <w:r w:rsidR="002F5A10">
        <w:rPr>
          <w:noProof/>
          <w:color w:val="000000" w:themeColor="text1"/>
        </w:rPr>
        <w:instrText xml:space="preserve"> ADDIN ZOTERO_ITEM CSL_CITATION {"citationID":"XueFnhCt","properties":{"formattedCitation":"[105]","plainCitation":"[105]","noteIndex":0},"citationItems":[{"id":1602,"uris":["http://zotero.org/users/1272936/items/8NX3ZC9S"],"uri":["http://zotero.org/users/1272936/items/8NX3ZC9S"],"itemData":{"id":1602,"type":"book","collection-title":"Simulation monographs","event-place":"Wageningen, The Netherlands","ISBN":"978-90-220-0652-8","publisher":"PUDOC","publisher-place":"Wageningen, The Netherlands","title":"Simulation of ecological processes","volume":"2nd","author":[{"family":"Wit","given":"C.T.","non-dropping-particle":"de"},{"family":"Goudriaan","given":"J."}],"issued":{"date-parts":[["1978"]]}}}],"schema":"https://github.com/citation-style-language/schema/raw/master/csl-citation.json"} </w:instrText>
      </w:r>
      <w:r w:rsidRPr="005D5611">
        <w:rPr>
          <w:noProof/>
          <w:color w:val="000000" w:themeColor="text1"/>
        </w:rPr>
        <w:fldChar w:fldCharType="separate"/>
      </w:r>
      <w:r w:rsidR="00C51ED3">
        <w:rPr>
          <w:color w:val="000000"/>
        </w:rPr>
        <w:t>[105]</w:t>
      </w:r>
      <w:r w:rsidRPr="005D5611">
        <w:rPr>
          <w:noProof/>
          <w:color w:val="000000" w:themeColor="text1"/>
        </w:rPr>
        <w:fldChar w:fldCharType="end"/>
      </w:r>
      <w:r w:rsidRPr="005D5611">
        <w:rPr>
          <w:color w:val="000000" w:themeColor="text1"/>
        </w:rPr>
        <w:t>)</w:t>
      </w:r>
      <w:r w:rsidRPr="005D5611">
        <w:rPr>
          <w:rFonts w:eastAsiaTheme="minorHAnsi"/>
          <w:color w:val="000000" w:themeColor="text1"/>
        </w:rPr>
        <w:t xml:space="preserve">; </w:t>
      </w:r>
      <w:r w:rsidR="00947966" w:rsidRPr="005D5611">
        <w:rPr>
          <w:noProof/>
          <w:color w:val="000000" w:themeColor="text1"/>
          <w:position w:val="-6"/>
        </w:rPr>
        <w:object w:dxaOrig="1540" w:dyaOrig="320" w14:anchorId="5E9F1E8A">
          <v:shape id="_x0000_i1031" type="#_x0000_t75" alt="" style="width:76.1pt;height:17.55pt;mso-width-percent:0;mso-height-percent:0;mso-width-percent:0;mso-height-percent:0" o:ole="">
            <v:imagedata r:id="rId21" o:title=""/>
          </v:shape>
          <o:OLEObject Type="Embed" ProgID="Equation.DSMT4" ShapeID="_x0000_i1031" DrawAspect="Content" ObjectID="_1662177440" r:id="rId22"/>
        </w:object>
      </w:r>
      <w:r w:rsidRPr="005D5611">
        <w:rPr>
          <w:rFonts w:eastAsiaTheme="minorHAnsi"/>
          <w:color w:val="000000" w:themeColor="text1"/>
        </w:rPr>
        <w:t xml:space="preserve">is the per unit demand rate </w:t>
      </w:r>
      <w:r w:rsidRPr="005D5611">
        <w:rPr>
          <w:rFonts w:eastAsiaTheme="minorHAnsi"/>
          <w:color w:val="000000" w:themeColor="text1"/>
        </w:rPr>
        <w:fldChar w:fldCharType="begin"/>
      </w:r>
      <w:r w:rsidR="002F5A10">
        <w:rPr>
          <w:rFonts w:eastAsiaTheme="minorHAnsi"/>
          <w:color w:val="000000" w:themeColor="text1"/>
        </w:rPr>
        <w:instrText xml:space="preserve"> ADDIN ZOTERO_ITEM CSL_CITATION {"citationID":"tkl7lyth","properties":{"formattedCitation":"[106\\uc0\\u8211{}108]","plainCitation":"[106–108]","noteIndex":0},"citationItems":[{"id":12198,"uris":["http://zotero.org/users/1272936/items/K6NJVJR5"],"uri":["http://zotero.org/users/1272936/items/K6NJVJR5"],"itemData":{"id":12198,"type":"book","abstract":"It is generally recognized that larger animals eat more, live longer, have larger offspring, and so on; but it is unusual to see these commonplace observations as a basis for scientific biology. A large number of empirically based relationships describe biological rates as simple functions of body size; and other such relations predict the intrinsic rate of population growth, animal speed, animal density, territory size, prey size, physiology, and morphology. Such equations almost always exist for mammals and birds, often for other vertebrates and invertebrates, sometimes for protozoa, algae, and bacteria, and occasionally even for plants. There are too many organisms to measure all aspects of the biology of every species of population, so scientists must depend on generalizations. Body size relations represent our most extensive and powerful assemblage of generalizations, but they have never been organized for use in ecology. This book represents the largest single compilation of interspecific size relations, and instructs the reader on the use of these relationships; their comparison, combination, and criticism. Both strengths and weaknesses of our current knowledge are discussed in order to indicate the many possible directions for further research. This important volume will therefore provide a point of departure toward a new applied ecology, giving quantitative solutions to real questions. It will interest advanced students of ecology and comparative physiology as well as professional biologists.","event-place":"New York, USA","ISBN":"978-0-521-28886-6","language":"en","note":"Google-Books-ID: OYVxiZgTXWsC","number-of-pages":"329","publisher":"Cambridge University Press","publisher-place":"New York, USA","source":"Google Books","title":"The ecological implications of body size","author":[{"family":"Peters","given":"Robert Henry"}],"issued":{"date-parts":[["1986",3,31]]}}},{"id":12212,"uris":["http://zotero.org/users/1272936/items/MTIJSM7I"],"uri":["http://zotero.org/users/1272936/items/MTIJSM7I"],"itemData":{"id":12212,"type":"article-journal","abstract":"Multiple regression analyses of previously published data were performed to describe the effect of variations in body mass (M, in grams) and temperature (t, in degrees Celsius) on the rate of oxyge..., Des analyses par régression multiple de données de la littérature permettent de décrire l'effet des variations de la masse (M en grammes) et de la température (t en degrés Celsius) sur le taux de c...","container-title":"Canadian Journal of Zoology","DOI":"10.1139/z83-037","ISSN":"0008-4301","issue":"2","journalAbbreviation":"Can. J. Zool.","page":"281-288","source":"NRC Research Press","title":"The effects of body size and temperature on metabolic rate of organisms","volume":"61","author":[{"family":"Robinson","given":"W. Richard"},{"family":"Peters","given":"Robert Henry"},{"family":"Zimmermann","given":"Jess"}],"issued":{"date-parts":[["1983",2,1]]}}},{"id":12077,"uris":["http://zotero.org/users/1272936/items/C5KQNT7Q"],"uri":["http://zotero.org/users/1272936/items/C5KQNT7Q"],"itemData":{"id":12077,"type":"article-journal","abstract":"The Late Cretaceous Oldman Formation comprises sediments that were deposited along the margin of a great inland sea that covered much of the western interior of North America. The environment of deposition appears to have been tracts of fluvial marshes that separated \"islands\" of higher, drier ground. The climate was probably warm-temperate, and it is suggested that upland plant communities were parkland-like in aspect. The large dinosaurs of this community comprised animals that were between a hippopotamus and a large African elephant in adult weight. Some workers have suggested that dinosaurs had metabolic rates comparable to those of living birds or mammals. By extrapolating from the food consumption rates of these living endotherms it is possible to obtain crude estimates of the ingestion rates of endothermic dinosaurs. Similar extrapolations from the ingestion rates of living reptiles and amphibians provide estimates of the ingestion rates of ectothermic dinosaurs. By deriving an empirical equation relating the ratio of annual secondary productivity/average annual biomass to adult weight in living mammals, and employing estimates of adult weight and biomass for the herbivorous dinosaur populations, it is possible to estimate the annual secondary production of endothermic Oldman herbivorous dinosaurs. If the body weight vs. production/biomass relation derived for mammals can be applied to ectothermic tetrapods, it is possible to estimate annual secondary production of ectothermic dinosaur populations. These calculations suggest that the annual secondary production of endothermic herbivorous dinosaurs would have been insufficient to meet the food requirements of an endothermic carnivorous dinosaur population as large as is preserved in the Oldman Formation. However, ectothermic carnivorous dinosaurs would have been easily able to make energetic ends meet. Unfortunately, the situation is complicated by the possibility that carnivores are overrepresented in collection from the Oldman. Because of this, I cannot presently decide between ectothermy and endothermy in dinosaurs on the basis of methods presented in this paper. Alternative methods that may be more successful in this regard are discussed. It is hoped that as paleontologists collect fossils from an ecological point of view the methods presented in this paper can be employed to make realistic statements about the trophic dynamics of ancient vertebrate communities.","archive":"JSTOR","container-title":"Ecology","DOI":"10.2307/1941052","ISSN":"0012-9658","issue":"5","page":"841-857","source":"JSTOR","title":"A consideration of the trophic dynamics of a Late Cretaceous large-dinosaur community (Oldman Formation)","volume":"57","author":[{"family":"Farlow","given":"James O."}],"issued":{"date-parts":[["1976"]]}}}],"schema":"https://github.com/citation-style-language/schema/raw/master/csl-citation.json"} </w:instrText>
      </w:r>
      <w:r w:rsidRPr="005D5611">
        <w:rPr>
          <w:rFonts w:eastAsiaTheme="minorHAnsi"/>
          <w:color w:val="000000" w:themeColor="text1"/>
        </w:rPr>
        <w:fldChar w:fldCharType="separate"/>
      </w:r>
      <w:r w:rsidR="00C51ED3" w:rsidRPr="00C51ED3">
        <w:rPr>
          <w:color w:val="000000"/>
        </w:rPr>
        <w:t>[106–108]</w:t>
      </w:r>
      <w:r w:rsidRPr="005D5611">
        <w:rPr>
          <w:rFonts w:eastAsiaTheme="minorHAnsi"/>
          <w:color w:val="000000" w:themeColor="text1"/>
        </w:rPr>
        <w:fldChar w:fldCharType="end"/>
      </w:r>
      <w:r w:rsidRPr="005D5611">
        <w:rPr>
          <w:rFonts w:eastAsiaTheme="minorHAnsi"/>
          <w:color w:val="000000" w:themeColor="text1"/>
        </w:rPr>
        <w:t>.</w:t>
      </w:r>
      <w:r w:rsidRPr="005D5611">
        <w:t xml:space="preserve"> Solving </w:t>
      </w:r>
      <w:r w:rsidRPr="005D5611">
        <w:rPr>
          <w:i/>
          <w:iCs/>
        </w:rPr>
        <w:t>D</w:t>
      </w:r>
      <w:r w:rsidRPr="005D5611">
        <w:t xml:space="preserve"> for </w:t>
      </w:r>
      <w:r w:rsidRPr="005D5611">
        <w:rPr>
          <w:i/>
          <w:iCs/>
        </w:rPr>
        <w:t>M,</w:t>
      </w:r>
      <w:r w:rsidRPr="005D5611">
        <w:t xml:space="preserve"> and then substituting</w:t>
      </w:r>
      <w:r w:rsidRPr="005D5611">
        <w:rPr>
          <w:i/>
          <w:iCs/>
        </w:rPr>
        <w:t>,</w:t>
      </w:r>
      <w:r w:rsidRPr="005D5611">
        <w:t xml:space="preserve"> yields </w:t>
      </w:r>
      <w:r w:rsidRPr="005D5611">
        <w:rPr>
          <w:i/>
          <w:iCs/>
        </w:rPr>
        <w:t>v</w:t>
      </w:r>
      <w:r w:rsidRPr="005D5611">
        <w:t>=0.24</w:t>
      </w:r>
      <w:r w:rsidRPr="005D5611">
        <w:rPr>
          <w:i/>
          <w:iCs/>
        </w:rPr>
        <w:t>D</w:t>
      </w:r>
      <w:r w:rsidRPr="005D5611">
        <w:t>.</w:t>
      </w:r>
      <w:r w:rsidRPr="005D5611">
        <w:rPr>
          <w:rFonts w:eastAsiaTheme="minorHAnsi"/>
          <w:i/>
          <w:color w:val="000000" w:themeColor="text1"/>
        </w:rPr>
        <w:t xml:space="preserve"> </w:t>
      </w:r>
      <w:r w:rsidRPr="005D5611">
        <w:rPr>
          <w:rFonts w:eastAsiaTheme="minorHAnsi"/>
          <w:color w:val="000000" w:themeColor="text1"/>
        </w:rPr>
        <w:t xml:space="preserve">In a time-varying environment, the </w:t>
      </w:r>
      <w:r w:rsidRPr="005D5611">
        <w:rPr>
          <w:rFonts w:eastAsiaTheme="minorHAnsi"/>
          <w:i/>
          <w:color w:val="000000" w:themeColor="text1"/>
        </w:rPr>
        <w:t>Q10</w:t>
      </w:r>
      <w:r w:rsidRPr="005D5611">
        <w:rPr>
          <w:rFonts w:eastAsiaTheme="minorHAnsi"/>
          <w:color w:val="000000" w:themeColor="text1"/>
        </w:rPr>
        <w:t xml:space="preserve"> rule as a function of temperature may be more appropriate for estimating </w:t>
      </w:r>
      <w:r w:rsidRPr="005D5611">
        <w:rPr>
          <w:rFonts w:eastAsiaTheme="minorHAnsi"/>
          <w:i/>
          <w:color w:val="000000" w:themeColor="text1"/>
        </w:rPr>
        <w:t xml:space="preserve">v </w:t>
      </w:r>
      <w:r w:rsidRPr="005D5611">
        <w:rPr>
          <w:rFonts w:eastAsiaTheme="minorHAnsi"/>
          <w:iCs/>
          <w:color w:val="000000" w:themeColor="text1"/>
        </w:rPr>
        <w:t>as a function of</w:t>
      </w:r>
      <w:r w:rsidRPr="005D5611">
        <w:rPr>
          <w:rFonts w:eastAsiaTheme="minorHAnsi"/>
          <w:i/>
          <w:color w:val="000000" w:themeColor="text1"/>
        </w:rPr>
        <w:t xml:space="preserve"> M</w:t>
      </w:r>
      <w:r w:rsidRPr="005D5611">
        <w:rPr>
          <w:rFonts w:eastAsiaTheme="minorHAnsi"/>
          <w:color w:val="000000" w:themeColor="text1"/>
        </w:rPr>
        <w:t xml:space="preserve"> in a time varying environment. The maximum per capita demand rate is estimated under non limiting conditions (</w:t>
      </w:r>
      <w:r w:rsidRPr="005D5611">
        <w:rPr>
          <w:rFonts w:eastAsiaTheme="minorHAnsi"/>
          <w:i/>
          <w:iCs/>
          <w:color w:val="000000" w:themeColor="text1"/>
        </w:rPr>
        <w:t>S</w:t>
      </w:r>
      <w:r w:rsidRPr="005D5611">
        <w:rPr>
          <w:rFonts w:eastAsiaTheme="minorHAnsi"/>
          <w:i/>
          <w:iCs/>
          <w:color w:val="000000" w:themeColor="text1"/>
          <w:vertAlign w:val="subscript"/>
        </w:rPr>
        <w:t>max</w:t>
      </w:r>
      <w:r w:rsidRPr="005D5611">
        <w:rPr>
          <w:rFonts w:eastAsiaTheme="minorHAnsi"/>
          <w:color w:val="000000" w:themeColor="text1"/>
        </w:rPr>
        <w:t>) as</w:t>
      </w:r>
    </w:p>
    <w:p w14:paraId="5942F9B6" w14:textId="77777777" w:rsidR="003A45CF" w:rsidRPr="005D5611" w:rsidRDefault="003A45CF" w:rsidP="003A45CF">
      <w:pPr>
        <w:pStyle w:val="SMText"/>
      </w:pPr>
      <w:r w:rsidRPr="005D5611">
        <w:t xml:space="preserve">                                       </w:t>
      </w:r>
      <w:r w:rsidR="00947966" w:rsidRPr="005D5611">
        <w:rPr>
          <w:noProof/>
          <w:position w:val="-12"/>
        </w:rPr>
        <w:object w:dxaOrig="2000" w:dyaOrig="360" w14:anchorId="1DFF0C99">
          <v:shape id="_x0000_i1032" type="#_x0000_t75" alt="" style="width:99.5pt;height:18.75pt;mso-width-percent:0;mso-height-percent:0;mso-width-percent:0;mso-height-percent:0" o:ole="">
            <v:imagedata r:id="rId23" o:title=""/>
          </v:shape>
          <o:OLEObject Type="Embed" ProgID="Equation.DSMT4" ShapeID="_x0000_i1032" DrawAspect="Content" ObjectID="_1662177441" r:id="rId24"/>
        </w:object>
      </w:r>
      <w:r w:rsidRPr="005D5611">
        <w:t>.</w:t>
      </w:r>
      <w:r w:rsidRPr="005D5611">
        <w:tab/>
      </w:r>
      <w:r w:rsidRPr="005D5611">
        <w:tab/>
      </w:r>
      <w:r w:rsidRPr="005D5611">
        <w:tab/>
      </w:r>
      <w:r w:rsidRPr="005D5611">
        <w:tab/>
      </w:r>
      <w:r w:rsidRPr="005D5611">
        <w:tab/>
        <w:t>(S2)</w:t>
      </w:r>
    </w:p>
    <w:p w14:paraId="7972969A" w14:textId="6492828D" w:rsidR="003A45CF" w:rsidRPr="005D5611" w:rsidRDefault="003A45CF" w:rsidP="003A45CF">
      <w:pPr>
        <w:pStyle w:val="SMText"/>
        <w:rPr>
          <w:rFonts w:eastAsiaTheme="minorHAnsi"/>
          <w:color w:val="000000" w:themeColor="text1"/>
        </w:rPr>
      </w:pPr>
      <w:r w:rsidRPr="005D5611">
        <w:rPr>
          <w:rFonts w:eastAsiaTheme="minorHAnsi"/>
          <w:color w:val="000000" w:themeColor="text1"/>
        </w:rPr>
        <w:t xml:space="preserve">All parameters of Eqn. 1 can be estimated from behavioral and physiological or studies of allometric growth. </w:t>
      </w:r>
      <w:r w:rsidRPr="005D5611">
        <w:rPr>
          <w:color w:val="000000" w:themeColor="text1"/>
        </w:rPr>
        <w:t xml:space="preserve">Intraspecific (and interspecific) competition for resources enter via the ratio exponent in </w:t>
      </w:r>
      <w:r w:rsidR="00947966" w:rsidRPr="005D5611">
        <w:rPr>
          <w:noProof/>
          <w:position w:val="-12"/>
        </w:rPr>
        <w:object w:dxaOrig="540" w:dyaOrig="360" w14:anchorId="7E7D0ED1">
          <v:shape id="_x0000_i1033" type="#_x0000_t75" alt="" style="width:25.75pt;height:18.75pt;mso-width-percent:0;mso-height-percent:0;mso-width-percent:0;mso-height-percent:0" o:ole="">
            <v:imagedata r:id="rId25" o:title=""/>
          </v:shape>
          <o:OLEObject Type="Embed" ProgID="Equation.DSMT4" ShapeID="_x0000_i1033" DrawAspect="Content" ObjectID="_1662177442" r:id="rId26"/>
        </w:object>
      </w:r>
      <w:r w:rsidRPr="005D5611">
        <w:rPr>
          <w:color w:val="000000" w:themeColor="text1"/>
        </w:rPr>
        <w:t>. Furthermore, t</w:t>
      </w:r>
      <w:r w:rsidRPr="005D5611">
        <w:rPr>
          <w:rFonts w:eastAsiaTheme="minorHAnsi"/>
          <w:color w:val="000000" w:themeColor="text1"/>
        </w:rPr>
        <w:t>he top trophic level in Eqn. S1 obeys the same relation, except that the right-most term for “</w:t>
      </w:r>
      <w:r w:rsidRPr="005D5611">
        <w:rPr>
          <w:rFonts w:eastAsiaTheme="minorHAnsi"/>
          <w:i/>
          <w:color w:val="000000" w:themeColor="text1"/>
        </w:rPr>
        <w:t>predation”</w:t>
      </w:r>
      <w:r w:rsidRPr="005D5611">
        <w:rPr>
          <w:rFonts w:eastAsiaTheme="minorHAnsi"/>
          <w:color w:val="000000" w:themeColor="text1"/>
        </w:rPr>
        <w:t xml:space="preserve"> is absent, but as in all levels, an intrinsic net death rates (</w:t>
      </w:r>
      <w:r w:rsidR="00947966" w:rsidRPr="005D5611">
        <w:rPr>
          <w:noProof/>
          <w:position w:val="-12"/>
        </w:rPr>
        <w:object w:dxaOrig="260" w:dyaOrig="360" w14:anchorId="4E786E11">
          <v:shape id="_x0000_i1034" type="#_x0000_t75" alt="" style="width:13.45pt;height:18.75pt;mso-width-percent:0;mso-height-percent:0;mso-width-percent:0;mso-height-percent:0" o:ole="">
            <v:imagedata r:id="rId27" o:title=""/>
          </v:shape>
          <o:OLEObject Type="Embed" ProgID="Equation.DSMT4" ShapeID="_x0000_i1034" DrawAspect="Content" ObjectID="_1662177443" r:id="rId28"/>
        </w:object>
      </w:r>
      <w:r w:rsidRPr="005D5611">
        <w:t xml:space="preserve">) </w:t>
      </w:r>
      <w:r w:rsidRPr="005D5611">
        <w:rPr>
          <w:rFonts w:eastAsiaTheme="minorHAnsi"/>
          <w:color w:val="000000" w:themeColor="text1"/>
        </w:rPr>
        <w:t>occurs</w:t>
      </w:r>
      <w:r w:rsidRPr="005D5611">
        <w:t xml:space="preserve">. </w:t>
      </w:r>
      <w:r w:rsidRPr="005D5611">
        <w:rPr>
          <w:rFonts w:eastAsiaTheme="minorHAnsi"/>
        </w:rPr>
        <w:t xml:space="preserve">The growth rate and death rates of individuals and the population are governed by the ratio of total resource acquired (supply, </w:t>
      </w:r>
      <w:r w:rsidRPr="005D5611">
        <w:rPr>
          <w:rFonts w:eastAsiaTheme="minorHAnsi"/>
          <w:i/>
        </w:rPr>
        <w:t>S(t)</w:t>
      </w:r>
      <w:r w:rsidRPr="005D5611">
        <w:rPr>
          <w:rFonts w:eastAsiaTheme="minorHAnsi"/>
        </w:rPr>
        <w:t>) to total demand (</w:t>
      </w:r>
      <w:r w:rsidRPr="005D5611">
        <w:rPr>
          <w:rFonts w:eastAsiaTheme="minorHAnsi"/>
          <w:i/>
        </w:rPr>
        <w:t>D(t)</w:t>
      </w:r>
      <w:r w:rsidRPr="005D5611">
        <w:rPr>
          <w:rFonts w:eastAsiaTheme="minorHAnsi"/>
        </w:rPr>
        <w:t xml:space="preserve">) at any time </w:t>
      </w:r>
      <w:r w:rsidRPr="005D5611">
        <w:rPr>
          <w:rFonts w:eastAsiaTheme="minorHAnsi"/>
          <w:i/>
          <w:iCs/>
        </w:rPr>
        <w:t xml:space="preserve">t </w:t>
      </w:r>
      <w:r w:rsidRPr="005D5611">
        <w:rPr>
          <w:rFonts w:eastAsiaTheme="minorHAnsi"/>
        </w:rPr>
        <w:t>(i.e. 0</w:t>
      </w:r>
      <w:r w:rsidRPr="005D5611">
        <w:rPr>
          <w:rFonts w:eastAsiaTheme="minorHAnsi"/>
          <w:u w:val="single"/>
        </w:rPr>
        <w:t>&lt;</w:t>
      </w:r>
      <w:r w:rsidRPr="005D5611">
        <w:rPr>
          <w:rFonts w:eastAsiaTheme="minorHAnsi"/>
        </w:rPr>
        <w:t xml:space="preserve"> </w:t>
      </w:r>
      <w:r w:rsidRPr="005D5611">
        <w:rPr>
          <w:rFonts w:eastAsiaTheme="minorHAnsi"/>
          <w:i/>
        </w:rPr>
        <w:t xml:space="preserve">S(t)/D(t)=h(u,t) </w:t>
      </w:r>
      <w:r w:rsidRPr="005D5611">
        <w:rPr>
          <w:rFonts w:eastAsiaTheme="minorHAnsi"/>
        </w:rPr>
        <w:t xml:space="preserve">&lt;1), and provide timely reciprocal feedback between resource and consumer dynamics </w:t>
      </w:r>
      <w:r w:rsidRPr="005D5611">
        <w:rPr>
          <w:rFonts w:eastAsiaTheme="minorHAnsi"/>
        </w:rPr>
        <w:fldChar w:fldCharType="begin"/>
      </w:r>
      <w:r w:rsidR="002F5A10">
        <w:rPr>
          <w:rFonts w:eastAsiaTheme="minorHAnsi"/>
        </w:rPr>
        <w:instrText xml:space="preserve"> ADDIN ZOTERO_ITEM CSL_CITATION {"citationID":"pdYYs479","properties":{"formattedCitation":"[59, 109]","plainCitation":"[59, 109]","noteIndex":0},"citationItems":[{"id":4400,"uris":["http://zotero.org/users/1272936/items/6245E33V"],"uri":["http://zotero.org/users/1272936/items/6245E33V"],"itemData":{"id":4400,"type":"article-journal","abstract":"A wide range of insects affect crop production and cause considerable yield losses. Difficulties reside on the development and adaptation of adequate strategies to predict insect pests for their timely management to ensure enhanced agricultural production. Several conceptual modelling frameworks have been proposed, and the choice of an approach depends largely on the objective of the model and the availability of data. This paper presents a summary of decades of advances in insect population dynamics, phenology models, distribution and risk mapping. Existing challenges on the modelling of insects are listed; followed by innovations in the field. New approaches include artificial neural networks, cellular automata (CA) coupled with fuzzy logic (FL), fractal, multi-fractal, percolation, synchronization and individual/agent-based approaches. A concept for assessing climate change impacts and providing adaptation options for agricultural pest management independently of the United Nations Intergovernmental Panel on Climate Change (IPCC) emission scenarios is suggested. A framework for estimating losses and optimizing yields within crop production system is proposed and a summary on modelling the economic impact of pests control is presented. The assessment shows that the majority of known insect modelling approaches are not holistic; they only concentrate on a single component of the system, i.e. the pest, rather than the whole crop production system. We suggest system thinking as a possible approach for linking crop, pest, and environmental conditions to provide a more comprehensive assessment of agricultural crop production.","container-title":"Ecological Modelling","DOI":"10.1016/j.ecolmodel.2017.03.015","ISSN":"0304-3800","journalAbbreviation":"Ecological Modelling","page":"88-103","source":"ScienceDirect","title":"Advances in crop insect modelling methods—Towards a whole system approach","volume":"354","author":[{"family":"Tonnang","given":"Henri E. Z."},{"family":"Hervé","given":"Bisseleua D. B."},{"family":"Biber-Freudenberger","given":"Lisa"},{"family":"Salifu","given":"Daisy"},{"family":"Subramanian","given":"Sevgan"},{"family":"Ngowi","given":"Valentine B."},{"family":"Guimapi","given":"Ritter Y. A."},{"family":"Anani","given":"Bruce"},{"family":"Kakmeni","given":"Francois M. M."},{"family":"Affognon","given":"Hippolyte"},{"family":"Niassy","given":"Saliou"},{"family":"Landmann","given":"Tobias"},{"family":"Ndjomatchoua","given":"Frank T."},{"family":"Pedro","given":"Sansao A."},{"family":"Johansson","given":"Tino"},{"family":"Tanga","given":"Chrysantus M."},{"family":"Nana","given":"Paulin"},{"family":"Fiaboe","given":"Komi M."},{"family":"Mohamed","given":"Samira F."},{"family":"Maniania","given":"Nguya K."},{"family":"Nedorezov","given":"Lev V."},{"family":"Ekesi","given":"Sunday"},{"family":"Borgemeister","given":"Christian"}],"issued":{"date-parts":[["2017",6,24]]}}},{"id":12024,"uris":["http://zotero.org/users/1272936/items/G3UWDARW"],"uri":["http://zotero.org/users/1272936/items/G3UWDARW"],"itemData":{"id":12024,"type":"article-journal","abstract":"It is widely accepted that metabolic rates scale across species approximately as the 3/4 power of mass in most if not all groups of organisms. Metabolic demand per unit mass thus decreases as body mass increases. Metabolic rates reflect both the ability of the organism's transport system to deliver metabolites to the tissues and the rate at which the tissues use them. We show that the ubiquitous 3/4 power law for interspecific metabolic scaling arises from simple, general geometric properties of transportation networks constrained to function in biological organisms. The 3/4 exponent and other observed scaling relationships follow when mass-specific metabolic demands match the changing delivery capacities of the network at different body sizes. Deviation from the 3/4 exponent suggests either inefficiency or compensating physiological mechanisms. Our conclusions are based on general arguments incorporating the minimum of biological detail and should therefore apply to the widest range of organisms.","container-title":"Proceedings of the National Academy of Sciences","DOI":"10.1073/pnas.162216899","ISSN":"0027-8424, 1091-6490","issue":"16","journalAbbreviation":"PNAS","language":"en","note":"PMID: 12149461","page":"10506-10509","source":"www.pnas.org","title":"Supply–demand balance and metabolic scaling","volume":"99","author":[{"family":"Banavar","given":"Jayanth R."},{"family":"Damuth","given":"John"},{"family":"Maritan","given":"Amos"},{"family":"Rinaldo","given":"Andrea"}],"issued":{"date-parts":[["2002",8,6]]}}}],"schema":"https://github.com/citation-style-language/schema/raw/master/csl-citation.json"} </w:instrText>
      </w:r>
      <w:r w:rsidRPr="005D5611">
        <w:rPr>
          <w:rFonts w:eastAsiaTheme="minorHAnsi"/>
        </w:rPr>
        <w:fldChar w:fldCharType="separate"/>
      </w:r>
      <w:r w:rsidR="00C51ED3">
        <w:t>[59, 109]</w:t>
      </w:r>
      <w:r w:rsidRPr="005D5611">
        <w:rPr>
          <w:rFonts w:eastAsiaTheme="minorHAnsi"/>
        </w:rPr>
        <w:fldChar w:fldCharType="end"/>
      </w:r>
      <w:r w:rsidRPr="005D5611">
        <w:rPr>
          <w:rFonts w:eastAsiaTheme="minorHAnsi"/>
        </w:rPr>
        <w:t xml:space="preserve">. Under non-limiting conditions, </w:t>
      </w:r>
      <w:r w:rsidRPr="005D5611">
        <w:rPr>
          <w:rFonts w:eastAsiaTheme="minorHAnsi"/>
          <w:i/>
          <w:iCs/>
        </w:rPr>
        <w:t>S/D</w:t>
      </w:r>
      <w:r w:rsidRPr="005D5611">
        <w:rPr>
          <w:rFonts w:eastAsiaTheme="minorHAnsi"/>
          <w:i/>
        </w:rPr>
        <w:t xml:space="preserve"> </w:t>
      </w:r>
      <w:r w:rsidRPr="005D5611">
        <w:rPr>
          <w:rFonts w:eastAsiaTheme="minorHAnsi"/>
        </w:rPr>
        <w:t xml:space="preserve">~1, and after correcting for </w:t>
      </w:r>
      <w:r w:rsidRPr="005D5611">
        <w:rPr>
          <w:i/>
          <w:iCs/>
        </w:rPr>
        <w:t>v</w:t>
      </w:r>
      <w:r w:rsidRPr="005D5611">
        <w:rPr>
          <w:rFonts w:eastAsiaTheme="minorHAnsi"/>
        </w:rPr>
        <w:t xml:space="preserve"> would fulfill the requirements of the ¾ rule of metabolic scaling </w:t>
      </w:r>
      <w:r w:rsidRPr="005D5611">
        <w:rPr>
          <w:rFonts w:eastAsiaTheme="minorHAnsi"/>
        </w:rPr>
        <w:fldChar w:fldCharType="begin"/>
      </w:r>
      <w:r w:rsidR="002F5A10">
        <w:rPr>
          <w:rFonts w:eastAsiaTheme="minorHAnsi"/>
        </w:rPr>
        <w:instrText xml:space="preserve"> ADDIN ZOTERO_ITEM CSL_CITATION {"citationID":"FNSDAjdf","properties":{"formattedCitation":"[110]","plainCitation":"[110]","noteIndex":0},"citationItems":[{"id":12085,"uris":["http://zotero.org/users/1272936/items/PH95DM9H"],"uri":["http://zotero.org/users/1272936/items/PH95DM9H"],"itemData":{"id":12085,"type":"article-journal","abstract":"Abstract.  It is commonly assumed that metabolic rate scales with body mass to the 3/4 power. However, during ontogeny, the metabolic rate of pelagic (open-wate","container-title":"BioScience","DOI":"10.1641/0006-3568(2006)56[325:TPLINU]2.0.CO;2","ISSN":"0006-3568","issue":"4","journalAbbreviation":"BioScience","language":"en","page":"325-332","source":"academic.oup.com","title":"The 3/4-power law is not universal: evolution of isometric, ontogenetic metabolic scaling in pelagic animals","title-short":"The 3/4-Power Law Is Not Universal","volume":"56","author":[{"family":"Glazier","given":"Douglas S."}],"issued":{"date-parts":[["2006",4,1]]}}}],"schema":"https://github.com/citation-style-language/schema/raw/master/csl-citation.json"} </w:instrText>
      </w:r>
      <w:r w:rsidRPr="005D5611">
        <w:rPr>
          <w:rFonts w:eastAsiaTheme="minorHAnsi"/>
        </w:rPr>
        <w:fldChar w:fldCharType="separate"/>
      </w:r>
      <w:r w:rsidR="00C51ED3">
        <w:t>[110]</w:t>
      </w:r>
      <w:r w:rsidRPr="005D5611">
        <w:rPr>
          <w:rFonts w:eastAsiaTheme="minorHAnsi"/>
        </w:rPr>
        <w:fldChar w:fldCharType="end"/>
      </w:r>
      <w:r w:rsidRPr="005D5611">
        <w:rPr>
          <w:rFonts w:eastAsiaTheme="minorHAnsi"/>
          <w:bCs/>
        </w:rPr>
        <w:t xml:space="preserve">. In pelagic and benthic organisms, near isometric scaling (1:1) may occur due to respiratory costs of activity (see </w:t>
      </w:r>
      <w:r w:rsidRPr="005D5611">
        <w:rPr>
          <w:rFonts w:eastAsiaTheme="minorHAnsi"/>
          <w:bCs/>
        </w:rPr>
        <w:fldChar w:fldCharType="begin"/>
      </w:r>
      <w:r w:rsidR="002F5A10">
        <w:rPr>
          <w:rFonts w:eastAsiaTheme="minorHAnsi"/>
          <w:bCs/>
        </w:rPr>
        <w:instrText xml:space="preserve"> ADDIN ZOTERO_ITEM CSL_CITATION {"citationID":"aC1tdXYO","properties":{"formattedCitation":"[110]","plainCitation":"[110]","noteIndex":0},"citationItems":[{"id":12085,"uris":["http://zotero.org/users/1272936/items/PH95DM9H"],"uri":["http://zotero.org/users/1272936/items/PH95DM9H"],"itemData":{"id":12085,"type":"article-journal","abstract":"Abstract.  It is commonly assumed that metabolic rate scales with body mass to the 3/4 power. However, during ontogeny, the metabolic rate of pelagic (open-wate","container-title":"BioScience","DOI":"10.1641/0006-3568(2006)56[325:TPLINU]2.0.CO;2","ISSN":"0006-3568","issue":"4","journalAbbreviation":"BioScience","language":"en","page":"325-332","source":"academic.oup.com","title":"The 3/4-power law is not universal: evolution of isometric, ontogenetic metabolic scaling in pelagic animals","title-short":"The 3/4-Power Law Is Not Universal","volume":"56","author":[{"family":"Glazier","given":"Douglas S."}],"issued":{"date-parts":[["2006",4,1]]}}}],"schema":"https://github.com/citation-style-language/schema/raw/master/csl-citation.json"} </w:instrText>
      </w:r>
      <w:r w:rsidRPr="005D5611">
        <w:rPr>
          <w:rFonts w:eastAsiaTheme="minorHAnsi"/>
          <w:bCs/>
        </w:rPr>
        <w:fldChar w:fldCharType="separate"/>
      </w:r>
      <w:r w:rsidR="00C51ED3">
        <w:t>[110]</w:t>
      </w:r>
      <w:r w:rsidRPr="005D5611">
        <w:rPr>
          <w:rFonts w:eastAsiaTheme="minorHAnsi"/>
          <w:bCs/>
        </w:rPr>
        <w:fldChar w:fldCharType="end"/>
      </w:r>
      <w:r w:rsidRPr="005D5611">
        <w:rPr>
          <w:rFonts w:eastAsiaTheme="minorHAnsi"/>
          <w:bCs/>
        </w:rPr>
        <w:t xml:space="preserve">); costs that could be accommodated in the </w:t>
      </w:r>
      <w:r w:rsidRPr="005D5611">
        <w:rPr>
          <w:rFonts w:eastAsiaTheme="minorHAnsi"/>
          <w:bCs/>
          <w:i/>
          <w:iCs/>
        </w:rPr>
        <w:t>MP</w:t>
      </w:r>
      <w:r w:rsidRPr="005D5611">
        <w:rPr>
          <w:rFonts w:eastAsiaTheme="minorHAnsi"/>
          <w:bCs/>
        </w:rPr>
        <w:t xml:space="preserve"> model as</w:t>
      </w:r>
      <w:r w:rsidR="00947966" w:rsidRPr="005D5611">
        <w:rPr>
          <w:noProof/>
          <w:color w:val="000000" w:themeColor="text1"/>
          <w:position w:val="-12"/>
        </w:rPr>
        <w:object w:dxaOrig="1040" w:dyaOrig="360" w14:anchorId="3FD87641">
          <v:shape id="_x0000_i1035" type="#_x0000_t75" alt="" style="width:44.5pt;height:18.75pt;mso-width-percent:0;mso-height-percent:0;mso-width-percent:0;mso-height-percent:0" o:ole="">
            <v:imagedata r:id="rId29" o:title=""/>
          </v:shape>
          <o:OLEObject Type="Embed" ProgID="Equation.DSMT4" ShapeID="_x0000_i1035" DrawAspect="Content" ObjectID="_1662177444" r:id="rId30"/>
        </w:object>
      </w:r>
      <w:r w:rsidRPr="005D5611">
        <w:rPr>
          <w:rFonts w:eastAsiaTheme="minorHAnsi"/>
          <w:bCs/>
        </w:rPr>
        <w:t>.</w:t>
      </w:r>
      <w:r w:rsidRPr="005D5611">
        <w:rPr>
          <w:rFonts w:eastAsiaTheme="minorHAnsi"/>
        </w:rPr>
        <w:t xml:space="preserve"> Because search is imperfect, </w:t>
      </w:r>
      <w:r w:rsidRPr="005D5611">
        <w:rPr>
          <w:rFonts w:eastAsiaTheme="minorHAnsi"/>
          <w:i/>
          <w:iCs/>
        </w:rPr>
        <w:t>S/D</w:t>
      </w:r>
      <w:r w:rsidRPr="005D5611">
        <w:rPr>
          <w:rFonts w:eastAsiaTheme="minorHAnsi"/>
          <w:i/>
        </w:rPr>
        <w:t xml:space="preserve"> =</w:t>
      </w:r>
      <w:r w:rsidR="00947966" w:rsidRPr="005D5611">
        <w:rPr>
          <w:noProof/>
          <w:position w:val="-12"/>
        </w:rPr>
        <w:object w:dxaOrig="859" w:dyaOrig="360" w14:anchorId="610B7205">
          <v:shape id="_x0000_i1036" type="#_x0000_t75" alt="" style="width:44.5pt;height:18.75pt;mso-width-percent:0;mso-height-percent:0;mso-width-percent:0;mso-height-percent:0" o:ole="">
            <v:imagedata r:id="rId31" o:title=""/>
          </v:shape>
          <o:OLEObject Type="Embed" ProgID="Equation.DSMT4" ShapeID="_x0000_i1036" DrawAspect="Content" ObjectID="_1662177445" r:id="rId32"/>
        </w:object>
      </w:r>
      <w:r w:rsidRPr="005D5611">
        <w:rPr>
          <w:noProof/>
        </w:rPr>
        <w:t xml:space="preserve"> </w:t>
      </w:r>
      <w:r w:rsidRPr="005D5611">
        <w:rPr>
          <w:rFonts w:eastAsiaTheme="minorHAnsi"/>
        </w:rPr>
        <w:t>measures the departure of the population growth rate from the maximum.</w:t>
      </w:r>
      <w:r w:rsidRPr="005D5611">
        <w:rPr>
          <w:rFonts w:eastAsiaTheme="minorHAnsi"/>
          <w:color w:val="000000" w:themeColor="text1"/>
        </w:rPr>
        <w:t xml:space="preserve"> </w:t>
      </w:r>
    </w:p>
    <w:p w14:paraId="3C0889D5" w14:textId="77777777" w:rsidR="003A45CF" w:rsidRPr="005D5611" w:rsidRDefault="003A45CF" w:rsidP="003A45CF">
      <w:pPr>
        <w:pStyle w:val="SMText"/>
        <w:rPr>
          <w:rFonts w:eastAsiaTheme="minorHAnsi"/>
          <w:color w:val="000000" w:themeColor="text1"/>
        </w:rPr>
      </w:pPr>
      <w:r w:rsidRPr="005D5611">
        <w:rPr>
          <w:rFonts w:eastAsiaTheme="minorHAnsi"/>
          <w:color w:val="000000" w:themeColor="text1"/>
        </w:rPr>
        <w:t xml:space="preserve">Organisms often seek multiple resources (i.e. </w:t>
      </w:r>
      <w:r w:rsidRPr="005D5611">
        <w:rPr>
          <w:rFonts w:eastAsiaTheme="minorHAnsi"/>
          <w:i/>
          <w:iCs/>
          <w:color w:val="000000" w:themeColor="text1"/>
        </w:rPr>
        <w:t>j=</w:t>
      </w:r>
      <w:r w:rsidRPr="005D5611">
        <w:rPr>
          <w:rFonts w:eastAsiaTheme="minorHAnsi"/>
          <w:color w:val="000000" w:themeColor="text1"/>
        </w:rPr>
        <w:t>1</w:t>
      </w:r>
      <w:r w:rsidRPr="005D5611">
        <w:rPr>
          <w:rFonts w:eastAsiaTheme="minorHAnsi"/>
          <w:i/>
          <w:iCs/>
          <w:color w:val="000000" w:themeColor="text1"/>
        </w:rPr>
        <w:t>, ..., J</w:t>
      </w:r>
      <w:r w:rsidRPr="005D5611">
        <w:rPr>
          <w:rFonts w:eastAsiaTheme="minorHAnsi"/>
          <w:color w:val="000000" w:themeColor="text1"/>
        </w:rPr>
        <w:t xml:space="preserve">), and using analogous acquisition functions of </w:t>
      </w:r>
      <w:r w:rsidRPr="005D5611">
        <w:rPr>
          <w:rFonts w:eastAsiaTheme="minorHAnsi"/>
          <w:i/>
          <w:iCs/>
          <w:color w:val="000000" w:themeColor="text1"/>
        </w:rPr>
        <w:t>h(u</w:t>
      </w:r>
      <w:r w:rsidRPr="005D5611">
        <w:rPr>
          <w:rFonts w:eastAsiaTheme="minorHAnsi"/>
          <w:i/>
          <w:iCs/>
          <w:color w:val="000000" w:themeColor="text1"/>
          <w:vertAlign w:val="subscript"/>
        </w:rPr>
        <w:t>ij</w:t>
      </w:r>
      <w:r w:rsidRPr="005D5611">
        <w:rPr>
          <w:rFonts w:eastAsiaTheme="minorHAnsi"/>
          <w:i/>
          <w:iCs/>
          <w:color w:val="000000" w:themeColor="text1"/>
        </w:rPr>
        <w:t>)</w:t>
      </w:r>
      <w:r w:rsidRPr="005D5611">
        <w:rPr>
          <w:rFonts w:eastAsiaTheme="minorHAnsi"/>
          <w:color w:val="000000" w:themeColor="text1"/>
        </w:rPr>
        <w:t>, their effects on growth and reproduction rates may be added as follows:</w:t>
      </w:r>
    </w:p>
    <w:p w14:paraId="2E9C7BD5" w14:textId="77777777" w:rsidR="003A45CF" w:rsidRPr="005D5611" w:rsidRDefault="003A45CF" w:rsidP="003A45CF">
      <w:pPr>
        <w:pStyle w:val="SMText"/>
      </w:pPr>
      <w:r w:rsidRPr="005D5611">
        <w:rPr>
          <w:i/>
          <w:iCs/>
          <w:noProof/>
        </w:rPr>
        <w:t xml:space="preserve"> </w:t>
      </w:r>
      <w:r w:rsidR="00947966" w:rsidRPr="005D5611">
        <w:rPr>
          <w:i/>
          <w:iCs/>
          <w:noProof/>
          <w:position w:val="-32"/>
        </w:rPr>
        <w:object w:dxaOrig="1800" w:dyaOrig="720" w14:anchorId="09DC57B1">
          <v:shape id="_x0000_i1037" type="#_x0000_t75" alt="" style="width:91.3pt;height:36.9pt;mso-width-percent:0;mso-height-percent:0;mso-width-percent:0;mso-height-percent:0" o:ole="">
            <v:imagedata r:id="rId33" o:title=""/>
          </v:shape>
          <o:OLEObject Type="Embed" ProgID="Equation.DSMT4" ShapeID="_x0000_i1037" DrawAspect="Content" ObjectID="_1662177446" r:id="rId34"/>
        </w:object>
      </w:r>
      <w:r w:rsidRPr="005D5611">
        <w:t>.</w:t>
      </w:r>
      <w:r w:rsidRPr="005D5611">
        <w:tab/>
      </w:r>
      <w:r w:rsidRPr="005D5611">
        <w:tab/>
      </w:r>
      <w:r w:rsidRPr="005D5611">
        <w:tab/>
      </w:r>
      <w:r w:rsidRPr="005D5611">
        <w:tab/>
      </w:r>
      <w:r w:rsidRPr="005D5611">
        <w:tab/>
      </w:r>
      <w:r w:rsidRPr="005D5611">
        <w:tab/>
      </w:r>
      <w:r w:rsidRPr="005D5611">
        <w:tab/>
      </w:r>
      <w:r w:rsidRPr="005D5611">
        <w:tab/>
        <w:t>(S3)</w:t>
      </w:r>
    </w:p>
    <w:p w14:paraId="444770D9" w14:textId="0227175C" w:rsidR="003A45CF" w:rsidRPr="005D5611" w:rsidRDefault="003A45CF" w:rsidP="003A45CF">
      <w:pPr>
        <w:pStyle w:val="SMText"/>
      </w:pPr>
      <w:r w:rsidRPr="005D5611">
        <w:t xml:space="preserve">An excellent example demonstrating the concepts inherent in eqn. S1- S3 are the </w:t>
      </w:r>
      <w:r w:rsidRPr="005D5611">
        <w:rPr>
          <w:i/>
        </w:rPr>
        <w:t>Daphnia</w:t>
      </w:r>
      <w:r w:rsidRPr="005D5611">
        <w:t>/yeast predation system (</w:t>
      </w:r>
      <w:r w:rsidRPr="005D5611">
        <w:rPr>
          <w:i/>
        </w:rPr>
        <w:t xml:space="preserve">cf. </w:t>
      </w:r>
      <w:r w:rsidRPr="005D5611">
        <w:rPr>
          <w:i/>
        </w:rPr>
        <w:fldChar w:fldCharType="begin"/>
      </w:r>
      <w:r w:rsidR="002F5A10">
        <w:rPr>
          <w:i/>
        </w:rPr>
        <w:instrText xml:space="preserve"> ADDIN ZOTERO_ITEM CSL_CITATION {"citationID":"Jxv791cZ","properties":{"formattedCitation":"[111]","plainCitation":"[111]","noteIndex":0},"citationItems":[{"id":12018,"uris":["http://zotero.org/users/1272936/items/6VQJFRVX"],"uri":["http://zotero.org/users/1272936/items/6VQJFRVX"],"itemData":{"id":12018,"type":"article-journal","abstract":"Classical models describing the number of prey consumed by predators rest on an analogy with the law of mass action and, consequently, the functional response of predators depends only on the density of prey. An alternative model is that the functional response depends on the ratio of prey and predator densities. We hypothesize that the applicability of one or the other model depends on the degree of heterogeneity of predators and prey in space, the prey—dependent model being appropriate in homogeneous situations while the ratio—dependent model is appropriate in heterogeneous situations. We have designed experiments to test this hypothesis, using cladocerans filter—feeding on algae. The design is such that the two types of dependence can be discriminated by observation of equilibrium patterns. Daphnia magna and Simocephalus vetulus, the two cladoceran species tested, differ in their spatial distributions. Daphnia has homogeneous distribution whereas Simocephalus has heterogeneous distribution. Experimental results support the hypothesis: D. magna follows the prey—dependent model and S. vetulus follows the ratio—dependent model. By artificially modifying the environment of the two species, we forced D. magna to a heterogeneous distribution and S. vetulus to a homogeneous distribution. As a consequence, each species changed its dependence, further confirming our hypothesis.","container-title":"Ecology","DOI":"10.2307/1940007","ISSN":"1939-9170","issue":"5","language":"en","page":"1544-1551","source":"Wiley Online Library","title":"Empirical evidence of the role of heterogeneity in ratio-dependent consumption","volume":"73","author":[{"family":"Arditi","given":"Roger"},{"family":"Saïah","given":"Henni"}],"issued":{"date-parts":[["1992"]]}}}],"schema":"https://github.com/citation-style-language/schema/raw/master/csl-citation.json"} </w:instrText>
      </w:r>
      <w:r w:rsidRPr="005D5611">
        <w:rPr>
          <w:i/>
        </w:rPr>
        <w:fldChar w:fldCharType="separate"/>
      </w:r>
      <w:r w:rsidR="00C51ED3">
        <w:t>[111]</w:t>
      </w:r>
      <w:r w:rsidRPr="005D5611">
        <w:rPr>
          <w:i/>
        </w:rPr>
        <w:fldChar w:fldCharType="end"/>
      </w:r>
      <w:r w:rsidRPr="005D5611">
        <w:t>) depicted in Fig. S1.</w:t>
      </w:r>
    </w:p>
    <w:p w14:paraId="03C0FFD7" w14:textId="77777777" w:rsidR="003A45CF" w:rsidRPr="005D5611" w:rsidRDefault="003A45CF" w:rsidP="003A45CF">
      <w:pPr>
        <w:pStyle w:val="SMText"/>
      </w:pPr>
    </w:p>
    <w:p w14:paraId="1E2387C4" w14:textId="77777777" w:rsidR="003A45CF" w:rsidRPr="005D5611" w:rsidRDefault="003A45CF" w:rsidP="003A45CF">
      <w:pPr>
        <w:pStyle w:val="SMcaption"/>
        <w:rPr>
          <w:rFonts w:eastAsiaTheme="minorHAnsi"/>
        </w:rPr>
      </w:pPr>
      <w:r w:rsidRPr="005D5611">
        <w:rPr>
          <w:noProof/>
        </w:rPr>
        <w:drawing>
          <wp:inline distT="0" distB="0" distL="0" distR="0" wp14:anchorId="238C9F47" wp14:editId="64C72B80">
            <wp:extent cx="4211580" cy="3613589"/>
            <wp:effectExtent l="0" t="0" r="508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25618" cy="3711435"/>
                    </a:xfrm>
                    <a:prstGeom prst="rect">
                      <a:avLst/>
                    </a:prstGeom>
                  </pic:spPr>
                </pic:pic>
              </a:graphicData>
            </a:graphic>
          </wp:inline>
        </w:drawing>
      </w:r>
    </w:p>
    <w:p w14:paraId="541C2792" w14:textId="5DAA7F2C" w:rsidR="003A45CF" w:rsidRPr="005D5611" w:rsidRDefault="003A45CF" w:rsidP="003A45CF">
      <w:pPr>
        <w:pStyle w:val="SMcaption"/>
      </w:pPr>
      <w:r w:rsidRPr="005D5611">
        <w:rPr>
          <w:b/>
        </w:rPr>
        <w:t>Fig. S1.</w:t>
      </w:r>
      <w:r w:rsidRPr="005D5611">
        <w:t xml:space="preserve"> Influence of resources levels on population dynamics: (a) Daphnia/yeast predation system (cf. </w:t>
      </w:r>
      <w:r w:rsidRPr="005D5611">
        <w:fldChar w:fldCharType="begin"/>
      </w:r>
      <w:r w:rsidR="002F5A10">
        <w:instrText xml:space="preserve"> ADDIN ZOTERO_ITEM CSL_CITATION {"citationID":"vu6gz2ZT","properties":{"formattedCitation":"[111]","plainCitation":"[111]","noteIndex":0},"citationItems":[{"id":12018,"uris":["http://zotero.org/users/1272936/items/6VQJFRVX"],"uri":["http://zotero.org/users/1272936/items/6VQJFRVX"],"itemData":{"id":12018,"type":"article-journal","abstract":"Classical models describing the number of prey consumed by predators rest on an analogy with the law of mass action and, consequently, the functional response of predators depends only on the density of prey. An alternative model is that the functional response depends on the ratio of prey and predator densities. We hypothesize that the applicability of one or the other model depends on the degree of heterogeneity of predators and prey in space, the prey—dependent model being appropriate in homogeneous situations while the ratio—dependent model is appropriate in heterogeneous situations. We have designed experiments to test this hypothesis, using cladocerans filter—feeding on algae. The design is such that the two types of dependence can be discriminated by observation of equilibrium patterns. Daphnia magna and Simocephalus vetulus, the two cladoceran species tested, differ in their spatial distributions. Daphnia has homogeneous distribution whereas Simocephalus has heterogeneous distribution. Experimental results support the hypothesis: D. magna follows the prey—dependent model and S. vetulus follows the ratio—dependent model. By artificially modifying the environment of the two species, we forced D. magna to a heterogeneous distribution and S. vetulus to a homogeneous distribution. As a consequence, each species changed its dependence, further confirming our hypothesis.","container-title":"Ecology","DOI":"10.2307/1940007","ISSN":"1939-9170","issue":"5","language":"en","page":"1544-1551","source":"Wiley Online Library","title":"Empirical evidence of the role of heterogeneity in ratio-dependent consumption","volume":"73","author":[{"family":"Arditi","given":"Roger"},{"family":"Saïah","given":"Henni"}],"issued":{"date-parts":[["1992"]]}}}],"schema":"https://github.com/citation-style-language/schema/raw/master/csl-citation.json"} </w:instrText>
      </w:r>
      <w:r w:rsidRPr="005D5611">
        <w:fldChar w:fldCharType="separate"/>
      </w:r>
      <w:r w:rsidR="00C51ED3">
        <w:t>[111]</w:t>
      </w:r>
      <w:r w:rsidRPr="005D5611">
        <w:fldChar w:fldCharType="end"/>
      </w:r>
      <w:r w:rsidRPr="005D5611">
        <w:t>; modified from (6)) with (b) showing how prey refuge was increased, and (c) how the predator search area may be increased.</w:t>
      </w:r>
    </w:p>
    <w:p w14:paraId="5726DCD0" w14:textId="77777777" w:rsidR="003A45CF" w:rsidRPr="005D5611" w:rsidRDefault="003A45CF" w:rsidP="003A45CF">
      <w:pPr>
        <w:pStyle w:val="SMcaption"/>
      </w:pPr>
    </w:p>
    <w:p w14:paraId="08F1EA10" w14:textId="3A9803F8" w:rsidR="003A45CF" w:rsidRPr="005D5611" w:rsidRDefault="003A45CF" w:rsidP="003A45CF">
      <w:pPr>
        <w:pStyle w:val="SMText"/>
        <w:ind w:firstLine="0"/>
      </w:pPr>
      <w:r w:rsidRPr="005D5611">
        <w:rPr>
          <w:b/>
          <w:bCs/>
        </w:rPr>
        <w:t xml:space="preserve">S3.2 PBDM/MP with age, stage, and mass structured and distributed maturation times - </w:t>
      </w:r>
      <w:r w:rsidRPr="005D5611">
        <w:rPr>
          <w:rFonts w:eastAsiaTheme="minorHAnsi"/>
        </w:rPr>
        <w:t xml:space="preserve">Considerable physiological and behavioral detail can be introduced into </w:t>
      </w:r>
      <w:r w:rsidRPr="005D5611">
        <w:t xml:space="preserve">classical age structured population dynamics models based on main text Eqn. 1 </w:t>
      </w:r>
      <w:r w:rsidRPr="005D5611">
        <w:rPr>
          <w:rFonts w:eastAsiaTheme="minorHAnsi"/>
        </w:rPr>
        <w:t xml:space="preserve">without introducing inordinate complexity and detail </w:t>
      </w:r>
      <w:r w:rsidRPr="005D5611">
        <w:rPr>
          <w:rFonts w:eastAsiaTheme="minorHAnsi"/>
        </w:rPr>
        <w:fldChar w:fldCharType="begin"/>
      </w:r>
      <w:r w:rsidR="00FF3F09">
        <w:rPr>
          <w:rFonts w:eastAsiaTheme="minorHAnsi"/>
        </w:rPr>
        <w:instrText xml:space="preserve"> ADDIN ZOTERO_ITEM CSL_CITATION {"citationID":"c5ELJXXR","properties":{"formattedCitation":"[9, 11]","plainCitation":"[9, 11]","noteIndex":0},"citationItems":[{"id":2958,"uris":["http://zotero.org/users/1272936/items/3HJHR46H"],"uri":["http://zotero.org/users/1272936/items/3HJHR46H"],"itemData":{"id":2958,"type":"book","abstract":"The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id":13047,"uris":["http://zotero.org/users/1272936/items/LIM6S3YY"],"uri":["http://zotero.org/users/1272936/items/LIM6S3YY"],"itemData":{"id":13047,"type":"article-journal","abstract":"Adapted species in nature are assumed to have solved renewable resource management problems, and this is examined here using a physiologically based model of energy acquisition and allocation. Newly established invasive species are merely in an early phase of this process in their new environment. Analogies between the economies of humans and other species are used to develop an objective function for individual utility of energy allocation. The objective function includes the physiologically based population dynamics models of the consumer and resource species in a food chain as constraints. The model applies to all trophic levels in a food chain including human harvesting of renewable resources (see also Regev et al. (Regev, U., Gutierrez, A.P., Schreiber, S., Zilberman, D., 1998. Biological and Economic Foundation of Renewable Resource Exploitation. Ecological Economics. 26 (3), 227-242.)).\nSpecifically, the analysis:\n(1) Attempts to combine ecological and economic theory;\n(2) Points out the importance of time frame in the two economies (evolutionary vs. market time);\n(3) Examines the effects of expected uncertainty due to environmental hazards in defining energy acquisition and allocation strategies in two invasive aphid species at the extremes of so called r- and K-strategies and the well adapted Central American cotton-cotton bollweevil system;\n(4) Evaluates the effects of changes in behavioral and physiological parameters and environmental degradation on the abundance of resource and consumer species. (c) 2004 Elsevier B.V. All rights reserved.","container-title":"Ecological Economics","DOI":"10.1016/j.ecolecon.2004.05.007","ISSN":"0921-8009","issue":"3","journalAbbreviation":"Ecol. Econ.","language":"English","page":"383-396","title":"The bioeconomics of tritrophic systems: applications to invasive species","volume":"52","author":[{"family":"Gutierrez","given":"A. P."},{"family":"Regev","given":"U."}],"issued":{"date-parts":[["2005",2,15]]}}}],"schema":"https://github.com/citation-style-language/schema/raw/master/csl-citation.json"} </w:instrText>
      </w:r>
      <w:r w:rsidRPr="005D5611">
        <w:rPr>
          <w:rFonts w:eastAsiaTheme="minorHAnsi"/>
        </w:rPr>
        <w:fldChar w:fldCharType="separate"/>
      </w:r>
      <w:r w:rsidR="00C51ED3">
        <w:t>[9, 11]</w:t>
      </w:r>
      <w:r w:rsidRPr="005D5611">
        <w:rPr>
          <w:rFonts w:eastAsiaTheme="minorHAnsi"/>
        </w:rPr>
        <w:fldChar w:fldCharType="end"/>
      </w:r>
      <w:r w:rsidRPr="005D5611">
        <w:rPr>
          <w:rFonts w:eastAsiaTheme="minorHAnsi"/>
        </w:rPr>
        <w:t xml:space="preserve">. </w:t>
      </w:r>
      <w:r w:rsidRPr="005D5611">
        <w:rPr>
          <w:lang w:bidi="ar-DZ"/>
        </w:rPr>
        <w:t xml:space="preserve">Among the suite of classical models that have been used </w:t>
      </w:r>
      <w:r w:rsidRPr="005D5611">
        <w:t xml:space="preserve">to develop age-number (mass) structured </w:t>
      </w:r>
      <w:r w:rsidRPr="005D5611">
        <w:rPr>
          <w:i/>
        </w:rPr>
        <w:t>PBDM</w:t>
      </w:r>
      <w:r w:rsidRPr="005D5611">
        <w:t xml:space="preserve">/MP of plants and animals are the </w:t>
      </w:r>
      <w:bookmarkStart w:id="13" w:name="_Hlk530132195"/>
      <w:r w:rsidRPr="005D5611">
        <w:t xml:space="preserve">Leslie </w:t>
      </w:r>
      <w:r w:rsidRPr="005D5611">
        <w:fldChar w:fldCharType="begin"/>
      </w:r>
      <w:r w:rsidR="002F5A10">
        <w:instrText xml:space="preserve"> ADDIN ZOTERO_ITEM CSL_CITATION {"citationID":"b0Kv2ATJ","properties":{"formattedCitation":"[112]","plainCitation":"[112]","noteIndex":0},"citationItems":[{"id":12279,"uris":["http://zotero.org/users/1272936/items/VDDXJFYL"],"uri":["http://zotero.org/users/1272936/items/VDDXJFYL"],"itemData":{"id":12279,"type":"article-journal","archive":"JSTOR","container-title":"Biometrika","DOI":"10.2307/2332297","ISSN":"0006-3444","issue":"3","page":"183-212","source":"JSTOR","title":"On the use of matrices in certain population mathematics","volume":"33","author":[{"family":"Leslie","given":"P. H."}],"issued":{"date-parts":[["1945"]]}}}],"schema":"https://github.com/citation-style-language/schema/raw/master/csl-citation.json"} </w:instrText>
      </w:r>
      <w:r w:rsidRPr="005D5611">
        <w:fldChar w:fldCharType="separate"/>
      </w:r>
      <w:r w:rsidR="00C51ED3">
        <w:t>[112]</w:t>
      </w:r>
      <w:r w:rsidRPr="005D5611">
        <w:fldChar w:fldCharType="end"/>
      </w:r>
      <w:r w:rsidRPr="005D5611">
        <w:t xml:space="preserve">, von Foerster </w:t>
      </w:r>
      <w:r w:rsidRPr="005D5611">
        <w:fldChar w:fldCharType="begin"/>
      </w:r>
      <w:r w:rsidR="002F5A10">
        <w:instrText xml:space="preserve"> ADDIN ZOTERO_ITEM CSL_CITATION {"citationID":"UiZ7an6N","properties":{"formattedCitation":"[113]","plainCitation":"[113]","noteIndex":0},"citationItems":[{"id":12281,"uris":["http://zotero.org/users/1272936/items/2UXA6GVC"],"uri":["http://zotero.org/users/1272936/items/2UXA6GVC"],"itemData":{"id":12281,"type":"chapter","container-title":"The kinetics of cellular proliferation","event-place":"New York, USA","page":"382-407","publisher":"Grune and Stratton","publisher-place":"New York, USA","title":"Some remarks on changing populations","author":[{"family":"Foerster","given":"von H."}],"editor":[{"family":"Stahlman","given":"F. Jr."}],"issued":{"date-parts":[["1959"]]}}}],"schema":"https://github.com/citation-style-language/schema/raw/master/csl-citation.json"} </w:instrText>
      </w:r>
      <w:r w:rsidRPr="005D5611">
        <w:fldChar w:fldCharType="separate"/>
      </w:r>
      <w:r w:rsidR="00C51ED3">
        <w:t>[113]</w:t>
      </w:r>
      <w:r w:rsidRPr="005D5611">
        <w:fldChar w:fldCharType="end"/>
      </w:r>
      <w:r w:rsidRPr="005D5611">
        <w:t xml:space="preserve">, Sinko-Striefer </w:t>
      </w:r>
      <w:r w:rsidRPr="005D5611">
        <w:fldChar w:fldCharType="begin"/>
      </w:r>
      <w:r w:rsidR="002F5A10">
        <w:instrText xml:space="preserve"> ADDIN ZOTERO_ITEM CSL_CITATION {"citationID":"GfZ7BsX7","properties":{"formattedCitation":"[114]","plainCitation":"[114]","noteIndex":0},"citationItems":[{"id":12222,"uris":["http://zotero.org/users/1272936/items/ULZ6WS7K"],"uri":["http://zotero.org/users/1272936/items/ULZ6WS7K"],"itemData":{"id":12222,"type":"article-journal","abstract":"An equation describing the dynamics of single species populations is derived. The model allows for variations in the physiological characteristics of animals of different ages and sizes. An analytical solution which holds under certain specific conditions is found. It is shown that Von Foerster's equation, the logistic equation and other prior models are special cases of the new model.","container-title":"Ecology","DOI":"10.2307/1934533","ISSN":"1939-9170","issue":"6","language":"en","page":"910-918","source":"Wiley Online Library","title":"A new model for age-size structure of a population","volume":"48","author":[{"family":"Sinko","given":"James W."},{"family":"Streifer","given":"William"}],"issued":{"date-parts":[["1967"]]}}}],"schema":"https://github.com/citation-style-language/schema/raw/master/csl-citation.json"} </w:instrText>
      </w:r>
      <w:r w:rsidRPr="005D5611">
        <w:fldChar w:fldCharType="separate"/>
      </w:r>
      <w:r w:rsidR="00C51ED3">
        <w:t>[114]</w:t>
      </w:r>
      <w:r w:rsidRPr="005D5611">
        <w:fldChar w:fldCharType="end"/>
      </w:r>
      <w:r w:rsidRPr="005D5611">
        <w:t xml:space="preserve">, Manetsch </w:t>
      </w:r>
      <w:r w:rsidRPr="005D5611">
        <w:fldChar w:fldCharType="begin"/>
      </w:r>
      <w:r w:rsidR="002F5A10">
        <w:instrText xml:space="preserve"> ADDIN ZOTERO_ITEM CSL_CITATION {"citationID":"2E3bmQEY","properties":{"formattedCitation":"[115]","plainCitation":"[115]","noteIndex":0},"citationItems":[{"id":2168,"uris":["http://zotero.org/users/1272936/items/PU7KJ68M"],"uri":["http://zotero.org/users/1272936/items/PU7KJ68M"],"itemData":{"id":2168,"type":"article-journal","container-title":"IEEE transactions on Systems, Man and Cybernetics","DOI":"10.1109/TSMC.1976.4309549","issue":"8","page":"547–553","source":"Google Scholar","title":"Time-varying distributed delays and their use in aggregative models of large systems","volume":"6","author":[{"family":"Manetsch","given":"Thomas J."}],"issued":{"date-parts":[["1976"]]}}}],"schema":"https://github.com/citation-style-language/schema/raw/master/csl-citation.json"} </w:instrText>
      </w:r>
      <w:r w:rsidRPr="005D5611">
        <w:fldChar w:fldCharType="separate"/>
      </w:r>
      <w:r w:rsidR="00C51ED3">
        <w:t>[115]</w:t>
      </w:r>
      <w:r w:rsidRPr="005D5611">
        <w:fldChar w:fldCharType="end"/>
      </w:r>
      <w:r w:rsidRPr="005D5611">
        <w:t xml:space="preserve">, Vansickle </w:t>
      </w:r>
      <w:r w:rsidRPr="005D5611">
        <w:fldChar w:fldCharType="begin"/>
      </w:r>
      <w:r w:rsidR="002F5A10">
        <w:instrText xml:space="preserve"> ADDIN ZOTERO_ITEM CSL_CITATION {"citationID":"Kl1K7pyQ","properties":{"formattedCitation":"[52]","plainCitation":"[52]","noteIndex":0},"citationItems":[{"id":1814,"uris":["http://zotero.org/users/1272936/items/IQ9JZX2N"],"uri":["http://zotero.org/users/1272936/items/IQ9JZX2N"],"itemData":{"id":1814,"type":"article-journal","container-title":"IEEE Transactions on Systems, Man, and Cybernetics","DOI":"10.1109/TSMC.1977.4309800","journalAbbreviation":"IEEE T. Syst. Man Cyb.","page":"635-638","title":"Attrition in distributed delay models","volume":"7","author":[{"family":"Vansickle","given":"J."}],"issued":{"date-parts":[["1977"]]}}}],"schema":"https://github.com/citation-style-language/schema/raw/master/csl-citation.json"} </w:instrText>
      </w:r>
      <w:r w:rsidRPr="005D5611">
        <w:fldChar w:fldCharType="separate"/>
      </w:r>
      <w:r w:rsidR="00C51ED3">
        <w:t>[52]</w:t>
      </w:r>
      <w:r w:rsidRPr="005D5611">
        <w:fldChar w:fldCharType="end"/>
      </w:r>
      <w:r w:rsidRPr="005D5611">
        <w:t xml:space="preserve"> </w:t>
      </w:r>
      <w:bookmarkEnd w:id="13"/>
      <w:r w:rsidRPr="005D5611">
        <w:t xml:space="preserve">and the forward Fokker-Planck partial differential equations </w:t>
      </w:r>
      <w:r w:rsidRPr="005D5611">
        <w:fldChar w:fldCharType="begin"/>
      </w:r>
      <w:r w:rsidR="002F5A10">
        <w:instrText xml:space="preserve"> ADDIN ZOTERO_ITEM CSL_CITATION {"citationID":"HLwXSLH8","properties":{"formattedCitation":"[54]","plainCitation":"[54]","noteIndex":0},"citationItems":[{"id":12039,"uris":["http://zotero.org/users/1272936/items/9Z5A8JJS"],"uri":["http://zotero.org/users/1272936/items/9Z5A8JJS"],"itemData":{"id":12039,"type":"article-journal","abstract":"A nonlinear stochastic model for the dynamics of a population with either a continuous size structure or a discontinuous stage structure is formulated in the Eulerian formalism. It takes into account dispersion effects due to stochastic variability of the development process of the individuals. The discrete equations of the numerical approximation are derived, and an analysis of the existence and stability of the equilibrium states is performed. An application to a copepod population is illustrated; numerical results of Eulerian and Lagrangian models are compared.","container-title":"Journal of Mathematical Biology","DOI":"10.1007/s00285-006-0058-2","ISSN":"1432-1416","issue":"4","journalAbbreviation":"J. Math. Biol.","language":"en","page":"555-595","source":"Springer Link","title":"Structured population dynamics: continuous size and discontinuous stage structures","title-short":"Structured population dynamics","volume":"54","author":[{"family":"Buffoni","given":"Giuseppe"},{"family":"Pasquali","given":"Sara"}],"issued":{"date-parts":[["2007",4,1]]}}}],"schema":"https://github.com/citation-style-language/schema/raw/master/csl-citation.json"} </w:instrText>
      </w:r>
      <w:r w:rsidRPr="005D5611">
        <w:fldChar w:fldCharType="separate"/>
      </w:r>
      <w:r w:rsidR="00C51ED3">
        <w:t>[54]</w:t>
      </w:r>
      <w:r w:rsidRPr="005D5611">
        <w:fldChar w:fldCharType="end"/>
      </w:r>
      <w:r w:rsidRPr="005D5611">
        <w:t xml:space="preserve"> models (see reviews by </w:t>
      </w:r>
      <w:bookmarkStart w:id="14" w:name="_Hlk530132252"/>
      <w:r w:rsidRPr="005D5611">
        <w:t xml:space="preserve">de Wit and Goudriaan </w:t>
      </w:r>
      <w:r w:rsidRPr="005D5611">
        <w:fldChar w:fldCharType="begin"/>
      </w:r>
      <w:r w:rsidR="002F5A10">
        <w:instrText xml:space="preserve"> ADDIN ZOTERO_ITEM CSL_CITATION {"citationID":"TLdkkPbn","properties":{"formattedCitation":"[105]","plainCitation":"[105]","noteIndex":0},"citationItems":[{"id":1602,"uris":["http://zotero.org/users/1272936/items/8NX3ZC9S"],"uri":["http://zotero.org/users/1272936/items/8NX3ZC9S"],"itemData":{"id":1602,"type":"book","collection-title":"Simulation monographs","event-place":"Wageningen, The Netherlands","ISBN":"978-90-220-0652-8","publisher":"PUDOC","publisher-place":"Wageningen, The Netherlands","title":"Simulation of ecological processes","volume":"2nd","author":[{"family":"Wit","given":"C.T.","non-dropping-particle":"de"},{"family":"Goudriaan","given":"J."}],"issued":{"date-parts":[["1978"]]}}}],"schema":"https://github.com/citation-style-language/schema/raw/master/csl-citation.json"} </w:instrText>
      </w:r>
      <w:r w:rsidRPr="005D5611">
        <w:fldChar w:fldCharType="separate"/>
      </w:r>
      <w:r w:rsidR="00C51ED3">
        <w:t>[105]</w:t>
      </w:r>
      <w:r w:rsidRPr="005D5611">
        <w:fldChar w:fldCharType="end"/>
      </w:r>
      <w:r w:rsidRPr="005D5611">
        <w:t xml:space="preserve">; Curry &amp; Feldman </w:t>
      </w:r>
      <w:r w:rsidRPr="005D5611">
        <w:fldChar w:fldCharType="begin"/>
      </w:r>
      <w:r w:rsidR="002F5A10">
        <w:instrText xml:space="preserve"> ADDIN ZOTERO_ITEM CSL_CITATION {"citationID":"UL4JuAXQ","properties":{"formattedCitation":"[116]","plainCitation":"[116]","noteIndex":0},"citationItems":[{"id":12054,"uris":["http://zotero.org/users/1272936/items/TIW8RCEE"],"uri":["http://zotero.org/users/1272936/items/TIW8RCEE"],"itemData":{"id":12054,"type":"book","event-place":"College Station, Texas, USA","ISBN":"0-89096-256-1","number-of-pages":"246","publisher":"Published for the Texas Engineering Experiment Station, Texas A&amp;M University System, by Texas A&amp;M University Press","publisher-place":"College Station, Texas, USA","title":"Mathematical foundations of population dynamics","author":[{"family":"Curry","given":"Guy L"},{"family":"Feldman","given":"Richard M"}],"issued":{"date-parts":[["1987"]]}}}],"schema":"https://github.com/citation-style-language/schema/raw/master/csl-citation.json"} </w:instrText>
      </w:r>
      <w:r w:rsidRPr="005D5611">
        <w:fldChar w:fldCharType="separate"/>
      </w:r>
      <w:r w:rsidR="00C51ED3">
        <w:t>[116]</w:t>
      </w:r>
      <w:r w:rsidRPr="005D5611">
        <w:fldChar w:fldCharType="end"/>
      </w:r>
      <w:r w:rsidRPr="005D5611">
        <w:t xml:space="preserve">; Gutierrez </w:t>
      </w:r>
      <w:r w:rsidRPr="005D5611">
        <w:fldChar w:fldCharType="begin"/>
      </w:r>
      <w:r w:rsidR="002F5A10">
        <w:instrText xml:space="preserve"> ADDIN ZOTERO_ITEM CSL_CITATION {"citationID":"Krf1CPnR","properties":{"formattedCitation":"[104]","plainCitation":"[104]","noteIndex":0},"citationItems":[{"id":4636,"uris":["http://zotero.org/users/1272936/items/DZMGTXVE"],"uri":["http://zotero.org/users/1272936/items/DZMGTXVE"],"itemData":{"id":4636,"type":"article-journal","container-title":"Ecology","DOI":"10.2307/1940008","page":"1552-1563","title":"The physiological basis of ratio-dependent predator-prey theory: the metabolic pool model as a paradigm","volume":"73","author":[{"family":"Gutierrez","given":"A.P."}],"issued":{"date-parts":[["1992"]]}}}],"schema":"https://github.com/citation-style-language/schema/raw/master/csl-citation.json"} </w:instrText>
      </w:r>
      <w:r w:rsidRPr="005D5611">
        <w:fldChar w:fldCharType="separate"/>
      </w:r>
      <w:r w:rsidR="00C51ED3">
        <w:t>[104]</w:t>
      </w:r>
      <w:r w:rsidRPr="005D5611">
        <w:fldChar w:fldCharType="end"/>
      </w:r>
      <w:r w:rsidRPr="005D5611">
        <w:t>; Di Cola</w:t>
      </w:r>
      <w:r w:rsidRPr="005D5611">
        <w:rPr>
          <w:i/>
        </w:rPr>
        <w:t xml:space="preserve"> et al</w:t>
      </w:r>
      <w:r w:rsidRPr="005D5611">
        <w:t xml:space="preserve">. </w:t>
      </w:r>
      <w:r w:rsidRPr="005D5611">
        <w:fldChar w:fldCharType="begin"/>
      </w:r>
      <w:r w:rsidR="00FF3F09">
        <w:instrText xml:space="preserve"> ADDIN ZOTERO_ITEM CSL_CITATION {"citationID":"PuYK6jRv","properties":{"formattedCitation":"[53]","plainCitation":"[53]","noteIndex":0},"citationItems":[{"id":13053,"uris":["http://zotero.org/users/1272936/items/DBDWFLFQ"],"uri":["http://zotero.org/users/1272936/items/DBDWFLFQ"],"itemData":{"id":13053,"type":"chapter","container-title":"Ecological entomology","edition":"2","event-place":"New York, USA","publisher":"Wiley","publisher-place":"New York, USA","title":"Mathematical models for age-structured population dynamics","author":[{"family":"Di Cola","given":"G."},{"family":"Gilioli","given":"G."},{"family":"Baumgärtner","given":"J."}],"editor":[{"family":"Huffaker","given":"C. B."},{"family":"Gutierrez","given":"Andrew Paul"}],"issued":{"date-parts":[["1999"]]}}}],"schema":"https://github.com/citation-style-language/schema/raw/master/csl-citation.json"} </w:instrText>
      </w:r>
      <w:r w:rsidRPr="005D5611">
        <w:fldChar w:fldCharType="separate"/>
      </w:r>
      <w:r w:rsidR="00C51ED3">
        <w:t>[53]</w:t>
      </w:r>
      <w:r w:rsidRPr="005D5611">
        <w:fldChar w:fldCharType="end"/>
      </w:r>
      <w:bookmarkEnd w:id="14"/>
      <w:r w:rsidRPr="005D5611">
        <w:t>)</w:t>
      </w:r>
      <w:r w:rsidRPr="005D5611">
        <w:rPr>
          <w:rFonts w:eastAsiaTheme="minorHAnsi"/>
        </w:rPr>
        <w:t xml:space="preserve">. Some of these models </w:t>
      </w:r>
      <w:r w:rsidRPr="005D5611">
        <w:t>enable incorporation of distributed (stochastic) maturation times and mass growth of cohort members</w:t>
      </w:r>
      <w:r w:rsidRPr="005D5611">
        <w:rPr>
          <w:rFonts w:eastAsiaTheme="minorHAnsi"/>
        </w:rPr>
        <w:t xml:space="preserve"> as observed in nature</w:t>
      </w:r>
      <w:r w:rsidRPr="005D5611">
        <w:t>.</w:t>
      </w:r>
    </w:p>
    <w:p w14:paraId="43AD1AC4" w14:textId="3A8EF8EF" w:rsidR="003A45CF" w:rsidRPr="005D5611" w:rsidRDefault="003A45CF" w:rsidP="003A45CF">
      <w:pPr>
        <w:pStyle w:val="SMText"/>
      </w:pPr>
      <w:r w:rsidRPr="005D5611">
        <w:rPr>
          <w:lang w:bidi="ar-DZ"/>
        </w:rPr>
        <w:t>For simplicity, we use the time invariant distributed-maturation-time demographic model (</w:t>
      </w:r>
      <w:r w:rsidRPr="005D5611">
        <w:rPr>
          <w:lang w:bidi="ar-DZ"/>
        </w:rPr>
        <w:fldChar w:fldCharType="begin"/>
      </w:r>
      <w:r w:rsidR="00FF3F09">
        <w:rPr>
          <w:lang w:bidi="ar-DZ"/>
        </w:rPr>
        <w:instrText xml:space="preserve"> ADDIN ZOTERO_ITEM CSL_CITATION {"citationID":"a27d8b2c55v","properties":{"formattedCitation":"[115]","plainCitation":"[115]","noteIndex":0},"citationItems":[{"id":2168,"uris":["http://zotero.org/users/1272936/items/PU7KJ68M"],"uri":["http://zotero.org/users/1272936/items/PU7KJ68M"],"itemData":{"id":2168,"type":"article-journal","container-title":"IEEE transactions on Systems, Man and Cybernetics","DOI":"10.1109/TSMC.1976.4309549","issue":"8","page":"547–553","source":"Google Scholar","title":"Time-varying distributed delays and their use in aggregative models of large systems","volume":"6","author":[{"family":"Manetsch","given":"Thomas J."}],"issued":{"date-parts":[["1976"]]}}}],"schema":"https://github.com/citation-style-language/schema/raw/master/csl-citation.json"} </w:instrText>
      </w:r>
      <w:r w:rsidRPr="005D5611">
        <w:rPr>
          <w:lang w:bidi="ar-DZ"/>
        </w:rPr>
        <w:fldChar w:fldCharType="separate"/>
      </w:r>
      <w:r w:rsidR="00C51ED3">
        <w:t>[115]</w:t>
      </w:r>
      <w:r w:rsidRPr="005D5611">
        <w:rPr>
          <w:lang w:bidi="ar-DZ"/>
        </w:rPr>
        <w:fldChar w:fldCharType="end"/>
      </w:r>
      <w:r w:rsidRPr="005D5611">
        <w:rPr>
          <w:lang w:bidi="ar-DZ"/>
        </w:rPr>
        <w:t xml:space="preserve">; see Pascal code in Supplementary Text S5) to illustrate modeling distributed maturation times in age-structured mass dynamics models. Note that if developmental time or other attributes vary over time, say due to say nutrition or other factors, the time varying form of the model </w:t>
      </w:r>
      <w:r w:rsidRPr="005D5611">
        <w:rPr>
          <w:lang w:bidi="ar-DZ"/>
        </w:rPr>
        <w:fldChar w:fldCharType="begin"/>
      </w:r>
      <w:r w:rsidR="002F5A10">
        <w:rPr>
          <w:lang w:bidi="ar-DZ"/>
        </w:rPr>
        <w:instrText xml:space="preserve"> ADDIN ZOTERO_ITEM CSL_CITATION {"citationID":"FlsiuCyz","properties":{"formattedCitation":"[52]","plainCitation":"[52]","noteIndex":0},"citationItems":[{"id":1814,"uris":["http://zotero.org/users/1272936/items/IQ9JZX2N"],"uri":["http://zotero.org/users/1272936/items/IQ9JZX2N"],"itemData":{"id":1814,"type":"article-journal","container-title":"IEEE Transactions on Systems, Man, and Cybernetics","DOI":"10.1109/TSMC.1977.4309800","journalAbbreviation":"IEEE T. Syst. Man Cyb.","page":"635-638","title":"Attrition in distributed delay models","volume":"7","author":[{"family":"Vansickle","given":"J."}],"issued":{"date-parts":[["1977"]]}}}],"schema":"https://github.com/citation-style-language/schema/raw/master/csl-citation.json"} </w:instrText>
      </w:r>
      <w:r w:rsidRPr="005D5611">
        <w:rPr>
          <w:lang w:bidi="ar-DZ"/>
        </w:rPr>
        <w:fldChar w:fldCharType="separate"/>
      </w:r>
      <w:r w:rsidR="00C51ED3">
        <w:t>[52]</w:t>
      </w:r>
      <w:r w:rsidRPr="005D5611">
        <w:rPr>
          <w:lang w:bidi="ar-DZ"/>
        </w:rPr>
        <w:fldChar w:fldCharType="end"/>
      </w:r>
      <w:r w:rsidRPr="005D5611">
        <w:rPr>
          <w:lang w:bidi="ar-DZ"/>
        </w:rPr>
        <w:t xml:space="preserve"> would be more appropriate and does not introduce inordinate additional complexity. T</w:t>
      </w:r>
      <w:r w:rsidRPr="005D5611">
        <w:t xml:space="preserve">he general form of the time invariant </w:t>
      </w:r>
      <w:r w:rsidRPr="005D5611">
        <w:rPr>
          <w:lang w:bidi="ar-DZ"/>
        </w:rPr>
        <w:t xml:space="preserve">Manetsch – Vansickle </w:t>
      </w:r>
      <w:r w:rsidRPr="005D5611">
        <w:t xml:space="preserve">model for the </w:t>
      </w:r>
      <w:r w:rsidRPr="005D5611">
        <w:rPr>
          <w:i/>
        </w:rPr>
        <w:t>i</w:t>
      </w:r>
      <w:r w:rsidRPr="005D5611">
        <w:t xml:space="preserve">th of </w:t>
      </w:r>
      <w:r w:rsidRPr="005D5611">
        <w:rPr>
          <w:i/>
        </w:rPr>
        <w:t>k</w:t>
      </w:r>
      <w:r w:rsidRPr="005D5611">
        <w:t xml:space="preserve"> age classes of the </w:t>
      </w:r>
      <w:r w:rsidRPr="005D5611">
        <w:rPr>
          <w:i/>
        </w:rPr>
        <w:t>j</w:t>
      </w:r>
      <w:r w:rsidRPr="005D5611">
        <w:t xml:space="preserve">th stage or population (e.g., whole plants, plant sub units or higher trophic levels) is </w:t>
      </w:r>
    </w:p>
    <w:p w14:paraId="62E89875" w14:textId="77777777" w:rsidR="003A45CF" w:rsidRPr="005D5611" w:rsidRDefault="00947966" w:rsidP="003A45CF">
      <w:pPr>
        <w:pStyle w:val="SMText"/>
      </w:pPr>
      <w:r w:rsidRPr="005D5611">
        <w:rPr>
          <w:noProof/>
          <w:position w:val="-162"/>
        </w:rPr>
        <w:object w:dxaOrig="4380" w:dyaOrig="3360" w14:anchorId="0CA97173">
          <v:shape id="_x0000_i1038" type="#_x0000_t75" alt="" style="width:190.85pt;height:146.95pt;mso-width-percent:0;mso-height-percent:0;mso-width-percent:0;mso-height-percent:0" o:ole="">
            <v:imagedata r:id="rId36" o:title=""/>
          </v:shape>
          <o:OLEObject Type="Embed" ProgID="Equation.DSMT4" ShapeID="_x0000_i1038" DrawAspect="Content" ObjectID="_1662177447" r:id="rId37"/>
        </w:object>
      </w:r>
      <w:r w:rsidR="003A45CF" w:rsidRPr="005D5611">
        <w:t>.</w:t>
      </w:r>
      <w:r w:rsidR="003A45CF" w:rsidRPr="005D5611">
        <w:tab/>
      </w:r>
      <w:r w:rsidR="003A45CF" w:rsidRPr="005D5611">
        <w:tab/>
      </w:r>
      <w:r w:rsidR="003A45CF" w:rsidRPr="005D5611">
        <w:tab/>
      </w:r>
      <w:r w:rsidR="003A45CF" w:rsidRPr="005D5611">
        <w:tab/>
      </w:r>
      <w:r w:rsidR="003A45CF" w:rsidRPr="005D5611">
        <w:tab/>
        <w:t>(S4)</w:t>
      </w:r>
    </w:p>
    <w:p w14:paraId="102DB6BE" w14:textId="77777777" w:rsidR="003A45CF" w:rsidRPr="005D5611" w:rsidRDefault="003A45CF" w:rsidP="003A45CF">
      <w:pPr>
        <w:pStyle w:val="SMText"/>
        <w:ind w:firstLine="0"/>
      </w:pPr>
      <w:r w:rsidRPr="005D5611">
        <w:rPr>
          <w:i/>
          <w:iCs/>
        </w:rPr>
        <w:t>n</w:t>
      </w:r>
      <w:r w:rsidRPr="005D5611">
        <w:rPr>
          <w:i/>
          <w:iCs/>
          <w:vertAlign w:val="subscript"/>
        </w:rPr>
        <w:t>ji</w:t>
      </w:r>
      <w:r w:rsidRPr="005D5611">
        <w:t xml:space="preserve"> as a rate is the density (mass or numbers) of the </w:t>
      </w:r>
      <w:r w:rsidRPr="005D5611">
        <w:rPr>
          <w:i/>
        </w:rPr>
        <w:t>i</w:t>
      </w:r>
      <w:r w:rsidRPr="005D5611">
        <w:t xml:space="preserve">th age class of the </w:t>
      </w:r>
      <w:r w:rsidRPr="005D5611">
        <w:rPr>
          <w:i/>
        </w:rPr>
        <w:t>j</w:t>
      </w:r>
      <w:r w:rsidRPr="005D5611">
        <w:t xml:space="preserve">th population or species at time t, </w:t>
      </w:r>
    </w:p>
    <w:p w14:paraId="44C862A0" w14:textId="77777777" w:rsidR="003A45CF" w:rsidRPr="005D5611" w:rsidRDefault="00947966" w:rsidP="003A45CF">
      <w:pPr>
        <w:pStyle w:val="SMText"/>
      </w:pPr>
      <w:r w:rsidRPr="005D5611">
        <w:rPr>
          <w:noProof/>
          <w:position w:val="-14"/>
        </w:rPr>
        <w:object w:dxaOrig="620" w:dyaOrig="380" w14:anchorId="17CF2313">
          <v:shape id="_x0000_i1039" type="#_x0000_t75" alt="" style="width:31pt;height:19.3pt;mso-width-percent:0;mso-height-percent:0;mso-width-percent:0;mso-height-percent:0" o:ole="">
            <v:imagedata r:id="rId38" o:title=""/>
          </v:shape>
          <o:OLEObject Type="Embed" ProgID="Equation.DSMT4" ShapeID="_x0000_i1039" DrawAspect="Content" ObjectID="_1662177448" r:id="rId39"/>
        </w:object>
      </w:r>
      <w:r w:rsidR="003A45CF" w:rsidRPr="005D5611">
        <w:t>is the number of new individuals of age 0,</w:t>
      </w:r>
    </w:p>
    <w:p w14:paraId="567C7887" w14:textId="77777777" w:rsidR="003A45CF" w:rsidRPr="005D5611" w:rsidRDefault="003A45CF" w:rsidP="003A45CF">
      <w:pPr>
        <w:pStyle w:val="SMText"/>
      </w:pPr>
      <w:r w:rsidRPr="005D5611">
        <w:rPr>
          <w:i/>
          <w:iCs/>
        </w:rPr>
        <w:t>k</w:t>
      </w:r>
      <w:r w:rsidRPr="005D5611">
        <w:rPr>
          <w:i/>
          <w:iCs/>
          <w:vertAlign w:val="subscript"/>
        </w:rPr>
        <w:t>j</w:t>
      </w:r>
      <w:r w:rsidRPr="005D5611">
        <w:t xml:space="preserve"> is the number of age classes, </w:t>
      </w:r>
    </w:p>
    <w:p w14:paraId="0028BC2C" w14:textId="77777777" w:rsidR="003A45CF" w:rsidRPr="005D5611" w:rsidRDefault="003A45CF" w:rsidP="003A45CF">
      <w:pPr>
        <w:pStyle w:val="SMText"/>
      </w:pPr>
      <w:r w:rsidRPr="005D5611">
        <w:rPr>
          <w:i/>
          <w:iCs/>
        </w:rPr>
        <w:t>x</w:t>
      </w:r>
      <w:r w:rsidRPr="005D5611">
        <w:rPr>
          <w:i/>
          <w:iCs/>
          <w:vertAlign w:val="subscript"/>
        </w:rPr>
        <w:t>j</w:t>
      </w:r>
      <w:r w:rsidRPr="005D5611">
        <w:rPr>
          <w:i/>
          <w:iCs/>
        </w:rPr>
        <w:t xml:space="preserve"> </w:t>
      </w:r>
      <w:r w:rsidRPr="005D5611">
        <w:t>is the expected mean developmental time,</w:t>
      </w:r>
    </w:p>
    <w:p w14:paraId="35C79164" w14:textId="77777777" w:rsidR="003A45CF" w:rsidRPr="005D5611" w:rsidRDefault="003A45CF" w:rsidP="003A45CF">
      <w:pPr>
        <w:pStyle w:val="SMText"/>
      </w:pPr>
      <w:r w:rsidRPr="005D5611">
        <w:rPr>
          <w:i/>
        </w:rPr>
        <w:t>dt</w:t>
      </w:r>
      <w:r w:rsidRPr="005D5611">
        <w:t xml:space="preserve"> is a change in time (e.g., a day),</w:t>
      </w:r>
    </w:p>
    <w:p w14:paraId="44218604" w14:textId="77777777" w:rsidR="003A45CF" w:rsidRPr="005D5611" w:rsidRDefault="003A45CF" w:rsidP="003A45CF">
      <w:pPr>
        <w:pStyle w:val="SMText"/>
      </w:pPr>
      <w:r w:rsidRPr="005D5611">
        <w:rPr>
          <w:i/>
          <w:iCs/>
        </w:rPr>
        <w:sym w:font="Symbol" w:char="F044"/>
      </w:r>
      <w:r w:rsidRPr="005D5611">
        <w:rPr>
          <w:i/>
          <w:iCs/>
        </w:rPr>
        <w:t>x</w:t>
      </w:r>
      <w:r w:rsidRPr="005D5611">
        <w:rPr>
          <w:i/>
          <w:iCs/>
          <w:vertAlign w:val="subscript"/>
        </w:rPr>
        <w:t>j</w:t>
      </w:r>
      <w:r w:rsidRPr="005D5611">
        <w:rPr>
          <w:i/>
          <w:iCs/>
        </w:rPr>
        <w:t xml:space="preserve"> </w:t>
      </w:r>
      <w:r w:rsidRPr="005D5611">
        <w:t>is the daily increment of physiological age (see below),</w:t>
      </w:r>
    </w:p>
    <w:p w14:paraId="551F23C4" w14:textId="77777777" w:rsidR="003A45CF" w:rsidRPr="005D5611" w:rsidRDefault="00947966" w:rsidP="003A45CF">
      <w:pPr>
        <w:pStyle w:val="SMText"/>
        <w:rPr>
          <w:iCs/>
        </w:rPr>
      </w:pPr>
      <w:r w:rsidRPr="005D5611">
        <w:rPr>
          <w:noProof/>
          <w:position w:val="-14"/>
        </w:rPr>
        <w:object w:dxaOrig="340" w:dyaOrig="380" w14:anchorId="23BD22D6">
          <v:shape id="_x0000_i1040" type="#_x0000_t75" alt="" style="width:18.75pt;height:19.3pt;mso-width-percent:0;mso-height-percent:0;mso-width-percent:0;mso-height-percent:0" o:ole="">
            <v:imagedata r:id="rId40" o:title=""/>
          </v:shape>
          <o:OLEObject Type="Embed" ProgID="Equation.DSMT4" ShapeID="_x0000_i1040" DrawAspect="Content" ObjectID="_1662177449" r:id="rId41"/>
        </w:object>
      </w:r>
      <w:r w:rsidR="003A45CF" w:rsidRPr="005D5611">
        <w:t xml:space="preserve"> is the maturation rate from the age class </w:t>
      </w:r>
      <w:r w:rsidR="003A45CF" w:rsidRPr="005D5611">
        <w:rPr>
          <w:i/>
        </w:rPr>
        <w:t>k</w:t>
      </w:r>
      <w:r w:rsidR="003A45CF" w:rsidRPr="005D5611">
        <w:rPr>
          <w:i/>
          <w:vertAlign w:val="subscript"/>
        </w:rPr>
        <w:t>j</w:t>
      </w:r>
      <w:r w:rsidR="003A45CF" w:rsidRPr="005D5611">
        <w:rPr>
          <w:i/>
        </w:rPr>
        <w:t xml:space="preserve"> </w:t>
      </w:r>
      <w:r w:rsidR="003A45CF" w:rsidRPr="005D5611">
        <w:t xml:space="preserve">during </w:t>
      </w:r>
      <w:r w:rsidR="003A45CF" w:rsidRPr="005D5611">
        <w:rPr>
          <w:i/>
          <w:iCs/>
        </w:rPr>
        <w:sym w:font="Symbol" w:char="F044"/>
      </w:r>
      <w:r w:rsidR="003A45CF" w:rsidRPr="005D5611">
        <w:rPr>
          <w:i/>
          <w:iCs/>
        </w:rPr>
        <w:t>x</w:t>
      </w:r>
      <w:r w:rsidR="003A45CF" w:rsidRPr="005D5611">
        <w:rPr>
          <w:i/>
          <w:iCs/>
          <w:vertAlign w:val="subscript"/>
        </w:rPr>
        <w:t>j</w:t>
      </w:r>
      <w:r w:rsidR="003A45CF" w:rsidRPr="005D5611">
        <w:rPr>
          <w:i/>
          <w:iCs/>
        </w:rPr>
        <w:t>,</w:t>
      </w:r>
      <w:r w:rsidR="003A45CF" w:rsidRPr="005D5611">
        <w:rPr>
          <w:iCs/>
        </w:rPr>
        <w:t xml:space="preserve"> with variance of maturation times</w:t>
      </w:r>
    </w:p>
    <w:p w14:paraId="26ABE7A7" w14:textId="77777777" w:rsidR="003A45CF" w:rsidRPr="005D5611" w:rsidRDefault="00947966" w:rsidP="003A45CF">
      <w:pPr>
        <w:pStyle w:val="SMText"/>
      </w:pPr>
      <w:r w:rsidRPr="005D5611">
        <w:rPr>
          <w:noProof/>
          <w:position w:val="-26"/>
        </w:rPr>
        <w:object w:dxaOrig="1120" w:dyaOrig="680" w14:anchorId="0CC01FDE">
          <v:shape id="_x0000_i1041" type="#_x0000_t75" alt="" style="width:54.45pt;height:35.1pt;mso-width-percent:0;mso-height-percent:0;mso-width-percent:0;mso-height-percent:0" o:ole="">
            <v:imagedata r:id="rId42" o:title=""/>
          </v:shape>
          <o:OLEObject Type="Embed" ProgID="Equation.DSMT4" ShapeID="_x0000_i1041" DrawAspect="Content" ObjectID="_1662177450" r:id="rId43"/>
        </w:object>
      </w:r>
      <w:r w:rsidR="003A45CF" w:rsidRPr="005D5611">
        <w:t xml:space="preserve">. Note that var can be estimated from experiments and used to estimate </w:t>
      </w:r>
      <w:r w:rsidR="003A45CF" w:rsidRPr="005D5611">
        <w:rPr>
          <w:i/>
        </w:rPr>
        <w:t>k</w:t>
      </w:r>
      <w:r w:rsidR="003A45CF" w:rsidRPr="005D5611">
        <w:rPr>
          <w:i/>
          <w:vertAlign w:val="subscript"/>
        </w:rPr>
        <w:t>j</w:t>
      </w:r>
      <w:r w:rsidR="003A45CF" w:rsidRPr="005D5611">
        <w:t>,</w:t>
      </w:r>
    </w:p>
    <w:p w14:paraId="2BE2B627" w14:textId="77777777" w:rsidR="003A45CF" w:rsidRPr="005D5611" w:rsidRDefault="00947966" w:rsidP="003A45CF">
      <w:pPr>
        <w:pStyle w:val="SMText"/>
      </w:pPr>
      <w:r w:rsidRPr="005D5611">
        <w:rPr>
          <w:noProof/>
          <w:position w:val="-14"/>
        </w:rPr>
        <w:object w:dxaOrig="780" w:dyaOrig="380" w14:anchorId="6A88A50B">
          <v:shape id="_x0000_i1042" type="#_x0000_t75" alt="" style="width:36.9pt;height:19.3pt;mso-width-percent:0;mso-height-percent:0;mso-width-percent:0;mso-height-percent:0" o:ole="">
            <v:imagedata r:id="rId44" o:title=""/>
          </v:shape>
          <o:OLEObject Type="Embed" ProgID="Equation.DSMT4" ShapeID="_x0000_i1042" DrawAspect="Content" ObjectID="_1662177451" r:id="rId45"/>
        </w:object>
      </w:r>
      <w:r w:rsidR="003A45CF" w:rsidRPr="005D5611">
        <w:t>is the proportional age-specific net-loss rate at time t as modified by temperature, age, net immigration, and</w:t>
      </w:r>
      <w:r w:rsidR="003A45CF" w:rsidRPr="005D5611">
        <w:rPr>
          <w:i/>
        </w:rPr>
        <w:t xml:space="preserve"> </w:t>
      </w:r>
      <w:r w:rsidR="003A45CF" w:rsidRPr="005D5611">
        <w:t xml:space="preserve">mortality due to intrinsic and extrinsic factors (e.g., natural enemies). </w:t>
      </w:r>
    </w:p>
    <w:p w14:paraId="3372D0C2" w14:textId="77777777" w:rsidR="003A45CF" w:rsidRPr="005D5611" w:rsidRDefault="00947966" w:rsidP="003A45CF">
      <w:pPr>
        <w:pStyle w:val="SMText"/>
      </w:pPr>
      <w:r w:rsidRPr="005D5611">
        <w:rPr>
          <w:noProof/>
          <w:position w:val="-32"/>
        </w:rPr>
        <w:object w:dxaOrig="2120" w:dyaOrig="740" w14:anchorId="3AC7328F">
          <v:shape id="_x0000_i1043" type="#_x0000_t75" alt="" style="width:107.1pt;height:36.9pt;mso-width-percent:0;mso-height-percent:0;mso-width-percent:0;mso-height-percent:0" o:ole="">
            <v:imagedata r:id="rId46" o:title=""/>
          </v:shape>
          <o:OLEObject Type="Embed" ProgID="Equation.DSMT4" ShapeID="_x0000_i1043" DrawAspect="Content" ObjectID="_1662177452" r:id="rId47"/>
        </w:object>
      </w:r>
      <w:r w:rsidR="003A45CF" w:rsidRPr="005D5611">
        <w:t xml:space="preserve"> is the number (or mass) of individual of stage (or species) </w:t>
      </w:r>
      <w:r w:rsidR="003A45CF" w:rsidRPr="005D5611">
        <w:rPr>
          <w:i/>
        </w:rPr>
        <w:t>j</w:t>
      </w:r>
      <w:r w:rsidR="003A45CF" w:rsidRPr="005D5611">
        <w:t xml:space="preserve"> in the population at time t. If </w:t>
      </w:r>
      <w:r w:rsidR="003A45CF" w:rsidRPr="005D5611">
        <w:rPr>
          <w:i/>
        </w:rPr>
        <w:t>j</w:t>
      </w:r>
      <w:r w:rsidR="003A45CF" w:rsidRPr="005D5611">
        <w:t xml:space="preserve"> is for the adult stage, then</w:t>
      </w:r>
      <w:r w:rsidRPr="005D5611">
        <w:rPr>
          <w:noProof/>
          <w:position w:val="-28"/>
        </w:rPr>
        <w:object w:dxaOrig="1700" w:dyaOrig="720" w14:anchorId="29459F52">
          <v:shape id="_x0000_i1044" type="#_x0000_t75" alt="" style="width:1in;height:35.1pt;mso-width-percent:0;mso-height-percent:0;mso-width-percent:0;mso-height-percent:0" o:ole="">
            <v:imagedata r:id="rId48" o:title=""/>
          </v:shape>
          <o:OLEObject Type="Embed" ProgID="Equation.DSMT4" ShapeID="_x0000_i1044" DrawAspect="Content" ObjectID="_1662177453" r:id="rId49"/>
        </w:object>
      </w:r>
      <w:r w:rsidR="003A45CF" w:rsidRPr="005D5611">
        <w:t xml:space="preserve"> is total population births and </w:t>
      </w:r>
      <w:r w:rsidR="003A45CF" w:rsidRPr="005D5611">
        <w:rPr>
          <w:i/>
        </w:rPr>
        <w:t>i=1</w:t>
      </w:r>
      <w:r w:rsidR="003A45CF" w:rsidRPr="005D5611">
        <w:t xml:space="preserve"> is the youngest reproductive age, </w:t>
      </w:r>
      <w:r w:rsidR="003A45CF" w:rsidRPr="005D5611">
        <w:rPr>
          <w:i/>
        </w:rPr>
        <w:t>b</w:t>
      </w:r>
      <w:r w:rsidR="003A45CF" w:rsidRPr="005D5611">
        <w:rPr>
          <w:i/>
          <w:vertAlign w:val="subscript"/>
        </w:rPr>
        <w:t>ji</w:t>
      </w:r>
      <w:r w:rsidR="003A45CF" w:rsidRPr="005D5611">
        <w:t xml:space="preserve"> is the per capita birth rate at age </w:t>
      </w:r>
      <w:r w:rsidR="003A45CF" w:rsidRPr="005D5611">
        <w:rPr>
          <w:i/>
        </w:rPr>
        <w:t>k</w:t>
      </w:r>
      <w:r w:rsidR="003A45CF" w:rsidRPr="005D5611">
        <w:rPr>
          <w:i/>
          <w:vertAlign w:val="subscript"/>
        </w:rPr>
        <w:t>ji</w:t>
      </w:r>
      <w:r w:rsidR="003A45CF" w:rsidRPr="005D5611">
        <w:rPr>
          <w:vertAlign w:val="subscript"/>
        </w:rPr>
        <w:t xml:space="preserve"> </w:t>
      </w:r>
      <w:r w:rsidR="003A45CF" w:rsidRPr="005D5611">
        <w:t xml:space="preserve">during </w:t>
      </w:r>
      <w:r w:rsidR="003A45CF" w:rsidRPr="005D5611">
        <w:rPr>
          <w:i/>
          <w:iCs/>
        </w:rPr>
        <w:sym w:font="Symbol" w:char="F044"/>
      </w:r>
      <w:r w:rsidR="003A45CF" w:rsidRPr="005D5611">
        <w:rPr>
          <w:i/>
          <w:iCs/>
        </w:rPr>
        <w:t>x</w:t>
      </w:r>
      <w:r w:rsidR="003A45CF" w:rsidRPr="005D5611">
        <w:rPr>
          <w:i/>
          <w:iCs/>
          <w:vertAlign w:val="subscript"/>
        </w:rPr>
        <w:t>j</w:t>
      </w:r>
      <w:r w:rsidR="003A45CF" w:rsidRPr="005D5611">
        <w:rPr>
          <w:i/>
          <w:iCs/>
        </w:rPr>
        <w:t>.</w:t>
      </w:r>
    </w:p>
    <w:p w14:paraId="56BF6D1B" w14:textId="77777777" w:rsidR="003A45CF" w:rsidRPr="005D5611" w:rsidRDefault="003A45CF" w:rsidP="003A45CF">
      <w:pPr>
        <w:pStyle w:val="SMText"/>
      </w:pPr>
      <w:r w:rsidRPr="005D5611">
        <w:t>Births (</w:t>
      </w:r>
      <w:r w:rsidR="00947966" w:rsidRPr="005D5611">
        <w:rPr>
          <w:noProof/>
          <w:position w:val="-14"/>
        </w:rPr>
        <w:object w:dxaOrig="620" w:dyaOrig="380" w14:anchorId="3C377D38">
          <v:shape id="_x0000_i1045" type="#_x0000_t75" alt="" style="width:31pt;height:19.3pt;mso-width-percent:0;mso-height-percent:0;mso-width-percent:0;mso-height-percent:0" o:ole="">
            <v:imagedata r:id="rId50" o:title=""/>
          </v:shape>
          <o:OLEObject Type="Embed" ProgID="Equation.DSMT4" ShapeID="_x0000_i1045" DrawAspect="Content" ObjectID="_1662177454" r:id="rId51"/>
        </w:object>
      </w:r>
      <w:r w:rsidRPr="005D5611">
        <w:t>) enter the first age class of the immature stage, with flow rates of individuals occurring between stages. Net mass growth rate and can be computed as part of the net proportional loss rate</w:t>
      </w:r>
      <w:r w:rsidR="00947966" w:rsidRPr="005D5611">
        <w:rPr>
          <w:noProof/>
          <w:position w:val="-14"/>
        </w:rPr>
        <w:object w:dxaOrig="780" w:dyaOrig="380" w14:anchorId="11E86ADA">
          <v:shape id="_x0000_i1046" type="#_x0000_t75" alt="" style="width:36.9pt;height:19.3pt;mso-width-percent:0;mso-height-percent:0;mso-width-percent:0;mso-height-percent:0" o:ole="">
            <v:imagedata r:id="rId44" o:title=""/>
          </v:shape>
          <o:OLEObject Type="Embed" ProgID="Equation.DSMT4" ShapeID="_x0000_i1046" DrawAspect="Content" ObjectID="_1662177455" r:id="rId52"/>
        </w:object>
      </w:r>
      <w:r w:rsidRPr="005D5611">
        <w:t xml:space="preserve"> that may be </w:t>
      </w:r>
      <w:r w:rsidRPr="005D5611">
        <w:rPr>
          <w:color w:val="000000"/>
        </w:rPr>
        <w:t>(+, -)</w:t>
      </w:r>
      <w:r w:rsidRPr="005D5611">
        <w:t>.</w:t>
      </w:r>
      <w:r w:rsidRPr="005D5611">
        <w:rPr>
          <w:i/>
        </w:rPr>
        <w:t xml:space="preserve"> </w:t>
      </w:r>
      <w:r w:rsidRPr="005D5611">
        <w:t xml:space="preserve">Survivors reaching the maximum mean age </w:t>
      </w:r>
      <w:r w:rsidRPr="005D5611">
        <w:rPr>
          <w:i/>
        </w:rPr>
        <w:t>x</w:t>
      </w:r>
      <w:r w:rsidRPr="005D5611">
        <w:rPr>
          <w:i/>
          <w:iCs/>
          <w:vertAlign w:val="subscript"/>
        </w:rPr>
        <w:t>j</w:t>
      </w:r>
      <w:r w:rsidRPr="005D5611">
        <w:t xml:space="preserve"> exit at a rate</w:t>
      </w:r>
      <w:r w:rsidR="00947966" w:rsidRPr="005D5611">
        <w:rPr>
          <w:noProof/>
          <w:position w:val="-14"/>
        </w:rPr>
        <w:object w:dxaOrig="580" w:dyaOrig="380" w14:anchorId="2B1FF9FE">
          <v:shape id="_x0000_i1047" type="#_x0000_t75" alt="" style="width:29.85pt;height:19.3pt;mso-width-percent:0;mso-height-percent:0;mso-width-percent:0;mso-height-percent:0" o:ole="">
            <v:imagedata r:id="rId53" o:title=""/>
          </v:shape>
          <o:OLEObject Type="Embed" ProgID="Equation.DSMT4" ShapeID="_x0000_i1047" DrawAspect="Content" ObjectID="_1662177456" r:id="rId54"/>
        </w:object>
      </w:r>
      <w:r w:rsidRPr="005D5611">
        <w:t xml:space="preserve"> and depending on the stage flow into the next stage or exit the population in the final stage as deaths (Fig. S2a). (By analogy, births in plants could be the production of new plant, plant subunits or seeds.) </w:t>
      </w:r>
      <w:r w:rsidRPr="005D5611">
        <w:rPr>
          <w:iCs/>
        </w:rPr>
        <w:t>The computations for the dynamics of all species at all different levels with and without mortality are made with the same few lines of computer code (see below)</w:t>
      </w:r>
      <w:r w:rsidRPr="005D5611">
        <w:t xml:space="preserve">. </w:t>
      </w:r>
    </w:p>
    <w:p w14:paraId="08C97B5B" w14:textId="41412960" w:rsidR="003A45CF" w:rsidRPr="005D5611" w:rsidRDefault="003A45CF" w:rsidP="003A45CF">
      <w:pPr>
        <w:pStyle w:val="SMText"/>
      </w:pPr>
      <w:r w:rsidRPr="005D5611">
        <w:t xml:space="preserve">Another, more mathematically sophisticated model used to describe a stage-structured population is based on a system of forward Fokker-Planck partial differential equations </w:t>
      </w:r>
      <w:r w:rsidRPr="005D5611">
        <w:fldChar w:fldCharType="begin"/>
      </w:r>
      <w:r w:rsidR="002F5A10">
        <w:instrText xml:space="preserve"> ADDIN ZOTERO_ITEM CSL_CITATION {"citationID":"I5EtNPwR","properties":{"formattedCitation":"[54]","plainCitation":"[54]","noteIndex":0},"citationItems":[{"id":12039,"uris":["http://zotero.org/users/1272936/items/9Z5A8JJS"],"uri":["http://zotero.org/users/1272936/items/9Z5A8JJS"],"itemData":{"id":12039,"type":"article-journal","abstract":"A nonlinear stochastic model for the dynamics of a population with either a continuous size structure or a discontinuous stage structure is formulated in the Eulerian formalism. It takes into account dispersion effects due to stochastic variability of the development process of the individuals. The discrete equations of the numerical approximation are derived, and an analysis of the existence and stability of the equilibrium states is performed. An application to a copepod population is illustrated; numerical results of Eulerian and Lagrangian models are compared.","container-title":"Journal of Mathematical Biology","DOI":"10.1007/s00285-006-0058-2","ISSN":"1432-1416","issue":"4","journalAbbreviation":"J. Math. Biol.","language":"en","page":"555-595","source":"Springer Link","title":"Structured population dynamics: continuous size and discontinuous stage structures","title-short":"Structured population dynamics","volume":"54","author":[{"family":"Buffoni","given":"Giuseppe"},{"family":"Pasquali","given":"Sara"}],"issued":{"date-parts":[["2007",4,1]]}}}],"schema":"https://github.com/citation-style-language/schema/raw/master/csl-citation.json"} </w:instrText>
      </w:r>
      <w:r w:rsidRPr="005D5611">
        <w:fldChar w:fldCharType="separate"/>
      </w:r>
      <w:r w:rsidR="00C51ED3">
        <w:t>[54]</w:t>
      </w:r>
      <w:r w:rsidRPr="005D5611">
        <w:fldChar w:fldCharType="end"/>
      </w:r>
      <w:r w:rsidRPr="005D5611">
        <w:t>. This stochastic demographic model also takes into account the variability of the development rate among individuals.</w:t>
      </w:r>
      <w:r w:rsidRPr="005D5611">
        <w:rPr>
          <w:b/>
        </w:rPr>
        <w:t xml:space="preserve"> </w:t>
      </w:r>
      <w:r w:rsidRPr="005D5611">
        <w:t xml:space="preserve">Suppose the population composed by </w:t>
      </w:r>
      <m:oMath>
        <m:r>
          <w:rPr>
            <w:rFonts w:ascii="Cambria Math" w:hAnsi="Cambria Math"/>
          </w:rPr>
          <m:t>s</m:t>
        </m:r>
      </m:oMath>
      <w:r w:rsidRPr="005D5611">
        <w:t xml:space="preserve"> stages. Denoting by </w:t>
      </w:r>
      <m:oMath>
        <m:sSup>
          <m:sSupPr>
            <m:ctrlPr>
              <w:rPr>
                <w:rFonts w:ascii="Cambria Math" w:hAnsi="Cambria Math"/>
                <w:i/>
              </w:rPr>
            </m:ctrlPr>
          </m:sSupPr>
          <m:e>
            <m:r>
              <w:rPr>
                <w:rFonts w:ascii="Cambria Math" w:hAnsi="Cambria Math"/>
              </w:rPr>
              <m:t>n</m:t>
            </m:r>
          </m:e>
          <m:sup>
            <m:r>
              <w:rPr>
                <w:rFonts w:ascii="Cambria Math" w:hAnsi="Cambria Math"/>
              </w:rPr>
              <m:t>i</m:t>
            </m:r>
          </m:sup>
        </m:sSup>
        <m:d>
          <m:dPr>
            <m:ctrlPr>
              <w:rPr>
                <w:rFonts w:ascii="Cambria Math" w:hAnsi="Cambria Math"/>
                <w:i/>
              </w:rPr>
            </m:ctrlPr>
          </m:dPr>
          <m:e>
            <m:r>
              <w:rPr>
                <w:rFonts w:ascii="Cambria Math" w:hAnsi="Cambria Math"/>
              </w:rPr>
              <m:t>t,x</m:t>
            </m:r>
          </m:e>
        </m:d>
      </m:oMath>
      <w:r w:rsidRPr="005D5611">
        <w:t xml:space="preserve"> (</w:t>
      </w:r>
      <m:oMath>
        <m:r>
          <w:rPr>
            <w:rFonts w:ascii="Cambria Math" w:hAnsi="Cambria Math"/>
          </w:rPr>
          <m:t>i=1, 2, 3, 4</m:t>
        </m:r>
      </m:oMath>
      <w:r w:rsidRPr="005D5611">
        <w:t xml:space="preserve">) the abundance of individuals in stage </w:t>
      </w:r>
      <m:oMath>
        <m:r>
          <w:rPr>
            <w:rFonts w:ascii="Cambria Math" w:hAnsi="Cambria Math"/>
          </w:rPr>
          <m:t>i</m:t>
        </m:r>
      </m:oMath>
      <w:r w:rsidRPr="005D5611">
        <w:t xml:space="preserve"> (</w:t>
      </w:r>
      <m:oMath>
        <m:r>
          <w:rPr>
            <w:rFonts w:ascii="Cambria Math" w:hAnsi="Cambria Math"/>
          </w:rPr>
          <m:t>i=1, 2,…,s</m:t>
        </m:r>
      </m:oMath>
      <w:r w:rsidRPr="005D5611">
        <w:t xml:space="preserve">) at time </w:t>
      </w:r>
      <w:r w:rsidRPr="005D5611">
        <w:rPr>
          <w:i/>
        </w:rPr>
        <w:t>t,</w:t>
      </w:r>
      <w:r w:rsidRPr="005D5611">
        <w:t xml:space="preserve"> with age </w:t>
      </w:r>
      <w:r w:rsidRPr="005D5611">
        <w:rPr>
          <w:i/>
        </w:rPr>
        <w:t>x</w:t>
      </w:r>
      <w:r w:rsidRPr="005D5611">
        <w:t xml:space="preserve">, and by </w:t>
      </w:r>
      <m:oMath>
        <m:sSup>
          <m:sSupPr>
            <m:ctrlPr>
              <w:rPr>
                <w:rFonts w:ascii="Cambria Math" w:hAnsi="Cambria Math"/>
                <w:i/>
                <w:iCs/>
              </w:rPr>
            </m:ctrlPr>
          </m:sSupPr>
          <m:e>
            <m:r>
              <w:rPr>
                <w:rFonts w:ascii="Cambria Math" w:hAnsi="Cambria Math"/>
              </w:rPr>
              <m:t>v</m:t>
            </m:r>
          </m:e>
          <m:sup>
            <m:r>
              <w:rPr>
                <w:rFonts w:ascii="Cambria Math" w:hAnsi="Cambria Math"/>
              </w:rPr>
              <m:t>i</m:t>
            </m:r>
          </m:sup>
        </m:sSup>
        <m:d>
          <m:dPr>
            <m:ctrlPr>
              <w:rPr>
                <w:rFonts w:ascii="Cambria Math" w:hAnsi="Cambria Math"/>
                <w:i/>
                <w:iCs/>
              </w:rPr>
            </m:ctrlPr>
          </m:dPr>
          <m:e>
            <m:r>
              <w:rPr>
                <w:rFonts w:ascii="Cambria Math" w:hAnsi="Cambria Math"/>
              </w:rPr>
              <m:t>t</m:t>
            </m:r>
          </m:e>
        </m:d>
      </m:oMath>
      <w:r w:rsidRPr="005D5611">
        <w:t xml:space="preserve"> and </w:t>
      </w:r>
      <m:oMath>
        <m:sSup>
          <m:sSupPr>
            <m:ctrlPr>
              <w:rPr>
                <w:rFonts w:ascii="Cambria Math" w:hAnsi="Cambria Math"/>
                <w:i/>
                <w:iCs/>
              </w:rPr>
            </m:ctrlPr>
          </m:sSupPr>
          <m:e>
            <m:r>
              <w:rPr>
                <w:rFonts w:ascii="Cambria Math" w:hAnsi="Cambria Math"/>
              </w:rPr>
              <m:t>m</m:t>
            </m:r>
          </m:e>
          <m:sup>
            <m:r>
              <w:rPr>
                <w:rFonts w:ascii="Cambria Math" w:hAnsi="Cambria Math"/>
              </w:rPr>
              <m:t>i</m:t>
            </m:r>
          </m:sup>
        </m:sSup>
        <m:d>
          <m:dPr>
            <m:ctrlPr>
              <w:rPr>
                <w:rFonts w:ascii="Cambria Math" w:hAnsi="Cambria Math"/>
                <w:i/>
                <w:iCs/>
              </w:rPr>
            </m:ctrlPr>
          </m:dPr>
          <m:e>
            <m:r>
              <w:rPr>
                <w:rFonts w:ascii="Cambria Math" w:hAnsi="Cambria Math"/>
              </w:rPr>
              <m:t>t</m:t>
            </m:r>
          </m:e>
        </m:d>
      </m:oMath>
      <w:r w:rsidRPr="005D5611">
        <w:t xml:space="preserve"> the stage-specific development and mortality rates, respectively, the population dynamics is described by the system:</w:t>
      </w:r>
    </w:p>
    <w:p w14:paraId="348DFDAB" w14:textId="77777777" w:rsidR="003A45CF" w:rsidRPr="005D5611" w:rsidRDefault="00DB4BFE" w:rsidP="003A45CF">
      <w:pPr>
        <w:pStyle w:val="SMText"/>
        <w:rPr>
          <w:iCs/>
        </w:rPr>
      </w:pPr>
      <m:oMath>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n</m:t>
                </m:r>
              </m:e>
              <m:sup>
                <m:r>
                  <w:rPr>
                    <w:rFonts w:ascii="Cambria Math" w:hAnsi="Cambria Math"/>
                  </w:rPr>
                  <m:t>i</m:t>
                </m:r>
              </m:sup>
            </m:sSup>
          </m:num>
          <m:den>
            <m:r>
              <w:rPr>
                <w:rFonts w:ascii="Cambria Math" w:hAnsi="Cambria Math"/>
              </w:rPr>
              <m:t>∂t</m:t>
            </m:r>
          </m:den>
        </m:f>
        <m:r>
          <w:rPr>
            <w:rFonts w:ascii="Cambria Math" w:hAnsi="Cambria Math"/>
          </w:rPr>
          <m:t>+</m:t>
        </m:r>
        <m:f>
          <m:fPr>
            <m:ctrlPr>
              <w:rPr>
                <w:rFonts w:ascii="Cambria Math" w:hAnsi="Cambria Math"/>
                <w:i/>
                <w:iCs/>
              </w:rPr>
            </m:ctrlPr>
          </m:fPr>
          <m:num>
            <m:r>
              <w:rPr>
                <w:rFonts w:ascii="Cambria Math" w:hAnsi="Cambria Math"/>
              </w:rPr>
              <m:t>∂</m:t>
            </m:r>
          </m:num>
          <m:den>
            <m:r>
              <w:rPr>
                <w:rFonts w:ascii="Cambria Math" w:hAnsi="Cambria Math"/>
              </w:rPr>
              <m:t>∂x</m:t>
            </m:r>
          </m:den>
        </m:f>
        <m:d>
          <m:dPr>
            <m:begChr m:val="["/>
            <m:endChr m:val="]"/>
            <m:ctrlPr>
              <w:rPr>
                <w:rFonts w:ascii="Cambria Math" w:hAnsi="Cambria Math"/>
                <w:i/>
                <w:iCs/>
              </w:rPr>
            </m:ctrlPr>
          </m:dPr>
          <m:e>
            <m:sSup>
              <m:sSupPr>
                <m:ctrlPr>
                  <w:rPr>
                    <w:rFonts w:ascii="Cambria Math" w:hAnsi="Cambria Math"/>
                    <w:i/>
                    <w:iCs/>
                  </w:rPr>
                </m:ctrlPr>
              </m:sSupPr>
              <m:e>
                <m:r>
                  <w:rPr>
                    <w:rFonts w:ascii="Cambria Math" w:hAnsi="Cambria Math"/>
                  </w:rPr>
                  <m:t>v</m:t>
                </m:r>
              </m:e>
              <m:sup>
                <m:r>
                  <w:rPr>
                    <w:rFonts w:ascii="Cambria Math" w:hAnsi="Cambria Math"/>
                  </w:rPr>
                  <m:t>i</m:t>
                </m:r>
              </m:sup>
            </m:sSup>
            <m:d>
              <m:dPr>
                <m:ctrlPr>
                  <w:rPr>
                    <w:rFonts w:ascii="Cambria Math" w:hAnsi="Cambria Math"/>
                    <w:i/>
                    <w:iCs/>
                  </w:rPr>
                </m:ctrlPr>
              </m:dPr>
              <m:e>
                <m:r>
                  <w:rPr>
                    <w:rFonts w:ascii="Cambria Math" w:hAnsi="Cambria Math"/>
                  </w:rPr>
                  <m:t>t</m:t>
                </m:r>
              </m:e>
            </m:d>
            <m:sSup>
              <m:sSupPr>
                <m:ctrlPr>
                  <w:rPr>
                    <w:rFonts w:ascii="Cambria Math" w:hAnsi="Cambria Math"/>
                    <w:i/>
                    <w:iCs/>
                  </w:rPr>
                </m:ctrlPr>
              </m:sSupPr>
              <m:e>
                <m:r>
                  <w:rPr>
                    <w:rFonts w:ascii="Cambria Math" w:hAnsi="Cambria Math"/>
                  </w:rPr>
                  <m:t>n</m:t>
                </m:r>
              </m:e>
              <m:sup>
                <m:r>
                  <w:rPr>
                    <w:rFonts w:ascii="Cambria Math" w:hAnsi="Cambria Math"/>
                  </w:rPr>
                  <m:t>i</m:t>
                </m:r>
              </m:sup>
            </m:sSup>
            <m:r>
              <w:rPr>
                <w:rFonts w:ascii="Cambria Math" w:hAnsi="Cambria Math"/>
              </w:rPr>
              <m:t>-</m:t>
            </m:r>
            <m:sSup>
              <m:sSupPr>
                <m:ctrlPr>
                  <w:rPr>
                    <w:rFonts w:ascii="Cambria Math" w:hAnsi="Cambria Math"/>
                    <w:i/>
                    <w:iCs/>
                  </w:rPr>
                </m:ctrlPr>
              </m:sSupPr>
              <m:e>
                <m:r>
                  <w:rPr>
                    <w:rFonts w:ascii="Cambria Math" w:hAnsi="Cambria Math"/>
                  </w:rPr>
                  <m:t>σ</m:t>
                </m:r>
              </m:e>
              <m:sup>
                <m:r>
                  <w:rPr>
                    <w:rFonts w:ascii="Cambria Math" w:hAnsi="Cambria Math"/>
                  </w:rPr>
                  <m:t>i</m:t>
                </m:r>
              </m:sup>
            </m:sSup>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n</m:t>
                    </m:r>
                  </m:e>
                  <m:sup>
                    <m:r>
                      <w:rPr>
                        <w:rFonts w:ascii="Cambria Math" w:hAnsi="Cambria Math"/>
                      </w:rPr>
                      <m:t>i</m:t>
                    </m:r>
                  </m:sup>
                </m:sSup>
              </m:num>
              <m:den>
                <m:r>
                  <w:rPr>
                    <w:rFonts w:ascii="Cambria Math" w:hAnsi="Cambria Math"/>
                  </w:rPr>
                  <m:t>∂x</m:t>
                </m:r>
              </m:den>
            </m:f>
          </m:e>
        </m:d>
        <m:r>
          <w:rPr>
            <w:rFonts w:ascii="Cambria Math" w:hAnsi="Cambria Math"/>
          </w:rPr>
          <m:t>+</m:t>
        </m:r>
        <m:sSup>
          <m:sSupPr>
            <m:ctrlPr>
              <w:rPr>
                <w:rFonts w:ascii="Cambria Math" w:hAnsi="Cambria Math"/>
                <w:i/>
                <w:iCs/>
              </w:rPr>
            </m:ctrlPr>
          </m:sSupPr>
          <m:e>
            <m:r>
              <w:rPr>
                <w:rFonts w:ascii="Cambria Math" w:hAnsi="Cambria Math"/>
              </w:rPr>
              <m:t>m</m:t>
            </m:r>
          </m:e>
          <m:sup>
            <m:r>
              <w:rPr>
                <w:rFonts w:ascii="Cambria Math" w:hAnsi="Cambria Math"/>
              </w:rPr>
              <m:t>i</m:t>
            </m:r>
          </m:sup>
        </m:sSup>
        <m:d>
          <m:dPr>
            <m:ctrlPr>
              <w:rPr>
                <w:rFonts w:ascii="Cambria Math" w:hAnsi="Cambria Math"/>
                <w:i/>
                <w:iCs/>
              </w:rPr>
            </m:ctrlPr>
          </m:dPr>
          <m:e>
            <m:r>
              <w:rPr>
                <w:rFonts w:ascii="Cambria Math" w:hAnsi="Cambria Math"/>
              </w:rPr>
              <m:t>t</m:t>
            </m:r>
          </m:e>
        </m:d>
        <m:sSup>
          <m:sSupPr>
            <m:ctrlPr>
              <w:rPr>
                <w:rFonts w:ascii="Cambria Math" w:hAnsi="Cambria Math"/>
                <w:i/>
                <w:iCs/>
              </w:rPr>
            </m:ctrlPr>
          </m:sSupPr>
          <m:e>
            <m:r>
              <w:rPr>
                <w:rFonts w:ascii="Cambria Math" w:hAnsi="Cambria Math"/>
              </w:rPr>
              <m:t>n</m:t>
            </m:r>
          </m:e>
          <m:sup>
            <m:r>
              <w:rPr>
                <w:rFonts w:ascii="Cambria Math" w:hAnsi="Cambria Math"/>
              </w:rPr>
              <m:t>i</m:t>
            </m:r>
          </m:sup>
        </m:sSup>
        <m:r>
          <w:rPr>
            <w:rFonts w:ascii="Cambria Math" w:hAnsi="Cambria Math"/>
          </w:rPr>
          <m:t>=0,  t&gt;</m:t>
        </m:r>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 x∈</m:t>
        </m:r>
        <m:d>
          <m:dPr>
            <m:ctrlPr>
              <w:rPr>
                <w:rFonts w:ascii="Cambria Math" w:hAnsi="Cambria Math"/>
                <w:i/>
                <w:iCs/>
              </w:rPr>
            </m:ctrlPr>
          </m:dPr>
          <m:e>
            <m:r>
              <w:rPr>
                <w:rFonts w:ascii="Cambria Math" w:hAnsi="Cambria Math"/>
              </w:rPr>
              <m:t>0,1</m:t>
            </m:r>
          </m:e>
        </m:d>
        <m:r>
          <w:rPr>
            <w:rFonts w:ascii="Cambria Math" w:hAnsi="Cambria Math"/>
          </w:rPr>
          <m:t>,</m:t>
        </m:r>
      </m:oMath>
      <w:r w:rsidR="003A45CF" w:rsidRPr="005D5611">
        <w:tab/>
      </w:r>
      <w:r w:rsidR="003A45CF" w:rsidRPr="005D5611">
        <w:tab/>
      </w:r>
      <w:r w:rsidR="003A45CF" w:rsidRPr="005D5611">
        <w:tab/>
        <w:t>(S5)</w:t>
      </w:r>
    </w:p>
    <w:p w14:paraId="46495805" w14:textId="77777777" w:rsidR="003A45CF" w:rsidRPr="005D5611" w:rsidRDefault="00DB4BFE" w:rsidP="003A45CF">
      <w:pPr>
        <w:pStyle w:val="SMText"/>
        <w:rPr>
          <w:iCs/>
        </w:rPr>
      </w:pPr>
      <m:oMath>
        <m:sSub>
          <m:sSubPr>
            <m:ctrlPr>
              <w:rPr>
                <w:rFonts w:ascii="Cambria Math" w:hAnsi="Cambria Math"/>
                <w:i/>
                <w:iCs/>
              </w:rPr>
            </m:ctrlPr>
          </m:sSubPr>
          <m:e>
            <m:r>
              <w:rPr>
                <w:rFonts w:ascii="Cambria Math" w:hAnsi="Cambria Math"/>
              </w:rPr>
              <m:t xml:space="preserve"> </m:t>
            </m:r>
            <m:d>
              <m:dPr>
                <m:begChr m:val="["/>
                <m:endChr m:val="]"/>
                <m:ctrlPr>
                  <w:rPr>
                    <w:rFonts w:ascii="Cambria Math" w:hAnsi="Cambria Math"/>
                    <w:i/>
                    <w:iCs/>
                  </w:rPr>
                </m:ctrlPr>
              </m:dPr>
              <m:e>
                <m:sSup>
                  <m:sSupPr>
                    <m:ctrlPr>
                      <w:rPr>
                        <w:rFonts w:ascii="Cambria Math" w:hAnsi="Cambria Math"/>
                        <w:i/>
                        <w:iCs/>
                      </w:rPr>
                    </m:ctrlPr>
                  </m:sSupPr>
                  <m:e>
                    <m:r>
                      <w:rPr>
                        <w:rFonts w:ascii="Cambria Math" w:hAnsi="Cambria Math"/>
                      </w:rPr>
                      <m:t>v</m:t>
                    </m:r>
                  </m:e>
                  <m:sup>
                    <m:r>
                      <w:rPr>
                        <w:rFonts w:ascii="Cambria Math" w:hAnsi="Cambria Math"/>
                      </w:rPr>
                      <m:t>i</m:t>
                    </m:r>
                  </m:sup>
                </m:sSup>
                <m:d>
                  <m:dPr>
                    <m:ctrlPr>
                      <w:rPr>
                        <w:rFonts w:ascii="Cambria Math" w:hAnsi="Cambria Math"/>
                        <w:i/>
                        <w:iCs/>
                      </w:rPr>
                    </m:ctrlPr>
                  </m:dPr>
                  <m:e>
                    <m:r>
                      <w:rPr>
                        <w:rFonts w:ascii="Cambria Math" w:hAnsi="Cambria Math"/>
                      </w:rPr>
                      <m:t>t</m:t>
                    </m:r>
                  </m:e>
                </m:d>
                <m:sSup>
                  <m:sSupPr>
                    <m:ctrlPr>
                      <w:rPr>
                        <w:rFonts w:ascii="Cambria Math" w:hAnsi="Cambria Math"/>
                        <w:i/>
                        <w:iCs/>
                      </w:rPr>
                    </m:ctrlPr>
                  </m:sSupPr>
                  <m:e>
                    <m:r>
                      <w:rPr>
                        <w:rFonts w:ascii="Cambria Math" w:hAnsi="Cambria Math"/>
                      </w:rPr>
                      <m:t>n</m:t>
                    </m:r>
                  </m:e>
                  <m:sup>
                    <m:r>
                      <w:rPr>
                        <w:rFonts w:ascii="Cambria Math" w:hAnsi="Cambria Math"/>
                      </w:rPr>
                      <m:t>i</m:t>
                    </m:r>
                  </m:sup>
                </m:sSup>
                <m:d>
                  <m:dPr>
                    <m:ctrlPr>
                      <w:rPr>
                        <w:rFonts w:ascii="Cambria Math" w:hAnsi="Cambria Math"/>
                        <w:i/>
                        <w:iCs/>
                      </w:rPr>
                    </m:ctrlPr>
                  </m:dPr>
                  <m:e>
                    <m:r>
                      <w:rPr>
                        <w:rFonts w:ascii="Cambria Math" w:hAnsi="Cambria Math"/>
                      </w:rPr>
                      <m:t>t,x</m:t>
                    </m:r>
                  </m:e>
                </m:d>
                <m:r>
                  <w:rPr>
                    <w:rFonts w:ascii="Cambria Math" w:hAnsi="Cambria Math"/>
                  </w:rPr>
                  <m:t>-</m:t>
                </m:r>
                <m:sSup>
                  <m:sSupPr>
                    <m:ctrlPr>
                      <w:rPr>
                        <w:rFonts w:ascii="Cambria Math" w:hAnsi="Cambria Math"/>
                        <w:i/>
                        <w:iCs/>
                      </w:rPr>
                    </m:ctrlPr>
                  </m:sSupPr>
                  <m:e>
                    <m:r>
                      <w:rPr>
                        <w:rFonts w:ascii="Cambria Math" w:hAnsi="Cambria Math"/>
                      </w:rPr>
                      <m:t>σ</m:t>
                    </m:r>
                  </m:e>
                  <m:sup>
                    <m:r>
                      <w:rPr>
                        <w:rFonts w:ascii="Cambria Math" w:hAnsi="Cambria Math"/>
                      </w:rPr>
                      <m:t>i</m:t>
                    </m:r>
                  </m:sup>
                </m:sSup>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n</m:t>
                        </m:r>
                      </m:e>
                      <m:sup>
                        <m:r>
                          <w:rPr>
                            <w:rFonts w:ascii="Cambria Math" w:hAnsi="Cambria Math"/>
                          </w:rPr>
                          <m:t>i</m:t>
                        </m:r>
                      </m:sup>
                    </m:sSup>
                  </m:num>
                  <m:den>
                    <m:r>
                      <w:rPr>
                        <w:rFonts w:ascii="Cambria Math" w:hAnsi="Cambria Math"/>
                      </w:rPr>
                      <m:t>∂x</m:t>
                    </m:r>
                  </m:den>
                </m:f>
              </m:e>
            </m:d>
          </m:e>
          <m:sub>
            <m:r>
              <w:rPr>
                <w:rFonts w:ascii="Cambria Math" w:hAnsi="Cambria Math"/>
              </w:rPr>
              <m:t>x=0</m:t>
            </m:r>
          </m:sub>
        </m:sSub>
        <m:r>
          <w:rPr>
            <w:rFonts w:ascii="Cambria Math" w:hAnsi="Cambria Math"/>
          </w:rPr>
          <m:t>=</m:t>
        </m:r>
        <m:sSup>
          <m:sSupPr>
            <m:ctrlPr>
              <w:rPr>
                <w:rFonts w:ascii="Cambria Math" w:hAnsi="Cambria Math"/>
                <w:i/>
                <w:iCs/>
              </w:rPr>
            </m:ctrlPr>
          </m:sSupPr>
          <m:e>
            <m:r>
              <w:rPr>
                <w:rFonts w:ascii="Cambria Math" w:hAnsi="Cambria Math"/>
              </w:rPr>
              <m:t>F</m:t>
            </m:r>
          </m:e>
          <m:sup>
            <m:r>
              <w:rPr>
                <w:rFonts w:ascii="Cambria Math" w:hAnsi="Cambria Math"/>
              </w:rPr>
              <m:t>i</m:t>
            </m:r>
          </m:sup>
        </m:sSup>
        <m:d>
          <m:dPr>
            <m:ctrlPr>
              <w:rPr>
                <w:rFonts w:ascii="Cambria Math" w:hAnsi="Cambria Math"/>
                <w:i/>
                <w:iCs/>
              </w:rPr>
            </m:ctrlPr>
          </m:dPr>
          <m:e>
            <m:r>
              <w:rPr>
                <w:rFonts w:ascii="Cambria Math" w:hAnsi="Cambria Math"/>
              </w:rPr>
              <m:t>t</m:t>
            </m:r>
          </m:e>
        </m:d>
        <m:r>
          <w:rPr>
            <w:rFonts w:ascii="Cambria Math" w:hAnsi="Cambria Math"/>
          </w:rPr>
          <m:t xml:space="preserve">, </m:t>
        </m:r>
      </m:oMath>
      <w:r w:rsidR="003A45CF" w:rsidRPr="005D5611">
        <w:tab/>
      </w:r>
      <w:r w:rsidR="003A45CF" w:rsidRPr="005D5611">
        <w:tab/>
      </w:r>
      <w:r w:rsidR="003A45CF" w:rsidRPr="005D5611">
        <w:tab/>
      </w:r>
      <w:r w:rsidR="003A45CF" w:rsidRPr="005D5611">
        <w:tab/>
      </w:r>
      <w:r w:rsidR="003A45CF" w:rsidRPr="005D5611">
        <w:rPr>
          <w:i/>
        </w:rPr>
        <w:tab/>
      </w:r>
      <w:r w:rsidR="003A45CF" w:rsidRPr="005D5611">
        <w:tab/>
        <w:t>(S6)</w:t>
      </w:r>
    </w:p>
    <w:p w14:paraId="06C29BED" w14:textId="77777777" w:rsidR="003A45CF" w:rsidRPr="005D5611" w:rsidRDefault="003A45CF" w:rsidP="003A45CF">
      <w:pPr>
        <w:pStyle w:val="SMText"/>
        <w:rPr>
          <w:iCs/>
        </w:rPr>
      </w:pPr>
      <m:oMath>
        <m:r>
          <w:rPr>
            <w:rFonts w:ascii="Cambria Math" w:hAnsi="Cambria Math"/>
          </w:rPr>
          <m:t xml:space="preserve">   </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m:t>
                </m:r>
                <m:sSup>
                  <m:sSupPr>
                    <m:ctrlPr>
                      <w:rPr>
                        <w:rFonts w:ascii="Cambria Math" w:hAnsi="Cambria Math"/>
                        <w:i/>
                        <w:iCs/>
                      </w:rPr>
                    </m:ctrlPr>
                  </m:sSupPr>
                  <m:e>
                    <m:r>
                      <w:rPr>
                        <w:rFonts w:ascii="Cambria Math" w:hAnsi="Cambria Math"/>
                      </w:rPr>
                      <m:t>σ</m:t>
                    </m:r>
                  </m:e>
                  <m:sup>
                    <m:r>
                      <w:rPr>
                        <w:rFonts w:ascii="Cambria Math" w:hAnsi="Cambria Math"/>
                      </w:rPr>
                      <m:t>i</m:t>
                    </m:r>
                  </m:sup>
                </m:sSup>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n</m:t>
                        </m:r>
                      </m:e>
                      <m:sup>
                        <m:r>
                          <w:rPr>
                            <w:rFonts w:ascii="Cambria Math" w:hAnsi="Cambria Math"/>
                          </w:rPr>
                          <m:t>i</m:t>
                        </m:r>
                      </m:sup>
                    </m:sSup>
                  </m:num>
                  <m:den>
                    <m:r>
                      <w:rPr>
                        <w:rFonts w:ascii="Cambria Math" w:hAnsi="Cambria Math"/>
                      </w:rPr>
                      <m:t>∂x</m:t>
                    </m:r>
                  </m:den>
                </m:f>
              </m:e>
            </m:d>
          </m:e>
          <m:sub>
            <m:r>
              <w:rPr>
                <w:rFonts w:ascii="Cambria Math" w:hAnsi="Cambria Math"/>
              </w:rPr>
              <m:t>x=1</m:t>
            </m:r>
          </m:sub>
        </m:sSub>
        <m:r>
          <w:rPr>
            <w:rFonts w:ascii="Cambria Math" w:hAnsi="Cambria Math"/>
          </w:rPr>
          <m:t>=0,</m:t>
        </m:r>
      </m:oMath>
      <w:r w:rsidRPr="005D5611">
        <w:tab/>
      </w:r>
      <w:r w:rsidRPr="005D5611">
        <w:tab/>
      </w:r>
      <w:r w:rsidRPr="005D5611">
        <w:tab/>
      </w:r>
      <w:r w:rsidRPr="005D5611">
        <w:tab/>
      </w:r>
      <w:r w:rsidRPr="005D5611">
        <w:tab/>
      </w:r>
      <w:r w:rsidRPr="005D5611">
        <w:tab/>
      </w:r>
      <w:r w:rsidRPr="005D5611">
        <w:tab/>
      </w:r>
      <w:r w:rsidRPr="005D5611">
        <w:tab/>
        <w:t>(S7)</w:t>
      </w:r>
    </w:p>
    <w:p w14:paraId="72E479FC" w14:textId="77777777" w:rsidR="003A45CF" w:rsidRPr="005D5611" w:rsidRDefault="003A45CF" w:rsidP="003A45CF">
      <w:pPr>
        <w:pStyle w:val="SMText"/>
        <w:rPr>
          <w:iCs/>
        </w:rPr>
      </w:pPr>
      <w:r w:rsidRPr="005D5611">
        <w:rPr>
          <w:iCs/>
        </w:rPr>
        <w:t xml:space="preserve">   </w:t>
      </w:r>
      <m:oMath>
        <m:sSup>
          <m:sSupPr>
            <m:ctrlPr>
              <w:rPr>
                <w:rFonts w:ascii="Cambria Math" w:hAnsi="Cambria Math"/>
                <w:i/>
                <w:iCs/>
              </w:rPr>
            </m:ctrlPr>
          </m:sSupPr>
          <m:e>
            <m:r>
              <w:rPr>
                <w:rFonts w:ascii="Cambria Math" w:hAnsi="Cambria Math"/>
              </w:rPr>
              <m:t>n</m:t>
            </m:r>
          </m:e>
          <m:sup>
            <m:r>
              <w:rPr>
                <w:rFonts w:ascii="Cambria Math" w:hAnsi="Cambria Math"/>
              </w:rPr>
              <m:t>i</m:t>
            </m:r>
          </m:sup>
        </m:sSup>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,x</m:t>
            </m:r>
          </m:e>
        </m:d>
        <m:r>
          <w:rPr>
            <w:rFonts w:ascii="Cambria Math" w:hAnsi="Cambria Math"/>
          </w:rPr>
          <m:t>=</m:t>
        </m:r>
        <m:sSup>
          <m:sSupPr>
            <m:ctrlPr>
              <w:rPr>
                <w:rFonts w:ascii="Cambria Math" w:hAnsi="Cambria Math"/>
                <w:i/>
                <w:iCs/>
              </w:rPr>
            </m:ctrlPr>
          </m:sSupPr>
          <m:e>
            <m:acc>
              <m:accPr>
                <m:ctrlPr>
                  <w:rPr>
                    <w:rFonts w:ascii="Cambria Math" w:hAnsi="Cambria Math"/>
                    <w:i/>
                    <w:iCs/>
                  </w:rPr>
                </m:ctrlPr>
              </m:accPr>
              <m:e>
                <m:r>
                  <w:rPr>
                    <w:rFonts w:ascii="Cambria Math" w:hAnsi="Cambria Math"/>
                  </w:rPr>
                  <m:t>n</m:t>
                </m:r>
              </m:e>
            </m:acc>
          </m:e>
          <m:sup>
            <m:r>
              <w:rPr>
                <w:rFonts w:ascii="Cambria Math" w:hAnsi="Cambria Math"/>
              </w:rPr>
              <m:t>i</m:t>
            </m:r>
          </m:sup>
        </m:sSup>
        <m:d>
          <m:dPr>
            <m:ctrlPr>
              <w:rPr>
                <w:rFonts w:ascii="Cambria Math" w:hAnsi="Cambria Math"/>
                <w:i/>
                <w:iCs/>
              </w:rPr>
            </m:ctrlPr>
          </m:dPr>
          <m:e>
            <m:r>
              <w:rPr>
                <w:rFonts w:ascii="Cambria Math" w:hAnsi="Cambria Math"/>
              </w:rPr>
              <m:t>x</m:t>
            </m:r>
          </m:e>
        </m:d>
        <m:r>
          <w:rPr>
            <w:rFonts w:ascii="Cambria Math" w:hAnsi="Cambria Math"/>
          </w:rPr>
          <m:t>,</m:t>
        </m:r>
      </m:oMath>
      <w:r w:rsidRPr="005D5611">
        <w:tab/>
      </w:r>
      <w:r w:rsidRPr="005D5611">
        <w:tab/>
      </w:r>
      <w:r w:rsidRPr="005D5611">
        <w:tab/>
      </w:r>
      <w:r w:rsidRPr="005D5611">
        <w:tab/>
      </w:r>
      <w:r w:rsidRPr="005D5611">
        <w:tab/>
      </w:r>
      <w:r w:rsidRPr="005D5611">
        <w:tab/>
      </w:r>
      <w:r w:rsidRPr="005D5611">
        <w:tab/>
      </w:r>
      <w:r w:rsidRPr="005D5611">
        <w:tab/>
        <w:t>(S8</w:t>
      </w:r>
    </w:p>
    <w:p w14:paraId="42289CCD" w14:textId="77777777" w:rsidR="003A45CF" w:rsidRPr="005D5611" w:rsidRDefault="003A45CF" w:rsidP="003A45CF">
      <w:pPr>
        <w:pStyle w:val="SMText"/>
        <w:ind w:firstLine="0"/>
      </w:pPr>
      <w:r w:rsidRPr="005D5611">
        <w:t xml:space="preserve">where the functions </w:t>
      </w:r>
      <m:oMath>
        <m:sSup>
          <m:sSupPr>
            <m:ctrlPr>
              <w:rPr>
                <w:rFonts w:ascii="Cambria Math" w:hAnsi="Cambria Math"/>
                <w:i/>
                <w:iCs/>
              </w:rPr>
            </m:ctrlPr>
          </m:sSupPr>
          <m:e>
            <m:acc>
              <m:accPr>
                <m:ctrlPr>
                  <w:rPr>
                    <w:rFonts w:ascii="Cambria Math" w:hAnsi="Cambria Math"/>
                    <w:i/>
                    <w:iCs/>
                  </w:rPr>
                </m:ctrlPr>
              </m:accPr>
              <m:e>
                <m:r>
                  <w:rPr>
                    <w:rFonts w:ascii="Cambria Math" w:hAnsi="Cambria Math"/>
                  </w:rPr>
                  <m:t>n</m:t>
                </m:r>
              </m:e>
            </m:acc>
          </m:e>
          <m:sup>
            <m:r>
              <w:rPr>
                <w:rFonts w:ascii="Cambria Math" w:hAnsi="Cambria Math"/>
              </w:rPr>
              <m:t>i</m:t>
            </m:r>
          </m:sup>
        </m:sSup>
        <m:d>
          <m:dPr>
            <m:ctrlPr>
              <w:rPr>
                <w:rFonts w:ascii="Cambria Math" w:hAnsi="Cambria Math"/>
                <w:i/>
                <w:iCs/>
              </w:rPr>
            </m:ctrlPr>
          </m:dPr>
          <m:e>
            <m:r>
              <w:rPr>
                <w:rFonts w:ascii="Cambria Math" w:hAnsi="Cambria Math"/>
              </w:rPr>
              <m:t>x</m:t>
            </m:r>
          </m:e>
        </m:d>
      </m:oMath>
      <w:r w:rsidRPr="005D5611">
        <w:t xml:space="preserve"> (</w:t>
      </w:r>
      <m:oMath>
        <m:r>
          <w:rPr>
            <w:rFonts w:ascii="Cambria Math" w:hAnsi="Cambria Math"/>
          </w:rPr>
          <m:t>i=1, 2, …, s</m:t>
        </m:r>
      </m:oMath>
      <w:r w:rsidRPr="005D5611">
        <w:t xml:space="preserve">) are the initial distributions, and the </w:t>
      </w:r>
      <m:oMath>
        <m:sSup>
          <m:sSupPr>
            <m:ctrlPr>
              <w:rPr>
                <w:rFonts w:ascii="Cambria Math" w:hAnsi="Cambria Math"/>
                <w:i/>
                <w:iCs/>
              </w:rPr>
            </m:ctrlPr>
          </m:sSupPr>
          <m:e>
            <m:r>
              <w:rPr>
                <w:rFonts w:ascii="Cambria Math" w:hAnsi="Cambria Math"/>
              </w:rPr>
              <m:t>σ</m:t>
            </m:r>
          </m:e>
          <m:sup>
            <m:r>
              <w:rPr>
                <w:rFonts w:ascii="Cambria Math" w:hAnsi="Cambria Math"/>
              </w:rPr>
              <m:t>i</m:t>
            </m:r>
          </m:sup>
        </m:sSup>
      </m:oMath>
      <w:r w:rsidRPr="005D5611">
        <w:t xml:space="preserve"> are the diffusion coefficients, that allow variability of development rate among individuals. The functions </w:t>
      </w:r>
      <m:oMath>
        <m:sSup>
          <m:sSupPr>
            <m:ctrlPr>
              <w:rPr>
                <w:rFonts w:ascii="Cambria Math" w:hAnsi="Cambria Math"/>
                <w:i/>
                <w:iCs/>
              </w:rPr>
            </m:ctrlPr>
          </m:sSupPr>
          <m:e>
            <m:r>
              <w:rPr>
                <w:rFonts w:ascii="Cambria Math" w:hAnsi="Cambria Math"/>
              </w:rPr>
              <m:t>F</m:t>
            </m:r>
          </m:e>
          <m:sup>
            <m:r>
              <w:rPr>
                <w:rFonts w:ascii="Cambria Math" w:hAnsi="Cambria Math"/>
              </w:rPr>
              <m:t>i</m:t>
            </m:r>
          </m:sup>
        </m:sSup>
        <m:d>
          <m:dPr>
            <m:ctrlPr>
              <w:rPr>
                <w:rFonts w:ascii="Cambria Math" w:hAnsi="Cambria Math"/>
                <w:i/>
                <w:iCs/>
              </w:rPr>
            </m:ctrlPr>
          </m:dPr>
          <m:e>
            <m:r>
              <w:rPr>
                <w:rFonts w:ascii="Cambria Math" w:hAnsi="Cambria Math"/>
              </w:rPr>
              <m:t>t</m:t>
            </m:r>
          </m:e>
        </m:d>
      </m:oMath>
      <w:r w:rsidRPr="005D5611">
        <w:rPr>
          <w:iCs/>
        </w:rPr>
        <w:t xml:space="preserve"> represent the fluxes from one stage to the next. More precisely,</w:t>
      </w:r>
      <w:r w:rsidRPr="005D5611">
        <w:t xml:space="preserve"> </w:t>
      </w:r>
      <m:oMath>
        <m:sSup>
          <m:sSupPr>
            <m:ctrlPr>
              <w:rPr>
                <w:rFonts w:ascii="Cambria Math" w:hAnsi="Cambria Math"/>
                <w:i/>
                <w:iCs/>
              </w:rPr>
            </m:ctrlPr>
          </m:sSupPr>
          <m:e>
            <m:r>
              <w:rPr>
                <w:rFonts w:ascii="Cambria Math" w:hAnsi="Cambria Math"/>
              </w:rPr>
              <m:t>F</m:t>
            </m:r>
          </m:e>
          <m:sup>
            <m:r>
              <w:rPr>
                <w:rFonts w:ascii="Cambria Math" w:hAnsi="Cambria Math"/>
              </w:rPr>
              <m:t>1</m:t>
            </m:r>
          </m:sup>
        </m:sSup>
        <m:d>
          <m:dPr>
            <m:ctrlPr>
              <w:rPr>
                <w:rFonts w:ascii="Cambria Math" w:hAnsi="Cambria Math"/>
                <w:i/>
                <w:iCs/>
              </w:rPr>
            </m:ctrlPr>
          </m:dPr>
          <m:e>
            <m:r>
              <w:rPr>
                <w:rFonts w:ascii="Cambria Math" w:hAnsi="Cambria Math"/>
              </w:rPr>
              <m:t>t</m:t>
            </m:r>
          </m:e>
        </m:d>
      </m:oMath>
      <w:r w:rsidRPr="005D5611">
        <w:t xml:space="preserve"> is the egg production flux and is given by</w:t>
      </w:r>
    </w:p>
    <w:p w14:paraId="2B143FD0" w14:textId="77777777" w:rsidR="003A45CF" w:rsidRPr="005D5611" w:rsidRDefault="00DB4BFE" w:rsidP="003A45CF">
      <w:pPr>
        <w:pStyle w:val="SMText"/>
      </w:pPr>
      <m:oMath>
        <m:sSup>
          <m:sSupPr>
            <m:ctrlPr>
              <w:rPr>
                <w:rFonts w:ascii="Cambria Math" w:hAnsi="Cambria Math"/>
                <w:i/>
                <w:iCs/>
              </w:rPr>
            </m:ctrlPr>
          </m:sSupPr>
          <m:e>
            <m:r>
              <w:rPr>
                <w:rFonts w:ascii="Cambria Math" w:hAnsi="Cambria Math"/>
              </w:rPr>
              <m:t>F</m:t>
            </m:r>
          </m:e>
          <m:sup>
            <m:r>
              <w:rPr>
                <w:rFonts w:ascii="Cambria Math" w:hAnsi="Cambria Math"/>
              </w:rPr>
              <m:t>1</m:t>
            </m:r>
          </m:sup>
        </m:sSup>
        <m:d>
          <m:dPr>
            <m:ctrlPr>
              <w:rPr>
                <w:rFonts w:ascii="Cambria Math" w:hAnsi="Cambria Math"/>
                <w:i/>
                <w:iCs/>
              </w:rPr>
            </m:ctrlPr>
          </m:dPr>
          <m:e>
            <m:r>
              <w:rPr>
                <w:rFonts w:ascii="Cambria Math" w:hAnsi="Cambria Math"/>
              </w:rPr>
              <m:t>t</m:t>
            </m:r>
          </m:e>
        </m:d>
        <m:r>
          <w:rPr>
            <w:rFonts w:ascii="Cambria Math" w:hAnsi="Cambria Math"/>
          </w:rPr>
          <m:t>=</m:t>
        </m:r>
        <m:nary>
          <m:naryPr>
            <m:limLoc m:val="subSup"/>
            <m:ctrlPr>
              <w:rPr>
                <w:rFonts w:ascii="Cambria Math" w:hAnsi="Cambria Math"/>
                <w:i/>
                <w:iCs/>
              </w:rPr>
            </m:ctrlPr>
          </m:naryPr>
          <m:sub>
            <m:r>
              <w:rPr>
                <w:rFonts w:ascii="Cambria Math" w:hAnsi="Cambria Math"/>
              </w:rPr>
              <m:t>0</m:t>
            </m:r>
          </m:sub>
          <m:sup>
            <m:r>
              <w:rPr>
                <w:rFonts w:ascii="Cambria Math" w:hAnsi="Cambria Math"/>
              </w:rPr>
              <m:t>1</m:t>
            </m:r>
          </m:sup>
          <m:e>
            <m:sSub>
              <m:sSubPr>
                <m:ctrlPr>
                  <w:rPr>
                    <w:rFonts w:ascii="Cambria Math" w:hAnsi="Cambria Math"/>
                    <w:i/>
                  </w:rPr>
                </m:ctrlPr>
              </m:sSubPr>
              <m:e>
                <m:r>
                  <w:rPr>
                    <w:rFonts w:ascii="Cambria Math" w:hAnsi="Cambria Math"/>
                  </w:rPr>
                  <m:t>b</m:t>
                </m:r>
              </m:e>
              <m:sub>
                <m:r>
                  <w:rPr>
                    <w:rFonts w:ascii="Cambria Math" w:hAnsi="Cambria Math"/>
                  </w:rPr>
                  <m:t>0</m:t>
                </m:r>
              </m:sub>
            </m:sSub>
            <m:d>
              <m:dPr>
                <m:ctrlPr>
                  <w:rPr>
                    <w:rFonts w:ascii="Cambria Math" w:hAnsi="Cambria Math"/>
                    <w:i/>
                  </w:rPr>
                </m:ctrlPr>
              </m:dPr>
              <m:e>
                <m:r>
                  <w:rPr>
                    <w:rFonts w:ascii="Cambria Math" w:hAnsi="Cambria Math"/>
                  </w:rPr>
                  <m:t>P</m:t>
                </m:r>
                <m:d>
                  <m:dPr>
                    <m:ctrlPr>
                      <w:rPr>
                        <w:rFonts w:ascii="Cambria Math" w:hAnsi="Cambria Math"/>
                        <w:i/>
                      </w:rPr>
                    </m:ctrlPr>
                  </m:dPr>
                  <m:e>
                    <m:r>
                      <w:rPr>
                        <w:rFonts w:ascii="Cambria Math" w:hAnsi="Cambria Math"/>
                      </w:rPr>
                      <m:t>t</m:t>
                    </m:r>
                  </m:e>
                </m:d>
              </m:e>
            </m:d>
            <m:sSub>
              <m:sSubPr>
                <m:ctrlPr>
                  <w:rPr>
                    <w:rFonts w:ascii="Cambria Math" w:hAnsi="Cambria Math"/>
                    <w:i/>
                  </w:rPr>
                </m:ctrlPr>
              </m:sSubPr>
              <m:e>
                <m:r>
                  <w:rPr>
                    <w:rFonts w:ascii="Cambria Math" w:hAnsi="Cambria Math"/>
                  </w:rPr>
                  <m:t>a</m:t>
                </m:r>
              </m:e>
              <m:sub>
                <m:r>
                  <w:rPr>
                    <w:rFonts w:ascii="Cambria Math" w:hAnsi="Cambria Math"/>
                  </w:rPr>
                  <m:t>0</m:t>
                </m:r>
              </m:sub>
            </m:sSub>
            <m:d>
              <m:dPr>
                <m:ctrlPr>
                  <w:rPr>
                    <w:rFonts w:ascii="Cambria Math" w:hAnsi="Cambria Math"/>
                    <w:i/>
                  </w:rPr>
                </m:ctrlPr>
              </m:dPr>
              <m:e>
                <m:r>
                  <w:rPr>
                    <w:rFonts w:ascii="Cambria Math" w:hAnsi="Cambria Math"/>
                  </w:rPr>
                  <m:t>T(t)</m:t>
                </m:r>
              </m:e>
            </m:d>
            <m:r>
              <w:rPr>
                <w:rFonts w:ascii="Cambria Math" w:hAnsi="Cambria Math"/>
              </w:rPr>
              <m:t xml:space="preserve"> f</m:t>
            </m:r>
            <m:d>
              <m:dPr>
                <m:ctrlPr>
                  <w:rPr>
                    <w:rFonts w:ascii="Cambria Math" w:hAnsi="Cambria Math"/>
                    <w:i/>
                    <w:iCs/>
                  </w:rPr>
                </m:ctrlPr>
              </m:dPr>
              <m:e>
                <m:r>
                  <w:rPr>
                    <w:rFonts w:ascii="Cambria Math" w:hAnsi="Cambria Math"/>
                  </w:rPr>
                  <m:t>x</m:t>
                </m:r>
              </m:e>
            </m:d>
            <m:sSup>
              <m:sSupPr>
                <m:ctrlPr>
                  <w:rPr>
                    <w:rFonts w:ascii="Cambria Math" w:hAnsi="Cambria Math"/>
                    <w:i/>
                    <w:iCs/>
                  </w:rPr>
                </m:ctrlPr>
              </m:sSupPr>
              <m:e>
                <m:r>
                  <w:rPr>
                    <w:rFonts w:ascii="Cambria Math" w:hAnsi="Cambria Math"/>
                  </w:rPr>
                  <m:t>n</m:t>
                </m:r>
              </m:e>
              <m:sup>
                <m:r>
                  <w:rPr>
                    <w:rFonts w:ascii="Cambria Math" w:hAnsi="Cambria Math"/>
                  </w:rPr>
                  <m:t>s</m:t>
                </m:r>
              </m:sup>
            </m:sSup>
            <m:d>
              <m:dPr>
                <m:ctrlPr>
                  <w:rPr>
                    <w:rFonts w:ascii="Cambria Math" w:hAnsi="Cambria Math"/>
                    <w:i/>
                    <w:iCs/>
                  </w:rPr>
                </m:ctrlPr>
              </m:dPr>
              <m:e>
                <m:r>
                  <w:rPr>
                    <w:rFonts w:ascii="Cambria Math" w:hAnsi="Cambria Math"/>
                  </w:rPr>
                  <m:t>t,x</m:t>
                </m:r>
              </m:e>
            </m:d>
          </m:e>
        </m:nary>
        <m:r>
          <w:rPr>
            <w:rFonts w:ascii="Cambria Math" w:hAnsi="Cambria Math"/>
          </w:rPr>
          <m:t xml:space="preserve">dx </m:t>
        </m:r>
      </m:oMath>
      <w:r w:rsidR="003A45CF" w:rsidRPr="005D5611">
        <w:t xml:space="preserve"> </w:t>
      </w:r>
      <w:r w:rsidR="003A45CF" w:rsidRPr="005D5611">
        <w:tab/>
      </w:r>
      <w:r w:rsidR="003A45CF" w:rsidRPr="005D5611">
        <w:tab/>
      </w:r>
      <w:r w:rsidR="003A45CF" w:rsidRPr="005D5611">
        <w:tab/>
      </w:r>
      <w:r w:rsidR="003A45CF" w:rsidRPr="005D5611">
        <w:tab/>
        <w:t>(S9)</w:t>
      </w:r>
    </w:p>
    <w:p w14:paraId="42E0D226" w14:textId="77777777" w:rsidR="003A45CF" w:rsidRPr="005D5611" w:rsidRDefault="003A45CF" w:rsidP="003A45CF">
      <w:pPr>
        <w:pStyle w:val="SMText"/>
        <w:ind w:firstLine="0"/>
      </w:pPr>
      <w:r w:rsidRPr="005D5611">
        <w:t xml:space="preserve">where </w:t>
      </w:r>
      <m:oMath>
        <m:sSub>
          <m:sSubPr>
            <m:ctrlPr>
              <w:rPr>
                <w:rFonts w:ascii="Cambria Math" w:hAnsi="Cambria Math"/>
                <w:i/>
              </w:rPr>
            </m:ctrlPr>
          </m:sSubPr>
          <m:e>
            <m:r>
              <w:rPr>
                <w:rFonts w:ascii="Cambria Math" w:hAnsi="Cambria Math"/>
              </w:rPr>
              <m:t>b</m:t>
            </m:r>
          </m:e>
          <m:sub>
            <m:r>
              <w:rPr>
                <w:rFonts w:ascii="Cambria Math" w:hAnsi="Cambria Math"/>
              </w:rPr>
              <m:t>0</m:t>
            </m:r>
          </m:sub>
        </m:sSub>
        <m:d>
          <m:dPr>
            <m:ctrlPr>
              <w:rPr>
                <w:rFonts w:ascii="Cambria Math" w:hAnsi="Cambria Math"/>
                <w:i/>
              </w:rPr>
            </m:ctrlPr>
          </m:dPr>
          <m:e>
            <m:r>
              <w:rPr>
                <w:rFonts w:ascii="Cambria Math" w:hAnsi="Cambria Math"/>
              </w:rPr>
              <m:t>P</m:t>
            </m:r>
            <m:d>
              <m:dPr>
                <m:ctrlPr>
                  <w:rPr>
                    <w:rFonts w:ascii="Cambria Math" w:hAnsi="Cambria Math"/>
                    <w:i/>
                  </w:rPr>
                </m:ctrlPr>
              </m:dPr>
              <m:e>
                <m:r>
                  <w:rPr>
                    <w:rFonts w:ascii="Cambria Math" w:hAnsi="Cambria Math"/>
                  </w:rPr>
                  <m:t>t</m:t>
                </m:r>
              </m:e>
            </m:d>
          </m:e>
        </m:d>
        <m:sSub>
          <m:sSubPr>
            <m:ctrlPr>
              <w:rPr>
                <w:rFonts w:ascii="Cambria Math" w:hAnsi="Cambria Math"/>
                <w:i/>
              </w:rPr>
            </m:ctrlPr>
          </m:sSubPr>
          <m:e>
            <m:r>
              <w:rPr>
                <w:rFonts w:ascii="Cambria Math" w:hAnsi="Cambria Math"/>
              </w:rPr>
              <m:t>a</m:t>
            </m:r>
          </m:e>
          <m:sub>
            <m:r>
              <w:rPr>
                <w:rFonts w:ascii="Cambria Math" w:hAnsi="Cambria Math"/>
              </w:rPr>
              <m:t>0</m:t>
            </m:r>
          </m:sub>
        </m:sSub>
        <m:d>
          <m:dPr>
            <m:ctrlPr>
              <w:rPr>
                <w:rFonts w:ascii="Cambria Math" w:hAnsi="Cambria Math"/>
                <w:i/>
              </w:rPr>
            </m:ctrlPr>
          </m:dPr>
          <m:e>
            <m:r>
              <w:rPr>
                <w:rFonts w:ascii="Cambria Math" w:hAnsi="Cambria Math"/>
              </w:rPr>
              <m:t>T(t)</m:t>
            </m:r>
          </m:e>
        </m:d>
        <m:r>
          <w:rPr>
            <w:rFonts w:ascii="Cambria Math" w:hAnsi="Cambria Math"/>
          </w:rPr>
          <m:t xml:space="preserve"> f</m:t>
        </m:r>
        <m:d>
          <m:dPr>
            <m:ctrlPr>
              <w:rPr>
                <w:rFonts w:ascii="Cambria Math" w:hAnsi="Cambria Math"/>
                <w:i/>
                <w:iCs/>
              </w:rPr>
            </m:ctrlPr>
          </m:dPr>
          <m:e>
            <m:r>
              <w:rPr>
                <w:rFonts w:ascii="Cambria Math" w:hAnsi="Cambria Math"/>
              </w:rPr>
              <m:t>x</m:t>
            </m:r>
          </m:e>
        </m:d>
      </m:oMath>
      <w:r w:rsidRPr="005D5611">
        <w:rPr>
          <w:iCs/>
        </w:rPr>
        <w:t xml:space="preserve"> </w:t>
      </w:r>
      <w:r w:rsidRPr="005D5611">
        <w:t xml:space="preserve">is the biodemographic function of the number of eggs produced per adult with physiological age in </w:t>
      </w:r>
      <m:oMath>
        <m:d>
          <m:dPr>
            <m:ctrlPr>
              <w:rPr>
                <w:rFonts w:ascii="Cambria Math" w:hAnsi="Cambria Math"/>
                <w:i/>
              </w:rPr>
            </m:ctrlPr>
          </m:dPr>
          <m:e>
            <m:r>
              <w:rPr>
                <w:rFonts w:ascii="Cambria Math" w:hAnsi="Cambria Math"/>
              </w:rPr>
              <m:t>x,x+dx</m:t>
            </m:r>
          </m:e>
        </m:d>
      </m:oMath>
      <w:r w:rsidRPr="005D5611">
        <w:t xml:space="preserve"> per unit time. The number of individuals in stage </w:t>
      </w:r>
      <m:oMath>
        <m:r>
          <w:rPr>
            <w:rFonts w:ascii="Cambria Math" w:hAnsi="Cambria Math"/>
          </w:rPr>
          <m:t>i</m:t>
        </m:r>
      </m:oMath>
      <w:r w:rsidRPr="005D5611">
        <w:t xml:space="preserve"> at time </w:t>
      </w:r>
      <m:oMath>
        <m:r>
          <w:rPr>
            <w:rFonts w:ascii="Cambria Math" w:hAnsi="Cambria Math"/>
          </w:rPr>
          <m:t>t</m:t>
        </m:r>
      </m:oMath>
      <w:r w:rsidRPr="005D5611">
        <w:t xml:space="preserve"> can be obtained integrating functions</w:t>
      </w:r>
      <m:oMath>
        <m:r>
          <w:rPr>
            <w:rFonts w:ascii="Cambria Math" w:hAnsi="Cambria Math"/>
          </w:rPr>
          <m:t xml:space="preserve"> </m:t>
        </m:r>
        <m:sSup>
          <m:sSupPr>
            <m:ctrlPr>
              <w:rPr>
                <w:rFonts w:ascii="Cambria Math" w:hAnsi="Cambria Math"/>
                <w:i/>
                <w:iCs/>
              </w:rPr>
            </m:ctrlPr>
          </m:sSupPr>
          <m:e>
            <m:r>
              <w:rPr>
                <w:rFonts w:ascii="Cambria Math" w:hAnsi="Cambria Math"/>
              </w:rPr>
              <m:t>n</m:t>
            </m:r>
          </m:e>
          <m:sup>
            <m:r>
              <w:rPr>
                <w:rFonts w:ascii="Cambria Math" w:hAnsi="Cambria Math"/>
              </w:rPr>
              <m:t>i</m:t>
            </m:r>
          </m:sup>
        </m:sSup>
        <m:d>
          <m:dPr>
            <m:ctrlPr>
              <w:rPr>
                <w:rFonts w:ascii="Cambria Math" w:hAnsi="Cambria Math"/>
                <w:i/>
                <w:iCs/>
              </w:rPr>
            </m:ctrlPr>
          </m:dPr>
          <m:e>
            <m:r>
              <w:rPr>
                <w:rFonts w:ascii="Cambria Math" w:hAnsi="Cambria Math"/>
              </w:rPr>
              <m:t>t,x</m:t>
            </m:r>
          </m:e>
        </m:d>
      </m:oMath>
      <w:r w:rsidRPr="005D5611">
        <w:rPr>
          <w:iCs/>
        </w:rPr>
        <w:t xml:space="preserve"> over the physiological age:</w:t>
      </w:r>
      <w:r w:rsidRPr="005D5611">
        <w:t xml:space="preserve"> </w:t>
      </w:r>
      <m:oMath>
        <m:sSup>
          <m:sSupPr>
            <m:ctrlPr>
              <w:rPr>
                <w:rFonts w:ascii="Cambria Math" w:hAnsi="Cambria Math"/>
                <w:i/>
              </w:rPr>
            </m:ctrlPr>
          </m:sSupPr>
          <m:e>
            <m:r>
              <w:rPr>
                <w:rFonts w:ascii="Cambria Math" w:hAnsi="Cambria Math"/>
              </w:rPr>
              <m:t>N</m:t>
            </m:r>
          </m:e>
          <m:sup>
            <m:r>
              <w:rPr>
                <w:rFonts w:ascii="Cambria Math" w:hAnsi="Cambria Math"/>
              </w:rPr>
              <m:t>i</m:t>
            </m:r>
          </m:sup>
        </m:sSup>
        <m:d>
          <m:dPr>
            <m:ctrlPr>
              <w:rPr>
                <w:rFonts w:ascii="Cambria Math" w:hAnsi="Cambria Math"/>
                <w:i/>
              </w:rPr>
            </m:ctrlPr>
          </m:dPr>
          <m:e>
            <m:r>
              <w:rPr>
                <w:rFonts w:ascii="Cambria Math" w:hAnsi="Cambria Math"/>
              </w:rPr>
              <m:t>t</m:t>
            </m:r>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1</m:t>
            </m:r>
          </m:sup>
          <m:e>
            <m:sSup>
              <m:sSupPr>
                <m:ctrlPr>
                  <w:rPr>
                    <w:rFonts w:ascii="Cambria Math" w:hAnsi="Cambria Math"/>
                    <w:i/>
                    <w:iCs/>
                  </w:rPr>
                </m:ctrlPr>
              </m:sSupPr>
              <m:e>
                <m:r>
                  <w:rPr>
                    <w:rFonts w:ascii="Cambria Math" w:hAnsi="Cambria Math"/>
                  </w:rPr>
                  <m:t>n</m:t>
                </m:r>
              </m:e>
              <m:sup>
                <m:r>
                  <w:rPr>
                    <w:rFonts w:ascii="Cambria Math" w:hAnsi="Cambria Math"/>
                  </w:rPr>
                  <m:t>i</m:t>
                </m:r>
              </m:sup>
            </m:sSup>
            <m:d>
              <m:dPr>
                <m:ctrlPr>
                  <w:rPr>
                    <w:rFonts w:ascii="Cambria Math" w:hAnsi="Cambria Math"/>
                    <w:i/>
                    <w:iCs/>
                  </w:rPr>
                </m:ctrlPr>
              </m:dPr>
              <m:e>
                <m:r>
                  <w:rPr>
                    <w:rFonts w:ascii="Cambria Math" w:hAnsi="Cambria Math"/>
                  </w:rPr>
                  <m:t>t,x</m:t>
                </m:r>
              </m:e>
            </m:d>
            <m:r>
              <w:rPr>
                <w:rFonts w:ascii="Cambria Math" w:hAnsi="Cambria Math"/>
              </w:rPr>
              <m:t>dx.</m:t>
            </m:r>
          </m:e>
        </m:nary>
      </m:oMath>
    </w:p>
    <w:p w14:paraId="45EACF80" w14:textId="77777777" w:rsidR="003A45CF" w:rsidRPr="005D5611" w:rsidRDefault="003A45CF" w:rsidP="003A45CF">
      <w:pPr>
        <w:pStyle w:val="SMText"/>
      </w:pPr>
      <w:r w:rsidRPr="005D5611">
        <w:t>Both models (eqns. S4 and S5) give similar results for the same system structure.</w:t>
      </w:r>
    </w:p>
    <w:p w14:paraId="5C273737" w14:textId="1DD3BE29" w:rsidR="003A45CF" w:rsidRPr="005D5611" w:rsidRDefault="003A45CF" w:rsidP="003A45CF">
      <w:pPr>
        <w:pStyle w:val="SMText"/>
      </w:pPr>
      <w:r w:rsidRPr="005D5611">
        <w:t xml:space="preserve">The models can be used to capture the time varying dynamics of Nicholson’s laboratory blow fly experiments </w:t>
      </w:r>
      <w:r w:rsidRPr="005D5611">
        <w:fldChar w:fldCharType="begin"/>
      </w:r>
      <w:r w:rsidR="002F5A10">
        <w:instrText xml:space="preserve"> ADDIN ZOTERO_ITEM CSL_CITATION {"citationID":"WQWjuBho","properties":{"formattedCitation":"[117, 118]","plainCitation":"[117, 118]","noteIndex":0},"citationItems":[{"id":12176,"uris":["http://zotero.org/users/1272936/items/2UDLG5PK"],"uri":["http://zotero.org/users/1272936/items/2UDLG5PK"],"itemData":{"id":12176,"type":"article-journal","abstract":"Cultures of Lucilia cuprina which were subjected to different kinds and intensities of stress automatically accommodated themselves to these stresses and maintained themselves in a state of balance under all the varied environmental conditions provided. Compensatory reaction always counteracted in some degree the adverse effects of the stresses to which the insects were subjected. Thus the persistent destruction of a particular age-group always caused more individuals to reach this age, so reducing the effects produced by destruction upon population density. It is shown that density governed compensatory reaction is a necessary counterpart of selection in evolutionary progress.","container-title":"Australian Journal of Zoology","DOI":"10.1071/zo9540001","ISSN":"1446-5698","issue":"1","journalAbbreviation":"Aust. J. Zool.","language":"en","page":"1-8","source":"www.publish.csiro.au","title":"Compensatory reactions of populations to stresses, and their evolutionary significance","volume":"2","author":[{"family":"Nicholson","given":"A. J."}],"issued":{"date-parts":[["1954"]]}}},{"id":12179,"uris":["http://zotero.org/users/1272936/items/TRU9QQ58"],"uri":["http://zotero.org/users/1272936/items/TRU9QQ58"],"itemData":{"id":12179,"type":"article-journal","abstract":"This article is itself a summarized statement concerning the various influences which affect population densities and the population systems these lead to. Known facts concerning animal populations have been analysed. systematized. and critically examined. using the experimental and mathematical approaches in the simpler situations. The more outstanding conclusions are listed below. Populations are self-governing systems. They regulate their densities in relation to their own properties and those of their environments. This they do by depleting and impairing essential things to the threshold of favourability, or by maintaining reactive inimical factors, such as the attack of natural enemies, at the limit of tolerance. The mechanism of density governance is almost always intraspecific competition, either amongst the animals for a critically important requisite, or amongst natural enemies for which the animals concerned are requisites. Governing reaction induced by density change holds populations in a state of balance in their environments. The characteristic of balance is sustained and effective compensatory reaction which maintains populations in being in spite of even violent changes in the environment, and which adjusts their densities in general conformity with prevailing conditions. Far from being a stationary state, balance is commonly a state of oscillation about the level of the equilibrium density which is for ever changing with environmental conditions. Destructive factors do not add to mortality when they continue to operate over long periods, but merely cause a redistribution of mortality, for the intensity of competition automatically relaxes sufficiently to make room for the destruction they cause. Such compensatory reaction causes the effect of destructive factors upon density to be much less when balance is reattained than that which they produce when they first operate.","container-title":"Australian Journal of Zoology","DOI":"10.1071/zo9540009","ISSN":"1446-5698","issue":"1","journalAbbreviation":"Aust. J. Zool.","language":"en","page":"9-65","source":"www.publish.csiro.au","title":"An outline of the dynamics of animal populations","volume":"2","author":[{"family":"Nicholson","given":"A. J."}],"issued":{"date-parts":[["1954"]]}}}],"schema":"https://github.com/citation-style-language/schema/raw/master/csl-citation.json"} </w:instrText>
      </w:r>
      <w:r w:rsidRPr="005D5611">
        <w:fldChar w:fldCharType="separate"/>
      </w:r>
      <w:r w:rsidR="00C51ED3">
        <w:t>[117, 118]</w:t>
      </w:r>
      <w:r w:rsidRPr="005D5611">
        <w:fldChar w:fldCharType="end"/>
      </w:r>
      <w:r w:rsidRPr="005D5611">
        <w:t xml:space="preserve">. Specifically, adult density (Fig. S2b) and size (Fig. S2c), and density of larvae (Fig. S2d; see </w:t>
      </w:r>
      <w:r w:rsidRPr="005D5611">
        <w:rPr>
          <w:i/>
          <w:iCs/>
        </w:rPr>
        <w:t>S/D</w:t>
      </w:r>
      <w:r w:rsidRPr="005D5611">
        <w:t xml:space="preserve"> ratio) and pupae (Fig. S2e). </w:t>
      </w:r>
      <w:r w:rsidRPr="005D5611">
        <w:rPr>
          <w:rFonts w:eastAsiaTheme="minorHAnsi"/>
        </w:rPr>
        <w:t>The ratio 0&lt;</w:t>
      </w:r>
      <w:r w:rsidRPr="005D5611">
        <w:rPr>
          <w:rFonts w:eastAsiaTheme="minorHAnsi"/>
          <w:i/>
          <w:iCs/>
        </w:rPr>
        <w:t>S(t)/D(t)</w:t>
      </w:r>
      <w:r w:rsidRPr="005D5611">
        <w:rPr>
          <w:rFonts w:eastAsiaTheme="minorHAnsi"/>
        </w:rPr>
        <w:t xml:space="preserve">&lt;1 ratio measures the average success of larvae in intraspecific competition for the time varying supply of liver, and affects the size of resulting pupae and adults as well as their mortality rate. </w:t>
      </w:r>
      <w:r w:rsidRPr="005D5611">
        <w:t xml:space="preserve">Potential fecundity is a linear function of adult size with the </w:t>
      </w:r>
      <w:r w:rsidRPr="005D5611">
        <w:rPr>
          <w:i/>
          <w:iCs/>
        </w:rPr>
        <w:t>S/D</w:t>
      </w:r>
      <w:r w:rsidRPr="005D5611">
        <w:t xml:space="preserve"> ratio scaling it to realized fecundity at time </w:t>
      </w:r>
      <w:r w:rsidRPr="005D5611">
        <w:rPr>
          <w:i/>
          <w:iCs/>
        </w:rPr>
        <w:t>t</w:t>
      </w:r>
      <w:r w:rsidRPr="005D5611">
        <w:t xml:space="preserve">. </w:t>
      </w:r>
      <w:r w:rsidRPr="005D5611">
        <w:rPr>
          <w:rFonts w:eastAsiaTheme="minorHAnsi"/>
        </w:rPr>
        <w:t xml:space="preserve">Eggs enter the first age classes for numbers and mass. Intrinsic mortality (dashed arrows in Fig. S2a) occurs in all age classes. </w:t>
      </w:r>
      <w:r w:rsidRPr="005D5611">
        <w:t>No attempt was made to adjust parameters to improve the fit to the adult data.</w:t>
      </w:r>
    </w:p>
    <w:p w14:paraId="677E3163" w14:textId="77777777" w:rsidR="003A45CF" w:rsidRPr="005D5611" w:rsidRDefault="003A45CF" w:rsidP="003A45CF">
      <w:pPr>
        <w:pStyle w:val="SMText"/>
        <w:rPr>
          <w:rFonts w:eastAsiaTheme="minorHAnsi"/>
        </w:rPr>
      </w:pPr>
    </w:p>
    <w:p w14:paraId="6F399F32" w14:textId="77777777" w:rsidR="003A45CF" w:rsidRPr="005D5611" w:rsidRDefault="003A45CF" w:rsidP="003A45CF">
      <w:pPr>
        <w:pStyle w:val="SMcaption"/>
        <w:jc w:val="center"/>
      </w:pPr>
      <w:r w:rsidRPr="005D5611">
        <w:rPr>
          <w:noProof/>
        </w:rPr>
        <w:drawing>
          <wp:inline distT="0" distB="0" distL="0" distR="0" wp14:anchorId="1010EDF9" wp14:editId="74861BF5">
            <wp:extent cx="3810000" cy="311353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993608" cy="3263579"/>
                    </a:xfrm>
                    <a:prstGeom prst="rect">
                      <a:avLst/>
                    </a:prstGeom>
                  </pic:spPr>
                </pic:pic>
              </a:graphicData>
            </a:graphic>
          </wp:inline>
        </w:drawing>
      </w:r>
    </w:p>
    <w:p w14:paraId="109D2127" w14:textId="0F5B397F" w:rsidR="003A45CF" w:rsidRPr="005D5611" w:rsidRDefault="003A45CF" w:rsidP="003A45CF">
      <w:pPr>
        <w:pStyle w:val="SMcaption"/>
      </w:pPr>
      <w:r w:rsidRPr="005D5611">
        <w:rPr>
          <w:b/>
        </w:rPr>
        <w:t>Fig. S2.</w:t>
      </w:r>
      <w:r w:rsidRPr="005D5611">
        <w:t xml:space="preserve"> Simulation of one of AJ. Nicholson’s </w:t>
      </w:r>
      <w:r w:rsidRPr="005D5611">
        <w:fldChar w:fldCharType="begin"/>
      </w:r>
      <w:r w:rsidR="002F5A10">
        <w:instrText xml:space="preserve"> ADDIN ZOTERO_ITEM CSL_CITATION {"citationID":"RgIgcMdk","properties":{"formattedCitation":"[117, 118]","plainCitation":"[117, 118]","noteIndex":0},"citationItems":[{"id":12176,"uris":["http://zotero.org/users/1272936/items/2UDLG5PK"],"uri":["http://zotero.org/users/1272936/items/2UDLG5PK"],"itemData":{"id":12176,"type":"article-journal","abstract":"Cultures of Lucilia cuprina which were subjected to different kinds and intensities of stress automatically accommodated themselves to these stresses and maintained themselves in a state of balance under all the varied environmental conditions provided. Compensatory reaction always counteracted in some degree the adverse effects of the stresses to which the insects were subjected. Thus the persistent destruction of a particular age-group always caused more individuals to reach this age, so reducing the effects produced by destruction upon population density. It is shown that density governed compensatory reaction is a necessary counterpart of selection in evolutionary progress.","container-title":"Australian Journal of Zoology","DOI":"10.1071/zo9540001","ISSN":"1446-5698","issue":"1","journalAbbreviation":"Aust. J. Zool.","language":"en","page":"1-8","source":"www.publish.csiro.au","title":"Compensatory reactions of populations to stresses, and their evolutionary significance","volume":"2","author":[{"family":"Nicholson","given":"A. J."}],"issued":{"date-parts":[["1954"]]}}},{"id":12179,"uris":["http://zotero.org/users/1272936/items/TRU9QQ58"],"uri":["http://zotero.org/users/1272936/items/TRU9QQ58"],"itemData":{"id":12179,"type":"article-journal","abstract":"This article is itself a summarized statement concerning the various influences which affect population densities and the population systems these lead to. Known facts concerning animal populations have been analysed. systematized. and critically examined. using the experimental and mathematical approaches in the simpler situations. The more outstanding conclusions are listed below. Populations are self-governing systems. They regulate their densities in relation to their own properties and those of their environments. This they do by depleting and impairing essential things to the threshold of favourability, or by maintaining reactive inimical factors, such as the attack of natural enemies, at the limit of tolerance. The mechanism of density governance is almost always intraspecific competition, either amongst the animals for a critically important requisite, or amongst natural enemies for which the animals concerned are requisites. Governing reaction induced by density change holds populations in a state of balance in their environments. The characteristic of balance is sustained and effective compensatory reaction which maintains populations in being in spite of even violent changes in the environment, and which adjusts their densities in general conformity with prevailing conditions. Far from being a stationary state, balance is commonly a state of oscillation about the level of the equilibrium density which is for ever changing with environmental conditions. Destructive factors do not add to mortality when they continue to operate over long periods, but merely cause a redistribution of mortality, for the intensity of competition automatically relaxes sufficiently to make room for the destruction they cause. Such compensatory reaction causes the effect of destructive factors upon density to be much less when balance is reattained than that which they produce when they first operate.","container-title":"Australian Journal of Zoology","DOI":"10.1071/zo9540009","ISSN":"1446-5698","issue":"1","journalAbbreviation":"Aust. J. Zool.","language":"en","page":"9-65","source":"www.publish.csiro.au","title":"An outline of the dynamics of animal populations","volume":"2","author":[{"family":"Nicholson","given":"A. J."}],"issued":{"date-parts":[["1954"]]}}}],"schema":"https://github.com/citation-style-language/schema/raw/master/csl-citation.json"} </w:instrText>
      </w:r>
      <w:r w:rsidRPr="005D5611">
        <w:fldChar w:fldCharType="separate"/>
      </w:r>
      <w:r w:rsidR="00C51ED3">
        <w:t>[117, 118]</w:t>
      </w:r>
      <w:r w:rsidRPr="005D5611">
        <w:fldChar w:fldCharType="end"/>
      </w:r>
      <w:r w:rsidRPr="005D5611">
        <w:t xml:space="preserve"> blowfly/liver experiments (50g liver per day): (a) </w:t>
      </w:r>
      <w:r w:rsidRPr="005D5611">
        <w:rPr>
          <w:rFonts w:eastAsiaTheme="minorHAnsi"/>
        </w:rPr>
        <w:t>schematic representation of the age, stage, and mass structure of blowfly;</w:t>
      </w:r>
      <w:r w:rsidRPr="005D5611">
        <w:t xml:space="preserve"> (b) observed and simulated </w:t>
      </w:r>
      <w:r w:rsidRPr="005D5611">
        <w:rPr>
          <w:iCs/>
        </w:rPr>
        <w:t>number of</w:t>
      </w:r>
      <w:r w:rsidRPr="005D5611">
        <w:t xml:space="preserve"> adults; (c) simulated mass of all adults; (d) the interplay between simulated larval density and the </w:t>
      </w:r>
      <w:r w:rsidRPr="005D5611">
        <w:rPr>
          <w:i/>
          <w:iCs/>
        </w:rPr>
        <w:t>S/D</w:t>
      </w:r>
      <w:r w:rsidRPr="005D5611">
        <w:t xml:space="preserve"> ratio; and (e) the number of pupae (see </w:t>
      </w:r>
      <w:r w:rsidRPr="005D5611">
        <w:fldChar w:fldCharType="begin"/>
      </w:r>
      <w:r w:rsidR="00FF3F09">
        <w:instrText xml:space="preserve"> ADDIN ZOTERO_ITEM CSL_CITATION {"citationID":"a1bt6u2d7p6","properties":{"formattedCitation":"[11, 104]","plainCitation":"[11, 104]","noteIndex":0},"citationItems":[{"id":4636,"uris":["http://zotero.org/users/1272936/items/DZMGTXVE"],"uri":["http://zotero.org/users/1272936/items/DZMGTXVE"],"itemData":{"id":4636,"type":"article-journal","container-title":"Ecology","DOI":"10.2307/1940008","page":"1552-1563","title":"The physiological basis of ratio-dependent predator-prey theory: the metabolic pool model as a paradigm","volume":"73","author":[{"family":"Gutierrez","given":"A.P."}],"issued":{"date-parts":[["1992"]]}}},{"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schema":"https://github.com/citation-style-language/schema/raw/master/csl-citation.json"} </w:instrText>
      </w:r>
      <w:r w:rsidRPr="005D5611">
        <w:fldChar w:fldCharType="separate"/>
      </w:r>
      <w:r w:rsidR="00C51ED3">
        <w:t>[11, 104]</w:t>
      </w:r>
      <w:r w:rsidRPr="005D5611">
        <w:fldChar w:fldCharType="end"/>
      </w:r>
      <w:r w:rsidRPr="005D5611">
        <w:t>).</w:t>
      </w:r>
    </w:p>
    <w:p w14:paraId="770D7C81" w14:textId="77777777" w:rsidR="003A45CF" w:rsidRPr="005D5611" w:rsidRDefault="003A45CF" w:rsidP="003A45CF">
      <w:pPr>
        <w:pStyle w:val="SMText"/>
      </w:pPr>
    </w:p>
    <w:p w14:paraId="5B6E4890" w14:textId="5602805D" w:rsidR="003A45CF" w:rsidRPr="005D5611" w:rsidRDefault="003A45CF" w:rsidP="003A45CF">
      <w:pPr>
        <w:pStyle w:val="SMText"/>
        <w:ind w:firstLine="0"/>
        <w:rPr>
          <w:rFonts w:eastAsiaTheme="minorHAnsi"/>
        </w:rPr>
      </w:pPr>
      <w:bookmarkStart w:id="15" w:name="_Toc15650834"/>
      <w:bookmarkStart w:id="16" w:name="_Hlk518367784"/>
      <w:r w:rsidRPr="005D5611">
        <w:rPr>
          <w:b/>
          <w:bCs/>
        </w:rPr>
        <w:t>S3.3 Modeling individual organisms</w:t>
      </w:r>
      <w:bookmarkEnd w:id="15"/>
      <w:r w:rsidRPr="005D5611">
        <w:t xml:space="preserve"> - </w:t>
      </w:r>
      <w:bookmarkStart w:id="17" w:name="_Hlk530132303"/>
      <w:bookmarkEnd w:id="16"/>
      <w:r w:rsidRPr="005D5611">
        <w:t xml:space="preserve">Huston et al. </w:t>
      </w:r>
      <w:r w:rsidRPr="005D5611">
        <w:fldChar w:fldCharType="begin"/>
      </w:r>
      <w:r w:rsidR="002F5A10">
        <w:instrText xml:space="preserve"> ADDIN ZOTERO_ITEM CSL_CITATION {"citationID":"eOsNdvBa","properties":{"formattedCitation":"[86]","plainCitation":"[86]","noteIndex":0},"citationItems":[{"id":12133,"uris":["http://zotero.org/users/1272936/items/4NATKVVR"],"uri":["http://zotero.org/users/1272936/items/4NATKVVR"],"itemData":{"id":12133,"type":"article-journal","container-title":"BioScience","DOI":"10.2307/1310870","ISSN":"0006-3568","issue":"10","page":"682-691","source":"JSTOR","title":"New computer models unify ecological theory","volume":"38","author":[{"family":"Huston","given":"Michael"},{"family":"DeAngelis","given":"Donald"},{"family":"Post","given":"Wilfred"}],"issued":{"date-parts":[["1988"]]}}}],"schema":"https://github.com/citation-style-language/schema/raw/master/csl-citation.json"} </w:instrText>
      </w:r>
      <w:r w:rsidRPr="005D5611">
        <w:fldChar w:fldCharType="separate"/>
      </w:r>
      <w:r w:rsidR="00C51ED3">
        <w:t>[86]</w:t>
      </w:r>
      <w:r w:rsidRPr="005D5611">
        <w:fldChar w:fldCharType="end"/>
      </w:r>
      <w:r w:rsidRPr="005D5611">
        <w:t xml:space="preserve"> </w:t>
      </w:r>
      <w:bookmarkEnd w:id="17"/>
      <w:r w:rsidRPr="005D5611">
        <w:t xml:space="preserve">reviewed the progress and utility of individual based models and recognized </w:t>
      </w:r>
      <w:r w:rsidRPr="005D5611">
        <w:rPr>
          <w:rFonts w:eastAsiaTheme="minorHAnsi"/>
        </w:rPr>
        <w:t>that one of their powerful aspects was to integrate many different levels in the traditional hierarchy of ecological processes.</w:t>
      </w:r>
      <w:r w:rsidRPr="005D5611">
        <w:t xml:space="preserve"> Eqn. S1 has been used to model an individual plant (e.g., cotton) and individual animal (e.g., a female lady beetle) by modeling how individual </w:t>
      </w:r>
      <w:r w:rsidRPr="005D5611">
        <w:rPr>
          <w:rFonts w:eastAsiaTheme="minorHAnsi"/>
        </w:rPr>
        <w:t>organisms acquire and allocate energy (i.e., the metabolic pool model).</w:t>
      </w:r>
      <w:bookmarkStart w:id="18" w:name="_Hlk518367802"/>
    </w:p>
    <w:p w14:paraId="30E2A523" w14:textId="77777777" w:rsidR="003A45CF" w:rsidRPr="005D5611" w:rsidRDefault="003A45CF" w:rsidP="003A45CF">
      <w:pPr>
        <w:pStyle w:val="SMText"/>
      </w:pPr>
      <w:bookmarkStart w:id="19" w:name="_Toc15650835"/>
      <w:r w:rsidRPr="005D5611">
        <w:rPr>
          <w:i/>
        </w:rPr>
        <w:t>A single plant</w:t>
      </w:r>
      <w:bookmarkEnd w:id="19"/>
      <w:r w:rsidRPr="005D5611">
        <w:rPr>
          <w:rFonts w:eastAsiaTheme="minorHAnsi"/>
        </w:rPr>
        <w:t xml:space="preserve"> </w:t>
      </w:r>
      <w:r w:rsidRPr="005D5611">
        <w:t>–</w:t>
      </w:r>
      <w:r w:rsidRPr="005D5611">
        <w:rPr>
          <w:rFonts w:eastAsiaTheme="minorHAnsi"/>
        </w:rPr>
        <w:t xml:space="preserve"> </w:t>
      </w:r>
      <w:bookmarkEnd w:id="18"/>
      <w:r w:rsidRPr="005D5611">
        <w:t>Assume an individual plant with age structured subunits growing in a defined area where it searches for and captures sunlight, water, and nutrients.</w:t>
      </w:r>
      <w:r w:rsidRPr="005D5611">
        <w:rPr>
          <w:rFonts w:eastAsiaTheme="minorHAnsi"/>
        </w:rPr>
        <w:t xml:space="preserve"> </w:t>
      </w:r>
      <w:r w:rsidRPr="005D5611">
        <w:t xml:space="preserve">A plant is composed of age structured populations of leaves, root, stem, and fruit </w:t>
      </w:r>
      <w:r w:rsidRPr="005D5611">
        <w:rPr>
          <w:iCs/>
          <w:color w:val="231F20"/>
        </w:rPr>
        <w:t xml:space="preserve">(Fig. S3a) and in our model consists </w:t>
      </w:r>
      <w:r w:rsidRPr="005D5611">
        <w:t xml:space="preserve">of six {n = 1, 2, …,6} linked age-structured </w:t>
      </w:r>
      <w:r w:rsidRPr="005D5611">
        <w:rPr>
          <w:i/>
        </w:rPr>
        <w:t>PBDM</w:t>
      </w:r>
      <w:r w:rsidRPr="005D5611">
        <w:t>s for the mass of leaves {</w:t>
      </w:r>
      <w:r w:rsidRPr="005D5611">
        <w:rPr>
          <w:i/>
        </w:rPr>
        <w:t>L</w:t>
      </w:r>
      <w:r w:rsidRPr="005D5611">
        <w:t>, n=1}, for stem {</w:t>
      </w:r>
      <w:r w:rsidRPr="005D5611">
        <w:rPr>
          <w:i/>
        </w:rPr>
        <w:t>St</w:t>
      </w:r>
      <w:r w:rsidRPr="005D5611">
        <w:t>, 2}, root {</w:t>
      </w:r>
      <w:r w:rsidRPr="005D5611">
        <w:rPr>
          <w:i/>
        </w:rPr>
        <w:t>Rt</w:t>
      </w:r>
      <w:r w:rsidRPr="005D5611">
        <w:t>, 3} and for</w:t>
      </w:r>
      <w:r w:rsidRPr="005D5611">
        <w:rPr>
          <w:i/>
        </w:rPr>
        <w:t xml:space="preserve"> </w:t>
      </w:r>
      <w:r w:rsidRPr="005D5611">
        <w:t xml:space="preserve">the mass (subscript </w:t>
      </w:r>
      <w:r w:rsidRPr="005D5611">
        <w:rPr>
          <w:i/>
        </w:rPr>
        <w:t>M</w:t>
      </w:r>
      <w:r w:rsidRPr="005D5611">
        <w:t xml:space="preserve">) and number (subscript </w:t>
      </w:r>
      <w:r w:rsidRPr="005D5611">
        <w:rPr>
          <w:i/>
        </w:rPr>
        <w:t>N</w:t>
      </w:r>
      <w:r w:rsidRPr="005D5611">
        <w:t>) of fruit {</w:t>
      </w:r>
      <w:r w:rsidRPr="005D5611">
        <w:rPr>
          <w:i/>
        </w:rPr>
        <w:t>F</w:t>
      </w:r>
      <w:r w:rsidRPr="005D5611">
        <w:rPr>
          <w:i/>
          <w:vertAlign w:val="subscript"/>
        </w:rPr>
        <w:t>M</w:t>
      </w:r>
      <w:r w:rsidRPr="005D5611">
        <w:t xml:space="preserve"> &amp; </w:t>
      </w:r>
      <w:r w:rsidRPr="005D5611">
        <w:rPr>
          <w:i/>
        </w:rPr>
        <w:t>F</w:t>
      </w:r>
      <w:r w:rsidRPr="005D5611">
        <w:rPr>
          <w:i/>
          <w:vertAlign w:val="subscript"/>
        </w:rPr>
        <w:t>N</w:t>
      </w:r>
      <w:r w:rsidRPr="005D5611">
        <w:t>, n= 4, 5} t</w:t>
      </w:r>
      <w:r w:rsidRPr="005D5611">
        <w:rPr>
          <w:iCs/>
          <w:color w:val="231F20"/>
        </w:rPr>
        <w:t>hat are linked via the metabolic pool model (main text eqn. S1) and the allocation priorities</w:t>
      </w:r>
      <w:r w:rsidRPr="005D5611">
        <w:t xml:space="preserve">. We could add additional details such as the number of leaves, branches and other subunits, but experience has shown this is not required. The distribution of developmental times given different age-classes </w:t>
      </w:r>
      <w:r w:rsidRPr="005D5611">
        <w:rPr>
          <w:i/>
        </w:rPr>
        <w:t>k</w:t>
      </w:r>
      <w:r w:rsidRPr="005D5611">
        <w:t xml:space="preserve"> of plant subunits is illustrated in Fig. S3b. </w:t>
      </w:r>
    </w:p>
    <w:p w14:paraId="01E60DFB" w14:textId="77777777" w:rsidR="003A45CF" w:rsidRPr="005D5611" w:rsidRDefault="003A45CF" w:rsidP="003A45CF">
      <w:pPr>
        <w:pStyle w:val="SMcaption"/>
      </w:pPr>
      <w:r w:rsidRPr="005D5611">
        <w:rPr>
          <w:noProof/>
        </w:rPr>
        <w:drawing>
          <wp:inline distT="0" distB="0" distL="0" distR="0" wp14:anchorId="57EB702D" wp14:editId="7E3B5705">
            <wp:extent cx="5612798" cy="3837810"/>
            <wp:effectExtent l="0" t="0" r="63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664542" cy="3873191"/>
                    </a:xfrm>
                    <a:prstGeom prst="rect">
                      <a:avLst/>
                    </a:prstGeom>
                  </pic:spPr>
                </pic:pic>
              </a:graphicData>
            </a:graphic>
          </wp:inline>
        </w:drawing>
      </w:r>
    </w:p>
    <w:p w14:paraId="71B2F6A0" w14:textId="77777777" w:rsidR="003A45CF" w:rsidRPr="005D5611" w:rsidRDefault="003A45CF" w:rsidP="003A45CF">
      <w:pPr>
        <w:pStyle w:val="SMcaption"/>
      </w:pPr>
      <w:r w:rsidRPr="005D5611">
        <w:rPr>
          <w:b/>
        </w:rPr>
        <w:t>Fig. S3.</w:t>
      </w:r>
      <w:r w:rsidRPr="005D5611">
        <w:t xml:space="preserve"> Conceptual application of a distributed maturation time model to plants: (a) age structured subunits models of a single plant, (b) illustration of the distribution of developmental time with different numbers of age classes (i.e., the higher the number of age classes the narrower is the distribution), and (c) an age structured meta - population of plants (</w:t>
      </w:r>
      <w:r w:rsidRPr="005D5611">
        <w:rPr>
          <w:i/>
          <w:iCs/>
        </w:rPr>
        <w:t>ρ</w:t>
      </w:r>
      <w:r w:rsidRPr="005D5611">
        <w:t>) each with plant subunits populations and area for growth depicted in (Fig. S6a). The left superscript m is for mass and n is for number.</w:t>
      </w:r>
      <w:bookmarkStart w:id="20" w:name="_Toc15650836"/>
      <w:bookmarkStart w:id="21" w:name="_Hlk518367974"/>
    </w:p>
    <w:p w14:paraId="79AC4AEA" w14:textId="77777777" w:rsidR="003A45CF" w:rsidRPr="005D5611" w:rsidRDefault="003A45CF" w:rsidP="003A45CF">
      <w:pPr>
        <w:pStyle w:val="SMText"/>
      </w:pPr>
    </w:p>
    <w:p w14:paraId="61C2EE6A" w14:textId="6CB6F3A7" w:rsidR="003A45CF" w:rsidRPr="005D5611" w:rsidRDefault="003A45CF" w:rsidP="003A45CF">
      <w:pPr>
        <w:pStyle w:val="SMText"/>
      </w:pPr>
      <w:r w:rsidRPr="005D5611">
        <w:rPr>
          <w:i/>
          <w:noProof/>
        </w:rPr>
        <w:t>Rules for resourse allocation</w:t>
      </w:r>
      <w:bookmarkEnd w:id="20"/>
      <w:bookmarkEnd w:id="21"/>
      <w:r w:rsidRPr="005D5611">
        <w:rPr>
          <w:noProof/>
        </w:rPr>
        <w:t xml:space="preserve"> - Fig. S4 shows the acquisition and allocation of resources by a plant </w:t>
      </w:r>
      <w:r w:rsidRPr="005D5611">
        <w:rPr>
          <w:noProof/>
        </w:rPr>
        <w:fldChar w:fldCharType="begin"/>
      </w:r>
      <w:r w:rsidR="002F5A10">
        <w:rPr>
          <w:noProof/>
        </w:rPr>
        <w:instrText xml:space="preserve"> ADDIN ZOTERO_ITEM CSL_CITATION {"citationID":"GIQpfmZP","properties":{"formattedCitation":"[18, 119, 120]","plainCitation":"[18, 119, 120]","noteIndex":0},"citationItems":[{"id":1187,"uris":["http://zotero.org/users/1272936/items/T8UEHT5K"],"uri":["http://zotero.org/users/1272936/items/T8UEHT5K"],"itemData":{"id":1187,"type":"article-journal","abstract":"A general population model for the growth and development of cotton that has been used successfully to simulate the growth and development of Acala SJ-II cotton in California is presented. The mathematical framework for coupling plants and herbivores is presented, with special reference to Anthonomus grandis Boh., and the biological implications of their damage to the plant are discussed.","container-title":"Canadian Entomologist","DOI":"10.4039/Ent1091359-10","issue":"10","page":"1359-1374","title":"A population model for plant growth and development: coupling cotton-herbivore interaction","volume":"109","author":[{"family":"Wang","given":"Y."},{"family":"Gutierrez","given":"A. P."},{"family":"Oster","given":"G."},{"family":"Daxl","given":"R."}],"issued":{"date-parts":[["1977"]]}}},{"id":2929,"uris":["http://zotero.org/users/1272936/items/RJ4N9JJQ"],"uri":["http://zotero.org/users/1272936/items/RJ4N9JJQ"],"itemData":{"id":2929,"type":"article-journal","container-title":"Ecological Modelling","DOI":"10.1016/0304-3800(84)90071-1","ISSN":"0304-3800","issue":"3","page":"231-249","title":"A general distributed delay time varying life table plant population model: Cotton (&lt;i&gt;Gossypium hirsutum&lt;/i&gt; L.) growth and development as an example","volume":"26","author":[{"family":"Gutierrez","given":"A.P."},{"family":"Pizzamiglio","given":"M.A."},{"family":"Dos Santos","given":"W.J."},{"family":"Tennyson","given":"R."},{"family":"Villacorta","given":"A.M."}],"issued":{"date-parts":[["1984"]]}}},{"id":7,"uris":["http://zotero.org/users/1272936/items/IEVRICQI"],"uri":["http://zotero.org/users/1272936/items/IEVRICQI"],"itemData":{"id":7,"type":"article-journal","abstract":"A dynamic crop model is described for grapevine dry matter and N assimilation and allocation in plant subunits (leaves, shoots, roots and fruits) with variable life spans and age structures. The N submodel can be switched off when N is non-limiting. The model forms a basis for future analyses in the vineyard ecosystem, e.g. for assessing the effects of management practices. A flow chart of the daily computations is presented and the corresponding structure is described. Correspondence between the simulation results and observed field data was generally good. In simulations, it was found that in summer, roughly 1/3 of the daily available photoassimilate was allocated to each of the 3 sinks: maintenance respiration, reproductive growth and vegetative growth.","container-title":"Ecological Modelling","DOI":"10.1016/0304-3800(91)90138-Q","issue":"1/2","page":"1-26","title":"A demographic model of assimilation and allocation of carbon and nitrogen in grapevines","volume":"53","author":[{"family":"Wermelinger","given":"B."},{"family":"Baumgärtner","given":"J."},{"family":"Gutierrez","given":"A. P."}],"issued":{"date-parts":[["1991"]]}}}],"schema":"https://github.com/citation-style-language/schema/raw/master/csl-citation.json"} </w:instrText>
      </w:r>
      <w:r w:rsidRPr="005D5611">
        <w:rPr>
          <w:noProof/>
        </w:rPr>
        <w:fldChar w:fldCharType="separate"/>
      </w:r>
      <w:r w:rsidR="00C51ED3">
        <w:t>[18, 119, 120]</w:t>
      </w:r>
      <w:r w:rsidRPr="005D5611">
        <w:rPr>
          <w:noProof/>
        </w:rPr>
        <w:fldChar w:fldCharType="end"/>
      </w:r>
      <w:r w:rsidRPr="005D5611">
        <w:rPr>
          <w:noProof/>
        </w:rPr>
        <w:t xml:space="preserve"> and an insect (e.g., a lady beetle; </w:t>
      </w:r>
      <w:r w:rsidRPr="005D5611">
        <w:rPr>
          <w:noProof/>
        </w:rPr>
        <w:fldChar w:fldCharType="begin"/>
      </w:r>
      <w:r w:rsidR="002F5A10">
        <w:rPr>
          <w:noProof/>
        </w:rPr>
        <w:instrText xml:space="preserve"> ADDIN ZOTERO_ITEM CSL_CITATION {"citationID":"gxHU3WNl","properties":{"formattedCitation":"[121]","plainCitation":"[121]","noteIndex":0},"citationItems":[{"id":616,"uris":["http://zotero.org/users/1272936/items/6UAVHCEI"],"uri":["http://zotero.org/users/1272936/items/6UAVHCEI"],"itemData":{"id":616,"type":"article-journal","abstract":"A simple model is presented for growth and development in Hippodamia convergens (Guer.), which partitions aphid biomass eaten (on lucerne) into components of excretion; assimilation; growth and reproduction; and metabolic costs associated with searching and maintenance respiration. All parameters in the model were estimated from simple minimal laboratory experiments, and have biological or physical meaning. The effects of predator nutrition on ageing, survival and emigration are also modelled. Most rates in the model for growth, reproduction and respiration are controlled by the interplay between prey consumption and maximum prey biomass demands. The model for biomass flow is related to standard predator-prey theory.","container-title":"Canadian Entomologist","DOI":"10.4039/Ent11321-1","issue":"1","page":"21-33","title":"A conceptual model for growth, development, and reproduction in the ladybird beetle, &lt;i&gt;Hippodamia convergens&lt;/i&gt; (Coleoptera: Coccinellidae)","volume":"113","author":[{"family":"Gutierrez","given":"A. P."},{"family":"Baumgaertner","given":"J. U."},{"family":"Hagen","given":"K. S."}],"issued":{"date-parts":[["1981"]]}}}],"schema":"https://github.com/citation-style-language/schema/raw/master/csl-citation.json"} </w:instrText>
      </w:r>
      <w:r w:rsidRPr="005D5611">
        <w:rPr>
          <w:noProof/>
        </w:rPr>
        <w:fldChar w:fldCharType="separate"/>
      </w:r>
      <w:r w:rsidR="00C51ED3">
        <w:t>[121]</w:t>
      </w:r>
      <w:r w:rsidRPr="005D5611">
        <w:rPr>
          <w:noProof/>
        </w:rPr>
        <w:fldChar w:fldCharType="end"/>
      </w:r>
      <w:r w:rsidRPr="005D5611">
        <w:rPr>
          <w:noProof/>
        </w:rPr>
        <w:t>), and illustrates the priority scheme for allocation with reproduction (</w:t>
      </w:r>
      <w:r w:rsidRPr="005D5611">
        <w:rPr>
          <w:i/>
          <w:noProof/>
        </w:rPr>
        <w:t>R</w:t>
      </w:r>
      <w:r w:rsidRPr="005D5611">
        <w:rPr>
          <w:noProof/>
        </w:rPr>
        <w:t>)</w:t>
      </w:r>
      <w:r w:rsidRPr="005D5611">
        <w:rPr>
          <w:i/>
          <w:noProof/>
        </w:rPr>
        <w:t xml:space="preserve"> </w:t>
      </w:r>
      <w:r w:rsidRPr="005D5611">
        <w:rPr>
          <w:noProof/>
        </w:rPr>
        <w:t>having a higher priority than growth (</w:t>
      </w:r>
      <w:r w:rsidRPr="005D5611">
        <w:rPr>
          <w:i/>
          <w:noProof/>
        </w:rPr>
        <w:t>G</w:t>
      </w:r>
      <w:r w:rsidRPr="005D5611">
        <w:rPr>
          <w:noProof/>
        </w:rPr>
        <w:t xml:space="preserve">) in reproductive adults (see). </w:t>
      </w:r>
      <w:r w:rsidRPr="005D5611">
        <w:rPr>
          <w:rFonts w:eastAsiaTheme="minorHAnsi"/>
        </w:rPr>
        <w:t>Specifically, (1-</w:t>
      </w:r>
      <w:r w:rsidRPr="005D5611">
        <w:rPr>
          <w:rFonts w:eastAsiaTheme="minorHAnsi"/>
          <w:i/>
        </w:rPr>
        <w:sym w:font="Symbol" w:char="F062"/>
      </w:r>
      <w:r w:rsidRPr="005D5611">
        <w:rPr>
          <w:rFonts w:eastAsiaTheme="minorHAnsi"/>
        </w:rPr>
        <w:t xml:space="preserve">) is the egestion rate, </w:t>
      </w:r>
      <w:r w:rsidRPr="005D5611">
        <w:rPr>
          <w:rFonts w:eastAsiaTheme="minorHAnsi"/>
          <w:i/>
        </w:rPr>
        <w:sym w:font="Symbol" w:char="F06C"/>
      </w:r>
      <w:r w:rsidRPr="005D5611">
        <w:rPr>
          <w:rFonts w:eastAsiaTheme="minorHAnsi"/>
        </w:rPr>
        <w:t xml:space="preserve"> corrects for converting resource to self, </w:t>
      </w:r>
      <w:r w:rsidR="00947966" w:rsidRPr="005D5611">
        <w:rPr>
          <w:noProof/>
          <w:position w:val="-12"/>
        </w:rPr>
        <w:object w:dxaOrig="999" w:dyaOrig="360" w14:anchorId="606AB6A0">
          <v:shape id="_x0000_i1048" type="#_x0000_t75" alt="" style="width:51.5pt;height:18.75pt;mso-width-percent:0;mso-height-percent:0;mso-width-percent:0;mso-height-percent:0" o:ole="">
            <v:imagedata r:id="rId57" o:title=""/>
          </v:shape>
          <o:OLEObject Type="Embed" ProgID="Equation.DSMT4" ShapeID="_x0000_i1048" DrawAspect="Content" ObjectID="_1662177457" r:id="rId58"/>
        </w:object>
      </w:r>
      <w:r w:rsidRPr="005D5611">
        <w:t xml:space="preserve"> is the plant’s concave functional response (i.e. photosynthesis) model driven by assimilation demands </w:t>
      </w:r>
      <w:r w:rsidRPr="005D5611">
        <w:rPr>
          <w:i/>
        </w:rPr>
        <w:t>D</w:t>
      </w:r>
      <w:r w:rsidRPr="005D5611">
        <w:t xml:space="preserve">, </w:t>
      </w:r>
      <w:r w:rsidRPr="005D5611">
        <w:rPr>
          <w:rFonts w:eastAsiaTheme="minorHAnsi"/>
          <w:i/>
        </w:rPr>
        <w:t>M</w:t>
      </w:r>
      <w:r w:rsidRPr="005D5611">
        <w:rPr>
          <w:rFonts w:eastAsiaTheme="minorHAnsi"/>
          <w:i/>
          <w:vertAlign w:val="subscript"/>
        </w:rPr>
        <w:t>L</w:t>
      </w:r>
      <w:r w:rsidRPr="005D5611">
        <w:rPr>
          <w:rFonts w:eastAsiaTheme="minorHAnsi"/>
        </w:rPr>
        <w:t xml:space="preserve"> is the age structured leaf dry biomass (L), </w:t>
      </w:r>
      <w:r w:rsidRPr="005D5611">
        <w:rPr>
          <w:rFonts w:eastAsiaTheme="minorHAnsi"/>
          <w:i/>
        </w:rPr>
        <w:t>l = g CH</w:t>
      </w:r>
      <w:r w:rsidRPr="005D5611">
        <w:rPr>
          <w:rFonts w:eastAsiaTheme="minorHAnsi"/>
          <w:i/>
          <w:vertAlign w:val="subscript"/>
        </w:rPr>
        <w:t>2</w:t>
      </w:r>
      <w:r w:rsidRPr="005D5611">
        <w:rPr>
          <w:rFonts w:eastAsiaTheme="minorHAnsi"/>
          <w:i/>
        </w:rPr>
        <w:t>0 m</w:t>
      </w:r>
      <w:r w:rsidRPr="005D5611">
        <w:rPr>
          <w:rFonts w:eastAsiaTheme="minorHAnsi"/>
          <w:i/>
          <w:vertAlign w:val="superscript"/>
        </w:rPr>
        <w:t>-2</w:t>
      </w:r>
      <w:r w:rsidRPr="005D5611">
        <w:rPr>
          <w:rFonts w:eastAsiaTheme="minorHAnsi"/>
          <w:i/>
        </w:rPr>
        <w:t xml:space="preserve"> day</w:t>
      </w:r>
      <w:r w:rsidRPr="005D5611">
        <w:rPr>
          <w:rFonts w:eastAsiaTheme="minorHAnsi"/>
          <w:i/>
          <w:vertAlign w:val="superscript"/>
        </w:rPr>
        <w:t>-1</w:t>
      </w:r>
      <w:r w:rsidRPr="005D5611">
        <w:rPr>
          <w:rFonts w:eastAsiaTheme="minorHAnsi"/>
          <w:i/>
        </w:rPr>
        <w:t xml:space="preserve"> </w:t>
      </w:r>
      <w:r w:rsidRPr="005D5611">
        <w:rPr>
          <w:rFonts w:eastAsiaTheme="minorHAnsi"/>
        </w:rPr>
        <w:t xml:space="preserve">is light incident per </w:t>
      </w:r>
      <w:r w:rsidRPr="005D5611">
        <w:rPr>
          <w:rFonts w:eastAsiaTheme="minorHAnsi"/>
          <w:i/>
        </w:rPr>
        <w:t>m</w:t>
      </w:r>
      <w:r w:rsidRPr="005D5611">
        <w:rPr>
          <w:rFonts w:eastAsiaTheme="minorHAnsi"/>
          <w:i/>
          <w:vertAlign w:val="superscript"/>
        </w:rPr>
        <w:t>2</w:t>
      </w:r>
      <w:r w:rsidRPr="005D5611">
        <w:rPr>
          <w:rFonts w:eastAsiaTheme="minorHAnsi"/>
          <w:i/>
        </w:rPr>
        <w:t xml:space="preserve"> </w:t>
      </w:r>
      <w:r w:rsidRPr="005D5611">
        <w:rPr>
          <w:rFonts w:eastAsiaTheme="minorHAnsi"/>
        </w:rPr>
        <w:t>in the</w:t>
      </w:r>
      <w:r w:rsidRPr="005D5611">
        <w:rPr>
          <w:rFonts w:eastAsiaTheme="minorHAnsi"/>
          <w:i/>
        </w:rPr>
        <w:t xml:space="preserve"> </w:t>
      </w:r>
      <w:r w:rsidRPr="005D5611">
        <w:rPr>
          <w:rFonts w:eastAsiaTheme="minorHAnsi"/>
        </w:rPr>
        <w:t>growing area</w:t>
      </w:r>
      <w:r w:rsidRPr="005D5611">
        <w:rPr>
          <w:rFonts w:eastAsiaTheme="minorHAnsi"/>
          <w:i/>
        </w:rPr>
        <w:t xml:space="preserve"> </w:t>
      </w:r>
      <w:r w:rsidRPr="005D5611">
        <w:rPr>
          <w:rFonts w:eastAsiaTheme="minorHAnsi"/>
        </w:rPr>
        <w:t xml:space="preserve">converted to g </w:t>
      </w:r>
      <w:r w:rsidRPr="005D5611">
        <w:rPr>
          <w:rFonts w:eastAsiaTheme="minorHAnsi"/>
          <w:i/>
        </w:rPr>
        <w:t>CH</w:t>
      </w:r>
      <w:r w:rsidRPr="005D5611">
        <w:rPr>
          <w:rFonts w:eastAsiaTheme="minorHAnsi"/>
          <w:i/>
          <w:vertAlign w:val="subscript"/>
        </w:rPr>
        <w:t>2</w:t>
      </w:r>
      <w:r w:rsidRPr="005D5611">
        <w:rPr>
          <w:rFonts w:eastAsiaTheme="minorHAnsi"/>
          <w:i/>
        </w:rPr>
        <w:t>0</w:t>
      </w:r>
      <w:r w:rsidRPr="005D5611">
        <w:rPr>
          <w:rFonts w:eastAsiaTheme="minorHAnsi"/>
        </w:rPr>
        <w:t xml:space="preserve"> </w:t>
      </w:r>
      <w:r w:rsidRPr="005D5611">
        <w:rPr>
          <w:rFonts w:eastAsiaTheme="minorHAnsi"/>
        </w:rPr>
        <w:fldChar w:fldCharType="begin"/>
      </w:r>
      <w:r w:rsidR="002F5A10">
        <w:rPr>
          <w:rFonts w:eastAsiaTheme="minorHAnsi"/>
        </w:rPr>
        <w:instrText xml:space="preserve"> ADDIN ZOTERO_ITEM CSL_CITATION {"citationID":"O020SMGf","properties":{"formattedCitation":"[122]","plainCitation":"[122]","noteIndex":0},"citationItems":[{"id":12284,"uris":["http://zotero.org/users/1272936/items/JEYGXVH5"],"uri":["http://zotero.org/users/1272936/items/JEYGXVH5"],"itemData":{"id":12284,"type":"article-journal","container-title":"Crop Science","DOI":"10.2135/cropsci1963.0011183X000300010021x","ISSN":"0011-183X","issue":"1","language":"en","page":"67-72","source":"dl.sciencesocieties.org","title":"Maximum crop productivity: an extimate","title-short":"Maximum crop productivity","volume":"3","author":[{"family":"Loomis","given":"R. S."},{"family":"Williams","given":"W. A."}],"issued":{"date-parts":[["1963"]],"season":"2/01"}}}],"schema":"https://github.com/citation-style-language/schema/raw/master/csl-citation.json"} </w:instrText>
      </w:r>
      <w:r w:rsidRPr="005D5611">
        <w:rPr>
          <w:rFonts w:eastAsiaTheme="minorHAnsi"/>
        </w:rPr>
        <w:fldChar w:fldCharType="separate"/>
      </w:r>
      <w:r w:rsidR="00C51ED3">
        <w:t>[122]</w:t>
      </w:r>
      <w:r w:rsidRPr="005D5611">
        <w:rPr>
          <w:rFonts w:eastAsiaTheme="minorHAnsi"/>
        </w:rPr>
        <w:fldChar w:fldCharType="end"/>
      </w:r>
      <w:r w:rsidRPr="005D5611">
        <w:rPr>
          <w:rFonts w:eastAsiaTheme="minorHAnsi"/>
        </w:rPr>
        <w:t xml:space="preserve">; </w:t>
      </w:r>
      <w:r w:rsidRPr="005D5611">
        <w:rPr>
          <w:rFonts w:eastAsiaTheme="minorHAnsi"/>
          <w:i/>
        </w:rPr>
        <w:sym w:font="Symbol" w:char="F061"/>
      </w:r>
      <w:r w:rsidRPr="005D5611">
        <w:rPr>
          <w:rFonts w:eastAsiaTheme="minorHAnsi"/>
        </w:rPr>
        <w:t xml:space="preserve"> is the proportion of light intercepted as a function of leaf mass (</w:t>
      </w:r>
      <w:r w:rsidRPr="005D5611">
        <w:rPr>
          <w:rFonts w:eastAsiaTheme="minorHAnsi"/>
          <w:i/>
        </w:rPr>
        <w:t>M</w:t>
      </w:r>
      <w:r w:rsidRPr="005D5611">
        <w:rPr>
          <w:rFonts w:eastAsiaTheme="minorHAnsi"/>
          <w:i/>
          <w:vertAlign w:val="subscript"/>
        </w:rPr>
        <w:t>L</w:t>
      </w:r>
      <w:r w:rsidRPr="005D5611">
        <w:rPr>
          <w:rFonts w:eastAsiaTheme="minorHAnsi"/>
        </w:rPr>
        <w:t xml:space="preserve">) converted to leaf area relative to the area available for growth (i.e. LAI; </w:t>
      </w:r>
      <w:r w:rsidRPr="005D5611">
        <w:rPr>
          <w:rFonts w:eastAsiaTheme="minorHAnsi"/>
          <w:i/>
        </w:rPr>
        <w:t>cf.</w:t>
      </w:r>
      <w:r w:rsidRPr="005D5611">
        <w:rPr>
          <w:rFonts w:eastAsiaTheme="minorHAnsi"/>
        </w:rPr>
        <w:t xml:space="preserve"> Beers Law); </w:t>
      </w:r>
      <w:r w:rsidRPr="005D5611">
        <w:rPr>
          <w:rFonts w:eastAsiaTheme="minorHAnsi"/>
          <w:i/>
        </w:rPr>
        <w:t>M</w:t>
      </w:r>
      <w:r w:rsidRPr="005D5611">
        <w:rPr>
          <w:rFonts w:eastAsiaTheme="minorHAnsi"/>
          <w:i/>
          <w:vertAlign w:val="subscript"/>
        </w:rPr>
        <w:t>T</w:t>
      </w:r>
      <w:r w:rsidRPr="005D5611">
        <w:rPr>
          <w:rFonts w:eastAsiaTheme="minorHAnsi"/>
        </w:rPr>
        <w:t xml:space="preserve"> is the dry biomass of all respiring tissues; </w:t>
      </w:r>
      <w:r w:rsidRPr="005D5611">
        <w:rPr>
          <w:rFonts w:eastAsiaTheme="minorHAnsi"/>
          <w:i/>
        </w:rPr>
        <w:t>D</w:t>
      </w:r>
      <w:r w:rsidRPr="005D5611">
        <w:rPr>
          <w:rFonts w:eastAsiaTheme="minorHAnsi"/>
        </w:rPr>
        <w:t xml:space="preserve"> = </w:t>
      </w:r>
      <w:r w:rsidRPr="005D5611">
        <w:rPr>
          <w:rFonts w:eastAsiaTheme="minorHAnsi"/>
          <w:i/>
        </w:rPr>
        <w:t>d</w:t>
      </w:r>
      <w:r w:rsidRPr="005D5611">
        <w:rPr>
          <w:rFonts w:eastAsiaTheme="minorHAnsi"/>
          <w:i/>
          <w:vertAlign w:val="subscript"/>
        </w:rPr>
        <w:t>leaves</w:t>
      </w:r>
      <w:r w:rsidRPr="005D5611">
        <w:rPr>
          <w:rFonts w:eastAsiaTheme="minorHAnsi"/>
          <w:i/>
        </w:rPr>
        <w:t xml:space="preserve"> + d</w:t>
      </w:r>
      <w:r w:rsidRPr="005D5611">
        <w:rPr>
          <w:rFonts w:eastAsiaTheme="minorHAnsi"/>
          <w:i/>
          <w:vertAlign w:val="subscript"/>
        </w:rPr>
        <w:t>stem</w:t>
      </w:r>
      <w:r w:rsidRPr="005D5611">
        <w:rPr>
          <w:rFonts w:eastAsiaTheme="minorHAnsi"/>
          <w:i/>
        </w:rPr>
        <w:t xml:space="preserve"> + d</w:t>
      </w:r>
      <w:r w:rsidRPr="005D5611">
        <w:rPr>
          <w:rFonts w:eastAsiaTheme="minorHAnsi"/>
          <w:i/>
          <w:vertAlign w:val="subscript"/>
        </w:rPr>
        <w:t xml:space="preserve">root </w:t>
      </w:r>
      <w:r w:rsidRPr="005D5611">
        <w:rPr>
          <w:rFonts w:eastAsiaTheme="minorHAnsi"/>
          <w:i/>
        </w:rPr>
        <w:t>+ d</w:t>
      </w:r>
      <w:r w:rsidRPr="005D5611">
        <w:rPr>
          <w:rFonts w:eastAsiaTheme="minorHAnsi"/>
          <w:i/>
          <w:vertAlign w:val="subscript"/>
        </w:rPr>
        <w:t xml:space="preserve">fruit </w:t>
      </w:r>
      <w:r w:rsidRPr="005D5611">
        <w:rPr>
          <w:rFonts w:eastAsiaTheme="minorHAnsi"/>
          <w:i/>
        </w:rPr>
        <w:t>+ d</w:t>
      </w:r>
      <w:r w:rsidRPr="005D5611">
        <w:rPr>
          <w:rFonts w:eastAsiaTheme="minorHAnsi"/>
          <w:i/>
          <w:vertAlign w:val="subscript"/>
        </w:rPr>
        <w:t>res</w:t>
      </w:r>
      <w:r w:rsidRPr="005D5611">
        <w:rPr>
          <w:rFonts w:eastAsiaTheme="minorHAnsi"/>
          <w:i/>
        </w:rPr>
        <w:t xml:space="preserve"> </w:t>
      </w:r>
      <w:r w:rsidRPr="005D5611">
        <w:rPr>
          <w:rFonts w:eastAsiaTheme="minorHAnsi"/>
        </w:rPr>
        <w:t xml:space="preserve">is the total demand for the maximum per plant growth rate of leaves, stem, roots, fruit and reserves; </w:t>
      </w:r>
      <w:r w:rsidRPr="005D5611">
        <w:rPr>
          <w:rFonts w:eastAsiaTheme="minorHAnsi"/>
          <w:i/>
        </w:rPr>
        <w:t>v(</w:t>
      </w:r>
      <w:r w:rsidRPr="005D5611">
        <w:rPr>
          <w:rFonts w:eastAsiaTheme="minorHAnsi"/>
          <w:i/>
        </w:rPr>
        <w:sym w:font="Symbol" w:char="F044"/>
      </w:r>
      <w:r w:rsidRPr="005D5611">
        <w:rPr>
          <w:rFonts w:eastAsiaTheme="minorHAnsi"/>
          <w:i/>
        </w:rPr>
        <w:t>t)</w:t>
      </w:r>
      <w:r w:rsidRPr="005D5611">
        <w:rPr>
          <w:rFonts w:eastAsiaTheme="minorHAnsi"/>
        </w:rPr>
        <w:t xml:space="preserve"> is metabolic cost rate per unit of green plant mass (</w:t>
      </w:r>
      <w:r w:rsidRPr="005D5611">
        <w:rPr>
          <w:rFonts w:eastAsiaTheme="minorHAnsi"/>
          <w:i/>
        </w:rPr>
        <w:t>M</w:t>
      </w:r>
      <w:r w:rsidRPr="005D5611">
        <w:rPr>
          <w:rFonts w:eastAsiaTheme="minorHAnsi"/>
          <w:i/>
          <w:vertAlign w:val="subscript"/>
        </w:rPr>
        <w:t>tot</w:t>
      </w:r>
      <w:r w:rsidRPr="005D5611">
        <w:rPr>
          <w:rFonts w:eastAsiaTheme="minorHAnsi"/>
          <w:i/>
        </w:rPr>
        <w:t>(T)</w:t>
      </w:r>
      <w:r w:rsidRPr="005D5611">
        <w:rPr>
          <w:rFonts w:eastAsiaTheme="minorHAnsi"/>
          <w:iCs/>
        </w:rPr>
        <w:t>)</w:t>
      </w:r>
      <w:r w:rsidRPr="005D5611">
        <w:rPr>
          <w:rFonts w:eastAsiaTheme="minorHAnsi"/>
        </w:rPr>
        <w:t xml:space="preserve"> at temperature </w:t>
      </w:r>
      <w:r w:rsidRPr="005D5611">
        <w:rPr>
          <w:rFonts w:eastAsiaTheme="minorHAnsi"/>
          <w:i/>
        </w:rPr>
        <w:t>T</w:t>
      </w:r>
      <w:r w:rsidRPr="005D5611">
        <w:rPr>
          <w:rFonts w:eastAsiaTheme="minorHAnsi"/>
        </w:rPr>
        <w:t>;</w:t>
      </w:r>
      <w:r w:rsidRPr="005D5611">
        <w:rPr>
          <w:rFonts w:eastAsiaTheme="minorHAnsi"/>
          <w:i/>
        </w:rPr>
        <w:t xml:space="preserve"> </w:t>
      </w:r>
      <w:r w:rsidR="00947966" w:rsidRPr="005D5611">
        <w:rPr>
          <w:noProof/>
          <w:position w:val="-14"/>
        </w:rPr>
        <w:object w:dxaOrig="1020" w:dyaOrig="380" w14:anchorId="5653B443">
          <v:shape id="_x0000_i1049" type="#_x0000_t75" alt="" style="width:51.5pt;height:19.3pt;mso-width-percent:0;mso-height-percent:0;mso-width-percent:0;mso-height-percent:0" o:ole="">
            <v:imagedata r:id="rId59" o:title=""/>
          </v:shape>
          <o:OLEObject Type="Embed" ProgID="Equation.DSMT4" ShapeID="_x0000_i1049" DrawAspect="Content" ObjectID="_1662177458" r:id="rId60"/>
        </w:object>
      </w:r>
      <w:r w:rsidRPr="005D5611">
        <w:rPr>
          <w:rFonts w:eastAsiaTheme="minorHAnsi"/>
          <w:i/>
        </w:rPr>
        <w:t>Dh(</w:t>
      </w:r>
      <w:r w:rsidRPr="005D5611">
        <w:rPr>
          <w:rFonts w:eastAsiaTheme="minorHAnsi"/>
        </w:rPr>
        <w:sym w:font="Symbol" w:char="F0D7"/>
      </w:r>
      <w:r w:rsidRPr="005D5611">
        <w:rPr>
          <w:rFonts w:eastAsiaTheme="minorHAnsi"/>
          <w:i/>
        </w:rPr>
        <w:t xml:space="preserve"> )</w:t>
      </w:r>
      <w:r w:rsidRPr="005D5611">
        <w:rPr>
          <w:rFonts w:eastAsiaTheme="minorHAnsi"/>
        </w:rPr>
        <w:t xml:space="preserve"> is the</w:t>
      </w:r>
      <w:r w:rsidRPr="005D5611">
        <w:rPr>
          <w:rFonts w:eastAsiaTheme="minorHAnsi"/>
          <w:i/>
        </w:rPr>
        <w:t xml:space="preserve"> </w:t>
      </w:r>
      <w:r w:rsidRPr="005D5611">
        <w:rPr>
          <w:rFonts w:eastAsiaTheme="minorHAnsi"/>
        </w:rPr>
        <w:t>supply of photosynthate scaled by the product of the supply/demand ratios for nutrients (</w:t>
      </w:r>
      <w:r w:rsidRPr="005D5611">
        <w:rPr>
          <w:rFonts w:eastAsiaTheme="minorHAnsi"/>
          <w:i/>
        </w:rPr>
        <w:sym w:font="Symbol" w:char="F079"/>
      </w:r>
      <w:r w:rsidRPr="005D5611">
        <w:rPr>
          <w:rFonts w:eastAsiaTheme="minorHAnsi"/>
        </w:rPr>
        <w:t>) and water (</w:t>
      </w:r>
      <w:r w:rsidRPr="005D5611">
        <w:rPr>
          <w:rFonts w:eastAsiaTheme="minorHAnsi"/>
          <w:i/>
        </w:rPr>
        <w:sym w:font="Mathematica1" w:char="F077"/>
      </w:r>
      <w:r w:rsidRPr="005D5611">
        <w:rPr>
          <w:rFonts w:eastAsiaTheme="minorHAnsi"/>
        </w:rPr>
        <w:t>) uptake (</w:t>
      </w:r>
      <w:r w:rsidR="00947966" w:rsidRPr="005D5611">
        <w:rPr>
          <w:noProof/>
          <w:position w:val="-14"/>
        </w:rPr>
        <w:object w:dxaOrig="1180" w:dyaOrig="380" w14:anchorId="30EB3FE1">
          <v:shape id="_x0000_i1050" type="#_x0000_t75" alt="" style="width:57.95pt;height:19.3pt;mso-width-percent:0;mso-height-percent:0;mso-width-percent:0;mso-height-percent:0" o:ole="">
            <v:imagedata r:id="rId61" o:title=""/>
          </v:shape>
          <o:OLEObject Type="Embed" ProgID="Equation.DSMT4" ShapeID="_x0000_i1050" DrawAspect="Content" ObjectID="_1662177459" r:id="rId62"/>
        </w:object>
      </w:r>
      <w:r w:rsidRPr="005D5611">
        <w:t xml:space="preserve">) each </w:t>
      </w:r>
      <w:r w:rsidRPr="005D5611">
        <w:rPr>
          <w:rFonts w:eastAsiaTheme="minorHAnsi"/>
        </w:rPr>
        <w:t xml:space="preserve">computed using the same functional form as </w:t>
      </w:r>
      <w:r w:rsidRPr="005D5611">
        <w:rPr>
          <w:rFonts w:eastAsiaTheme="minorHAnsi"/>
          <w:i/>
        </w:rPr>
        <w:t>Dh(</w:t>
      </w:r>
      <w:r w:rsidRPr="005D5611">
        <w:rPr>
          <w:rFonts w:eastAsiaTheme="minorHAnsi"/>
        </w:rPr>
        <w:sym w:font="Symbol" w:char="F0D7"/>
      </w:r>
      <w:r w:rsidRPr="005D5611">
        <w:rPr>
          <w:rFonts w:eastAsiaTheme="minorHAnsi"/>
          <w:i/>
        </w:rPr>
        <w:t xml:space="preserve"> ) </w:t>
      </w:r>
      <w:r w:rsidRPr="005D5611">
        <w:rPr>
          <w:rFonts w:eastAsiaTheme="minorHAnsi"/>
        </w:rPr>
        <w:t>with the search rates in the soil dependent on an analogous root area index and the quantities of nutrient and water available</w:t>
      </w:r>
      <w:r w:rsidRPr="005D5611">
        <w:rPr>
          <w:rFonts w:eastAsiaTheme="minorHAnsi"/>
          <w:i/>
        </w:rPr>
        <w:t xml:space="preserve">, </w:t>
      </w:r>
      <w:r w:rsidRPr="005D5611">
        <w:rPr>
          <w:rFonts w:eastAsiaTheme="minorHAnsi"/>
        </w:rPr>
        <w:t xml:space="preserve">and </w:t>
      </w:r>
      <w:r w:rsidRPr="005D5611">
        <w:rPr>
          <w:rFonts w:eastAsiaTheme="minorHAnsi"/>
          <w:i/>
        </w:rPr>
        <w:t>Δres</w:t>
      </w:r>
      <w:r w:rsidRPr="005D5611">
        <w:rPr>
          <w:rFonts w:eastAsiaTheme="minorHAnsi"/>
        </w:rPr>
        <w:t xml:space="preserve"> is the available daily reserves available for allocation. The total age structured demand of growing fruit is </w:t>
      </w:r>
      <w:r w:rsidR="00947966" w:rsidRPr="005D5611">
        <w:rPr>
          <w:noProof/>
          <w:position w:val="-28"/>
        </w:rPr>
        <w:object w:dxaOrig="1980" w:dyaOrig="680" w14:anchorId="1C100E15">
          <v:shape id="_x0000_i1051" type="#_x0000_t75" alt="" style="width:99.5pt;height:35.1pt;mso-width-percent:0;mso-height-percent:0;mso-width-percent:0;mso-height-percent:0" o:ole="">
            <v:imagedata r:id="rId63" o:title=""/>
          </v:shape>
          <o:OLEObject Type="Embed" ProgID="Equation.DSMT4" ShapeID="_x0000_i1051" DrawAspect="Content" ObjectID="_1662177460" r:id="rId64"/>
        </w:object>
      </w:r>
      <w:r w:rsidRPr="005D5611">
        <w:t xml:space="preserve">, where </w:t>
      </w:r>
      <w:r w:rsidRPr="005D5611">
        <w:rPr>
          <w:i/>
        </w:rPr>
        <w:t>d</w:t>
      </w:r>
      <w:r w:rsidRPr="005D5611">
        <w:rPr>
          <w:i/>
          <w:vertAlign w:val="subscript"/>
        </w:rPr>
        <w:t>f,i</w:t>
      </w:r>
      <w:r w:rsidRPr="005D5611">
        <w:t xml:space="preserve"> is the per capita age specific demand rate of fruit numbers (</w:t>
      </w:r>
      <w:r w:rsidRPr="005D5611">
        <w:rPr>
          <w:i/>
        </w:rPr>
        <w:t>f</w:t>
      </w:r>
      <w:r w:rsidRPr="005D5611">
        <w:rPr>
          <w:i/>
          <w:vertAlign w:val="subscript"/>
        </w:rPr>
        <w:t>n,i</w:t>
      </w:r>
      <w:r w:rsidRPr="005D5611">
        <w:t xml:space="preserve">) of age </w:t>
      </w:r>
      <w:r w:rsidRPr="005D5611">
        <w:rPr>
          <w:i/>
        </w:rPr>
        <w:t>i</w:t>
      </w:r>
      <w:r w:rsidRPr="005D5611">
        <w:t xml:space="preserve">  per unit of physiological time unit </w:t>
      </w:r>
      <w:r w:rsidR="00947966" w:rsidRPr="005D5611">
        <w:rPr>
          <w:noProof/>
          <w:position w:val="-10"/>
        </w:rPr>
        <w:object w:dxaOrig="780" w:dyaOrig="320" w14:anchorId="25CD8B19">
          <v:shape id="_x0000_i1052" type="#_x0000_t75" alt="" style="width:36.9pt;height:17.55pt;mso-width-percent:0;mso-height-percent:0;mso-width-percent:0;mso-height-percent:0" o:ole="">
            <v:imagedata r:id="rId65" o:title=""/>
          </v:shape>
          <o:OLEObject Type="Embed" ProgID="Equation.DSMT4" ShapeID="_x0000_i1052" DrawAspect="Content" ObjectID="_1662177461" r:id="rId66"/>
        </w:object>
      </w:r>
      <w:r w:rsidRPr="005D5611">
        <w:t xml:space="preserve"> that varies over time (t) with temperature </w:t>
      </w:r>
      <w:r w:rsidRPr="005D5611">
        <w:rPr>
          <w:i/>
        </w:rPr>
        <w:t>T</w:t>
      </w:r>
      <w:r w:rsidRPr="005D5611">
        <w:t>.</w:t>
      </w:r>
      <w:r w:rsidRPr="005D5611">
        <w:rPr>
          <w:i/>
        </w:rPr>
        <w:t xml:space="preserve"> </w:t>
      </w:r>
      <w:r w:rsidRPr="005D5611">
        <w:t xml:space="preserve">The demand for </w:t>
      </w:r>
      <w:r w:rsidRPr="005D5611">
        <w:rPr>
          <w:rFonts w:ascii="Symbol" w:hAnsi="Symbol"/>
          <w:i/>
        </w:rPr>
        <w:t></w:t>
      </w:r>
      <w:r w:rsidRPr="005D5611">
        <w:rPr>
          <w:rFonts w:ascii="Symbol" w:hAnsi="Symbol"/>
        </w:rPr>
        <w:t></w:t>
      </w:r>
      <w:r w:rsidRPr="005D5611">
        <w:t xml:space="preserve">and </w:t>
      </w:r>
      <w:r w:rsidRPr="005D5611">
        <w:rPr>
          <w:rFonts w:ascii="Symbol" w:hAnsi="Symbol"/>
          <w:i/>
        </w:rPr>
        <w:t></w:t>
      </w:r>
      <w:r w:rsidRPr="005D5611">
        <w:t xml:space="preserve"> are assumed proportional to plant dry matter demands.</w:t>
      </w:r>
    </w:p>
    <w:p w14:paraId="0E4138A5" w14:textId="77777777" w:rsidR="003A45CF" w:rsidRPr="005D5611" w:rsidRDefault="00947966" w:rsidP="003A45CF">
      <w:pPr>
        <w:pStyle w:val="SMText"/>
      </w:pPr>
      <w:r w:rsidRPr="005D5611">
        <w:rPr>
          <w:noProof/>
          <w:position w:val="-44"/>
        </w:rPr>
        <w:object w:dxaOrig="6320" w:dyaOrig="999" w14:anchorId="32CFF081">
          <v:shape id="_x0000_i1053" type="#_x0000_t75" alt="" style="width:315.5pt;height:51.5pt;mso-width-percent:0;mso-height-percent:0;mso-width-percent:0;mso-height-percent:0" o:ole="">
            <v:imagedata r:id="rId67" o:title=""/>
          </v:shape>
          <o:OLEObject Type="Embed" ProgID="Equation.DSMT4" ShapeID="_x0000_i1053" DrawAspect="Content" ObjectID="_1662177462" r:id="rId68"/>
        </w:object>
      </w:r>
      <w:r w:rsidR="003A45CF" w:rsidRPr="005D5611">
        <w:tab/>
      </w:r>
      <w:r w:rsidR="003A45CF" w:rsidRPr="005D5611">
        <w:tab/>
        <w:t>(S10)</w:t>
      </w:r>
    </w:p>
    <w:p w14:paraId="7726C723" w14:textId="77777777" w:rsidR="003A45CF" w:rsidRPr="005D5611" w:rsidRDefault="003A45CF" w:rsidP="003A45CF">
      <w:pPr>
        <w:pStyle w:val="SMcaption"/>
        <w:jc w:val="center"/>
        <w:rPr>
          <w:noProof/>
        </w:rPr>
      </w:pPr>
      <w:r w:rsidRPr="005D5611">
        <w:rPr>
          <w:noProof/>
        </w:rPr>
        <w:drawing>
          <wp:inline distT="0" distB="0" distL="0" distR="0" wp14:anchorId="0461EEF6" wp14:editId="3C19062B">
            <wp:extent cx="3813175" cy="2589780"/>
            <wp:effectExtent l="0" t="0" r="0" b="127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901629" cy="2649855"/>
                    </a:xfrm>
                    <a:prstGeom prst="rect">
                      <a:avLst/>
                    </a:prstGeom>
                  </pic:spPr>
                </pic:pic>
              </a:graphicData>
            </a:graphic>
          </wp:inline>
        </w:drawing>
      </w:r>
    </w:p>
    <w:p w14:paraId="25B28892" w14:textId="013665D2" w:rsidR="003A45CF" w:rsidRPr="005D5611" w:rsidRDefault="003A45CF" w:rsidP="003A45CF">
      <w:pPr>
        <w:pStyle w:val="SMcaption"/>
        <w:rPr>
          <w:noProof/>
        </w:rPr>
      </w:pPr>
      <w:r w:rsidRPr="005D5611">
        <w:rPr>
          <w:b/>
          <w:noProof/>
        </w:rPr>
        <w:t>Fig. S4.</w:t>
      </w:r>
      <w:r w:rsidRPr="005D5611">
        <w:rPr>
          <w:noProof/>
        </w:rPr>
        <w:t xml:space="preserve"> Simplified per capita metabolic pool model for a plant or animal (see </w:t>
      </w:r>
      <w:r w:rsidRPr="005D5611">
        <w:rPr>
          <w:noProof/>
        </w:rPr>
        <w:fldChar w:fldCharType="begin"/>
      </w:r>
      <w:r w:rsidR="00FF3F09">
        <w:rPr>
          <w:noProof/>
        </w:rPr>
        <w:instrText xml:space="preserve"> ADDIN ZOTERO_ITEM CSL_CITATION {"citationID":"a1t1hgidaj9","properties":{"formattedCitation":"[104]","plainCitation":"[104]","noteIndex":0},"citationItems":[{"id":4636,"uris":["http://zotero.org/users/1272936/items/DZMGTXVE"],"uri":["http://zotero.org/users/1272936/items/DZMGTXVE"],"itemData":{"id":4636,"type":"article-journal","container-title":"Ecology","DOI":"10.2307/1940008","page":"1552-1563","title":"The physiological basis of ratio-dependent predator-prey theory: the metabolic pool model as a paradigm","volume":"73","author":[{"family":"Gutierrez","given":"A.P."}],"issued":{"date-parts":[["1992"]]}}}],"schema":"https://github.com/citation-style-language/schema/raw/master/csl-citation.json"} </w:instrText>
      </w:r>
      <w:r w:rsidRPr="005D5611">
        <w:rPr>
          <w:noProof/>
        </w:rPr>
        <w:fldChar w:fldCharType="separate"/>
      </w:r>
      <w:r w:rsidR="00C51ED3">
        <w:t>[104]</w:t>
      </w:r>
      <w:r w:rsidRPr="005D5611">
        <w:rPr>
          <w:noProof/>
        </w:rPr>
        <w:fldChar w:fldCharType="end"/>
      </w:r>
      <w:r w:rsidRPr="005D5611">
        <w:rPr>
          <w:noProof/>
        </w:rPr>
        <w:t>).</w:t>
      </w:r>
    </w:p>
    <w:p w14:paraId="4D2E1072" w14:textId="77777777" w:rsidR="003A45CF" w:rsidRPr="005D5611" w:rsidRDefault="003A45CF" w:rsidP="003A45CF">
      <w:pPr>
        <w:pStyle w:val="SMText"/>
        <w:rPr>
          <w:noProof/>
        </w:rPr>
      </w:pPr>
    </w:p>
    <w:p w14:paraId="7B39C339" w14:textId="77777777" w:rsidR="003A45CF" w:rsidRPr="005D5611" w:rsidRDefault="003A45CF" w:rsidP="003A45CF">
      <w:pPr>
        <w:pStyle w:val="SMText"/>
        <w:rPr>
          <w:noProof/>
        </w:rPr>
      </w:pPr>
      <w:r w:rsidRPr="005D5611">
        <w:rPr>
          <w:noProof/>
        </w:rPr>
        <w:t xml:space="preserve">To illustrate how assimilation is implemented per capita in discrete form (see Fig. S5), let </w:t>
      </w:r>
      <w:r w:rsidRPr="005D5611">
        <w:rPr>
          <w:i/>
          <w:noProof/>
        </w:rPr>
        <w:t>S(t)</w:t>
      </w:r>
      <w:r w:rsidRPr="005D5611">
        <w:rPr>
          <w:noProof/>
        </w:rPr>
        <w:t xml:space="preserve"> be the supply of photsynthate produced by the leaf mass at time </w:t>
      </w:r>
      <w:r w:rsidRPr="005D5611">
        <w:rPr>
          <w:i/>
          <w:noProof/>
        </w:rPr>
        <w:t xml:space="preserve">t </w:t>
      </w:r>
      <w:r w:rsidRPr="005D5611">
        <w:rPr>
          <w:noProof/>
        </w:rPr>
        <w:t xml:space="preserve">(see functional response in the biodemographic review below), and </w:t>
      </w:r>
      <w:r w:rsidRPr="005D5611">
        <w:rPr>
          <w:i/>
          <w:noProof/>
        </w:rPr>
        <w:t>D(t)</w:t>
      </w:r>
      <w:r w:rsidRPr="005D5611">
        <w:rPr>
          <w:noProof/>
        </w:rPr>
        <w:t xml:space="preserve"> is the sum of maximum demands by the five component populations over their k age classes(i.e. </w:t>
      </w:r>
      <w:r w:rsidRPr="005D5611">
        <w:rPr>
          <w:rFonts w:eastAsiaTheme="minorHAnsi"/>
          <w:i/>
        </w:rPr>
        <w:t>D(t)</w:t>
      </w:r>
      <w:r w:rsidRPr="005D5611">
        <w:rPr>
          <w:rFonts w:eastAsiaTheme="minorHAnsi"/>
        </w:rPr>
        <w:t xml:space="preserve"> = </w:t>
      </w:r>
      <w:r w:rsidR="00947966" w:rsidRPr="005D5611">
        <w:rPr>
          <w:noProof/>
          <w:position w:val="-30"/>
        </w:rPr>
        <w:object w:dxaOrig="840" w:dyaOrig="700" w14:anchorId="1751BA19">
          <v:shape id="_x0000_i1054" type="#_x0000_t75" alt="" style="width:41pt;height:36.9pt;mso-width-percent:0;mso-height-percent:0;mso-width-percent:0;mso-height-percent:0" o:ole="">
            <v:imagedata r:id="rId70" o:title=""/>
          </v:shape>
          <o:OLEObject Type="Embed" ProgID="Equation.DSMT4" ShapeID="_x0000_i1054" DrawAspect="Content" ObjectID="_1662177463" r:id="rId71"/>
        </w:object>
      </w:r>
      <w:r w:rsidRPr="005D5611">
        <w:t>)</w:t>
      </w:r>
      <w:r w:rsidRPr="005D5611">
        <w:rPr>
          <w:rFonts w:eastAsiaTheme="minorHAnsi"/>
        </w:rPr>
        <w:t>:</w:t>
      </w:r>
    </w:p>
    <w:p w14:paraId="72034B6E" w14:textId="77777777" w:rsidR="003A45CF" w:rsidRPr="005D5611" w:rsidRDefault="003A45CF" w:rsidP="003A45CF">
      <w:pPr>
        <w:pStyle w:val="SMText"/>
        <w:ind w:firstLine="0"/>
        <w:rPr>
          <w:rFonts w:eastAsiaTheme="minorHAnsi"/>
        </w:rPr>
      </w:pPr>
      <w:r w:rsidRPr="005D5611">
        <w:rPr>
          <w:rFonts w:eastAsiaTheme="minorHAnsi"/>
          <w:i/>
        </w:rPr>
        <w:t>d</w:t>
      </w:r>
      <w:r w:rsidRPr="005D5611">
        <w:rPr>
          <w:rFonts w:eastAsiaTheme="minorHAnsi"/>
          <w:i/>
          <w:vertAlign w:val="subscript"/>
        </w:rPr>
        <w:t>1</w:t>
      </w:r>
      <w:r w:rsidRPr="005D5611">
        <w:rPr>
          <w:rFonts w:eastAsiaTheme="minorHAnsi"/>
          <w:i/>
        </w:rPr>
        <w:t xml:space="preserve"> </w:t>
      </w:r>
      <w:r w:rsidRPr="005D5611">
        <w:rPr>
          <w:rFonts w:eastAsiaTheme="minorHAnsi"/>
        </w:rPr>
        <w:t>is the cost of photosynthesis, maintenance respiration, and light respiration,</w:t>
      </w:r>
    </w:p>
    <w:p w14:paraId="0371A031" w14:textId="77777777" w:rsidR="003A45CF" w:rsidRPr="005D5611" w:rsidRDefault="003A45CF" w:rsidP="003A45CF">
      <w:pPr>
        <w:pStyle w:val="SMText"/>
        <w:ind w:firstLine="0"/>
        <w:rPr>
          <w:rFonts w:eastAsiaTheme="minorHAnsi"/>
        </w:rPr>
      </w:pPr>
      <w:r w:rsidRPr="005D5611">
        <w:rPr>
          <w:rFonts w:eastAsiaTheme="minorHAnsi"/>
          <w:i/>
        </w:rPr>
        <w:t>d</w:t>
      </w:r>
      <w:r w:rsidRPr="005D5611">
        <w:rPr>
          <w:rFonts w:eastAsiaTheme="minorHAnsi"/>
          <w:i/>
          <w:vertAlign w:val="subscript"/>
        </w:rPr>
        <w:t>2</w:t>
      </w:r>
      <w:r w:rsidRPr="005D5611">
        <w:rPr>
          <w:rFonts w:eastAsiaTheme="minorHAnsi"/>
          <w:i/>
        </w:rPr>
        <w:t xml:space="preserve"> i</w:t>
      </w:r>
      <w:r w:rsidRPr="005D5611">
        <w:rPr>
          <w:rFonts w:eastAsiaTheme="minorHAnsi"/>
        </w:rPr>
        <w:t>s the potential growth rate of fruit (</w:t>
      </w:r>
      <w:r w:rsidRPr="005D5611">
        <w:rPr>
          <w:rFonts w:eastAsiaTheme="minorHAnsi"/>
          <w:i/>
        </w:rPr>
        <w:t>F</w:t>
      </w:r>
      <w:r w:rsidRPr="005D5611">
        <w:rPr>
          <w:rFonts w:eastAsiaTheme="minorHAnsi"/>
        </w:rPr>
        <w:t>, reproduction),</w:t>
      </w:r>
    </w:p>
    <w:p w14:paraId="391B3A90" w14:textId="77777777" w:rsidR="003A45CF" w:rsidRPr="005D5611" w:rsidRDefault="003A45CF" w:rsidP="003A45CF">
      <w:pPr>
        <w:pStyle w:val="SMText"/>
        <w:ind w:firstLine="0"/>
        <w:rPr>
          <w:rFonts w:eastAsiaTheme="minorHAnsi"/>
        </w:rPr>
      </w:pPr>
      <w:r w:rsidRPr="005D5611">
        <w:rPr>
          <w:rFonts w:eastAsiaTheme="minorHAnsi"/>
          <w:i/>
        </w:rPr>
        <w:t>d</w:t>
      </w:r>
      <w:r w:rsidRPr="005D5611">
        <w:rPr>
          <w:rFonts w:eastAsiaTheme="minorHAnsi"/>
          <w:i/>
          <w:vertAlign w:val="subscript"/>
        </w:rPr>
        <w:t>3</w:t>
      </w:r>
      <w:r w:rsidRPr="005D5611">
        <w:rPr>
          <w:rFonts w:eastAsiaTheme="minorHAnsi"/>
          <w:i/>
        </w:rPr>
        <w:t xml:space="preserve"> </w:t>
      </w:r>
      <w:r w:rsidRPr="005D5611">
        <w:rPr>
          <w:rFonts w:eastAsiaTheme="minorHAnsi"/>
        </w:rPr>
        <w:t>is the potential vegetative growth rate of leaves (</w:t>
      </w:r>
      <w:r w:rsidRPr="005D5611">
        <w:rPr>
          <w:rFonts w:eastAsiaTheme="minorHAnsi"/>
          <w:i/>
        </w:rPr>
        <w:t>L</w:t>
      </w:r>
      <w:r w:rsidRPr="005D5611">
        <w:rPr>
          <w:rFonts w:eastAsiaTheme="minorHAnsi"/>
        </w:rPr>
        <w:t>, leaf mass), stems (</w:t>
      </w:r>
      <w:r w:rsidRPr="005D5611">
        <w:rPr>
          <w:rFonts w:eastAsiaTheme="minorHAnsi"/>
          <w:i/>
        </w:rPr>
        <w:t>St</w:t>
      </w:r>
      <w:r w:rsidRPr="005D5611">
        <w:rPr>
          <w:rFonts w:eastAsiaTheme="minorHAnsi"/>
        </w:rPr>
        <w:t>), and roots (</w:t>
      </w:r>
      <w:r w:rsidRPr="005D5611">
        <w:rPr>
          <w:rFonts w:eastAsiaTheme="minorHAnsi"/>
          <w:i/>
        </w:rPr>
        <w:t>Rt</w:t>
      </w:r>
      <w:r w:rsidRPr="005D5611">
        <w:rPr>
          <w:rFonts w:eastAsiaTheme="minorHAnsi"/>
        </w:rPr>
        <w:t>) plus reserves (</w:t>
      </w:r>
      <w:r w:rsidRPr="005D5611">
        <w:rPr>
          <w:rFonts w:eastAsiaTheme="minorHAnsi"/>
          <w:i/>
        </w:rPr>
        <w:t>Res</w:t>
      </w:r>
      <w:r w:rsidRPr="005D5611">
        <w:rPr>
          <w:rFonts w:eastAsiaTheme="minorHAnsi"/>
        </w:rPr>
        <w:t>).</w:t>
      </w:r>
    </w:p>
    <w:p w14:paraId="64A27A15" w14:textId="16B6F64D" w:rsidR="003A45CF" w:rsidRPr="005D5611" w:rsidRDefault="003A45CF" w:rsidP="003A45CF">
      <w:pPr>
        <w:pStyle w:val="SMText"/>
        <w:rPr>
          <w:rFonts w:eastAsiaTheme="minorHAnsi"/>
        </w:rPr>
      </w:pPr>
      <w:r w:rsidRPr="005D5611">
        <w:rPr>
          <w:rFonts w:eastAsiaTheme="minorHAnsi"/>
        </w:rPr>
        <w:t xml:space="preserve">Specifically, after correction for wastage (egestion, </w:t>
      </w:r>
      <w:r w:rsidRPr="005D5611">
        <w:rPr>
          <w:rFonts w:eastAsiaTheme="minorHAnsi"/>
          <w:i/>
        </w:rPr>
        <w:sym w:font="Symbol" w:char="F062"/>
      </w:r>
      <w:r w:rsidRPr="005D5611">
        <w:rPr>
          <w:rFonts w:eastAsiaTheme="minorHAnsi"/>
        </w:rPr>
        <w:t>), corrected for costs of conversion of resource to self (</w:t>
      </w:r>
      <w:r w:rsidRPr="005D5611">
        <w:rPr>
          <w:rFonts w:eastAsiaTheme="minorHAnsi"/>
          <w:i/>
        </w:rPr>
        <w:sym w:font="Symbol" w:char="F06C"/>
      </w:r>
      <w:r w:rsidRPr="005D5611">
        <w:rPr>
          <w:rFonts w:eastAsiaTheme="minorHAnsi"/>
        </w:rPr>
        <w:t xml:space="preserve">), and the remaining available supply (call it </w:t>
      </w:r>
      <w:r w:rsidRPr="005D5611">
        <w:rPr>
          <w:rFonts w:eastAsiaTheme="minorHAnsi"/>
          <w:i/>
        </w:rPr>
        <w:t>S</w:t>
      </w:r>
      <w:r w:rsidRPr="005D5611">
        <w:rPr>
          <w:rFonts w:eastAsiaTheme="minorHAnsi"/>
          <w:i/>
          <w:vertAlign w:val="subscript"/>
        </w:rPr>
        <w:t>1</w:t>
      </w:r>
      <w:r w:rsidRPr="005D5611">
        <w:rPr>
          <w:rFonts w:eastAsiaTheme="minorHAnsi"/>
        </w:rPr>
        <w:t xml:space="preserve">) is apportioned to meet the </w:t>
      </w:r>
      <w:r w:rsidRPr="005D5611">
        <w:rPr>
          <w:rFonts w:eastAsiaTheme="minorHAnsi"/>
          <w:i/>
        </w:rPr>
        <w:t>i</w:t>
      </w:r>
      <w:r w:rsidRPr="005D5611">
        <w:rPr>
          <w:rFonts w:eastAsiaTheme="minorHAnsi"/>
        </w:rPr>
        <w:t xml:space="preserve"> demands according to the following priority scheme (see </w:t>
      </w:r>
      <w:r w:rsidRPr="005D5611">
        <w:rPr>
          <w:rFonts w:eastAsiaTheme="minorHAnsi"/>
        </w:rPr>
        <w:fldChar w:fldCharType="begin"/>
      </w:r>
      <w:r w:rsidR="002F5A10">
        <w:rPr>
          <w:rFonts w:eastAsiaTheme="minorHAnsi"/>
        </w:rPr>
        <w:instrText xml:space="preserve"> ADDIN ZOTERO_ITEM CSL_CITATION {"citationID":"4occ8Dni","properties":{"formattedCitation":"[18]","plainCitation":"[18]","noteIndex":0},"citationItems":[{"id":1187,"uris":["http://zotero.org/users/1272936/items/T8UEHT5K"],"uri":["http://zotero.org/users/1272936/items/T8UEHT5K"],"itemData":{"id":1187,"type":"article-journal","abstract":"A general population model for the growth and development of cotton that has been used successfully to simulate the growth and development of Acala SJ-II cotton in California is presented. The mathematical framework for coupling plants and herbivores is presented, with special reference to Anthonomus grandis Boh., and the biological implications of their damage to the plant are discussed.","container-title":"Canadian Entomologist","DOI":"10.4039/Ent1091359-10","issue":"10","page":"1359-1374","title":"A population model for plant growth and development: coupling cotton-herbivore interaction","volume":"109","author":[{"family":"Wang","given":"Y."},{"family":"Gutierrez","given":"A. P."},{"family":"Oster","given":"G."},{"family":"Daxl","given":"R."}],"issued":{"date-parts":[["1977"]]}}}],"schema":"https://github.com/citation-style-language/schema/raw/master/csl-citation.json"} </w:instrText>
      </w:r>
      <w:r w:rsidRPr="005D5611">
        <w:rPr>
          <w:rFonts w:eastAsiaTheme="minorHAnsi"/>
        </w:rPr>
        <w:fldChar w:fldCharType="separate"/>
      </w:r>
      <w:r w:rsidR="00C51ED3">
        <w:t>[18]</w:t>
      </w:r>
      <w:r w:rsidRPr="005D5611">
        <w:rPr>
          <w:rFonts w:eastAsiaTheme="minorHAnsi"/>
        </w:rPr>
        <w:fldChar w:fldCharType="end"/>
      </w:r>
      <w:r w:rsidRPr="005D5611">
        <w:rPr>
          <w:rFonts w:eastAsiaTheme="minorHAnsi"/>
        </w:rPr>
        <w:t xml:space="preserve">): </w:t>
      </w:r>
    </w:p>
    <w:p w14:paraId="48325451" w14:textId="77777777" w:rsidR="003A45CF" w:rsidRPr="005D5611" w:rsidRDefault="003A45CF" w:rsidP="003A45CF">
      <w:pPr>
        <w:pStyle w:val="SMText"/>
        <w:numPr>
          <w:ilvl w:val="0"/>
          <w:numId w:val="36"/>
        </w:numPr>
        <w:ind w:left="360"/>
        <w:rPr>
          <w:rFonts w:eastAsiaTheme="minorHAnsi"/>
        </w:rPr>
      </w:pPr>
      <w:r w:rsidRPr="005D5611">
        <w:rPr>
          <w:rFonts w:eastAsiaTheme="minorHAnsi"/>
          <w:i/>
          <w:iCs/>
        </w:rPr>
        <w:t>S</w:t>
      </w:r>
      <w:r w:rsidRPr="005D5611">
        <w:rPr>
          <w:rFonts w:eastAsiaTheme="minorHAnsi"/>
          <w:i/>
          <w:iCs/>
          <w:vertAlign w:val="subscript"/>
        </w:rPr>
        <w:t>2</w:t>
      </w:r>
      <w:r w:rsidRPr="005D5611">
        <w:rPr>
          <w:rFonts w:eastAsiaTheme="minorHAnsi"/>
          <w:i/>
          <w:iCs/>
        </w:rPr>
        <w:t>(t) = S</w:t>
      </w:r>
      <w:r w:rsidRPr="005D5611">
        <w:rPr>
          <w:rFonts w:eastAsiaTheme="minorHAnsi"/>
          <w:i/>
          <w:iCs/>
          <w:vertAlign w:val="subscript"/>
        </w:rPr>
        <w:t>1</w:t>
      </w:r>
      <w:r w:rsidRPr="005D5611">
        <w:rPr>
          <w:rFonts w:eastAsiaTheme="minorHAnsi"/>
          <w:i/>
          <w:iCs/>
        </w:rPr>
        <w:t>(t) – d</w:t>
      </w:r>
      <w:r w:rsidRPr="005D5611">
        <w:rPr>
          <w:rFonts w:eastAsiaTheme="minorHAnsi"/>
          <w:i/>
          <w:iCs/>
          <w:vertAlign w:val="subscript"/>
        </w:rPr>
        <w:t>1</w:t>
      </w:r>
      <w:r w:rsidRPr="005D5611">
        <w:rPr>
          <w:rFonts w:eastAsiaTheme="minorHAnsi"/>
          <w:i/>
          <w:iCs/>
        </w:rPr>
        <w:t xml:space="preserve">(t) </w:t>
      </w:r>
      <w:r w:rsidRPr="005D5611">
        <w:rPr>
          <w:rFonts w:eastAsiaTheme="minorHAnsi"/>
        </w:rPr>
        <w:t xml:space="preserve">(i.e., metabolic costs are subtracted, and if </w:t>
      </w:r>
      <w:r w:rsidRPr="005D5611">
        <w:rPr>
          <w:rFonts w:eastAsiaTheme="minorHAnsi"/>
          <w:i/>
          <w:iCs/>
        </w:rPr>
        <w:t>d</w:t>
      </w:r>
      <w:r w:rsidRPr="005D5611">
        <w:rPr>
          <w:rFonts w:eastAsiaTheme="minorHAnsi"/>
          <w:i/>
          <w:iCs/>
          <w:vertAlign w:val="subscript"/>
        </w:rPr>
        <w:t>1</w:t>
      </w:r>
      <w:r w:rsidRPr="005D5611">
        <w:rPr>
          <w:rFonts w:eastAsiaTheme="minorHAnsi"/>
          <w:i/>
          <w:iCs/>
        </w:rPr>
        <w:t>(t) &gt; S</w:t>
      </w:r>
      <w:r w:rsidRPr="005D5611">
        <w:rPr>
          <w:rFonts w:eastAsiaTheme="minorHAnsi"/>
          <w:i/>
          <w:iCs/>
          <w:vertAlign w:val="subscript"/>
        </w:rPr>
        <w:t>1</w:t>
      </w:r>
      <w:r w:rsidRPr="005D5611">
        <w:rPr>
          <w:rFonts w:eastAsiaTheme="minorHAnsi"/>
          <w:i/>
          <w:iCs/>
        </w:rPr>
        <w:t xml:space="preserve">(t), </w:t>
      </w:r>
      <w:r w:rsidRPr="005D5611">
        <w:rPr>
          <w:rFonts w:eastAsiaTheme="minorHAnsi"/>
        </w:rPr>
        <w:t xml:space="preserve">the organism uses </w:t>
      </w:r>
      <w:r w:rsidRPr="005D5611">
        <w:rPr>
          <w:rFonts w:eastAsiaTheme="minorHAnsi"/>
          <w:i/>
        </w:rPr>
        <w:sym w:font="Symbol" w:char="F044"/>
      </w:r>
      <w:r w:rsidRPr="005D5611">
        <w:rPr>
          <w:rFonts w:eastAsiaTheme="minorHAnsi"/>
          <w:i/>
        </w:rPr>
        <w:t xml:space="preserve">res(t)=res(t) </w:t>
      </w:r>
      <w:r w:rsidRPr="005D5611">
        <w:rPr>
          <w:rFonts w:eastAsiaTheme="minorHAnsi"/>
        </w:rPr>
        <w:t>- (</w:t>
      </w:r>
      <w:r w:rsidRPr="005D5611">
        <w:rPr>
          <w:rFonts w:eastAsiaTheme="minorHAnsi"/>
          <w:i/>
          <w:iCs/>
        </w:rPr>
        <w:t>d</w:t>
      </w:r>
      <w:r w:rsidRPr="005D5611">
        <w:rPr>
          <w:rFonts w:eastAsiaTheme="minorHAnsi"/>
          <w:i/>
          <w:iCs/>
          <w:vertAlign w:val="subscript"/>
        </w:rPr>
        <w:t>1</w:t>
      </w:r>
      <w:r w:rsidRPr="005D5611">
        <w:rPr>
          <w:rFonts w:eastAsiaTheme="minorHAnsi"/>
          <w:i/>
          <w:iCs/>
        </w:rPr>
        <w:t>(t) - S</w:t>
      </w:r>
      <w:r w:rsidRPr="005D5611">
        <w:rPr>
          <w:rFonts w:eastAsiaTheme="minorHAnsi"/>
          <w:i/>
          <w:iCs/>
          <w:vertAlign w:val="subscript"/>
        </w:rPr>
        <w:t>1</w:t>
      </w:r>
      <w:r w:rsidRPr="005D5611">
        <w:rPr>
          <w:rFonts w:eastAsiaTheme="minorHAnsi"/>
          <w:i/>
          <w:iCs/>
        </w:rPr>
        <w:t xml:space="preserve">(t)) </w:t>
      </w:r>
      <w:r w:rsidRPr="005D5611">
        <w:rPr>
          <w:rFonts w:eastAsiaTheme="minorHAnsi"/>
        </w:rPr>
        <w:t xml:space="preserve">that if </w:t>
      </w:r>
      <w:r w:rsidRPr="005D5611">
        <w:rPr>
          <w:rFonts w:eastAsiaTheme="minorHAnsi"/>
          <w:i/>
        </w:rPr>
        <w:sym w:font="Symbol" w:char="F044"/>
      </w:r>
      <w:r w:rsidRPr="005D5611">
        <w:rPr>
          <w:rFonts w:eastAsiaTheme="minorHAnsi"/>
          <w:i/>
        </w:rPr>
        <w:t xml:space="preserve">res(t)&lt;0, </w:t>
      </w:r>
      <w:r w:rsidRPr="005D5611">
        <w:rPr>
          <w:rFonts w:eastAsiaTheme="minorHAnsi"/>
        </w:rPr>
        <w:t>the organism dies.</w:t>
      </w:r>
    </w:p>
    <w:p w14:paraId="4DD9755A" w14:textId="77777777" w:rsidR="003A45CF" w:rsidRPr="005D5611" w:rsidRDefault="003A45CF" w:rsidP="003A45CF">
      <w:pPr>
        <w:pStyle w:val="SMText"/>
        <w:numPr>
          <w:ilvl w:val="0"/>
          <w:numId w:val="36"/>
        </w:numPr>
        <w:ind w:left="360"/>
        <w:rPr>
          <w:rFonts w:eastAsiaTheme="minorHAnsi"/>
        </w:rPr>
      </w:pPr>
      <w:r w:rsidRPr="005D5611">
        <w:rPr>
          <w:rFonts w:eastAsiaTheme="minorHAnsi"/>
        </w:rPr>
        <w:t xml:space="preserve">if </w:t>
      </w:r>
      <w:r w:rsidRPr="005D5611">
        <w:rPr>
          <w:rFonts w:eastAsiaTheme="minorHAnsi"/>
          <w:i/>
        </w:rPr>
        <w:t>S</w:t>
      </w:r>
      <w:r w:rsidRPr="005D5611">
        <w:rPr>
          <w:rFonts w:eastAsiaTheme="minorHAnsi"/>
          <w:i/>
          <w:vertAlign w:val="subscript"/>
        </w:rPr>
        <w:t>2</w:t>
      </w:r>
      <w:r w:rsidRPr="005D5611">
        <w:rPr>
          <w:rFonts w:eastAsiaTheme="minorHAnsi"/>
        </w:rPr>
        <w:t xml:space="preserve"> &gt; 0, then </w:t>
      </w:r>
      <w:r w:rsidRPr="005D5611">
        <w:rPr>
          <w:rFonts w:eastAsiaTheme="minorHAnsi"/>
          <w:i/>
          <w:iCs/>
        </w:rPr>
        <w:t>S</w:t>
      </w:r>
      <w:r w:rsidRPr="005D5611">
        <w:rPr>
          <w:rFonts w:eastAsiaTheme="minorHAnsi"/>
          <w:i/>
          <w:iCs/>
          <w:vertAlign w:val="subscript"/>
        </w:rPr>
        <w:t>3</w:t>
      </w:r>
      <w:r w:rsidRPr="005D5611">
        <w:rPr>
          <w:rFonts w:eastAsiaTheme="minorHAnsi"/>
          <w:i/>
          <w:iCs/>
        </w:rPr>
        <w:t xml:space="preserve"> = S</w:t>
      </w:r>
      <w:r w:rsidRPr="005D5611">
        <w:rPr>
          <w:rFonts w:eastAsiaTheme="minorHAnsi"/>
          <w:i/>
          <w:iCs/>
          <w:vertAlign w:val="subscript"/>
        </w:rPr>
        <w:t xml:space="preserve">2 </w:t>
      </w:r>
      <w:r w:rsidRPr="005D5611">
        <w:rPr>
          <w:rFonts w:eastAsiaTheme="minorHAnsi"/>
          <w:i/>
          <w:iCs/>
        </w:rPr>
        <w:t xml:space="preserve">- gF, </w:t>
      </w:r>
      <w:r w:rsidRPr="005D5611">
        <w:rPr>
          <w:rFonts w:eastAsiaTheme="minorHAnsi"/>
        </w:rPr>
        <w:t xml:space="preserve">where </w:t>
      </w:r>
      <w:r w:rsidRPr="005D5611">
        <w:rPr>
          <w:rFonts w:eastAsiaTheme="minorHAnsi"/>
          <w:i/>
        </w:rPr>
        <w:t>g</w:t>
      </w:r>
      <w:r w:rsidRPr="005D5611">
        <w:rPr>
          <w:rFonts w:eastAsiaTheme="minorHAnsi"/>
          <w:i/>
          <w:vertAlign w:val="subscript"/>
        </w:rPr>
        <w:t>F</w:t>
      </w:r>
      <w:r w:rsidRPr="005D5611">
        <w:rPr>
          <w:rFonts w:eastAsiaTheme="minorHAnsi"/>
          <w:i/>
        </w:rPr>
        <w:t xml:space="preserve"> = d</w:t>
      </w:r>
      <w:r w:rsidRPr="005D5611">
        <w:rPr>
          <w:rFonts w:eastAsiaTheme="minorHAnsi"/>
          <w:i/>
          <w:vertAlign w:val="subscript"/>
        </w:rPr>
        <w:t>2</w:t>
      </w:r>
      <w:r w:rsidRPr="005D5611">
        <w:rPr>
          <w:rFonts w:eastAsiaTheme="minorHAnsi"/>
          <w:i/>
        </w:rPr>
        <w:t>.r</w:t>
      </w:r>
      <w:r w:rsidRPr="005D5611">
        <w:rPr>
          <w:rFonts w:eastAsiaTheme="minorHAnsi"/>
          <w:i/>
          <w:vertAlign w:val="subscript"/>
        </w:rPr>
        <w:t>l</w:t>
      </w:r>
      <w:r w:rsidRPr="005D5611">
        <w:rPr>
          <w:rFonts w:eastAsiaTheme="minorHAnsi"/>
        </w:rPr>
        <w:t xml:space="preserve"> and </w:t>
      </w:r>
      <w:r w:rsidRPr="005D5611">
        <w:rPr>
          <w:rFonts w:eastAsiaTheme="minorHAnsi"/>
          <w:i/>
        </w:rPr>
        <w:t>r</w:t>
      </w:r>
      <w:r w:rsidRPr="005D5611">
        <w:rPr>
          <w:rFonts w:eastAsiaTheme="minorHAnsi"/>
          <w:i/>
          <w:vertAlign w:val="subscript"/>
        </w:rPr>
        <w:t>l</w:t>
      </w:r>
      <w:r w:rsidRPr="005D5611">
        <w:rPr>
          <w:rFonts w:eastAsiaTheme="minorHAnsi"/>
          <w:i/>
        </w:rPr>
        <w:t xml:space="preserve"> = </w:t>
      </w:r>
      <w:r w:rsidRPr="005D5611">
        <w:rPr>
          <w:rFonts w:eastAsiaTheme="minorHAnsi"/>
          <w:i/>
          <w:iCs/>
        </w:rPr>
        <w:t>S</w:t>
      </w:r>
      <w:r w:rsidRPr="005D5611">
        <w:rPr>
          <w:rFonts w:eastAsiaTheme="minorHAnsi"/>
          <w:i/>
          <w:iCs/>
          <w:vertAlign w:val="subscript"/>
        </w:rPr>
        <w:t>2</w:t>
      </w:r>
      <w:r w:rsidRPr="005D5611">
        <w:rPr>
          <w:rFonts w:eastAsiaTheme="minorHAnsi"/>
          <w:i/>
          <w:iCs/>
        </w:rPr>
        <w:t>/d</w:t>
      </w:r>
      <w:r w:rsidRPr="005D5611">
        <w:rPr>
          <w:rFonts w:eastAsiaTheme="minorHAnsi"/>
          <w:i/>
          <w:iCs/>
          <w:vertAlign w:val="subscript"/>
        </w:rPr>
        <w:t>2</w:t>
      </w:r>
      <w:r w:rsidRPr="005D5611">
        <w:rPr>
          <w:rFonts w:eastAsiaTheme="minorHAnsi"/>
          <w:i/>
          <w:iCs/>
        </w:rPr>
        <w:t>, r</w:t>
      </w:r>
      <w:r w:rsidRPr="005D5611">
        <w:rPr>
          <w:rFonts w:eastAsiaTheme="minorHAnsi"/>
          <w:i/>
          <w:iCs/>
          <w:vertAlign w:val="subscript"/>
        </w:rPr>
        <w:t>l</w:t>
      </w:r>
      <w:r w:rsidRPr="005D5611">
        <w:rPr>
          <w:rFonts w:eastAsiaTheme="minorHAnsi"/>
          <w:i/>
          <w:iCs/>
        </w:rPr>
        <w:t xml:space="preserve"> </w:t>
      </w:r>
      <w:r w:rsidRPr="005D5611">
        <w:rPr>
          <w:rFonts w:eastAsiaTheme="minorHAnsi"/>
        </w:rPr>
        <w:sym w:font="Symbol" w:char="F0CE"/>
      </w:r>
      <w:r w:rsidRPr="005D5611">
        <w:rPr>
          <w:rFonts w:eastAsiaTheme="minorHAnsi"/>
        </w:rPr>
        <w:t>[0,1]. (i.e., reproduction (</w:t>
      </w:r>
      <w:r w:rsidRPr="005D5611">
        <w:rPr>
          <w:rFonts w:eastAsiaTheme="minorHAnsi"/>
          <w:i/>
        </w:rPr>
        <w:t>F</w:t>
      </w:r>
      <w:r w:rsidRPr="005D5611">
        <w:rPr>
          <w:rFonts w:eastAsiaTheme="minorHAnsi"/>
        </w:rPr>
        <w:t>) growth occurs)</w:t>
      </w:r>
    </w:p>
    <w:p w14:paraId="2A77D3F0" w14:textId="77777777" w:rsidR="003A45CF" w:rsidRPr="005D5611" w:rsidRDefault="003A45CF" w:rsidP="003A45CF">
      <w:pPr>
        <w:pStyle w:val="SMText"/>
        <w:numPr>
          <w:ilvl w:val="0"/>
          <w:numId w:val="36"/>
        </w:numPr>
        <w:ind w:left="360"/>
        <w:rPr>
          <w:rFonts w:eastAsiaTheme="minorHAnsi"/>
        </w:rPr>
      </w:pPr>
      <w:r w:rsidRPr="005D5611">
        <w:rPr>
          <w:rFonts w:eastAsiaTheme="minorHAnsi"/>
        </w:rPr>
        <w:t xml:space="preserve">if </w:t>
      </w:r>
      <w:r w:rsidRPr="005D5611">
        <w:rPr>
          <w:rFonts w:eastAsiaTheme="minorHAnsi"/>
          <w:i/>
        </w:rPr>
        <w:t>S</w:t>
      </w:r>
      <w:r w:rsidRPr="005D5611">
        <w:rPr>
          <w:rFonts w:eastAsiaTheme="minorHAnsi"/>
          <w:i/>
          <w:vertAlign w:val="subscript"/>
        </w:rPr>
        <w:t>3</w:t>
      </w:r>
      <w:r w:rsidRPr="005D5611">
        <w:rPr>
          <w:rFonts w:eastAsiaTheme="minorHAnsi"/>
        </w:rPr>
        <w:t xml:space="preserve"> &gt; 0, then </w:t>
      </w:r>
      <w:r w:rsidRPr="005D5611">
        <w:rPr>
          <w:rFonts w:eastAsiaTheme="minorHAnsi"/>
          <w:i/>
        </w:rPr>
        <w:t>S</w:t>
      </w:r>
      <w:r w:rsidRPr="005D5611">
        <w:rPr>
          <w:rFonts w:eastAsiaTheme="minorHAnsi"/>
          <w:i/>
          <w:vertAlign w:val="subscript"/>
        </w:rPr>
        <w:t>4</w:t>
      </w:r>
      <w:r w:rsidRPr="005D5611">
        <w:rPr>
          <w:rFonts w:eastAsiaTheme="minorHAnsi"/>
          <w:i/>
        </w:rPr>
        <w:t xml:space="preserve"> =S</w:t>
      </w:r>
      <w:r w:rsidRPr="005D5611">
        <w:rPr>
          <w:rFonts w:eastAsiaTheme="minorHAnsi"/>
          <w:i/>
          <w:vertAlign w:val="subscript"/>
        </w:rPr>
        <w:t>3</w:t>
      </w:r>
      <w:r w:rsidRPr="005D5611">
        <w:rPr>
          <w:rFonts w:eastAsiaTheme="minorHAnsi"/>
          <w:i/>
        </w:rPr>
        <w:t xml:space="preserve"> – g</w:t>
      </w:r>
      <w:r w:rsidRPr="005D5611">
        <w:rPr>
          <w:rFonts w:eastAsiaTheme="minorHAnsi"/>
          <w:i/>
          <w:vertAlign w:val="subscript"/>
        </w:rPr>
        <w:t>V</w:t>
      </w:r>
      <w:r w:rsidRPr="005D5611">
        <w:rPr>
          <w:rFonts w:eastAsiaTheme="minorHAnsi"/>
        </w:rPr>
        <w:t xml:space="preserve">, where </w:t>
      </w:r>
      <w:r w:rsidRPr="005D5611">
        <w:rPr>
          <w:rFonts w:eastAsiaTheme="minorHAnsi"/>
          <w:i/>
        </w:rPr>
        <w:t>g</w:t>
      </w:r>
      <w:r w:rsidRPr="005D5611">
        <w:rPr>
          <w:rFonts w:eastAsiaTheme="minorHAnsi"/>
          <w:i/>
          <w:vertAlign w:val="subscript"/>
        </w:rPr>
        <w:t>V</w:t>
      </w:r>
      <w:r w:rsidRPr="005D5611">
        <w:rPr>
          <w:rFonts w:eastAsiaTheme="minorHAnsi"/>
          <w:i/>
        </w:rPr>
        <w:t xml:space="preserve"> =d</w:t>
      </w:r>
      <w:r w:rsidRPr="005D5611">
        <w:rPr>
          <w:rFonts w:eastAsiaTheme="minorHAnsi"/>
          <w:i/>
          <w:vertAlign w:val="subscript"/>
        </w:rPr>
        <w:t>3</w:t>
      </w:r>
      <w:r w:rsidRPr="005D5611">
        <w:rPr>
          <w:rFonts w:eastAsiaTheme="minorHAnsi"/>
          <w:i/>
        </w:rPr>
        <w:t>r</w:t>
      </w:r>
      <w:r w:rsidRPr="005D5611">
        <w:rPr>
          <w:rFonts w:eastAsiaTheme="minorHAnsi"/>
          <w:i/>
          <w:vertAlign w:val="subscript"/>
        </w:rPr>
        <w:t>2</w:t>
      </w:r>
      <w:r w:rsidRPr="005D5611">
        <w:rPr>
          <w:rFonts w:eastAsiaTheme="minorHAnsi"/>
        </w:rPr>
        <w:t xml:space="preserve"> and </w:t>
      </w:r>
      <w:r w:rsidRPr="005D5611">
        <w:rPr>
          <w:rFonts w:eastAsiaTheme="minorHAnsi"/>
          <w:i/>
        </w:rPr>
        <w:t>r</w:t>
      </w:r>
      <w:r w:rsidRPr="005D5611">
        <w:rPr>
          <w:rFonts w:eastAsiaTheme="minorHAnsi"/>
          <w:i/>
          <w:vertAlign w:val="subscript"/>
        </w:rPr>
        <w:t>2</w:t>
      </w:r>
      <w:r w:rsidRPr="005D5611">
        <w:rPr>
          <w:rFonts w:eastAsiaTheme="minorHAnsi"/>
          <w:i/>
        </w:rPr>
        <w:t xml:space="preserve"> = S</w:t>
      </w:r>
      <w:r w:rsidRPr="005D5611">
        <w:rPr>
          <w:rFonts w:eastAsiaTheme="minorHAnsi"/>
          <w:i/>
          <w:vertAlign w:val="subscript"/>
        </w:rPr>
        <w:t>3</w:t>
      </w:r>
      <w:r w:rsidRPr="005D5611">
        <w:rPr>
          <w:rFonts w:eastAsiaTheme="minorHAnsi"/>
          <w:i/>
        </w:rPr>
        <w:t>/d</w:t>
      </w:r>
      <w:r w:rsidRPr="005D5611">
        <w:rPr>
          <w:rFonts w:eastAsiaTheme="minorHAnsi"/>
          <w:i/>
          <w:vertAlign w:val="subscript"/>
        </w:rPr>
        <w:t>3</w:t>
      </w:r>
      <w:r w:rsidRPr="005D5611">
        <w:rPr>
          <w:rFonts w:eastAsiaTheme="minorHAnsi"/>
          <w:i/>
        </w:rPr>
        <w:t>, r</w:t>
      </w:r>
      <w:r w:rsidRPr="005D5611">
        <w:rPr>
          <w:rFonts w:eastAsiaTheme="minorHAnsi"/>
          <w:i/>
          <w:vertAlign w:val="subscript"/>
        </w:rPr>
        <w:t>2</w:t>
      </w:r>
      <w:r w:rsidRPr="005D5611">
        <w:rPr>
          <w:rFonts w:eastAsiaTheme="minorHAnsi"/>
        </w:rPr>
        <w:t xml:space="preserve"> </w:t>
      </w:r>
      <w:r w:rsidRPr="005D5611">
        <w:rPr>
          <w:rFonts w:eastAsiaTheme="minorHAnsi"/>
        </w:rPr>
        <w:sym w:font="Symbol" w:char="F0CE"/>
      </w:r>
      <w:r w:rsidRPr="005D5611">
        <w:rPr>
          <w:rFonts w:eastAsiaTheme="minorHAnsi"/>
        </w:rPr>
        <w:t xml:space="preserve"> [0,1] (i.e., vegetative (</w:t>
      </w:r>
      <w:r w:rsidRPr="005D5611">
        <w:rPr>
          <w:rFonts w:eastAsiaTheme="minorHAnsi"/>
          <w:i/>
        </w:rPr>
        <w:t>V</w:t>
      </w:r>
      <w:r w:rsidRPr="005D5611">
        <w:rPr>
          <w:rFonts w:eastAsiaTheme="minorHAnsi"/>
        </w:rPr>
        <w:t>) growth occurs).</w:t>
      </w:r>
    </w:p>
    <w:p w14:paraId="520A7AA6" w14:textId="77777777" w:rsidR="003A45CF" w:rsidRPr="005D5611" w:rsidRDefault="003A45CF" w:rsidP="003A45CF">
      <w:pPr>
        <w:pStyle w:val="SMText"/>
        <w:numPr>
          <w:ilvl w:val="0"/>
          <w:numId w:val="36"/>
        </w:numPr>
        <w:ind w:left="360"/>
        <w:rPr>
          <w:rFonts w:eastAsiaTheme="minorHAnsi"/>
        </w:rPr>
      </w:pPr>
      <w:r w:rsidRPr="005D5611">
        <w:rPr>
          <w:rFonts w:eastAsiaTheme="minorHAnsi"/>
        </w:rPr>
        <w:t xml:space="preserve">if </w:t>
      </w:r>
      <w:r w:rsidRPr="005D5611">
        <w:rPr>
          <w:rFonts w:eastAsiaTheme="minorHAnsi"/>
          <w:i/>
        </w:rPr>
        <w:t>S</w:t>
      </w:r>
      <w:r w:rsidRPr="005D5611">
        <w:rPr>
          <w:rFonts w:eastAsiaTheme="minorHAnsi"/>
          <w:i/>
          <w:vertAlign w:val="subscript"/>
        </w:rPr>
        <w:t>4</w:t>
      </w:r>
      <w:r w:rsidRPr="005D5611">
        <w:rPr>
          <w:rFonts w:eastAsiaTheme="minorHAnsi"/>
        </w:rPr>
        <w:t xml:space="preserve"> &gt; 0, </w:t>
      </w:r>
      <w:r w:rsidRPr="005D5611">
        <w:rPr>
          <w:rFonts w:eastAsiaTheme="minorHAnsi"/>
          <w:i/>
        </w:rPr>
        <w:t>S</w:t>
      </w:r>
      <w:r w:rsidRPr="005D5611">
        <w:rPr>
          <w:rFonts w:eastAsiaTheme="minorHAnsi"/>
          <w:i/>
          <w:vertAlign w:val="subscript"/>
        </w:rPr>
        <w:t>5</w:t>
      </w:r>
      <w:r w:rsidRPr="005D5611">
        <w:rPr>
          <w:rFonts w:eastAsiaTheme="minorHAnsi"/>
          <w:i/>
        </w:rPr>
        <w:t xml:space="preserve"> = S</w:t>
      </w:r>
      <w:r w:rsidRPr="005D5611">
        <w:rPr>
          <w:rFonts w:eastAsiaTheme="minorHAnsi"/>
          <w:i/>
          <w:vertAlign w:val="subscript"/>
        </w:rPr>
        <w:t>4</w:t>
      </w:r>
      <w:r w:rsidRPr="005D5611">
        <w:rPr>
          <w:rFonts w:eastAsiaTheme="minorHAnsi"/>
          <w:i/>
        </w:rPr>
        <w:t xml:space="preserve"> - </w:t>
      </w:r>
      <w:r w:rsidRPr="005D5611">
        <w:rPr>
          <w:rFonts w:eastAsiaTheme="minorHAnsi"/>
          <w:i/>
          <w:iCs/>
        </w:rPr>
        <w:t>g</w:t>
      </w:r>
      <w:r w:rsidRPr="005D5611">
        <w:rPr>
          <w:rFonts w:eastAsiaTheme="minorHAnsi"/>
          <w:i/>
          <w:iCs/>
          <w:vertAlign w:val="subscript"/>
        </w:rPr>
        <w:t>V</w:t>
      </w:r>
      <w:r w:rsidRPr="005D5611">
        <w:rPr>
          <w:rFonts w:eastAsiaTheme="minorHAnsi"/>
        </w:rPr>
        <w:t xml:space="preserve">, 0 </w:t>
      </w:r>
      <w:r w:rsidRPr="005D5611">
        <w:rPr>
          <w:rFonts w:eastAsiaTheme="minorHAnsi"/>
          <w:u w:val="single"/>
        </w:rPr>
        <w:t xml:space="preserve">&lt; </w:t>
      </w:r>
      <w:r w:rsidRPr="005D5611">
        <w:rPr>
          <w:rFonts w:eastAsiaTheme="minorHAnsi"/>
          <w:i/>
          <w:iCs/>
        </w:rPr>
        <w:t xml:space="preserve">Res(t) </w:t>
      </w:r>
      <w:r w:rsidRPr="005D5611">
        <w:rPr>
          <w:rFonts w:eastAsiaTheme="minorHAnsi"/>
        </w:rPr>
        <w:t>= Res(t)+</w:t>
      </w:r>
      <w:r w:rsidRPr="005D5611">
        <w:rPr>
          <w:rFonts w:eastAsiaTheme="minorHAnsi"/>
          <w:i/>
        </w:rPr>
        <w:t xml:space="preserve"> S</w:t>
      </w:r>
      <w:r w:rsidRPr="005D5611">
        <w:rPr>
          <w:rFonts w:eastAsiaTheme="minorHAnsi"/>
          <w:i/>
          <w:vertAlign w:val="subscript"/>
        </w:rPr>
        <w:t>5</w:t>
      </w:r>
      <w:r w:rsidRPr="005D5611">
        <w:rPr>
          <w:rFonts w:eastAsiaTheme="minorHAnsi"/>
        </w:rPr>
        <w:t xml:space="preserve">&lt; </w:t>
      </w:r>
      <w:r w:rsidRPr="005D5611">
        <w:rPr>
          <w:rFonts w:eastAsiaTheme="minorHAnsi"/>
        </w:rPr>
        <w:sym w:font="Symbol" w:char="F061"/>
      </w:r>
      <w:r w:rsidRPr="005D5611">
        <w:rPr>
          <w:rFonts w:eastAsiaTheme="minorHAnsi"/>
        </w:rPr>
        <w:t>(</w:t>
      </w:r>
      <w:r w:rsidRPr="005D5611">
        <w:rPr>
          <w:rFonts w:eastAsiaTheme="minorHAnsi"/>
          <w:i/>
        </w:rPr>
        <w:t>St</w:t>
      </w:r>
      <w:r w:rsidRPr="005D5611">
        <w:rPr>
          <w:rFonts w:eastAsiaTheme="minorHAnsi"/>
        </w:rPr>
        <w:t xml:space="preserve"> + </w:t>
      </w:r>
      <w:r w:rsidRPr="005D5611">
        <w:rPr>
          <w:rFonts w:eastAsiaTheme="minorHAnsi"/>
          <w:i/>
        </w:rPr>
        <w:t>Rt</w:t>
      </w:r>
      <w:r w:rsidRPr="005D5611">
        <w:rPr>
          <w:rFonts w:eastAsiaTheme="minorHAnsi"/>
        </w:rPr>
        <w:t>) are the total masses of stem and root at time t and</w:t>
      </w:r>
      <w:r w:rsidRPr="005D5611">
        <w:rPr>
          <w:rFonts w:eastAsiaTheme="minorHAnsi"/>
          <w:i/>
        </w:rPr>
        <w:t xml:space="preserve"> </w:t>
      </w:r>
      <w:r w:rsidRPr="005D5611">
        <w:rPr>
          <w:rFonts w:eastAsiaTheme="minorHAnsi"/>
        </w:rPr>
        <w:sym w:font="Symbol" w:char="F061"/>
      </w:r>
      <w:r w:rsidRPr="005D5611">
        <w:rPr>
          <w:rFonts w:eastAsiaTheme="minorHAnsi"/>
        </w:rPr>
        <w:t>=</w:t>
      </w:r>
      <w:r w:rsidRPr="005D5611">
        <w:rPr>
          <w:rFonts w:eastAsiaTheme="minorHAnsi"/>
        </w:rPr>
        <w:sym w:font="Symbol" w:char="F0CE"/>
      </w:r>
      <w:r w:rsidRPr="005D5611">
        <w:rPr>
          <w:rFonts w:eastAsiaTheme="minorHAnsi"/>
        </w:rPr>
        <w:t xml:space="preserve"> [0, 0.1]. </w:t>
      </w:r>
    </w:p>
    <w:p w14:paraId="771011AF" w14:textId="77777777" w:rsidR="003A45CF" w:rsidRPr="005D5611" w:rsidRDefault="003A45CF" w:rsidP="003A45CF">
      <w:pPr>
        <w:pStyle w:val="SMText"/>
        <w:rPr>
          <w:rFonts w:eastAsiaTheme="minorHAnsi"/>
        </w:rPr>
      </w:pPr>
      <w:r w:rsidRPr="005D5611">
        <w:rPr>
          <w:rFonts w:eastAsiaTheme="minorHAnsi"/>
        </w:rPr>
        <w:t xml:space="preserve">The allocation to each age class </w:t>
      </w:r>
      <w:r w:rsidRPr="005D5611">
        <w:rPr>
          <w:rFonts w:eastAsiaTheme="minorHAnsi"/>
          <w:i/>
        </w:rPr>
        <w:t>i</w:t>
      </w:r>
      <w:r w:rsidRPr="005D5611">
        <w:rPr>
          <w:rFonts w:eastAsiaTheme="minorHAnsi"/>
        </w:rPr>
        <w:t xml:space="preserve"> of a sub population (say leaves, </w:t>
      </w:r>
      <w:r w:rsidRPr="005D5611">
        <w:rPr>
          <w:rFonts w:eastAsiaTheme="minorHAnsi"/>
          <w:i/>
        </w:rPr>
        <w:t>L</w:t>
      </w:r>
      <w:r w:rsidRPr="005D5611">
        <w:rPr>
          <w:rFonts w:eastAsiaTheme="minorHAnsi"/>
        </w:rPr>
        <w:t xml:space="preserve">) is the age specific (left super script </w:t>
      </w:r>
      <w:r w:rsidRPr="005D5611">
        <w:rPr>
          <w:rFonts w:eastAsiaTheme="minorHAnsi"/>
          <w:i/>
          <w:iCs/>
        </w:rPr>
        <w:t>i</w:t>
      </w:r>
      <w:r w:rsidRPr="005D5611">
        <w:rPr>
          <w:rFonts w:eastAsiaTheme="minorHAnsi"/>
        </w:rPr>
        <w:t xml:space="preserve">) demand </w:t>
      </w:r>
      <w:r w:rsidRPr="005D5611">
        <w:rPr>
          <w:rFonts w:eastAsiaTheme="minorHAnsi"/>
          <w:vertAlign w:val="superscript"/>
        </w:rPr>
        <w:t>i</w:t>
      </w:r>
      <w:r w:rsidRPr="005D5611">
        <w:rPr>
          <w:rFonts w:eastAsiaTheme="minorHAnsi"/>
          <w:i/>
        </w:rPr>
        <w:t>d</w:t>
      </w:r>
      <w:r w:rsidRPr="005D5611">
        <w:rPr>
          <w:rFonts w:eastAsiaTheme="minorHAnsi"/>
          <w:i/>
          <w:vertAlign w:val="subscript"/>
        </w:rPr>
        <w:t>L</w:t>
      </w:r>
      <w:r w:rsidRPr="005D5611">
        <w:rPr>
          <w:rFonts w:eastAsiaTheme="minorHAnsi"/>
          <w:vertAlign w:val="subscript"/>
        </w:rPr>
        <w:t xml:space="preserve"> </w:t>
      </w:r>
      <w:r w:rsidRPr="005D5611">
        <w:rPr>
          <w:rFonts w:eastAsiaTheme="minorHAnsi"/>
        </w:rPr>
        <w:t xml:space="preserve">scaled by the appropriate </w:t>
      </w:r>
      <w:r w:rsidRPr="005D5611">
        <w:rPr>
          <w:rFonts w:eastAsiaTheme="minorHAnsi"/>
          <w:i/>
        </w:rPr>
        <w:t>S/d</w:t>
      </w:r>
      <w:r w:rsidRPr="005D5611">
        <w:rPr>
          <w:rFonts w:eastAsiaTheme="minorHAnsi"/>
        </w:rPr>
        <w:t xml:space="preserve"> ratio </w:t>
      </w:r>
      <w:r w:rsidRPr="005D5611">
        <w:rPr>
          <w:rFonts w:eastAsiaTheme="minorHAnsi"/>
          <w:i/>
        </w:rPr>
        <w:t>r</w:t>
      </w:r>
      <w:r w:rsidRPr="005D5611">
        <w:rPr>
          <w:rFonts w:eastAsiaTheme="minorHAnsi"/>
          <w:i/>
          <w:vertAlign w:val="subscript"/>
        </w:rPr>
        <w:t>2</w:t>
      </w:r>
      <w:r w:rsidRPr="005D5611">
        <w:rPr>
          <w:rFonts w:eastAsiaTheme="minorHAnsi"/>
        </w:rPr>
        <w:t xml:space="preserve">; (i.e. </w:t>
      </w:r>
      <w:r w:rsidRPr="005D5611">
        <w:rPr>
          <w:rFonts w:eastAsiaTheme="minorHAnsi"/>
          <w:vertAlign w:val="superscript"/>
        </w:rPr>
        <w:t>i</w:t>
      </w:r>
      <w:r w:rsidRPr="005D5611">
        <w:rPr>
          <w:rFonts w:eastAsiaTheme="minorHAnsi"/>
        </w:rPr>
        <w:t>g</w:t>
      </w:r>
      <w:r w:rsidRPr="005D5611">
        <w:rPr>
          <w:rFonts w:eastAsiaTheme="minorHAnsi"/>
          <w:vertAlign w:val="subscript"/>
        </w:rPr>
        <w:t>L</w:t>
      </w:r>
      <w:r w:rsidRPr="005D5611">
        <w:rPr>
          <w:rFonts w:eastAsiaTheme="minorHAnsi"/>
        </w:rPr>
        <w:t xml:space="preserve"> = </w:t>
      </w:r>
      <w:r w:rsidRPr="005D5611">
        <w:rPr>
          <w:rFonts w:eastAsiaTheme="minorHAnsi"/>
          <w:vertAlign w:val="superscript"/>
        </w:rPr>
        <w:t>i</w:t>
      </w:r>
      <w:r w:rsidRPr="005D5611">
        <w:rPr>
          <w:rFonts w:eastAsiaTheme="minorHAnsi"/>
          <w:i/>
        </w:rPr>
        <w:t>d</w:t>
      </w:r>
      <w:r w:rsidRPr="005D5611">
        <w:rPr>
          <w:rFonts w:eastAsiaTheme="minorHAnsi"/>
          <w:i/>
          <w:vertAlign w:val="subscript"/>
        </w:rPr>
        <w:t xml:space="preserve">L </w:t>
      </w:r>
      <w:r w:rsidRPr="005D5611">
        <w:rPr>
          <w:rFonts w:eastAsiaTheme="minorHAnsi"/>
          <w:i/>
        </w:rPr>
        <w:t>r</w:t>
      </w:r>
      <w:r w:rsidRPr="005D5611">
        <w:rPr>
          <w:rFonts w:eastAsiaTheme="minorHAnsi"/>
          <w:i/>
          <w:vertAlign w:val="subscript"/>
        </w:rPr>
        <w:t>2</w:t>
      </w:r>
      <w:r w:rsidRPr="005D5611">
        <w:rPr>
          <w:rFonts w:eastAsiaTheme="minorHAnsi"/>
        </w:rPr>
        <w:t xml:space="preserve"> (see eqn. S6. above)).</w:t>
      </w:r>
    </w:p>
    <w:p w14:paraId="3E836F8B" w14:textId="77777777" w:rsidR="003A45CF" w:rsidRPr="005D5611" w:rsidRDefault="003A45CF" w:rsidP="003A45CF">
      <w:pPr>
        <w:pStyle w:val="SMcaption"/>
        <w:rPr>
          <w:rFonts w:eastAsiaTheme="minorHAnsi"/>
        </w:rPr>
      </w:pPr>
      <w:r w:rsidRPr="005D5611">
        <w:rPr>
          <w:noProof/>
        </w:rPr>
        <w:drawing>
          <wp:inline distT="0" distB="0" distL="0" distR="0" wp14:anchorId="365C4BFF" wp14:editId="0DDC3ACD">
            <wp:extent cx="5006715" cy="4540815"/>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140253" cy="4661927"/>
                    </a:xfrm>
                    <a:prstGeom prst="rect">
                      <a:avLst/>
                    </a:prstGeom>
                  </pic:spPr>
                </pic:pic>
              </a:graphicData>
            </a:graphic>
          </wp:inline>
        </w:drawing>
      </w:r>
    </w:p>
    <w:p w14:paraId="535B02D5" w14:textId="7D7FBE75" w:rsidR="003A45CF" w:rsidRPr="005D5611" w:rsidRDefault="003A45CF" w:rsidP="003A45CF">
      <w:pPr>
        <w:pStyle w:val="SMcaption"/>
        <w:rPr>
          <w:rFonts w:eastAsiaTheme="minorHAnsi"/>
        </w:rPr>
      </w:pPr>
      <w:r w:rsidRPr="005D5611">
        <w:rPr>
          <w:rFonts w:eastAsiaTheme="minorHAnsi"/>
          <w:b/>
        </w:rPr>
        <w:t xml:space="preserve">Fig. S5. </w:t>
      </w:r>
      <w:r w:rsidRPr="005D5611">
        <w:rPr>
          <w:rFonts w:eastAsiaTheme="minorHAnsi"/>
        </w:rPr>
        <w:t xml:space="preserve">The above is a partial flow diagram for the daily computations in the cotton PBDM model, and Fig. S6 shows the output of the simulation model </w:t>
      </w:r>
      <w:r w:rsidRPr="005D5611">
        <w:rPr>
          <w:rFonts w:eastAsiaTheme="minorHAnsi"/>
        </w:rPr>
        <w:fldChar w:fldCharType="begin"/>
      </w:r>
      <w:r w:rsidR="00FF3F09">
        <w:rPr>
          <w:rFonts w:eastAsiaTheme="minorHAnsi"/>
        </w:rPr>
        <w:instrText xml:space="preserve"> ADDIN ZOTERO_ITEM CSL_CITATION {"citationID":"BjjWjzsy","properties":{"formattedCitation":"[17]","plainCitation":"[17]","noteIndex":0},"citationItems":[{"id":594,"uris":["http://zotero.org/users/1272936/items/3884IFWH"],"uri":["http://zotero.org/users/1272936/items/3884IFWH"],"itemData":{"id":594,"type":"article-journal","abstract":"A population model of cotton growth and development in response to weather, agronomic factors (SIMCOT UC) and insect pests was successfully used to examine upland cotton production in California. The impact of most arthropod pests on cotton yield is currently under investigation, and the effects of the defoliating insects Spodoptera exigua (Hb.), Trichoplusia ni (Hb.) and Heliothis zea (Boddie) are here reported. The impact of moderate defoliation by S. exigua and T. ni caused only slight yield reductions. More important was the attack by larvae of S. exigua on the immature fruits (squares). Investigations on the interaction of plant age and developmental stage with defoliator damage (defoliation and attack on squares) indicated that the greatest yield reductions result from attack early in the squaring period. The late-season effects of H. zea are easy to measure and incorporate into the model.","container-title":"Environmental Entomology","DOI":"10.1093/ee/4.1.125","issue":"1","page":"125-136","title":"An analysis of cotton production in California: A model for Acala cotton and the effects of defoliators on its yields","volume":"4","author":[{"family":"Gutierrez","given":"A.P."},{"family":"Falcon","given":"L.A."},{"family":"Loew","given":"W."},{"family":"Leipzig","given":"P.A."},{"family":"Bosch","given":"R.","non-dropping-particle":"van-den"}],"issued":{"date-parts":[["1975"]]}}}],"schema":"https://github.com/citation-style-language/schema/raw/master/csl-citation.json"} </w:instrText>
      </w:r>
      <w:r w:rsidRPr="005D5611">
        <w:rPr>
          <w:rFonts w:eastAsiaTheme="minorHAnsi"/>
        </w:rPr>
        <w:fldChar w:fldCharType="separate"/>
      </w:r>
      <w:r w:rsidR="00C51ED3">
        <w:t>[17]</w:t>
      </w:r>
      <w:r w:rsidRPr="005D5611">
        <w:rPr>
          <w:rFonts w:eastAsiaTheme="minorHAnsi"/>
        </w:rPr>
        <w:fldChar w:fldCharType="end"/>
      </w:r>
      <w:r w:rsidRPr="005D5611">
        <w:rPr>
          <w:rFonts w:eastAsiaTheme="minorHAnsi"/>
        </w:rPr>
        <w:t>.</w:t>
      </w:r>
    </w:p>
    <w:p w14:paraId="65888F53" w14:textId="77777777" w:rsidR="003A45CF" w:rsidRPr="005D5611" w:rsidRDefault="003A45CF" w:rsidP="003A45CF">
      <w:pPr>
        <w:pStyle w:val="SMcaption"/>
        <w:rPr>
          <w:noProof/>
        </w:rPr>
      </w:pPr>
      <w:r w:rsidRPr="005D5611">
        <w:rPr>
          <w:noProof/>
        </w:rPr>
        <w:drawing>
          <wp:inline distT="0" distB="0" distL="0" distR="0" wp14:anchorId="54C870AF" wp14:editId="2897DBD7">
            <wp:extent cx="4570700" cy="3267856"/>
            <wp:effectExtent l="0" t="0" r="190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4624982" cy="3306665"/>
                    </a:xfrm>
                    <a:prstGeom prst="rect">
                      <a:avLst/>
                    </a:prstGeom>
                  </pic:spPr>
                </pic:pic>
              </a:graphicData>
            </a:graphic>
          </wp:inline>
        </w:drawing>
      </w:r>
      <w:r w:rsidRPr="005D5611">
        <w:rPr>
          <w:noProof/>
        </w:rPr>
        <w:drawing>
          <wp:inline distT="0" distB="0" distL="0" distR="0" wp14:anchorId="64D9A104" wp14:editId="0C031576">
            <wp:extent cx="3717561" cy="2837616"/>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794258" cy="2896159"/>
                    </a:xfrm>
                    <a:prstGeom prst="rect">
                      <a:avLst/>
                    </a:prstGeom>
                  </pic:spPr>
                </pic:pic>
              </a:graphicData>
            </a:graphic>
          </wp:inline>
        </w:drawing>
      </w:r>
    </w:p>
    <w:p w14:paraId="42EF5D36" w14:textId="046AD260" w:rsidR="003A45CF" w:rsidRPr="005D5611" w:rsidRDefault="003A45CF" w:rsidP="003A45CF">
      <w:pPr>
        <w:pStyle w:val="SMcaption"/>
      </w:pPr>
      <w:r w:rsidRPr="005D5611">
        <w:rPr>
          <w:b/>
        </w:rPr>
        <w:t>Fig. S6.</w:t>
      </w:r>
      <w:r w:rsidRPr="005D5611">
        <w:t xml:space="preserve"> Physiologically based model of a cotton plant: (a) population of plants with the age structured energy flow dynamics of one of them and (b) the simulated dynamics of fruiting (squares and bolls), (c) dry matter allocation to plant subunits, (d) the daily rate of dry matter allocation and (e) the cumulative dry matter allocation during the growing season (see </w:t>
      </w:r>
      <w:r w:rsidRPr="005D5611">
        <w:fldChar w:fldCharType="begin"/>
      </w:r>
      <w:r w:rsidR="002F5A10">
        <w:instrText xml:space="preserve"> ADDIN ZOTERO_ITEM CSL_CITATION {"citationID":"ssKF8xX6","properties":{"formattedCitation":"[11, 123]","plainCitation":"[11, 123]","noteIndex":0},"citationItems":[{"id":2958,"uris":["http://zotero.org/users/1272936/items/3HJHR46H"],"uri":["http://zotero.org/users/1272936/items/3HJHR46H"],"itemData":{"id":2958,"type":"book","abstract":"The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id":12094,"uris":["http://zotero.org/users/1272936/items/L37LXV3H"],"uri":["http://zotero.org/users/1272936/items/L37LXV3H"],"itemData":{"id":12094,"type":"article-journal","abstract":"A distributed delay age structure model is presented for plants and insects that describes the dynamics of per capita energy (dry matter) acquisition and allocation patterns, and the within-organism subunit (e.g. leaves, fruit, ova) number dynamics that occur during growth, reproduction, and development. Four species of plants (common bean, cassava, cotton, and tomato) and two species of insects (pea aphid and a ladybird beetle) are modeled. A common acquisition (i.e. functional response) submodel is used to estimate the daily photosynthetic rates in plants and consumption rates in pea aphid and the ladybird beetle. The focus of this work is to capture the essence of the common attributes between trophic levels across this wide range of taxa. The models are compared with field or laboratory data. A hypothesis is proposed for the observed patterns of reproduction in pea aphid and in a ladybird beetle., On a construit un modèle démographique avec distribution de délai applicable à des plantes et des insectes. Le modèle décrit la dynamique de l’appropriation et de la répartition de l’énergie (matière sèche) per capita, et la dynamique des nombres des sous-unités intra-organisme (ex. feuilles, fruits, oeufs). On a ainsi modélisé quatre sortes de plantes (fève, cassava, colon et tomate) et deux espèces d’insectes (puceron du pois et coccinelle). On utilise un sous-modèle commun d’acquisition (résponse fonctionnelle) pour estimer les vitesses journalières de photosynthèse des plantes et d’alimentation du puceron et de la coccinelle. Le but de ce travail est d’extraire les caractéristiques essentielles communes aux niveaux trophiques occupés par ces divers taxons. Les modèles sont comparés avec des données de terrain et de laboratoire. On propose une hypothèse pour expliquer les profils observés de reproduction du puceron du pois et de la coccinelle.","container-title":"The Canadian Entomologist","DOI":"10.4039/Ent119109-2","ISSN":"1918-3240, 0008-347X","issue":"2","language":"en","page":"109-129","source":"Cambridge Core","title":"Energy acquisition and allocation in plants and insects: a hypothesis for the possible role of hormones in insect feeding patterns","title-short":"ENERGY ACQUISITION AND ALLOCATION IN PLANTS AND INSECTS","volume":"119","author":[{"family":"Gutierrez","given":"A. P."},{"family":"Schulthess","given":"F."},{"family":"Wilson","given":"L. T."},{"family":"Villacorta","given":"A. M."},{"family":"Ellis","given":"C. K."},{"family":"Baumgaertner","given":"J. U."}],"issued":{"date-parts":[["1987",2]]}}}],"schema":"https://github.com/citation-style-language/schema/raw/master/csl-citation.json"} </w:instrText>
      </w:r>
      <w:r w:rsidRPr="005D5611">
        <w:fldChar w:fldCharType="separate"/>
      </w:r>
      <w:r w:rsidR="00C51ED3">
        <w:t>[11, 123]</w:t>
      </w:r>
      <w:r w:rsidRPr="005D5611">
        <w:fldChar w:fldCharType="end"/>
      </w:r>
      <w:r w:rsidRPr="005D5611">
        <w:rPr>
          <w:rFonts w:eastAsiaTheme="minorHAnsi"/>
          <w:noProof/>
        </w:rPr>
        <w:t>)</w:t>
      </w:r>
      <w:r w:rsidRPr="005D5611">
        <w:t xml:space="preserve">. </w:t>
      </w:r>
    </w:p>
    <w:p w14:paraId="73D7B655" w14:textId="77777777" w:rsidR="003A45CF" w:rsidRPr="005D5611" w:rsidRDefault="003A45CF" w:rsidP="003A45CF">
      <w:pPr>
        <w:pStyle w:val="SMText"/>
        <w:rPr>
          <w:rFonts w:eastAsiaTheme="minorHAnsi"/>
          <w:b/>
          <w:color w:val="000000"/>
        </w:rPr>
      </w:pPr>
    </w:p>
    <w:p w14:paraId="357AD34A" w14:textId="51198B6C" w:rsidR="003A45CF" w:rsidRPr="005D5611" w:rsidRDefault="003A45CF" w:rsidP="003A45CF">
      <w:pPr>
        <w:pStyle w:val="SMText"/>
        <w:ind w:firstLine="0"/>
        <w:rPr>
          <w:color w:val="000000"/>
        </w:rPr>
      </w:pPr>
      <w:r w:rsidRPr="005D5611">
        <w:rPr>
          <w:b/>
          <w:bCs/>
        </w:rPr>
        <w:t xml:space="preserve">S3.4 Realistic population dynamics models of poikilotherms (e.g., plants, </w:t>
      </w:r>
      <w:r w:rsidRPr="005D5611">
        <w:rPr>
          <w:b/>
          <w:bCs/>
          <w:iCs/>
        </w:rPr>
        <w:t>insects)</w:t>
      </w:r>
      <w:r w:rsidRPr="005D5611">
        <w:t xml:space="preserve"> - In the field, plants in a population may be of different sizes and ages, and have different areas and resource levels for growth (i.e., a meta-population, </w:t>
      </w:r>
      <w:r w:rsidRPr="005D5611">
        <w:fldChar w:fldCharType="begin"/>
      </w:r>
      <w:r w:rsidR="002F5A10">
        <w:instrText xml:space="preserve"> ADDIN ZOTERO_ITEM CSL_CITATION {"citationID":"AO4xOBJW","properties":{"formattedCitation":"[124]","plainCitation":"[124]","noteIndex":0},"citationItems":[{"id":12290,"uris":["http://zotero.org/users/1272936/items/7YV87BR7"],"uri":["http://zotero.org/users/1272936/items/7YV87BR7"],"itemData":{"id":12290,"type":"article-journal","abstract":"Abstract.  We review the early development of metapopulation ideas, which culminated in the well-known model by Levins in 1969. We present a survey of metapopul","container-title":"Biological Journal of the Linnean Society","DOI":"10.1111/j.1095-8312.1991.tb00548.x","ISSN":"0024-4066","issue":"1-2","journalAbbreviation":"Biol J Linn Soc","language":"en","page":"3-16","source":"academic.oup.com","title":"Metapopulation dynamics: brief history and conceptual domain","title-short":"Metapopulation dynamics","volume":"42","author":[{"family":"Hanski","given":"Ilkka"},{"family":"Gilpin","given":"Michael"}],"issued":{"date-parts":[["1991",1,1]]}}}],"schema":"https://github.com/citation-style-language/schema/raw/master/csl-citation.json"} </w:instrText>
      </w:r>
      <w:r w:rsidRPr="005D5611">
        <w:fldChar w:fldCharType="separate"/>
      </w:r>
      <w:r w:rsidR="00C51ED3">
        <w:t>[124]</w:t>
      </w:r>
      <w:r w:rsidRPr="005D5611">
        <w:fldChar w:fldCharType="end"/>
      </w:r>
      <w:r w:rsidRPr="005D5611">
        <w:t xml:space="preserve">) (Fig. S6a). We first discuss the simpler case of a crop that can be viewed as a population of average uniformly distributed plants (i.e. a canopy of crop plants) that are basically the single plant model multiplied by density to estimate the crop canopy response. </w:t>
      </w:r>
      <w:r w:rsidRPr="005D5611">
        <w:rPr>
          <w:rFonts w:eastAsiaTheme="minorHAnsi"/>
        </w:rPr>
        <w:t xml:space="preserve">The patterns of average plant sub unit growth (cotton; Fig. S6b), dynamics of fruit subunits (Fig. S6c), the daily allocation pattern to the different plant subunits and respiration are seen in Fig. S6d, and the cumulative allocation is seen in Fig. S6e (see </w:t>
      </w:r>
      <w:r w:rsidRPr="005D5611">
        <w:rPr>
          <w:rFonts w:eastAsiaTheme="minorHAnsi"/>
        </w:rPr>
        <w:fldChar w:fldCharType="begin"/>
      </w:r>
      <w:r w:rsidR="002F5A10">
        <w:rPr>
          <w:rFonts w:eastAsiaTheme="minorHAnsi"/>
        </w:rPr>
        <w:instrText xml:space="preserve"> ADDIN ZOTERO_ITEM CSL_CITATION {"citationID":"qlbBw2jH","properties":{"formattedCitation":"[11, 123, 125]","plainCitation":"[11, 123, 125]","noteIndex":0},"citationItems":[{"id":2958,"uris":["http://zotero.org/users/1272936/items/3HJHR46H"],"uri":["http://zotero.org/users/1272936/items/3HJHR46H"],"itemData":{"id":2958,"type":"book","abstract":"The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id":12094,"uris":["http://zotero.org/users/1272936/items/L37LXV3H"],"uri":["http://zotero.org/users/1272936/items/L37LXV3H"],"itemData":{"id":12094,"type":"article-journal","abstract":"A distributed delay age structure model is presented for plants and insects that describes the dynamics of per capita energy (dry matter) acquisition and allocation patterns, and the within-organism subunit (e.g. leaves, fruit, ova) number dynamics that occur during growth, reproduction, and development. Four species of plants (common bean, cassava, cotton, and tomato) and two species of insects (pea aphid and a ladybird beetle) are modeled. A common acquisition (i.e. functional response) submodel is used to estimate the daily photosynthetic rates in plants and consumption rates in pea aphid and the ladybird beetle. The focus of this work is to capture the essence of the common attributes between trophic levels across this wide range of taxa. The models are compared with field or laboratory data. A hypothesis is proposed for the observed patterns of reproduction in pea aphid and in a ladybird beetle., On a construit un modèle démographique avec distribution de délai applicable à des plantes et des insectes. Le modèle décrit la dynamique de l’appropriation et de la répartition de l’énergie (matière sèche) per capita, et la dynamique des nombres des sous-unités intra-organisme (ex. feuilles, fruits, oeufs). On a ainsi modélisé quatre sortes de plantes (fève, cassava, colon et tomate) et deux espèces d’insectes (puceron du pois et coccinelle). On utilise un sous-modèle commun d’acquisition (résponse fonctionnelle) pour estimer les vitesses journalières de photosynthèse des plantes et d’alimentation du puceron et de la coccinelle. Le but de ce travail est d’extraire les caractéristiques essentielles communes aux niveaux trophiques occupés par ces divers taxons. Les modèles sont comparés avec des données de terrain et de laboratoire. On propose une hypothèse pour expliquer les profils observés de reproduction du puceron du pois et de la coccinelle.","container-title":"The Canadian Entomologist","DOI":"10.4039/Ent119109-2","ISSN":"1918-3240, 0008-347X","issue":"2","language":"en","page":"109-129","source":"Cambridge Core","title":"Energy acquisition and allocation in plants and insects: a hypothesis for the possible role of hormones in insect feeding patterns","title-short":"ENERGY ACQUISITION AND ALLOCATION IN PLANTS AND INSECTS","volume":"119","author":[{"family":"Gutierrez","given":"A. P."},{"family":"Schulthess","given":"F."},{"family":"Wilson","given":"L. T."},{"family":"Villacorta","given":"A. M."},{"family":"Ellis","given":"C. K."},{"family":"Baumgaertner","given":"J. U."}],"issued":{"date-parts":[["1987",2]]}}},{"id":218,"uris":["http://zotero.org/users/1272936/items/GKCHCVJ8"],"uri":["http://zotero.org/users/1272936/items/GKCHCVJ8"],"itemData":{"id":218,"type":"chapter","container-title":"Functional-Structural Plant Modelling in Crop Production","event-place":"The Netherlands","page":"103-111","publisher":"Springer","publisher-place":"The Netherlands","title":"Concepts of modelling carbon allocation among plant organs","author":[{"family":"Marcelis","given":"L. F. M."},{"family":"Heuvelink","given":"E."}],"editor":[{"family":"Vos","given":"J."},{"family":"Marcelis","given":"L.F.M."},{"family":"Visser","given":"P.H.B.","dropping-particle":"de"},{"family":"Struik","given":"P.C."},{"family":"Evers","given":"J.B."}],"issued":{"date-parts":[["2007"]]}}}],"schema":"https://github.com/citation-style-language/schema/raw/master/csl-citation.json"} </w:instrText>
      </w:r>
      <w:r w:rsidRPr="005D5611">
        <w:rPr>
          <w:rFonts w:eastAsiaTheme="minorHAnsi"/>
        </w:rPr>
        <w:fldChar w:fldCharType="separate"/>
      </w:r>
      <w:r w:rsidR="00C51ED3">
        <w:t>[11, 123, 125]</w:t>
      </w:r>
      <w:r w:rsidRPr="005D5611">
        <w:rPr>
          <w:rFonts w:eastAsiaTheme="minorHAnsi"/>
        </w:rPr>
        <w:fldChar w:fldCharType="end"/>
      </w:r>
      <w:r w:rsidRPr="005D5611">
        <w:rPr>
          <w:rFonts w:eastAsiaTheme="minorHAnsi"/>
          <w:noProof/>
        </w:rPr>
        <w:t>)</w:t>
      </w:r>
      <w:r w:rsidRPr="005D5611">
        <w:rPr>
          <w:rFonts w:eastAsiaTheme="minorHAnsi"/>
        </w:rPr>
        <w:t>.</w:t>
      </w:r>
      <w:r w:rsidRPr="005D5611">
        <w:t xml:space="preserve"> </w:t>
      </w:r>
    </w:p>
    <w:p w14:paraId="440893D3" w14:textId="77777777" w:rsidR="003A45CF" w:rsidRPr="005D5611" w:rsidRDefault="003A45CF" w:rsidP="003A45CF">
      <w:pPr>
        <w:pStyle w:val="SMText"/>
        <w:rPr>
          <w:color w:val="000000"/>
        </w:rPr>
      </w:pPr>
      <w:r w:rsidRPr="005D5611">
        <w:t>The simplest tri-trophic population models to develop are based on a canopy of plants that harbor populations of higher trophic level species. Each herbivore species is linked to the age-stage dynamics of specific plant sub model population it attacks (e.g., fruit) according to predefined preferences. Similarly, each natural enemy would attack herbivore species in an age-stage specific manner, and may compete with other natural enemies directly or indirect.</w:t>
      </w:r>
      <w:r w:rsidRPr="005D5611">
        <w:rPr>
          <w:i/>
        </w:rPr>
        <w:t xml:space="preserve"> </w:t>
      </w:r>
      <w:r w:rsidRPr="005D5611">
        <w:t>The canopy level approach has yielded highly satisfactory results, and a</w:t>
      </w:r>
      <w:r w:rsidRPr="005D5611">
        <w:rPr>
          <w:color w:val="000000"/>
        </w:rPr>
        <w:t xml:space="preserve"> </w:t>
      </w:r>
      <w:r w:rsidRPr="005D5611">
        <w:t xml:space="preserve">partial list of </w:t>
      </w:r>
      <w:r w:rsidRPr="005D5611">
        <w:rPr>
          <w:color w:val="000000"/>
        </w:rPr>
        <w:t xml:space="preserve">multi-trophic </w:t>
      </w:r>
      <w:r w:rsidRPr="005D5611">
        <w:rPr>
          <w:i/>
          <w:color w:val="000000"/>
        </w:rPr>
        <w:t>PBDM</w:t>
      </w:r>
      <w:r w:rsidRPr="005D5611">
        <w:rPr>
          <w:color w:val="000000"/>
        </w:rPr>
        <w:t xml:space="preserve">s developed using this approach </w:t>
      </w:r>
      <w:r w:rsidRPr="005D5611">
        <w:t xml:space="preserve">is found at </w:t>
      </w:r>
      <w:hyperlink r:id="rId75" w:history="1">
        <w:r w:rsidRPr="005D5611">
          <w:rPr>
            <w:rStyle w:val="Hyperlink"/>
            <w:szCs w:val="24"/>
          </w:rPr>
          <w:t>https://www.casasglobal.org</w:t>
        </w:r>
      </w:hyperlink>
      <w:r w:rsidRPr="005D5611">
        <w:t xml:space="preserve"> </w:t>
      </w:r>
      <w:r w:rsidRPr="005D5611">
        <w:rPr>
          <w:color w:val="000000"/>
        </w:rPr>
        <w:t>.</w:t>
      </w:r>
      <w:bookmarkStart w:id="22" w:name="_Hlk518367928"/>
    </w:p>
    <w:p w14:paraId="181BEC9B" w14:textId="77777777" w:rsidR="003A45CF" w:rsidRPr="005D5611" w:rsidRDefault="003A45CF" w:rsidP="003A45CF">
      <w:pPr>
        <w:pStyle w:val="SMText"/>
        <w:rPr>
          <w:color w:val="000000"/>
        </w:rPr>
      </w:pPr>
    </w:p>
    <w:p w14:paraId="0250BFD1" w14:textId="7BD4074B" w:rsidR="003A45CF" w:rsidRPr="005D5611" w:rsidRDefault="003A45CF" w:rsidP="003A45CF">
      <w:pPr>
        <w:pStyle w:val="SMText"/>
        <w:ind w:firstLine="0"/>
      </w:pPr>
      <w:bookmarkStart w:id="23" w:name="_Toc15650838"/>
      <w:r w:rsidRPr="005D5611">
        <w:rPr>
          <w:b/>
        </w:rPr>
        <w:t>S3.5 Individual models of higher trophic levels</w:t>
      </w:r>
      <w:bookmarkEnd w:id="23"/>
      <w:r w:rsidRPr="005D5611">
        <w:t xml:space="preserve"> – The model can be used to model the growth and development of individual herbivores or natural enemy in the manner outlined for a single plant with all parameters estimated from laboratory experiments. A good example is the model for growth and development of a population of convergent lady beetle (</w:t>
      </w:r>
      <w:r w:rsidRPr="005D5611">
        <w:rPr>
          <w:i/>
        </w:rPr>
        <w:t>Hippodamia convergens</w:t>
      </w:r>
      <w:r w:rsidRPr="005D5611">
        <w:t xml:space="preserve">) </w:t>
      </w:r>
      <w:r w:rsidRPr="005D5611">
        <w:fldChar w:fldCharType="begin"/>
      </w:r>
      <w:r w:rsidR="002F5A10">
        <w:instrText xml:space="preserve"> ADDIN ZOTERO_ITEM CSL_CITATION {"citationID":"CBM7UpgZ","properties":{"formattedCitation":"[121, 123]","plainCitation":"[121, 123]","noteIndex":0},"citationItems":[{"id":616,"uris":["http://zotero.org/users/1272936/items/6UAVHCEI"],"uri":["http://zotero.org/users/1272936/items/6UAVHCEI"],"itemData":{"id":616,"type":"article-journal","abstract":"A simple model is presented for growth and development in Hippodamia convergens (Guer.), which partitions aphid biomass eaten (on lucerne) into components of excretion; assimilation; growth and reproduction; and metabolic costs associated with searching and maintenance respiration. All parameters in the model were estimated from simple minimal laboratory experiments, and have biological or physical meaning. The effects of predator nutrition on ageing, survival and emigration are also modelled. Most rates in the model for growth, reproduction and respiration are controlled by the interplay between prey consumption and maximum prey biomass demands. The model for biomass flow is related to standard predator-prey theory.","container-title":"Canadian Entomologist","DOI":"10.4039/Ent11321-1","issue":"1","page":"21-33","title":"A conceptual model for growth, development, and reproduction in the ladybird beetle, &lt;i&gt;Hippodamia convergens&lt;/i&gt; (Coleoptera: Coccinellidae)","volume":"113","author":[{"family":"Gutierrez","given":"A. P."},{"family":"Baumgaertner","given":"J. U."},{"family":"Hagen","given":"K. S."}],"issued":{"date-parts":[["1981"]]}}},{"id":12094,"uris":["http://zotero.org/users/1272936/items/L37LXV3H"],"uri":["http://zotero.org/users/1272936/items/L37LXV3H"],"itemData":{"id":12094,"type":"article-journal","abstract":"A distributed delay age structure model is presented for plants and insects that describes the dynamics of per capita energy (dry matter) acquisition and allocation patterns, and the within-organism subunit (e.g. leaves, fruit, ova) number dynamics that occur during growth, reproduction, and development. Four species of plants (common bean, cassava, cotton, and tomato) and two species of insects (pea aphid and a ladybird beetle) are modeled. A common acquisition (i.e. functional response) submodel is used to estimate the daily photosynthetic rates in plants and consumption rates in pea aphid and the ladybird beetle. The focus of this work is to capture the essence of the common attributes between trophic levels across this wide range of taxa. The models are compared with field or laboratory data. A hypothesis is proposed for the observed patterns of reproduction in pea aphid and in a ladybird beetle., On a construit un modèle démographique avec distribution de délai applicable à des plantes et des insectes. Le modèle décrit la dynamique de l’appropriation et de la répartition de l’énergie (matière sèche) per capita, et la dynamique des nombres des sous-unités intra-organisme (ex. feuilles, fruits, oeufs). On a ainsi modélisé quatre sortes de plantes (fève, cassava, colon et tomate) et deux espèces d’insectes (puceron du pois et coccinelle). On utilise un sous-modèle commun d’acquisition (résponse fonctionnelle) pour estimer les vitesses journalières de photosynthèse des plantes et d’alimentation du puceron et de la coccinelle. Le but de ce travail est d’extraire les caractéristiques essentielles communes aux niveaux trophiques occupés par ces divers taxons. Les modèles sont comparés avec des données de terrain et de laboratoire. On propose une hypothèse pour expliquer les profils observés de reproduction du puceron du pois et de la coccinelle.","container-title":"The Canadian Entomologist","DOI":"10.4039/Ent119109-2","ISSN":"1918-3240, 0008-347X","issue":"2","language":"en","page":"109-129","source":"Cambridge Core","title":"Energy acquisition and allocation in plants and insects: a hypothesis for the possible role of hormones in insect feeding patterns","title-short":"ENERGY ACQUISITION AND ALLOCATION IN PLANTS AND INSECTS","volume":"119","author":[{"family":"Gutierrez","given":"A. P."},{"family":"Schulthess","given":"F."},{"family":"Wilson","given":"L. T."},{"family":"Villacorta","given":"A. M."},{"family":"Ellis","given":"C. K."},{"family":"Baumgaertner","given":"J. U."}],"issued":{"date-parts":[["1987",2]]}}}],"schema":"https://github.com/citation-style-language/schema/raw/master/csl-citation.json"} </w:instrText>
      </w:r>
      <w:r w:rsidRPr="005D5611">
        <w:fldChar w:fldCharType="separate"/>
      </w:r>
      <w:r w:rsidR="00C51ED3">
        <w:t>[121, 123]</w:t>
      </w:r>
      <w:r w:rsidRPr="005D5611">
        <w:fldChar w:fldCharType="end"/>
      </w:r>
      <w:r w:rsidRPr="005D5611">
        <w:t xml:space="preserve"> (Fig. S7a).</w:t>
      </w:r>
      <w:r w:rsidRPr="005D5611">
        <w:rPr>
          <w:i/>
        </w:rPr>
        <w:t xml:space="preserve"> </w:t>
      </w:r>
      <w:r w:rsidRPr="005D5611">
        <w:t xml:space="preserve">Fig. S7b shows the growth and cumulative reproduction, Fig. S37c shows the daily allocation pattern, Fig. S7d compares observed and predicted cumulative reproduction, and Fig. S7e illustrates the cumulative allocation. Note that the rate for egestion &gt;&gt; growth and reproduction &gt; respiration. While the allocation strategies vary considerably among species (cotton vs coccinellid), the allocation priorities remain the same. </w:t>
      </w:r>
    </w:p>
    <w:p w14:paraId="6EDB6FAB" w14:textId="664C54EB" w:rsidR="003A45CF" w:rsidRPr="005D5611" w:rsidRDefault="003A45CF" w:rsidP="003A45CF">
      <w:pPr>
        <w:pStyle w:val="SMText"/>
        <w:rPr>
          <w:color w:val="000000"/>
        </w:rPr>
      </w:pPr>
      <w:r w:rsidRPr="005D5611">
        <w:t xml:space="preserve">Additional aspects of the life history such as dormancy can be easily added </w:t>
      </w:r>
      <w:r w:rsidRPr="005D5611">
        <w:fldChar w:fldCharType="begin"/>
      </w:r>
      <w:r w:rsidR="002F5A10">
        <w:instrText xml:space="preserve"> ADDIN ZOTERO_ITEM CSL_CITATION {"citationID":"2c4gQoXc","properties":{"formattedCitation":"[126]","plainCitation":"[126]","noteIndex":0},"citationItems":[{"id":742,"uris":["http://zotero.org/users/1272936/items/A73EK69F"],"uri":["http://zotero.org/users/1272936/items/A73EK69F"],"itemData":{"id":742,"type":"article-journal","abstract":"Emergence data on adults of Delia radicum from overwintering dormant pupae were used to develop a temperature-driven stage dynamics model to analyse development during winter in this species. The model suggested that overwintering had three phases: two in which no morphological development occurs, followed by a third phase or metamorphosis of the pupae to the adult stage (i.e. post-dormancy) culminating in the emergence of the adult. It is proposed that each phase has a different response to temperature and different optima. The biology of the model was in accord with empirical knowledge about overwintering in this species, and predicted well the patterns of emergence of adults from six cohorts of dormant pupae reared under different temperature regimes.","container-title":"Journal of Applied Ecology","DOI":"10.2307/2404844","issue":"1","page":"21-28","title":"Overwintering in the cabbage root fly &lt;i&gt;Delia radicum&lt;/i&gt;: a dynamic model of temperature-dependent dormancy and post-dormancy development","volume":"34","author":[{"family":"Johnsen","given":"S."},{"family":"Gutierrez","given":"A. P."},{"family":"Jrgensen","given":"J."}],"issued":{"date-parts":[["1997"]]}}}],"schema":"https://github.com/citation-style-language/schema/raw/master/csl-citation.json"} </w:instrText>
      </w:r>
      <w:r w:rsidRPr="005D5611">
        <w:fldChar w:fldCharType="separate"/>
      </w:r>
      <w:r w:rsidR="00C51ED3">
        <w:t>[126]</w:t>
      </w:r>
      <w:r w:rsidRPr="005D5611">
        <w:fldChar w:fldCharType="end"/>
      </w:r>
      <w:r w:rsidRPr="005D5611">
        <w:t xml:space="preserve">. </w:t>
      </w:r>
      <w:r w:rsidRPr="005D5611">
        <w:rPr>
          <w:color w:val="000000"/>
        </w:rPr>
        <w:t xml:space="preserve">The biology of natural enemies, and especially parasitoids, may be quite complicated (see </w:t>
      </w:r>
      <w:r w:rsidRPr="005D5611">
        <w:rPr>
          <w:color w:val="000000"/>
        </w:rPr>
        <w:fldChar w:fldCharType="begin"/>
      </w:r>
      <w:r w:rsidR="002F5A10">
        <w:rPr>
          <w:color w:val="000000"/>
        </w:rPr>
        <w:instrText xml:space="preserve"> ADDIN ZOTERO_ITEM CSL_CITATION {"citationID":"qOJm2NGF","properties":{"formattedCitation":"[127]","plainCitation":"[127]","noteIndex":0},"citationItems":[{"id":599,"uris":["http://zotero.org/users/1272936/items/2U3UQ3XK"],"uri":["http://zotero.org/users/1272936/items/2U3UQ3XK"],"itemData":{"id":599,"type":"article-journal","abstract":"Heteronomous hyperparasitism, in which male parasitoids develop at the expense of conspecific females or competing parasitoid species, is characteristic of a number of aphelinid parasitoids that have been used for the classical biological control of Hemiptera. An unresolved question in biological control is whether heteronomous hyperparasitism is compatible with the goals of biological control. A tritrophic model was used to examine the influence of parasitoid developmental biology on the ability of aphelinids to suppress the abundance of whitefly [Aleyrodidae] through a growing season on cotton. Three aphelinid parasitoids are considered, a typical primary parasitoid (where both males and females develop on aleyrodid hosts), an obligate autoparasitoid (where males develop only on conspecific females) and a facultative autoparasitoid (where males develop on all other parasitoids including conspecific females). The parasitoids are assumed to attack the set of available hosts in relation to their relative abundance, with no preference for particular host types, and their impacts on the cumulative abundance of immature aleyrodid and competing parasitoids are compared through graphical and stepdown multiple regression analysis. The results indicate that a primary parasitoid can substantially suppress the cumulative abundance of aleyrodid through a growing season on cotton, but that the impact of an autoparasitoid is constrained by self-limitation. The combination of a primary parasitoid and an obligate autoparasitoid provides the greatest suppression of cumulative aleyrodid abundance, and the addition of a facultative autoparasitoid disrupts the control potential of the other parasitoids. These results caution against the indiscriminate introduction of aphelinid parasitoids in biological control programmes, and highlight the need for detailed experimental observations on sex allocation and host discrimination in facultative autoparasitoids.","container-title":"Journal of Applied Ecology","issue":"6","page":"1379-1394","title":"Prospective modelling in biological control: an analysis of the dynamics of heteronomous hyperparasitism in a cotton-whitefly-parasitoid system","volume":"33","author":[{"family":"Mills","given":"N. J."},{"family":"Gutierrez","given":"A. P."}],"issued":{"date-parts":[["1996"]]}}}],"schema":"https://github.com/citation-style-language/schema/raw/master/csl-citation.json"} </w:instrText>
      </w:r>
      <w:r w:rsidRPr="005D5611">
        <w:rPr>
          <w:color w:val="000000"/>
        </w:rPr>
        <w:fldChar w:fldCharType="separate"/>
      </w:r>
      <w:r w:rsidR="00C51ED3">
        <w:rPr>
          <w:color w:val="000000"/>
        </w:rPr>
        <w:t>[127]</w:t>
      </w:r>
      <w:r w:rsidRPr="005D5611">
        <w:rPr>
          <w:color w:val="000000"/>
        </w:rPr>
        <w:fldChar w:fldCharType="end"/>
      </w:r>
      <w:r w:rsidRPr="005D5611">
        <w:rPr>
          <w:color w:val="000000"/>
        </w:rPr>
        <w:t>), but even this level of complexity can be handled as it is mostly a case of book keeping greatly facilitated by the modular same-structure of the model.</w:t>
      </w:r>
    </w:p>
    <w:p w14:paraId="7357DC8B" w14:textId="77777777" w:rsidR="003A45CF" w:rsidRPr="005D5611" w:rsidRDefault="003A45CF" w:rsidP="003A45CF">
      <w:pPr>
        <w:pStyle w:val="SMText"/>
      </w:pPr>
    </w:p>
    <w:p w14:paraId="0CB4C725" w14:textId="77777777" w:rsidR="003A45CF" w:rsidRPr="005D5611" w:rsidRDefault="003A45CF" w:rsidP="003A45CF">
      <w:pPr>
        <w:pStyle w:val="SMcaption"/>
      </w:pPr>
      <w:r w:rsidRPr="005D5611">
        <w:rPr>
          <w:noProof/>
        </w:rPr>
        <w:drawing>
          <wp:inline distT="0" distB="0" distL="0" distR="0" wp14:anchorId="6D5AFEC5" wp14:editId="56ECC087">
            <wp:extent cx="6275895" cy="2342733"/>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335524" cy="2364992"/>
                    </a:xfrm>
                    <a:prstGeom prst="rect">
                      <a:avLst/>
                    </a:prstGeom>
                  </pic:spPr>
                </pic:pic>
              </a:graphicData>
            </a:graphic>
          </wp:inline>
        </w:drawing>
      </w:r>
    </w:p>
    <w:p w14:paraId="0E4899A8" w14:textId="317C750A" w:rsidR="003A45CF" w:rsidRPr="005D5611" w:rsidRDefault="003A45CF" w:rsidP="003A45CF">
      <w:pPr>
        <w:pStyle w:val="SMcaption"/>
      </w:pPr>
      <w:r w:rsidRPr="005D5611">
        <w:rPr>
          <w:b/>
        </w:rPr>
        <w:t>Fig. S7.</w:t>
      </w:r>
      <w:r w:rsidRPr="005D5611">
        <w:t xml:space="preserve"> Physiologically based model of a ladybeetle female: (a) population of female with the age structured energy flow dynamics of one of them (</w:t>
      </w:r>
      <w:r w:rsidRPr="005D5611">
        <w:rPr>
          <w:i/>
        </w:rPr>
        <w:t>cf</w:t>
      </w:r>
      <w:r w:rsidRPr="005D5611">
        <w:t xml:space="preserve">, </w:t>
      </w:r>
      <w:r w:rsidRPr="005D5611">
        <w:fldChar w:fldCharType="begin"/>
      </w:r>
      <w:r w:rsidR="002F5A10">
        <w:instrText xml:space="preserve"> ADDIN ZOTERO_ITEM CSL_CITATION {"citationID":"r3Hko9Cm","properties":{"formattedCitation":"[121, 123]","plainCitation":"[121, 123]","noteIndex":0},"citationItems":[{"id":616,"uris":["http://zotero.org/users/1272936/items/6UAVHCEI"],"uri":["http://zotero.org/users/1272936/items/6UAVHCEI"],"itemData":{"id":616,"type":"article-journal","abstract":"A simple model is presented for growth and development in Hippodamia convergens (Guer.), which partitions aphid biomass eaten (on lucerne) into components of excretion; assimilation; growth and reproduction; and metabolic costs associated with searching and maintenance respiration. All parameters in the model were estimated from simple minimal laboratory experiments, and have biological or physical meaning. The effects of predator nutrition on ageing, survival and emigration are also modelled. Most rates in the model for growth, reproduction and respiration are controlled by the interplay between prey consumption and maximum prey biomass demands. The model for biomass flow is related to standard predator-prey theory.","container-title":"Canadian Entomologist","DOI":"10.4039/Ent11321-1","issue":"1","page":"21-33","title":"A conceptual model for growth, development, and reproduction in the ladybird beetle, &lt;i&gt;Hippodamia convergens&lt;/i&gt; (Coleoptera: Coccinellidae)","volume":"113","author":[{"family":"Gutierrez","given":"A. P."},{"family":"Baumgaertner","given":"J. U."},{"family":"Hagen","given":"K. S."}],"issued":{"date-parts":[["1981"]]}}},{"id":12094,"uris":["http://zotero.org/users/1272936/items/L37LXV3H"],"uri":["http://zotero.org/users/1272936/items/L37LXV3H"],"itemData":{"id":12094,"type":"article-journal","abstract":"A distributed delay age structure model is presented for plants and insects that describes the dynamics of per capita energy (dry matter) acquisition and allocation patterns, and the within-organism subunit (e.g. leaves, fruit, ova) number dynamics that occur during growth, reproduction, and development. Four species of plants (common bean, cassava, cotton, and tomato) and two species of insects (pea aphid and a ladybird beetle) are modeled. A common acquisition (i.e. functional response) submodel is used to estimate the daily photosynthetic rates in plants and consumption rates in pea aphid and the ladybird beetle. The focus of this work is to capture the essence of the common attributes between trophic levels across this wide range of taxa. The models are compared with field or laboratory data. A hypothesis is proposed for the observed patterns of reproduction in pea aphid and in a ladybird beetle., On a construit un modèle démographique avec distribution de délai applicable à des plantes et des insectes. Le modèle décrit la dynamique de l’appropriation et de la répartition de l’énergie (matière sèche) per capita, et la dynamique des nombres des sous-unités intra-organisme (ex. feuilles, fruits, oeufs). On a ainsi modélisé quatre sortes de plantes (fève, cassava, colon et tomate) et deux espèces d’insectes (puceron du pois et coccinelle). On utilise un sous-modèle commun d’acquisition (résponse fonctionnelle) pour estimer les vitesses journalières de photosynthèse des plantes et d’alimentation du puceron et de la coccinelle. Le but de ce travail est d’extraire les caractéristiques essentielles communes aux niveaux trophiques occupés par ces divers taxons. Les modèles sont comparés avec des données de terrain et de laboratoire. On propose une hypothèse pour expliquer les profils observés de reproduction du puceron du pois et de la coccinelle.","container-title":"The Canadian Entomologist","DOI":"10.4039/Ent119109-2","ISSN":"1918-3240, 0008-347X","issue":"2","language":"en","page":"109-129","source":"Cambridge Core","title":"Energy acquisition and allocation in plants and insects: a hypothesis for the possible role of hormones in insect feeding patterns","title-short":"ENERGY ACQUISITION AND ALLOCATION IN PLANTS AND INSECTS","volume":"119","author":[{"family":"Gutierrez","given":"A. P."},{"family":"Schulthess","given":"F."},{"family":"Wilson","given":"L. T."},{"family":"Villacorta","given":"A. M."},{"family":"Ellis","given":"C. K."},{"family":"Baumgaertner","given":"J. U."}],"issued":{"date-parts":[["1987",2]]}}}],"schema":"https://github.com/citation-style-language/schema/raw/master/csl-citation.json"} </w:instrText>
      </w:r>
      <w:r w:rsidRPr="005D5611">
        <w:fldChar w:fldCharType="separate"/>
      </w:r>
      <w:r w:rsidR="00C51ED3">
        <w:t>[121, 123]</w:t>
      </w:r>
      <w:r w:rsidRPr="005D5611">
        <w:fldChar w:fldCharType="end"/>
      </w:r>
      <w:r w:rsidRPr="005D5611">
        <w:rPr>
          <w:noProof/>
        </w:rPr>
        <w:t>)</w:t>
      </w:r>
      <w:r w:rsidRPr="005D5611">
        <w:t xml:space="preserve">, (b) dry matter allocation to beetle subunits, (c) the daily rate of dry matter allocation, (d) cumulative egg production, and (e) the cumulative dry matter allocation during the growing season </w:t>
      </w:r>
      <w:r w:rsidRPr="005D5611">
        <w:fldChar w:fldCharType="begin"/>
      </w:r>
      <w:r w:rsidR="002F5A10">
        <w:instrText xml:space="preserve"> ADDIN ZOTERO_ITEM CSL_CITATION {"citationID":"OHqtxnM5","properties":{"formattedCitation":"[11]","plainCitation":"[11]","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schema":"https://github.com/citation-style-language/schema/raw/master/csl-citation.json"} </w:instrText>
      </w:r>
      <w:r w:rsidRPr="005D5611">
        <w:fldChar w:fldCharType="separate"/>
      </w:r>
      <w:r w:rsidR="00C51ED3">
        <w:t>[11]</w:t>
      </w:r>
      <w:r w:rsidRPr="005D5611">
        <w:fldChar w:fldCharType="end"/>
      </w:r>
      <w:r w:rsidRPr="005D5611">
        <w:t>.</w:t>
      </w:r>
    </w:p>
    <w:p w14:paraId="123B72E3" w14:textId="77777777" w:rsidR="003A45CF" w:rsidRPr="005D5611" w:rsidRDefault="003A45CF" w:rsidP="003A45CF">
      <w:pPr>
        <w:pStyle w:val="SMText"/>
      </w:pPr>
    </w:p>
    <w:p w14:paraId="0DB3326E" w14:textId="542BF79C" w:rsidR="003A45CF" w:rsidRPr="005D5611" w:rsidRDefault="003A45CF" w:rsidP="003A45CF">
      <w:pPr>
        <w:pStyle w:val="SMText"/>
        <w:ind w:firstLine="0"/>
      </w:pPr>
      <w:r w:rsidRPr="005D5611">
        <w:rPr>
          <w:b/>
          <w:bCs/>
        </w:rPr>
        <w:t>S3.6 Meta populations across trophic levels -</w:t>
      </w:r>
      <w:r w:rsidRPr="005D5611">
        <w:t xml:space="preserve"> A meta-population of individual plants would have populations of herbivores and natural enemies on them </w:t>
      </w:r>
      <w:r w:rsidRPr="005D5611">
        <w:fldChar w:fldCharType="begin"/>
      </w:r>
      <w:r w:rsidR="002F5A10">
        <w:instrText xml:space="preserve"> ADDIN ZOTERO_ITEM CSL_CITATION {"citationID":"jM0hHfnw","properties":{"formattedCitation":"[128]","plainCitation":"[128]","noteIndex":0},"citationItems":[{"id":1481,"uris":["http://zotero.org/users/1272936/items/XIT475EC"],"uri":["http://zotero.org/users/1272936/items/XIT475EC"],"itemData":{"id":1481,"type":"article-journal","abstract":"The metapopulation dynamics of the African cassava food web is explored using a physiologically based tritrophic model. There are two major food webs that interact via the cassava plant. The first is that based on the host specific cassava mealybug (Phenacoccus manihoti) and its natural enemies (the exotic arrhenotokous parasitoids Apoanagyrus lopezi and A. diversicornis, the fungal pathogen Neozygites fumosa and native coccinellid beetles). The second is based on the host specific cassava green mite (Mononychellus tanajoa) and its two exotic predators, Typhlodromalus manihoti and Typhlodromalus aripo, and the fungal pathogen N. floridana. The metapopulation model is based on a single patch age-structured population dynamics model reported previously. The same model simulates the mass number dynamics of each plant or animal species in each patch and the movement of animals between patches. Movement is based on species specific supply-demand relations. The pathogen mortality rate is a simple function of rainfall intensity. The within-patch species composition, their initial densities, and the initial values of edaphic variables may be assigned stochastically. Sensitivity, graphical and multiple linear regression analyses are used to summarize the effects of spatial and resource heterogeneity on species dynamics. Important plant level effects on higher trophic levels are demonstrated, and recommendations are made as to the appropriate model for different ecological studies.","container-title":"Ecological Modelling","DOI":"10.1016/S0304-3800(99)00144-1","issue":"2/3","page":"225-242","title":"A physiologically-based tritrophic metapopulation model of the African cassava food web","volume":"123","author":[{"family":"Gutierrez","given":"A. P."},{"family":"Yaninek","given":"J. S."},{"family":"Neuenschwander","given":"P."},{"family":"Ellis","given":"C. K."}],"issued":{"date-parts":[["1999"]]}}}],"schema":"https://github.com/citation-style-language/schema/raw/master/csl-citation.json"} </w:instrText>
      </w:r>
      <w:r w:rsidRPr="005D5611">
        <w:fldChar w:fldCharType="separate"/>
      </w:r>
      <w:r w:rsidR="00C51ED3">
        <w:t>[128]</w:t>
      </w:r>
      <w:r w:rsidRPr="005D5611">
        <w:fldChar w:fldCharType="end"/>
      </w:r>
      <w:r w:rsidRPr="005D5611">
        <w:t>.</w:t>
      </w:r>
      <w:r w:rsidRPr="005D5611">
        <w:rPr>
          <w:i/>
        </w:rPr>
        <w:t xml:space="preserve"> </w:t>
      </w:r>
      <w:bookmarkEnd w:id="22"/>
      <w:r w:rsidRPr="005D5611">
        <w:t xml:space="preserve">While modeling a tri-trophic meta-population of plants is possible, modeling all individuals in higher tropic levels on each plant is impractical and the exercise quickly satisfies Crawley’s </w:t>
      </w:r>
      <w:r w:rsidRPr="005D5611">
        <w:fldChar w:fldCharType="begin"/>
      </w:r>
      <w:r w:rsidR="002F5A10">
        <w:instrText xml:space="preserve"> ADDIN ZOTERO_ITEM CSL_CITATION {"citationID":"fT1b29rL","properties":{"formattedCitation":"[129]","plainCitation":"[129]","noteIndex":0},"citationItems":[{"id":12052,"uris":["http://zotero.org/users/1272936/items/TVNT5DFM"],"uri":["http://zotero.org/users/1272936/items/TVNT5DFM"],"itemData":{"id":12052,"type":"chapter","abstract":"Proceedings of a NATO Advanced Research Workshop on model ecosystems and their changes, September 4-8, 1989, Maratea, Italy","collection-title":"NATO ASI Series (Series B: Physics)","container-title":"Global climate and ecosystem change","event-place":"Boston, Massachusetts, USA","ISBN":"978-1-4899-2485-8","note":"DOI: 10.1007/978-1-4899-2483-4_3","page":"141-164","publisher":"Springer","publisher-place":"Boston, Massachusetts, USA","source":"DOI.org (Crossref)","title":"The responses of terrestrial ecosystems to global climate change","URL":"https://doi.org/10.1007/978-1-4899-2483-4_3","volume":"240","editor":[{"family":"MacDonald","given":"Gordon J."},{"family":"Sertorio","given":"Luigi"}],"author":[{"family":"Crawley","given":"M."}],"accessed":{"date-parts":[["2019",7,4]]},"issued":{"date-parts":[["1990"]]}}}],"schema":"https://github.com/citation-style-language/schema/raw/master/csl-citation.json"} </w:instrText>
      </w:r>
      <w:r w:rsidRPr="005D5611">
        <w:fldChar w:fldCharType="separate"/>
      </w:r>
      <w:r w:rsidR="00C51ED3">
        <w:t>[129]</w:t>
      </w:r>
      <w:r w:rsidRPr="005D5611">
        <w:fldChar w:fldCharType="end"/>
      </w:r>
      <w:r w:rsidRPr="005D5611">
        <w:t xml:space="preserve"> admonitions against complexity; of quickly getting lost in the details and of likely meeting computational constraints. A feasible way to circumvent these constraints is to model a meta-population of plants using the </w:t>
      </w:r>
      <w:r w:rsidRPr="005D5611">
        <w:rPr>
          <w:i/>
        </w:rPr>
        <w:t>PBDM</w:t>
      </w:r>
      <w:r w:rsidRPr="005D5611">
        <w:t xml:space="preserve"> paradigm (see above) and then use simplified mechanistic population models of higher trophic levels based on </w:t>
      </w:r>
      <w:r w:rsidRPr="005D5611">
        <w:rPr>
          <w:i/>
        </w:rPr>
        <w:t>bio-demographic functions</w:t>
      </w:r>
      <w:r w:rsidRPr="005D5611">
        <w:t xml:space="preserve"> (see next section). An example of this approach is the meta-population model of the West African cassava system consisting of cassava mealybug, two parasitoids and a coccinellid predator, and cassava green mite and two predators </w:t>
      </w:r>
      <w:r w:rsidRPr="005D5611">
        <w:fldChar w:fldCharType="begin"/>
      </w:r>
      <w:r w:rsidR="002F5A10">
        <w:instrText xml:space="preserve"> ADDIN ZOTERO_ITEM CSL_CITATION {"citationID":"qbvH1Y5f","properties":{"formattedCitation":"[128]","plainCitation":"[128]","noteIndex":0},"citationItems":[{"id":1481,"uris":["http://zotero.org/users/1272936/items/XIT475EC"],"uri":["http://zotero.org/users/1272936/items/XIT475EC"],"itemData":{"id":1481,"type":"article-journal","abstract":"The metapopulation dynamics of the African cassava food web is explored using a physiologically based tritrophic model. There are two major food webs that interact via the cassava plant. The first is that based on the host specific cassava mealybug (Phenacoccus manihoti) and its natural enemies (the exotic arrhenotokous parasitoids Apoanagyrus lopezi and A. diversicornis, the fungal pathogen Neozygites fumosa and native coccinellid beetles). The second is based on the host specific cassava green mite (Mononychellus tanajoa) and its two exotic predators, Typhlodromalus manihoti and Typhlodromalus aripo, and the fungal pathogen N. floridana. The metapopulation model is based on a single patch age-structured population dynamics model reported previously. The same model simulates the mass number dynamics of each plant or animal species in each patch and the movement of animals between patches. Movement is based on species specific supply-demand relations. The pathogen mortality rate is a simple function of rainfall intensity. The within-patch species composition, their initial densities, and the initial values of edaphic variables may be assigned stochastically. Sensitivity, graphical and multiple linear regression analyses are used to summarize the effects of spatial and resource heterogeneity on species dynamics. Important plant level effects on higher trophic levels are demonstrated, and recommendations are made as to the appropriate model for different ecological studies.","container-title":"Ecological Modelling","DOI":"10.1016/S0304-3800(99)00144-1","issue":"2/3","page":"225-242","title":"A physiologically-based tritrophic metapopulation model of the African cassava food web","volume":"123","author":[{"family":"Gutierrez","given":"A. P."},{"family":"Yaninek","given":"J. S."},{"family":"Neuenschwander","given":"P."},{"family":"Ellis","given":"C. K."}],"issued":{"date-parts":[["1999"]]}}}],"schema":"https://github.com/citation-style-language/schema/raw/master/csl-citation.json"} </w:instrText>
      </w:r>
      <w:r w:rsidRPr="005D5611">
        <w:fldChar w:fldCharType="separate"/>
      </w:r>
      <w:r w:rsidR="00C51ED3">
        <w:t>[128]</w:t>
      </w:r>
      <w:r w:rsidRPr="005D5611">
        <w:fldChar w:fldCharType="end"/>
      </w:r>
      <w:r w:rsidRPr="005D5611">
        <w:t xml:space="preserve">. A major unresolved problem in multi-trophic meta-population studies are the rules for net movement of the arthropod species </w:t>
      </w:r>
      <w:r w:rsidRPr="005D5611">
        <w:fldChar w:fldCharType="begin"/>
      </w:r>
      <w:r w:rsidR="00FF3F09">
        <w:instrText xml:space="preserve"> ADDIN ZOTERO_ITEM CSL_CITATION {"citationID":"anmpfa07cq","properties":{"formattedCitation":"[128]","plainCitation":"[128]","noteIndex":0},"citationItems":[{"id":1481,"uris":["http://zotero.org/users/1272936/items/XIT475EC"],"uri":["http://zotero.org/users/1272936/items/XIT475EC"],"itemData":{"id":1481,"type":"article-journal","abstract":"The metapopulation dynamics of the African cassava food web is explored using a physiologically based tritrophic model. There are two major food webs that interact via the cassava plant. The first is that based on the host specific cassava mealybug (Phenacoccus manihoti) and its natural enemies (the exotic arrhenotokous parasitoids Apoanagyrus lopezi and A. diversicornis, the fungal pathogen Neozygites fumosa and native coccinellid beetles). The second is based on the host specific cassava green mite (Mononychellus tanajoa) and its two exotic predators, Typhlodromalus manihoti and Typhlodromalus aripo, and the fungal pathogen N. floridana. The metapopulation model is based on a single patch age-structured population dynamics model reported previously. The same model simulates the mass number dynamics of each plant or animal species in each patch and the movement of animals between patches. Movement is based on species specific supply-demand relations. The pathogen mortality rate is a simple function of rainfall intensity. The within-patch species composition, their initial densities, and the initial values of edaphic variables may be assigned stochastically. Sensitivity, graphical and multiple linear regression analyses are used to summarize the effects of spatial and resource heterogeneity on species dynamics. Important plant level effects on higher trophic levels are demonstrated, and recommendations are made as to the appropriate model for different ecological studies.","container-title":"Ecological Modelling","DOI":"10.1016/S0304-3800(99)00144-1","issue":"2/3","page":"225-242","title":"A physiologically-based tritrophic metapopulation model of the African cassava food web","volume":"123","author":[{"family":"Gutierrez","given":"A. P."},{"family":"Yaninek","given":"J. S."},{"family":"Neuenschwander","given":"P."},{"family":"Ellis","given":"C. K."}],"issued":{"date-parts":[["1999"]]}}}],"schema":"https://github.com/citation-style-language/schema/raw/master/csl-citation.json"} </w:instrText>
      </w:r>
      <w:r w:rsidRPr="005D5611">
        <w:fldChar w:fldCharType="separate"/>
      </w:r>
      <w:r w:rsidR="00C51ED3">
        <w:t>[128]</w:t>
      </w:r>
      <w:r w:rsidRPr="005D5611">
        <w:fldChar w:fldCharType="end"/>
      </w:r>
      <w:r w:rsidRPr="005D5611">
        <w:t>. In the cassava food web example, the success in resource acquisition of each species as measured by their S/D ratio on a specific plant is assumed to influence their net migration rates. However, while the meta-population system enabled estimating daily averages and variance for each of the interacting plants in the populations, the average patterns are similar to those of the canopy version of the model and contributed little to deeper understanding of the ecology of the cassava system.</w:t>
      </w:r>
      <w:bookmarkStart w:id="24" w:name="_Toc15650841"/>
      <w:bookmarkStart w:id="25" w:name="_Hlk518367994"/>
    </w:p>
    <w:p w14:paraId="2EA24FC6" w14:textId="77777777" w:rsidR="003A45CF" w:rsidRPr="005D5611" w:rsidRDefault="003A45CF" w:rsidP="003A45CF">
      <w:pPr>
        <w:pStyle w:val="SMText"/>
        <w:ind w:firstLine="0"/>
      </w:pPr>
    </w:p>
    <w:p w14:paraId="23DB200B" w14:textId="77777777" w:rsidR="003A45CF" w:rsidRPr="00395E09" w:rsidRDefault="003A45CF" w:rsidP="00395E09">
      <w:pPr>
        <w:pStyle w:val="SMText"/>
        <w:spacing w:line="360" w:lineRule="auto"/>
        <w:ind w:firstLine="0"/>
        <w:rPr>
          <w:sz w:val="28"/>
          <w:szCs w:val="28"/>
          <w:u w:val="words"/>
        </w:rPr>
      </w:pPr>
      <w:r w:rsidRPr="00395E09">
        <w:rPr>
          <w:sz w:val="28"/>
          <w:szCs w:val="28"/>
          <w:u w:val="words"/>
        </w:rPr>
        <w:t>S4 Simplifying PBDM development using biodemographic functions (BDFs)</w:t>
      </w:r>
      <w:bookmarkEnd w:id="24"/>
      <w:r w:rsidRPr="00395E09">
        <w:rPr>
          <w:sz w:val="28"/>
          <w:szCs w:val="28"/>
          <w:u w:val="words"/>
        </w:rPr>
        <w:t xml:space="preserve"> </w:t>
      </w:r>
      <w:bookmarkEnd w:id="25"/>
    </w:p>
    <w:p w14:paraId="286919EB" w14:textId="77777777" w:rsidR="003A45CF" w:rsidRPr="005D5611" w:rsidRDefault="003A45CF" w:rsidP="003A45CF">
      <w:pPr>
        <w:pStyle w:val="SMText"/>
        <w:ind w:firstLine="0"/>
        <w:rPr>
          <w:rFonts w:eastAsiaTheme="minorHAnsi"/>
          <w:b/>
          <w:i/>
        </w:rPr>
      </w:pPr>
      <w:r w:rsidRPr="005D5611">
        <w:rPr>
          <w:noProof/>
        </w:rPr>
        <w:t>Similar biodemographic functions (</w:t>
      </w:r>
      <w:r w:rsidRPr="005D5611">
        <w:rPr>
          <w:i/>
          <w:iCs/>
          <w:noProof/>
        </w:rPr>
        <w:t>BDFs</w:t>
      </w:r>
      <w:r w:rsidRPr="005D5611">
        <w:rPr>
          <w:noProof/>
        </w:rPr>
        <w:t>) can be derived that occur across different levels of</w:t>
      </w:r>
      <w:r w:rsidRPr="005D5611">
        <w:rPr>
          <w:i/>
          <w:noProof/>
        </w:rPr>
        <w:t xml:space="preserve"> </w:t>
      </w:r>
      <w:r w:rsidRPr="005D5611">
        <w:rPr>
          <w:noProof/>
        </w:rPr>
        <w:t xml:space="preserve">biological organization (Fig. S8), and these can be used to simplify and yet enrich </w:t>
      </w:r>
      <w:r w:rsidRPr="005D5611">
        <w:rPr>
          <w:i/>
          <w:noProof/>
        </w:rPr>
        <w:t>PBDM</w:t>
      </w:r>
      <w:r w:rsidRPr="005D5611">
        <w:rPr>
          <w:noProof/>
        </w:rPr>
        <w:t xml:space="preserve">s. Among the </w:t>
      </w:r>
      <w:r w:rsidRPr="005D5611">
        <w:rPr>
          <w:i/>
          <w:noProof/>
        </w:rPr>
        <w:t>BDFs</w:t>
      </w:r>
      <w:r w:rsidRPr="005D5611">
        <w:rPr>
          <w:noProof/>
        </w:rPr>
        <w:t xml:space="preserve"> are: </w:t>
      </w:r>
      <w:r w:rsidRPr="005D5611">
        <w:rPr>
          <w:rFonts w:eastAsiaTheme="minorHAnsi"/>
        </w:rPr>
        <w:t>temperature dependent developmental rates, resource acquisition functions (functional response)</w:t>
      </w:r>
      <w:bookmarkStart w:id="26" w:name="_Hlk518368007"/>
      <w:r w:rsidRPr="005D5611">
        <w:rPr>
          <w:rFonts w:eastAsiaTheme="minorHAnsi"/>
        </w:rPr>
        <w:t>, per capita reproductive profiles and, mortality rates. Dormancy may occur in any trophic level, but the cues may vary widely.</w:t>
      </w:r>
      <w:r w:rsidRPr="005D5611">
        <w:rPr>
          <w:rFonts w:eastAsiaTheme="minorHAnsi"/>
          <w:b/>
        </w:rPr>
        <w:t xml:space="preserve"> </w:t>
      </w:r>
      <w:r w:rsidRPr="005D5611">
        <w:rPr>
          <w:rFonts w:eastAsiaTheme="minorHAnsi"/>
        </w:rPr>
        <w:t xml:space="preserve">Many of the </w:t>
      </w:r>
      <w:r w:rsidRPr="005D5611">
        <w:rPr>
          <w:rFonts w:eastAsiaTheme="minorHAnsi"/>
          <w:i/>
          <w:iCs/>
        </w:rPr>
        <w:t>BDF</w:t>
      </w:r>
      <w:r w:rsidRPr="005D5611">
        <w:rPr>
          <w:rFonts w:eastAsiaTheme="minorHAnsi"/>
        </w:rPr>
        <w:t>s may also be used in metabolic pool-based models (</w:t>
      </w:r>
      <w:r w:rsidRPr="005D5611">
        <w:rPr>
          <w:rFonts w:eastAsiaTheme="minorHAnsi"/>
          <w:i/>
        </w:rPr>
        <w:t>PBDM/MP</w:t>
      </w:r>
      <w:r w:rsidRPr="005D5611">
        <w:rPr>
          <w:rFonts w:eastAsiaTheme="minorHAnsi"/>
        </w:rPr>
        <w:t>).</w:t>
      </w:r>
      <w:r w:rsidRPr="005D5611">
        <w:rPr>
          <w:rFonts w:eastAsiaTheme="minorHAnsi"/>
          <w:b/>
          <w:i/>
        </w:rPr>
        <w:t xml:space="preserve"> </w:t>
      </w:r>
    </w:p>
    <w:p w14:paraId="631410A1" w14:textId="77777777" w:rsidR="003A45CF" w:rsidRPr="005D5611" w:rsidRDefault="003A45CF" w:rsidP="003A45CF">
      <w:pPr>
        <w:pStyle w:val="SMText"/>
        <w:rPr>
          <w:rFonts w:eastAsiaTheme="minorHAnsi"/>
          <w:b/>
        </w:rPr>
      </w:pPr>
    </w:p>
    <w:p w14:paraId="13CEDC8A" w14:textId="77777777" w:rsidR="003A45CF" w:rsidRPr="005D5611" w:rsidRDefault="003A45CF" w:rsidP="003A45CF">
      <w:pPr>
        <w:pStyle w:val="SMcaption"/>
        <w:rPr>
          <w:rFonts w:eastAsiaTheme="minorHAnsi"/>
        </w:rPr>
      </w:pPr>
      <w:r w:rsidRPr="005D5611">
        <w:rPr>
          <w:noProof/>
        </w:rPr>
        <w:drawing>
          <wp:inline distT="0" distB="0" distL="0" distR="0" wp14:anchorId="53A2E9B6" wp14:editId="2BECCFD3">
            <wp:extent cx="5458467" cy="4212236"/>
            <wp:effectExtent l="0" t="0" r="254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619751" cy="4336697"/>
                    </a:xfrm>
                    <a:prstGeom prst="rect">
                      <a:avLst/>
                    </a:prstGeom>
                  </pic:spPr>
                </pic:pic>
              </a:graphicData>
            </a:graphic>
          </wp:inline>
        </w:drawing>
      </w:r>
    </w:p>
    <w:p w14:paraId="01EF4AC4" w14:textId="15397604" w:rsidR="003A45CF" w:rsidRPr="005D5611" w:rsidRDefault="003A45CF" w:rsidP="003A45CF">
      <w:pPr>
        <w:pStyle w:val="SMcaption"/>
        <w:rPr>
          <w:rFonts w:eastAsiaTheme="minorHAnsi"/>
        </w:rPr>
      </w:pPr>
      <w:r w:rsidRPr="005D5611">
        <w:rPr>
          <w:rFonts w:eastAsiaTheme="minorHAnsi"/>
          <w:b/>
        </w:rPr>
        <w:t>Fig. S8.</w:t>
      </w:r>
      <w:r w:rsidRPr="005D5611">
        <w:rPr>
          <w:rFonts w:eastAsiaTheme="minorHAnsi"/>
        </w:rPr>
        <w:t xml:space="preserve"> Generalized </w:t>
      </w:r>
      <w:r w:rsidRPr="005D5611">
        <w:rPr>
          <w:noProof/>
        </w:rPr>
        <w:t>biodemographic</w:t>
      </w:r>
      <w:r w:rsidRPr="005D5611">
        <w:rPr>
          <w:rFonts w:eastAsiaTheme="minorHAnsi"/>
        </w:rPr>
        <w:t xml:space="preserve"> functions used in the development of </w:t>
      </w:r>
      <w:r w:rsidRPr="005D5611">
        <w:rPr>
          <w:rFonts w:eastAsiaTheme="minorHAnsi"/>
          <w:i/>
        </w:rPr>
        <w:t>PBDM</w:t>
      </w:r>
      <w:r w:rsidRPr="005D5611">
        <w:rPr>
          <w:rFonts w:eastAsiaTheme="minorHAnsi"/>
        </w:rPr>
        <w:t xml:space="preserve">s (solid lines) with the dashed being the effects of other factors (see text): (a) type II functional response as modified by temperature, (b) rate of development on temperature as modified by nutrition (see c), (c) a scalar function for the effects of nutrition on the developmental rate, (d) oviposition profile on age at the optimum temperature, (e) scalar function of the effects of temperature on reproduction with nutrition effects being another potential factor, (f) the mortality rate on temperature as modified by say nutrition and relative humidity, (g) proportion of susceptible stages entering diapause (dormancy) as a function of day length, and (h) proportion of susceptible stages entering diapause (dormancy) as a function of day length and temperature (modified from </w:t>
      </w:r>
      <w:r w:rsidRPr="005D5611">
        <w:rPr>
          <w:rFonts w:eastAsiaTheme="minorHAnsi"/>
        </w:rPr>
        <w:fldChar w:fldCharType="begin"/>
      </w:r>
      <w:r w:rsidR="00FF3F09">
        <w:rPr>
          <w:rFonts w:eastAsiaTheme="minorHAnsi"/>
        </w:rPr>
        <w:instrText xml:space="preserve"> ADDIN ZOTERO_ITEM CSL_CITATION {"citationID":"XIsvHjnf","properties":{"formattedCitation":"[49]","plainCitation":"[49]","dontUpdate":true,"noteIndex":0},"citationItems":[{"id":13103,"uris":["http://zotero.org/users/1272936/items/JN3PF2PL"],"uri":["http://zotero.org/users/1272936/items/JN3PF2PL"],"itemData":{"id":13103,"type":"article-journal","abstract":"Published bi- and tri-trophic physiologically based demographic system models having similar sub components are used to assess prospectively the geographic distributions and relative abundance (a measure of invasiveness) of six invasive herbivorous insect species across the United States and Mexico. The plant hosts and insect species included in the study are: 1) cotton/pink bollworm, 2) a fruit tree host/Mediterranean fruit fly, 3) olive/olive fly, 4) a perennial host/light brown apple moth, 5) grapevine/glassy-winged sharpshooter and its two egg parasitoids, and 6) grapevine/European grapevine moth. All of these species are currently or have been targets for eradication. The goal of the analyses is to predict and explain prospectively the disparate distributions of the six species as a basis for examining eradication or containment efforts against them. The eradication of the new world screwworm is also reviewed in the discussion section because of its pivotal role in the development of the eradication paradigm. The models used are mechanistic descriptions of the weather driven biology of the species. Observed daily weather data (i.e., max-min temperatures, solar radiation) from 1,221 locations across the United States and Mexico for the period 1983-2003 were used to drive the models. Soil moisture and nutrition were assumed nonlimiting. The simulation results were mapped using GRASS GIS. The mathematical underpinnings of the modeling approach are reviewed in the appendix and in the supplemental materials.","container-title":"Environmental Entomology","DOI":"10.1603/EN12018","ISSN":"1938-2936 (Electronic) 0046-225X (Linking)","issue":"3","journalAbbreviation":"Environ. Entomol.","page":"395-411","title":"Eradication of invasive species: why the biology matters","volume":"42","author":[{"family":"Gutierrez","given":"A. P."},{"family":"Ponti","given":"L."}],"issued":{"date-parts":[["2013",6]]}}}],"schema":"https://github.com/citation-style-language/schema/raw/master/csl-citation.json"} </w:instrText>
      </w:r>
      <w:r w:rsidRPr="005D5611">
        <w:rPr>
          <w:rFonts w:eastAsiaTheme="minorHAnsi"/>
        </w:rPr>
        <w:fldChar w:fldCharType="separate"/>
      </w:r>
      <w:r w:rsidRPr="005D5611">
        <w:t>[43]</w:t>
      </w:r>
      <w:r w:rsidRPr="005D5611">
        <w:rPr>
          <w:rFonts w:eastAsiaTheme="minorHAnsi"/>
        </w:rPr>
        <w:fldChar w:fldCharType="end"/>
      </w:r>
      <w:r w:rsidRPr="005D5611">
        <w:rPr>
          <w:rFonts w:eastAsiaTheme="minorHAnsi"/>
        </w:rPr>
        <w:t>).</w:t>
      </w:r>
    </w:p>
    <w:p w14:paraId="5413F042" w14:textId="77777777" w:rsidR="003A45CF" w:rsidRPr="005D5611" w:rsidRDefault="003A45CF" w:rsidP="003A45CF">
      <w:pPr>
        <w:pStyle w:val="SMText"/>
        <w:rPr>
          <w:rFonts w:eastAsiaTheme="minorHAnsi"/>
        </w:rPr>
      </w:pPr>
    </w:p>
    <w:p w14:paraId="1BF4F085" w14:textId="34DF6405" w:rsidR="003A45CF" w:rsidRPr="005D5611" w:rsidRDefault="003A45CF" w:rsidP="003A45CF">
      <w:pPr>
        <w:pStyle w:val="SMText"/>
        <w:ind w:firstLine="0"/>
        <w:rPr>
          <w:rFonts w:eastAsiaTheme="minorHAnsi"/>
        </w:rPr>
      </w:pPr>
      <w:bookmarkStart w:id="27" w:name="_Toc15650842"/>
      <w:r w:rsidRPr="005D5611">
        <w:rPr>
          <w:b/>
        </w:rPr>
        <w:t>S4.1 Temperature dependent developmental rates</w:t>
      </w:r>
      <w:bookmarkEnd w:id="27"/>
      <w:r w:rsidRPr="005D5611">
        <w:rPr>
          <w:rFonts w:eastAsiaTheme="minorHAnsi"/>
        </w:rPr>
        <w:t xml:space="preserve"> – </w:t>
      </w:r>
      <w:bookmarkEnd w:id="26"/>
      <w:r w:rsidRPr="005D5611">
        <w:rPr>
          <w:rFonts w:eastAsiaTheme="minorHAnsi"/>
        </w:rPr>
        <w:t xml:space="preserve">Developmental rates in poikilotherm species varies with temperature </w:t>
      </w:r>
      <w:r w:rsidRPr="005D5611">
        <w:rPr>
          <w:rFonts w:eastAsiaTheme="minorHAnsi"/>
        </w:rPr>
        <w:fldChar w:fldCharType="begin"/>
      </w:r>
      <w:r w:rsidR="00FF3F09">
        <w:rPr>
          <w:rFonts w:eastAsiaTheme="minorHAnsi"/>
        </w:rPr>
        <w:instrText xml:space="preserve"> ADDIN ZOTERO_ITEM CSL_CITATION {"citationID":"aol0u8jk1c","properties":{"formattedCitation":"[130]","plainCitation":"[130]","noteIndex":0},"citationItems":[{"id":12293,"uris":["http://zotero.org/users/1272936/items/3CXDN8LB"],"uri":["http://zotero.org/users/1272936/items/3CXDN8LB"],"itemData":{"id":12293,"type":"book","abstract":"14","call-number":"ABV-7138","event-place":"Paris, France","language":"fre","number-of-pages":"780","publisher":"Librairie de Victor Masson","publisher-place":"Paris, France","source":"Internet Archive","title":"Géographie botanique raisonnée","URL":"http://archive.org/details/gographiebotan02canduoft","author":[{"family":"Candolle","given":"Alphonse","non-dropping-particle":"de"}],"accessed":{"date-parts":[["2019",8,2]]},"issued":{"date-parts":[["1855"]]}}}],"schema":"https://github.com/citation-style-language/schema/raw/master/csl-citation.json"} </w:instrText>
      </w:r>
      <w:r w:rsidRPr="005D5611">
        <w:rPr>
          <w:rFonts w:eastAsiaTheme="minorHAnsi"/>
        </w:rPr>
        <w:fldChar w:fldCharType="separate"/>
      </w:r>
      <w:r w:rsidR="00C51ED3">
        <w:t>[130]</w:t>
      </w:r>
      <w:r w:rsidRPr="005D5611">
        <w:rPr>
          <w:rFonts w:eastAsiaTheme="minorHAnsi"/>
        </w:rPr>
        <w:fldChar w:fldCharType="end"/>
      </w:r>
      <w:r w:rsidRPr="005D5611">
        <w:rPr>
          <w:rFonts w:eastAsiaTheme="minorHAnsi"/>
        </w:rPr>
        <w:t xml:space="preserve">. The time step in </w:t>
      </w:r>
      <w:r w:rsidRPr="005D5611">
        <w:rPr>
          <w:rFonts w:eastAsiaTheme="minorHAnsi"/>
          <w:i/>
        </w:rPr>
        <w:t>PBDMs</w:t>
      </w:r>
      <w:r w:rsidRPr="005D5611">
        <w:rPr>
          <w:rFonts w:eastAsiaTheme="minorHAnsi"/>
        </w:rPr>
        <w:t xml:space="preserve"> may be of any length, but for convenience we use a daily interval. In physiological time units, however, the time step may differ among species and in the field may vary considerably over time due to changes in temperature and other factors.</w:t>
      </w:r>
      <w:r w:rsidRPr="005D5611">
        <w:rPr>
          <w:rFonts w:eastAsiaTheme="minorHAnsi"/>
          <w:i/>
        </w:rPr>
        <w:t xml:space="preserve"> </w:t>
      </w:r>
      <w:r w:rsidRPr="005D5611">
        <w:rPr>
          <w:rFonts w:eastAsiaTheme="minorHAnsi"/>
        </w:rPr>
        <w:t xml:space="preserve">For example, the rate of development per day (as a proportion) at temperature </w:t>
      </w:r>
      <w:r w:rsidRPr="005D5611">
        <w:rPr>
          <w:rFonts w:eastAsiaTheme="minorHAnsi"/>
          <w:i/>
        </w:rPr>
        <w:t>T</w:t>
      </w:r>
      <w:r w:rsidRPr="005D5611">
        <w:rPr>
          <w:rFonts w:eastAsiaTheme="minorHAnsi"/>
        </w:rPr>
        <w:t xml:space="preserve"> and non-limiting resources is </w:t>
      </w:r>
      <w:r w:rsidRPr="005D5611">
        <w:rPr>
          <w:rFonts w:eastAsiaTheme="minorHAnsi"/>
          <w:i/>
        </w:rPr>
        <w:t>R(T)=1/x</w:t>
      </w:r>
      <w:r w:rsidRPr="005D5611">
        <w:rPr>
          <w:rFonts w:eastAsiaTheme="minorHAnsi"/>
          <w:i/>
          <w:vertAlign w:val="subscript"/>
        </w:rPr>
        <w:t>s</w:t>
      </w:r>
      <w:r w:rsidRPr="005D5611">
        <w:rPr>
          <w:rFonts w:eastAsiaTheme="minorHAnsi"/>
          <w:i/>
        </w:rPr>
        <w:t xml:space="preserve">(T), </w:t>
      </w:r>
      <w:r w:rsidRPr="005D5611">
        <w:rPr>
          <w:rFonts w:eastAsiaTheme="minorHAnsi"/>
        </w:rPr>
        <w:t xml:space="preserve">where </w:t>
      </w:r>
      <w:r w:rsidRPr="005D5611">
        <w:rPr>
          <w:rFonts w:eastAsiaTheme="minorHAnsi"/>
          <w:i/>
        </w:rPr>
        <w:t>x</w:t>
      </w:r>
      <w:r w:rsidRPr="005D5611">
        <w:rPr>
          <w:rFonts w:eastAsiaTheme="minorHAnsi"/>
          <w:i/>
          <w:vertAlign w:val="subscript"/>
        </w:rPr>
        <w:t>s</w:t>
      </w:r>
      <w:r w:rsidRPr="005D5611">
        <w:rPr>
          <w:rFonts w:eastAsiaTheme="minorHAnsi"/>
          <w:i/>
        </w:rPr>
        <w:t>(T)</w:t>
      </w:r>
      <w:r w:rsidRPr="005D5611">
        <w:rPr>
          <w:rFonts w:eastAsiaTheme="minorHAnsi"/>
        </w:rPr>
        <w:t xml:space="preserve"> is the average developmental time in days of the stage or species </w:t>
      </w:r>
      <w:r w:rsidRPr="005D5611">
        <w:rPr>
          <w:rFonts w:eastAsiaTheme="minorHAnsi"/>
          <w:i/>
        </w:rPr>
        <w:t>s</w:t>
      </w:r>
      <w:r w:rsidRPr="005D5611">
        <w:rPr>
          <w:rFonts w:eastAsiaTheme="minorHAnsi"/>
        </w:rPr>
        <w:t xml:space="preserve"> at temperature </w:t>
      </w:r>
      <w:r w:rsidRPr="005D5611">
        <w:rPr>
          <w:rFonts w:eastAsiaTheme="minorHAnsi"/>
          <w:i/>
        </w:rPr>
        <w:t xml:space="preserve">T </w:t>
      </w:r>
      <w:r w:rsidRPr="005D5611">
        <w:rPr>
          <w:rFonts w:eastAsiaTheme="minorHAnsi"/>
        </w:rPr>
        <w:t xml:space="preserve">(Fig. S8a). More complicated functions have been proposed to describe the relationship of </w:t>
      </w:r>
      <w:r w:rsidRPr="005D5611">
        <w:rPr>
          <w:rFonts w:eastAsiaTheme="minorHAnsi"/>
          <w:i/>
        </w:rPr>
        <w:t>R</w:t>
      </w:r>
      <w:r w:rsidRPr="005D5611">
        <w:rPr>
          <w:rFonts w:eastAsiaTheme="minorHAnsi"/>
          <w:i/>
          <w:vertAlign w:val="subscript"/>
        </w:rPr>
        <w:t>s</w:t>
      </w:r>
      <w:r w:rsidRPr="005D5611">
        <w:rPr>
          <w:rFonts w:eastAsiaTheme="minorHAnsi"/>
          <w:i/>
        </w:rPr>
        <w:t xml:space="preserve">(T) </w:t>
      </w:r>
      <w:r w:rsidRPr="005D5611">
        <w:rPr>
          <w:rFonts w:eastAsiaTheme="minorHAnsi"/>
        </w:rPr>
        <w:t xml:space="preserve">on temperature </w:t>
      </w:r>
      <w:r w:rsidRPr="005D5611">
        <w:rPr>
          <w:rFonts w:eastAsiaTheme="minorHAnsi"/>
        </w:rPr>
        <w:fldChar w:fldCharType="begin"/>
      </w:r>
      <w:r w:rsidR="00FF3F09">
        <w:rPr>
          <w:rFonts w:eastAsiaTheme="minorHAnsi"/>
        </w:rPr>
        <w:instrText xml:space="preserve"> ADDIN ZOTERO_ITEM CSL_CITATION {"citationID":"a1ueiof1tld","properties":{"formattedCitation":"[131\\uc0\\u8211{}135]","plainCitation":"[131–135]","noteIndex":0},"citationItems":[{"id":1519,"uris":["http://zotero.org/users/1272936/items/WF7FZETU"],"uri":["http://zotero.org/users/1272936/items/WF7FZETU"],"itemData":{"id":1519,"type":"article-journal","abstract":"With the current advances in the modelling of insect populations, the need for more accurate simulation of temperature-dependent growth rates has increased. The day-degree concept, and its linear temperature-rate relation [cf. RAE/A 23, p.296, etc.] is shown to be inadequate for the simulation of field populations under highly variable temperature conditions, data for Trichoplusia ni (Hb.) so far not published being used. Similarly, the non-linear relations proposed by E. Janisch (catenary) (cf. 14, 501] and W.P. Eubank, J.W. Atmar &amp; J.J. Ellington (parabolic) [62, 1280] are also inadequate. All these relations produce large errors at temperature extremes. The authors describe an algorithm for a sigmoid function that can be used in simulations having either a calender or a physiological time base and demonstrate its validity in comparison with the other three relations, using the data for T. ni for the day-degree relation, P.S. Messenger's data on Therioaphis trifolii (Monell) (maculata (Buckt.)) [cf. 52, p.220] for Janisch's catenary curve as modified by Messenger &amp; Flitters [cf. 48, p.515] and data on eggs of Heliothis zea (Boddie) [cf. 51, p.264] for the parabolic relation.","container-title":"Canadian Entomologist","issue":"5","page":"519-524","title":"An algorithm for temperature-dependent growth rate simulation","volume":"106","author":[{"family":"Stinner","given":"R. E."},{"family":"Gutierrez","given":"A. P."},{"family":"Butler","given":"G. D."}],"issued":{"date-parts":[["1974"]]}}},{"id":12294,"uris":["http://zotero.org/users/1272936/items/QCVVSANU"],"uri":["http://zotero.org/users/1272936/items/QCVVSANU"],"itemData":{"id":12294,"type":"article-journal","abstract":"Abstract.   A new description of temperature-dependent, rate phenomena was deduced to describe developmental time and ovipositional data for the McDaniel spider","container-title":"Environmental Entomology","DOI":"10.1093/ee/5.6.1133","ISSN":"0046-225X","issue":"6","journalAbbreviation":"Environ Entomol","language":"en","page":"1133-1140","source":"academic.oup.com","title":"An analytic model for description of temperature dependent rate phenomena in arthropods","volume":"5","author":[{"family":"Logan","given":"J. A."},{"family":"Wollkind","given":"D. J."},{"family":"Hoyt","given":"S. C."},{"family":"Tanigoshi","given":"L. K."}],"issued":{"date-parts":[["1976",12,1]]}}},{"id":12298,"uris":["http://zotero.org/users/1272936/items/ZPJVSXSC"],"uri":["http://zotero.org/users/1272936/items/ZPJVSXSC"],"itemData":{"id":12298,"type":"article-journal","abstract":"A stochastic thermodynamic model of poikilotherm development has been derived from the Eyring equation assuming multiple activity states of the underlying developmental control enzymes. This analysis brings together into a general model the day-degrees concept and the Arrhenius hypothesis as interpreted by Eyring. The compensating effect of enzyme inactivation at high and low temperatures incorporated into the model has the following consequences. 1.(i) It demonstrates the validity of the linear approximation (day-degree concept) in the mid-temperature region for some organisms.2.(ii) It effectively establishes a low-temperature threshold for development.3.(iii) It reduces the rate of development at higher temperatures, thereby establishing both an optimum and upper threshold for development. The resulting equation has been found applicable to a wide range of organisms.","container-title":"Journal of Theoretical Biology","DOI":"10.1016/0022-5193(77)90265-X","ISSN":"0022-5193","issue":"4","journalAbbreviation":"Journal of Theoretical Biology","page":"649-670","source":"ScienceDirect","title":"Reaction kinetics of poikilotherm development","volume":"64","author":[{"family":"Sharpe","given":"Peter J. H."},{"family":"DeMichele","given":"Don W."}],"issued":{"date-parts":[["1977",2,21]]}}},{"id":952,"uris":["http://zotero.org/users/1272936/items/QHG4IAME"],"uri":["http://zotero.org/users/1272936/items/QHG4IAME"],"itemData":{"id":952,"type":"article-journal","container-title":"Environmental Entomology","DOI":"10.1093/ee/24.1.68","page":"68-75","title":"Improved rate model of temperature-dependent development by arthropods","volume":"24","author":[{"family":"Lactin","given":"D. J."},{"family":"Holliday","given":"N. J."},{"family":"Johnson","given":"D. L."},{"family":"Craigen","given":"R."}],"issued":{"date-parts":[["1995"]]}}},{"id":101,"uris":["http://zotero.org/users/1272936/items/JFFPN3GK"],"uri":["http://zotero.org/users/1272936/items/JFFPN3GK"],"itemData":{"id":101,"type":"article-journal","container-title":"Annals of the Entomological Society of America","DOI":"10.1093/aesa/saw098","ISSN":"0013-8746, 1938-2901","issue":"3","language":"en","page":"302-309","source":"CrossRef","title":"Empirical model with excellent statistical properties for describing temperature-dependent developmental rates of insects and mites","volume":"110","author":[{"family":"Ratkowsky","given":"David A."},{"family":"Reddy","given":"Gadi V. P."}],"issued":{"date-parts":[["2017",5]]}}}],"schema":"https://github.com/citation-style-language/schema/raw/master/csl-citation.json"} </w:instrText>
      </w:r>
      <w:r w:rsidRPr="005D5611">
        <w:rPr>
          <w:rFonts w:eastAsiaTheme="minorHAnsi"/>
        </w:rPr>
        <w:fldChar w:fldCharType="separate"/>
      </w:r>
      <w:r w:rsidR="00C51ED3" w:rsidRPr="00C51ED3">
        <w:t>[131–135]</w:t>
      </w:r>
      <w:r w:rsidRPr="005D5611">
        <w:rPr>
          <w:rFonts w:eastAsiaTheme="minorHAnsi"/>
        </w:rPr>
        <w:fldChar w:fldCharType="end"/>
      </w:r>
      <w:r w:rsidRPr="005D5611">
        <w:rPr>
          <w:rFonts w:eastAsiaTheme="minorHAnsi"/>
        </w:rPr>
        <w:t xml:space="preserve">, but often the available data are unreliable or simply unavailable at the extremes of temperature that are marginally suitable for development. Here we take a simpler approach modified after </w:t>
      </w:r>
      <w:bookmarkStart w:id="28" w:name="_Hlk530132690"/>
      <w:r w:rsidRPr="005D5611">
        <w:rPr>
          <w:color w:val="000000"/>
        </w:rPr>
        <w:t>Brière</w:t>
      </w:r>
      <w:r w:rsidRPr="005D5611">
        <w:rPr>
          <w:i/>
          <w:color w:val="000000"/>
        </w:rPr>
        <w:t xml:space="preserve"> et al</w:t>
      </w:r>
      <w:r w:rsidRPr="005D5611">
        <w:rPr>
          <w:color w:val="000000"/>
        </w:rPr>
        <w:t xml:space="preserve">. </w:t>
      </w:r>
      <w:r w:rsidRPr="005D5611">
        <w:rPr>
          <w:color w:val="000000"/>
        </w:rPr>
        <w:fldChar w:fldCharType="begin"/>
      </w:r>
      <w:r w:rsidR="00FF3F09">
        <w:rPr>
          <w:color w:val="000000"/>
        </w:rPr>
        <w:instrText xml:space="preserve"> ADDIN ZOTERO_ITEM CSL_CITATION {"citationID":"a53dua59kd","properties":{"formattedCitation":"[136]","plainCitation":"[136]","noteIndex":0},"citationItems":[{"id":13085,"uris":["http://zotero.org/users/1272936/items/KLFEP4HH"],"uri":["http://zotero.org/users/1272936/items/KLFEP4HH"],"itemData":{"id":13085,"type":"article-journal","abstract":"Two novel and simple mathematical models of arthropod temperature-dependent development are proposed. These models are easy to use and have 3 (equation 1) and 4 (equation 2) ecologically meaningful parameters, respectively. Each parameter can be estimated using nonlinear regression. These models were used to compare developmental rates at constant temperatures for our experiments on Lobesia botrana (Dennis &amp; Schiffermuller) and for data from 6 insect species described (a total of 13 stages). In all cases, we obtained an accurate nonlinear description of the rate of development against temperature given by the adjusted R-2 (Kvalseth, 1985). The adjusted R-2 calculated extended from 0.86 to 0.99 and were identical for our equations 1 and 2. In all cases, equation 2 provided the lowest residual sums of squares. The models gave upper T-1 and lower T-0 temperature threshold estimations, and the estimations obtained were better by using equation 1 rather equation 2. Confidence intervals for each parameter were given and a comparison between estimated and observed temperature thresholds were presented.","container-title":"Environmental Entomology","DOI":"10.1093/ee/28.1.22","ISSN":"0046-225x","issue":"1","journalAbbreviation":"Environ. Entomol.","language":"English","page":"22-29","title":"A novel rate model of temperature-dependent development for arthropods","volume":"28","author":[{"family":"Briére","given":"J. F."},{"family":"Pracros","given":"P."},{"family":"Le Roux","given":"A. Y."},{"family":"Pierre","given":"J. S."}],"issued":{"date-parts":[["1999",2]]}}}],"schema":"https://github.com/citation-style-language/schema/raw/master/csl-citation.json"} </w:instrText>
      </w:r>
      <w:r w:rsidRPr="005D5611">
        <w:rPr>
          <w:color w:val="000000"/>
        </w:rPr>
        <w:fldChar w:fldCharType="separate"/>
      </w:r>
      <w:r w:rsidR="00C51ED3">
        <w:rPr>
          <w:color w:val="000000"/>
        </w:rPr>
        <w:t>[136]</w:t>
      </w:r>
      <w:r w:rsidRPr="005D5611">
        <w:rPr>
          <w:color w:val="000000"/>
        </w:rPr>
        <w:fldChar w:fldCharType="end"/>
      </w:r>
      <w:r w:rsidRPr="005D5611">
        <w:rPr>
          <w:color w:val="000000"/>
        </w:rPr>
        <w:t xml:space="preserve"> </w:t>
      </w:r>
      <w:bookmarkEnd w:id="28"/>
      <w:r w:rsidRPr="005D5611">
        <w:rPr>
          <w:color w:val="000000"/>
        </w:rPr>
        <w:t>where</w:t>
      </w:r>
      <w:r w:rsidRPr="005D5611">
        <w:rPr>
          <w:rFonts w:eastAsiaTheme="minorHAnsi"/>
        </w:rPr>
        <w:t xml:space="preserve"> the developmental rate function (eqn. S11) characterizes the lower (</w:t>
      </w:r>
      <w:r w:rsidR="00947966" w:rsidRPr="005D5611">
        <w:rPr>
          <w:noProof/>
          <w:position w:val="-12"/>
        </w:rPr>
        <w:object w:dxaOrig="240" w:dyaOrig="360" w14:anchorId="4637C185">
          <v:shape id="_x0000_i1055" type="#_x0000_t75" alt="" style="width:13.45pt;height:18.75pt;mso-width-percent:0;mso-height-percent:0;mso-width-percent:0;mso-height-percent:0" o:ole="">
            <v:imagedata r:id="rId78" o:title=""/>
          </v:shape>
          <o:OLEObject Type="Embed" ProgID="Equation.DSMT4" ShapeID="_x0000_i1055" DrawAspect="Content" ObjectID="_1662177464" r:id="rId79"/>
        </w:object>
      </w:r>
      <w:r w:rsidRPr="005D5611">
        <w:rPr>
          <w:rFonts w:eastAsiaTheme="minorHAnsi"/>
        </w:rPr>
        <w:t>) and the approximate upper thermal (</w:t>
      </w:r>
      <w:r w:rsidR="00947966" w:rsidRPr="005D5611">
        <w:rPr>
          <w:noProof/>
          <w:position w:val="-12"/>
        </w:rPr>
        <w:object w:dxaOrig="260" w:dyaOrig="360" w14:anchorId="60FB0812">
          <v:shape id="_x0000_i1056" type="#_x0000_t75" alt="" style="width:13.45pt;height:18.75pt;mso-width-percent:0;mso-height-percent:0;mso-width-percent:0;mso-height-percent:0" o:ole="">
            <v:imagedata r:id="rId80" o:title=""/>
          </v:shape>
          <o:OLEObject Type="Embed" ProgID="Equation.DSMT4" ShapeID="_x0000_i1056" DrawAspect="Content" ObjectID="_1662177465" r:id="rId81"/>
        </w:object>
      </w:r>
      <w:r w:rsidRPr="005D5611">
        <w:rPr>
          <w:rFonts w:eastAsiaTheme="minorHAnsi"/>
        </w:rPr>
        <w:t xml:space="preserve">) thresholds for development, and b and c are fitted constants (Fig. S8a). </w:t>
      </w:r>
    </w:p>
    <w:p w14:paraId="1EBBCEF2" w14:textId="77777777" w:rsidR="003A45CF" w:rsidRPr="005D5611" w:rsidRDefault="00947966" w:rsidP="003A45CF">
      <w:pPr>
        <w:pStyle w:val="SMText"/>
        <w:rPr>
          <w:color w:val="000000"/>
        </w:rPr>
      </w:pPr>
      <w:r w:rsidRPr="005D5611">
        <w:rPr>
          <w:noProof/>
          <w:color w:val="000000"/>
          <w:position w:val="-24"/>
        </w:rPr>
        <w:object w:dxaOrig="2900" w:dyaOrig="639" w14:anchorId="2BEA4C2A">
          <v:shape id="_x0000_i1057" type="#_x0000_t75" alt="" style="width:144.6pt;height:31pt;mso-width-percent:0;mso-height-percent:0;mso-width-percent:0;mso-height-percent:0" o:ole="">
            <v:imagedata r:id="rId82" o:title=""/>
          </v:shape>
          <o:OLEObject Type="Embed" ProgID="Equation.DSMT4" ShapeID="_x0000_i1057" DrawAspect="Content" ObjectID="_1662177466" r:id="rId83"/>
        </w:object>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t>(S11)</w:t>
      </w:r>
    </w:p>
    <w:p w14:paraId="25FEEF56" w14:textId="77777777" w:rsidR="003A45CF" w:rsidRPr="005D5611" w:rsidRDefault="003A45CF" w:rsidP="003A45CF">
      <w:pPr>
        <w:pStyle w:val="SMText"/>
        <w:rPr>
          <w:rFonts w:eastAsiaTheme="minorHAnsi"/>
        </w:rPr>
      </w:pPr>
      <w:r w:rsidRPr="005D5611">
        <w:rPr>
          <w:rFonts w:eastAsiaTheme="minorHAnsi"/>
        </w:rPr>
        <w:t>Nutrition (</w:t>
      </w:r>
      <w:r w:rsidR="00947966" w:rsidRPr="005D5611">
        <w:rPr>
          <w:noProof/>
          <w:position w:val="-10"/>
        </w:rPr>
        <w:object w:dxaOrig="200" w:dyaOrig="260" w14:anchorId="130BB81A">
          <v:shape id="_x0000_i1058" type="#_x0000_t75" alt="" style="width:11.7pt;height:13.45pt;mso-width-percent:0;mso-height-percent:0;mso-width-percent:0;mso-height-percent:0" o:ole="">
            <v:imagedata r:id="rId84" o:title=""/>
          </v:shape>
          <o:OLEObject Type="Embed" ProgID="Equation.DSMT4" ShapeID="_x0000_i1058" DrawAspect="Content" ObjectID="_1662177467" r:id="rId85"/>
        </w:object>
      </w:r>
      <w:r w:rsidRPr="005D5611">
        <w:rPr>
          <w:rFonts w:eastAsiaTheme="minorHAnsi"/>
        </w:rPr>
        <w:t>)</w:t>
      </w:r>
      <w:r w:rsidRPr="005D5611">
        <w:t xml:space="preserve"> </w:t>
      </w:r>
      <w:r w:rsidRPr="005D5611">
        <w:rPr>
          <w:rFonts w:eastAsiaTheme="minorHAnsi"/>
        </w:rPr>
        <w:t>and other factors (e.g., relative humidity (</w:t>
      </w:r>
      <w:r w:rsidRPr="005D5611">
        <w:rPr>
          <w:rFonts w:eastAsiaTheme="minorHAnsi"/>
          <w:i/>
        </w:rPr>
        <w:t>RH</w:t>
      </w:r>
      <w:r w:rsidRPr="005D5611">
        <w:rPr>
          <w:rFonts w:eastAsiaTheme="minorHAnsi"/>
        </w:rPr>
        <w:t xml:space="preserve">)) may affect the developmental rate and the thermal thresholds as well (see </w:t>
      </w:r>
      <w:r w:rsidRPr="005D5611">
        <w:rPr>
          <w:rFonts w:eastAsiaTheme="minorHAnsi"/>
        </w:rPr>
        <w:fldChar w:fldCharType="begin"/>
      </w:r>
      <w:r>
        <w:rPr>
          <w:rFonts w:eastAsiaTheme="minorHAnsi"/>
        </w:rPr>
        <w:instrText xml:space="preserve"> ADDIN ZOTERO_ITEM CSL_CITATION {"citationID":"39YinkAQ","properties":{"formattedCitation":"[138, 139]","plainCitation":"[138, 139]","dontUpdate":true,"noteIndex":0},"citationItems":[{"id":4639,"uris":["http://zotero.org/users/1272936/items/CRAV8GK4"],"uri":["http://zotero.org/users/1272936/items/CRAV8GK4"],"itemData":{"id":4639,"type":"article-journal","abstract":"The grapevine moth Lobesia botrana (Den. &amp; Schiff.) (Lepidoptera: Tortricidae) is the principal native pest of grape in the Palearctic region. In the present study, we assessed prospectively the relative abundance of the moth in Europe and the Mediterranean Basin using linked physiologically-based demographic models for grape and L. botrana. The model includes the effects of temperature, day-length and fruit stage on moth development rates, survival and fecundity. Daily weather data for 1980–2010 were used to simulate the dynamics of grapevine and L. botrana in 4506 lattice cells across the region. Average grape yield and pupae per vine were used as metrics of favourability. The results were mapped using the grass Geographic Information System (http://grass.osgeo.org). The model predicts a wide distribution for L. botrana with highest populations in warmer regions in a wide band along latitude 40°N. The effects of climate warming on grapevine and L. botrana were explored using regional climate model projections based on the A1B scenario of an average +1.8 °C warming during the period 2040–2050 compared with the base period (1960–1970). Under climate change, grape yields increase northwards and with a higher elevation but decrease in hotter areas. Similarly, L. botrana levels increase in northern areas but decrease in the hot areas where summer temperatures approach its upper thermal limit.","container-title":"Agricultural and Forest Entomology","DOI":"10.1111/afe.12256","ISSN":"1461-9563","issue":"2","language":"en","page":"255-271","source":"Wiley Online Library","title":"Climate warming effects on grape and grapevine moth (&lt;i&gt;Lobesia botrana&lt;/i&gt;) in the Palearctic region","volume":"20","author":[{"family":"Gutierrez","given":"Andrew Paul"},{"family":"Ponti","given":"Luigi"},{"family":"Gilioli","given":"Gianni"},{"family":"Baumgärtner","given":"Johann"}],"issued":{"date-parts":[["2018"]]}}},{"id":4411,"uris":["http://zotero.org/users/1272936/items/QD9W6CMH"],"uri":["http://zotero.org/users/1272936/items/QD9W6CMH"],"itemData":{"id":4411,"type":"article-journal","abstract":"The polyphagous Asian vinegar fly Drosophila suzukii (spotted wing Drosophila) is a native of Eastern and Southeastern Asia. It emerged as an important invasive insect pest of berries and stone fruits in the Americas and Europe beginning in 2008. Species distribution models are commonly used for analyzing the extant and potential range expansion of invasive species. Previous modeling efforts for D. suzukii include a degree-day model, a MaxEnt ecological niche model, a demographic model incorporating the effects of temperature, and a preliminary mechanistic physiologically-based demographic model (PBDM). In the present analysis, we refine the PBDM for D. suzukii based on biological data reported in the literature. The PBDM is used to assess the effects of temperature and relative humidity from a recently published global climate dataset (AgMERRA) on the prospective geographic distribution and relative abundance of the pest in the USA and Mexico, and in Europe and the Mediterranean Basin. Our focus is on areas of recent invasion and of predicted higher invasiveness in these areas. Although the species is native to Asia and is of putative temperate origins, it has established in subtropical to north temperate zones worldwide where it infests a wide range of wild and domesticated berries and stone fruits. The model captures the observed phenology of D. suzukii at specific locations, as well as the potential geographic distribution and relative favorability across larger regions. The main limiting factor is cold winter temperature in northern areas, though high temperatures and low relative humidity may be limiting in arid areas. The effect of greater cold tolerance in winter morph adults is explored.","container-title":"Biological Invasions","DOI":"10.1007/s10530-016-1255-6","ISSN":"1387-3547, 1573-1464","issue":"12","journalAbbreviation":"Biol Invasions","language":"en","page":"3647-3663","source":"link.springer.com","title":"Analysis of the invasiveness of spotted wing Drosophila (&lt;i&gt;Drosophila suzukii&lt;/i&gt;) in North America, Europe, and the Mediterranean Basin","volume":"18","author":[{"family":"Gutierrez","given":"Andrew Paul"},{"family":"Ponti","given":"Luigi"},{"family":"Dalton","given":"Daniel T."}],"issued":{"date-parts":[["2016",9,10]]}}}],"schema":"https://github.com/citation-style-language/schema/raw/master/csl-citation.json"} </w:instrText>
      </w:r>
      <w:r w:rsidRPr="005D5611">
        <w:rPr>
          <w:rFonts w:eastAsiaTheme="minorHAnsi"/>
        </w:rPr>
        <w:fldChar w:fldCharType="separate"/>
      </w:r>
      <w:r w:rsidRPr="005D5611">
        <w:t>[132, 133]</w:t>
      </w:r>
      <w:r w:rsidRPr="005D5611">
        <w:rPr>
          <w:rFonts w:eastAsiaTheme="minorHAnsi"/>
        </w:rPr>
        <w:fldChar w:fldCharType="end"/>
      </w:r>
      <w:r w:rsidRPr="005D5611">
        <w:rPr>
          <w:rFonts w:eastAsiaTheme="minorHAnsi"/>
        </w:rPr>
        <w:t xml:space="preserve">), and these effects can be introduced directly or as scalar functions. The effect of nutrition is concave function (eqn. S8; Fig. S8b) </w:t>
      </w:r>
    </w:p>
    <w:p w14:paraId="40306C6A" w14:textId="77777777" w:rsidR="003A45CF" w:rsidRPr="005D5611" w:rsidRDefault="00947966" w:rsidP="003A45CF">
      <w:pPr>
        <w:pStyle w:val="SMText"/>
      </w:pPr>
      <w:r w:rsidRPr="005D5611">
        <w:rPr>
          <w:noProof/>
          <w:position w:val="-30"/>
        </w:rPr>
        <w:object w:dxaOrig="6560" w:dyaOrig="680" w14:anchorId="318DF61D">
          <v:shape id="_x0000_i1059" type="#_x0000_t75" alt="" style="width:327.2pt;height:35.1pt;mso-width-percent:0;mso-height-percent:0;mso-width-percent:0;mso-height-percent:0" o:ole="">
            <v:imagedata r:id="rId86" o:title=""/>
          </v:shape>
          <o:OLEObject Type="Embed" ProgID="Equation.DSMT4" ShapeID="_x0000_i1059" DrawAspect="Content" ObjectID="_1662177468" r:id="rId87"/>
        </w:object>
      </w:r>
      <w:r w:rsidR="003A45CF" w:rsidRPr="005D5611">
        <w:t>,</w:t>
      </w:r>
      <w:r w:rsidR="003A45CF" w:rsidRPr="005D5611">
        <w:tab/>
      </w:r>
      <w:r w:rsidR="003A45CF" w:rsidRPr="005D5611">
        <w:tab/>
        <w:t>(S12)</w:t>
      </w:r>
    </w:p>
    <w:p w14:paraId="1CBC04DD" w14:textId="77777777" w:rsidR="003A45CF" w:rsidRPr="005D5611" w:rsidRDefault="003A45CF" w:rsidP="003A45CF">
      <w:pPr>
        <w:pStyle w:val="SMText"/>
        <w:ind w:firstLine="0"/>
      </w:pPr>
      <w:r w:rsidRPr="005D5611">
        <w:rPr>
          <w:rFonts w:eastAsiaTheme="minorHAnsi"/>
        </w:rPr>
        <w:t>and introduced as a scalar</w:t>
      </w:r>
      <w:r w:rsidRPr="005D5611">
        <w:t xml:space="preserve">. The effects of </w:t>
      </w:r>
      <w:r w:rsidRPr="005D5611">
        <w:rPr>
          <w:i/>
        </w:rPr>
        <w:t>RH</w:t>
      </w:r>
      <w:r w:rsidRPr="005D5611">
        <w:t xml:space="preserve"> or other factors could similarly be introduced as scalars (e.g., </w:t>
      </w:r>
      <w:r w:rsidR="00947966" w:rsidRPr="005D5611">
        <w:rPr>
          <w:noProof/>
          <w:position w:val="-12"/>
        </w:rPr>
        <w:object w:dxaOrig="1600" w:dyaOrig="360" w14:anchorId="6A4B0C9B">
          <v:shape id="_x0000_i1060" type="#_x0000_t75" alt="" style="width:81.95pt;height:18.75pt;mso-width-percent:0;mso-height-percent:0;mso-width-percent:0;mso-height-percent:0" o:ole="">
            <v:imagedata r:id="rId88" o:title=""/>
          </v:shape>
          <o:OLEObject Type="Embed" ProgID="Equation.DSMT4" ShapeID="_x0000_i1060" DrawAspect="Content" ObjectID="_1662177469" r:id="rId89"/>
        </w:object>
      </w:r>
      <w:r w:rsidRPr="005D5611">
        <w:t>.</w:t>
      </w:r>
    </w:p>
    <w:p w14:paraId="74134A67" w14:textId="77777777" w:rsidR="003A45CF" w:rsidRPr="005D5611" w:rsidRDefault="00947966" w:rsidP="003A45CF">
      <w:pPr>
        <w:pStyle w:val="SMText"/>
      </w:pPr>
      <w:r w:rsidRPr="005D5611">
        <w:rPr>
          <w:noProof/>
          <w:color w:val="000000"/>
          <w:position w:val="-14"/>
        </w:rPr>
        <w:object w:dxaOrig="1780" w:dyaOrig="380" w14:anchorId="410B953D">
          <v:shape id="_x0000_i1061" type="#_x0000_t75" alt="" style="width:91.3pt;height:19.3pt;mso-width-percent:0;mso-height-percent:0;mso-width-percent:0;mso-height-percent:0" o:ole="">
            <v:imagedata r:id="rId90" o:title=""/>
          </v:shape>
          <o:OLEObject Type="Embed" ProgID="Equation.DSMT4" ShapeID="_x0000_i1061" DrawAspect="Content" ObjectID="_1662177470" r:id="rId91"/>
        </w:object>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t>(S13)</w:t>
      </w:r>
    </w:p>
    <w:p w14:paraId="231A537F" w14:textId="77777777" w:rsidR="003A45CF" w:rsidRPr="005D5611" w:rsidRDefault="003A45CF" w:rsidP="003A45CF">
      <w:pPr>
        <w:pStyle w:val="SMText"/>
        <w:ind w:firstLine="0"/>
        <w:rPr>
          <w:color w:val="000000"/>
        </w:rPr>
      </w:pPr>
      <w:r w:rsidRPr="005D5611">
        <w:rPr>
          <w:rFonts w:eastAsiaTheme="minorHAnsi"/>
        </w:rPr>
        <w:t xml:space="preserve">The true shape of such functions (e.g., </w:t>
      </w:r>
      <w:r w:rsidR="00947966" w:rsidRPr="005D5611">
        <w:rPr>
          <w:noProof/>
          <w:position w:val="-14"/>
        </w:rPr>
        <w:object w:dxaOrig="279" w:dyaOrig="380" w14:anchorId="7745FCE6">
          <v:shape id="_x0000_i1062" type="#_x0000_t75" alt="" style="width:14.05pt;height:19.3pt;mso-width-percent:0;mso-height-percent:0;mso-width-percent:0;mso-height-percent:0" o:ole="">
            <v:imagedata r:id="rId92" o:title=""/>
          </v:shape>
          <o:OLEObject Type="Embed" ProgID="Equation.DSMT4" ShapeID="_x0000_i1062" DrawAspect="Content" ObjectID="_1662177471" r:id="rId93"/>
        </w:object>
      </w:r>
      <w:r w:rsidRPr="005D5611">
        <w:rPr>
          <w:rFonts w:eastAsiaTheme="minorHAnsi"/>
        </w:rPr>
        <w:t>and</w:t>
      </w:r>
      <w:r w:rsidR="00947966" w:rsidRPr="005D5611">
        <w:rPr>
          <w:noProof/>
          <w:position w:val="-12"/>
        </w:rPr>
        <w:object w:dxaOrig="400" w:dyaOrig="360" w14:anchorId="703B4B54">
          <v:shape id="_x0000_i1063" type="#_x0000_t75" alt="" style="width:19.3pt;height:18.75pt;mso-width-percent:0;mso-height-percent:0;mso-width-percent:0;mso-height-percent:0" o:ole="">
            <v:imagedata r:id="rId94" o:title=""/>
          </v:shape>
          <o:OLEObject Type="Embed" ProgID="Equation.DSMT4" ShapeID="_x0000_i1063" DrawAspect="Content" ObjectID="_1662177472" r:id="rId95"/>
        </w:object>
      </w:r>
      <w:r w:rsidRPr="005D5611">
        <w:rPr>
          <w:rFonts w:eastAsiaTheme="minorHAnsi"/>
        </w:rPr>
        <w:t xml:space="preserve">) can be estimated from data. </w:t>
      </w:r>
      <w:r w:rsidRPr="005D5611">
        <w:rPr>
          <w:color w:val="000000"/>
        </w:rPr>
        <w:t xml:space="preserve">Hence, individuals entering stage </w:t>
      </w:r>
      <w:r w:rsidRPr="005D5611">
        <w:rPr>
          <w:i/>
          <w:iCs/>
          <w:color w:val="000000"/>
        </w:rPr>
        <w:t>s</w:t>
      </w:r>
      <w:r w:rsidRPr="005D5611">
        <w:rPr>
          <w:color w:val="000000"/>
        </w:rPr>
        <w:t xml:space="preserve"> at age </w:t>
      </w:r>
      <w:r w:rsidRPr="005D5611">
        <w:rPr>
          <w:i/>
          <w:iCs/>
          <w:color w:val="000000"/>
        </w:rPr>
        <w:t>x=0</w:t>
      </w:r>
      <w:r w:rsidRPr="005D5611">
        <w:rPr>
          <w:color w:val="000000"/>
        </w:rPr>
        <w:t xml:space="preserve"> at time </w:t>
      </w:r>
      <w:r w:rsidRPr="005D5611">
        <w:rPr>
          <w:i/>
          <w:iCs/>
          <w:color w:val="000000"/>
        </w:rPr>
        <w:t>t=t</w:t>
      </w:r>
      <w:r w:rsidRPr="005D5611">
        <w:rPr>
          <w:i/>
          <w:iCs/>
          <w:color w:val="000000"/>
          <w:vertAlign w:val="subscript"/>
        </w:rPr>
        <w:t>0</w:t>
      </w:r>
      <w:r w:rsidRPr="005D5611">
        <w:rPr>
          <w:color w:val="000000"/>
        </w:rPr>
        <w:t xml:space="preserve"> will complete development </w:t>
      </w:r>
      <w:r w:rsidRPr="005D5611">
        <w:t>when</w:t>
      </w:r>
      <w:r w:rsidR="00947966" w:rsidRPr="005D5611">
        <w:rPr>
          <w:noProof/>
          <w:position w:val="-14"/>
        </w:rPr>
        <w:object w:dxaOrig="1120" w:dyaOrig="400" w14:anchorId="413BF41E">
          <v:shape id="_x0000_i1064" type="#_x0000_t75" alt="" style="width:57.95pt;height:19.9pt;mso-width-percent:0;mso-height-percent:0;mso-width-percent:0;mso-height-percent:0" o:ole="">
            <v:imagedata r:id="rId96" o:title=""/>
          </v:shape>
          <o:OLEObject Type="Embed" ProgID="Equation.DSMT4" ShapeID="_x0000_i1064" DrawAspect="Content" ObjectID="_1662177473" r:id="rId97"/>
        </w:object>
      </w:r>
      <w:r w:rsidRPr="005D5611">
        <w:rPr>
          <w:rFonts w:eastAsiaTheme="minorHAnsi"/>
        </w:rPr>
        <w:t>.</w:t>
      </w:r>
      <w:r w:rsidRPr="005D5611">
        <w:rPr>
          <w:color w:val="000000"/>
        </w:rPr>
        <w:t xml:space="preserve"> </w:t>
      </w:r>
    </w:p>
    <w:p w14:paraId="4401EF33" w14:textId="77777777" w:rsidR="003A45CF" w:rsidRPr="005D5611" w:rsidRDefault="003A45CF" w:rsidP="003A45CF">
      <w:pPr>
        <w:pStyle w:val="SMText"/>
        <w:rPr>
          <w:color w:val="000000"/>
        </w:rPr>
      </w:pPr>
      <w:r w:rsidRPr="005D5611">
        <w:rPr>
          <w:color w:val="000000"/>
        </w:rPr>
        <w:t>T</w:t>
      </w:r>
      <w:r w:rsidRPr="005D5611">
        <w:t>he developmental time model may be formulated in degree-days (</w:t>
      </w:r>
      <w:r w:rsidRPr="005D5611">
        <w:rPr>
          <w:i/>
        </w:rPr>
        <w:t>dd</w:t>
      </w:r>
      <w:r w:rsidRPr="005D5611">
        <w:t>) where</w:t>
      </w:r>
      <w:r w:rsidR="00947966" w:rsidRPr="005D5611">
        <w:rPr>
          <w:noProof/>
          <w:position w:val="-12"/>
        </w:rPr>
        <w:object w:dxaOrig="1800" w:dyaOrig="380" w14:anchorId="7D8C388F">
          <v:shape id="_x0000_i1065" type="#_x0000_t75" alt="" style="width:90.75pt;height:19.3pt;mso-width-percent:0;mso-height-percent:0;mso-width-percent:0;mso-height-percent:0" o:ole="">
            <v:imagedata r:id="rId98" o:title=""/>
          </v:shape>
          <o:OLEObject Type="Embed" ProgID="Equation.DSMT4" ShapeID="_x0000_i1065" DrawAspect="Content" ObjectID="_1662177474" r:id="rId99"/>
        </w:object>
      </w:r>
      <w:r w:rsidRPr="005D5611">
        <w:t xml:space="preserve">) is computed in the linear range of </w:t>
      </w:r>
      <w:r w:rsidRPr="005D5611">
        <w:rPr>
          <w:color w:val="000000"/>
        </w:rPr>
        <w:t xml:space="preserve">eqn. S7. Specifically, we can compute the daily changes in </w:t>
      </w:r>
      <w:r w:rsidRPr="005D5611">
        <w:rPr>
          <w:i/>
          <w:color w:val="231F20"/>
        </w:rPr>
        <w:t>dd</w:t>
      </w:r>
      <w:r w:rsidRPr="005D5611">
        <w:rPr>
          <w:color w:val="231F20"/>
        </w:rPr>
        <w:t xml:space="preserve"> as </w:t>
      </w:r>
      <w:r w:rsidR="00947966" w:rsidRPr="005D5611">
        <w:rPr>
          <w:noProof/>
          <w:position w:val="-12"/>
        </w:rPr>
        <w:object w:dxaOrig="2000" w:dyaOrig="380" w14:anchorId="1E3F7BB2">
          <v:shape id="_x0000_i1066" type="#_x0000_t75" alt="" style="width:101.85pt;height:19.3pt;mso-width-percent:0;mso-height-percent:0;mso-width-percent:0;mso-height-percent:0" o:ole="">
            <v:imagedata r:id="rId100" o:title=""/>
          </v:shape>
          <o:OLEObject Type="Embed" ProgID="Equation.DSMT4" ShapeID="_x0000_i1066" DrawAspect="Content" ObjectID="_1662177475" r:id="rId101"/>
        </w:object>
      </w:r>
      <w:r w:rsidRPr="005D5611">
        <w:t xml:space="preserve"> with average development completed when </w:t>
      </w:r>
      <w:r w:rsidR="00947966" w:rsidRPr="005D5611">
        <w:rPr>
          <w:noProof/>
          <w:position w:val="-14"/>
        </w:rPr>
        <w:object w:dxaOrig="1680" w:dyaOrig="400" w14:anchorId="2DD3CB13">
          <v:shape id="_x0000_i1067" type="#_x0000_t75" alt="" style="width:83.7pt;height:19.9pt;mso-width-percent:0;mso-height-percent:0;mso-width-percent:0;mso-height-percent:0" o:ole="">
            <v:imagedata r:id="rId102" o:title=""/>
          </v:shape>
          <o:OLEObject Type="Embed" ProgID="Equation.DSMT4" ShapeID="_x0000_i1067" DrawAspect="Content" ObjectID="_1662177476" r:id="rId103"/>
        </w:object>
      </w:r>
      <w:r w:rsidRPr="005D5611">
        <w:t xml:space="preserve">. </w:t>
      </w:r>
      <w:r w:rsidRPr="005D5611">
        <w:rPr>
          <w:color w:val="000000"/>
        </w:rPr>
        <w:t xml:space="preserve">  </w:t>
      </w:r>
    </w:p>
    <w:p w14:paraId="19425CFC" w14:textId="77777777" w:rsidR="003A45CF" w:rsidRPr="005D5611" w:rsidRDefault="003A45CF" w:rsidP="003A45CF">
      <w:pPr>
        <w:pStyle w:val="SMText"/>
      </w:pPr>
      <w:bookmarkStart w:id="29" w:name="_Toc15650843"/>
      <w:bookmarkStart w:id="30" w:name="_Hlk518368031"/>
    </w:p>
    <w:p w14:paraId="21F5E0C7" w14:textId="5D99AE7C" w:rsidR="003A45CF" w:rsidRPr="005D5611" w:rsidRDefault="003A45CF" w:rsidP="003A45CF">
      <w:pPr>
        <w:pStyle w:val="SMText"/>
        <w:ind w:firstLine="0"/>
      </w:pPr>
      <w:r w:rsidRPr="005D5611">
        <w:rPr>
          <w:b/>
        </w:rPr>
        <w:t>S4.2 The functional response model</w:t>
      </w:r>
      <w:bookmarkEnd w:id="29"/>
      <w:r w:rsidRPr="005D5611">
        <w:rPr>
          <w:rFonts w:eastAsiaTheme="minorHAnsi"/>
          <w:b/>
        </w:rPr>
        <w:t xml:space="preserve"> </w:t>
      </w:r>
      <w:r w:rsidRPr="005D5611">
        <w:rPr>
          <w:rFonts w:eastAsiaTheme="minorHAnsi"/>
        </w:rPr>
        <w:t xml:space="preserve">– </w:t>
      </w:r>
      <w:bookmarkEnd w:id="30"/>
      <w:r w:rsidRPr="005D5611">
        <w:rPr>
          <w:rFonts w:eastAsiaTheme="minorHAnsi"/>
        </w:rPr>
        <w:t>The acquisition model (</w:t>
      </w:r>
      <w:r w:rsidRPr="005D5611">
        <w:rPr>
          <w:rFonts w:eastAsiaTheme="minorHAnsi"/>
          <w:i/>
        </w:rPr>
        <w:t>h(u)</w:t>
      </w:r>
      <w:r w:rsidRPr="005D5611">
        <w:rPr>
          <w:rFonts w:eastAsiaTheme="minorHAnsi"/>
        </w:rPr>
        <w:t>) in eqn. S1 is the functional response model from population ecology that</w:t>
      </w:r>
      <w:r w:rsidRPr="005D5611">
        <w:t xml:space="preserve"> has been termed the prey death rate and the numerical response consumer birth rate </w:t>
      </w:r>
      <w:r w:rsidRPr="005D5611">
        <w:fldChar w:fldCharType="begin"/>
      </w:r>
      <w:r w:rsidR="00FF3F09">
        <w:instrText xml:space="preserve"> ADDIN ZOTERO_ITEM CSL_CITATION {"citationID":"ao8vqcqt1i","properties":{"formattedCitation":"[78, 79]","plainCitation":"[78, 79]","noteIndex":0},"citationItems":[{"id":12029,"uris":["http://zotero.org/users/1272936/items/D8KB276T"],"uri":["http://zotero.org/users/1272936/items/D8KB276T"],"itemData":{"id":12029,"type":"article-journal","container-title":"Nature","DOI":"10.1038/255058a0","ISSN":"0028-0836, 1476-4687","issue":"5503","language":"en","page":"58-60","source":"Crossref","title":"Dynamic complexity in predator-prey models framed in difference equations","volume":"255","author":[{"family":"Beddington","given":"J. R."},{"family":"Free","given":"C. A."},{"family":"Lawton","given":"J. H."}],"issued":{"date-parts":[["1975",5]]}}},{"id":12112,"uris":["http://zotero.org/users/1272936/items/CSJ6FPG7"],"uri":["http://zotero.org/users/1272936/items/CSJ6FPG7"],"itemData":{"id":12112,"type":"book","collection-number":"13","collection-title":"Monographs in population biology","event-place":"Princeton, New Jersey, USA","ISBN":"978-0-691-08215-8","language":"eng","note":"OCLC: 3844383","number-of-pages":"237","publisher":"Princeton University Press","publisher-place":"Princeton, New Jersey, USA","source":"Gemeinsamer Bibliotheksverbund ISBN","title":"The dynamics of arthropod predator-prey systems","author":[{"family":"Hassell","given":"Michael Patrick"}],"issued":{"date-parts":[["1978"]]}}}],"schema":"https://github.com/citation-style-language/schema/raw/master/csl-citation.json"} </w:instrText>
      </w:r>
      <w:r w:rsidRPr="005D5611">
        <w:fldChar w:fldCharType="separate"/>
      </w:r>
      <w:r w:rsidR="00C51ED3">
        <w:t>[78, 79]</w:t>
      </w:r>
      <w:r w:rsidRPr="005D5611">
        <w:fldChar w:fldCharType="end"/>
      </w:r>
      <w:r w:rsidR="00C60BE5">
        <w:t xml:space="preserve"> </w:t>
      </w:r>
      <w:r w:rsidRPr="005D5611">
        <w:t>(Fig. S8c).</w:t>
      </w:r>
      <w:r w:rsidRPr="005D5611">
        <w:rPr>
          <w:rFonts w:eastAsiaTheme="minorHAnsi"/>
        </w:rPr>
        <w:t xml:space="preserve"> The theory underpinning the concave driven functional response models differs for predators which consume resource making it unavailable to other predators, and for parasitoids, where super and multiple parasitism are possible </w:t>
      </w:r>
      <w:r w:rsidRPr="005D5611">
        <w:rPr>
          <w:rFonts w:eastAsiaTheme="minorHAnsi"/>
        </w:rPr>
        <w:fldChar w:fldCharType="begin"/>
      </w:r>
      <w:r w:rsidR="00FF3F09">
        <w:rPr>
          <w:rFonts w:eastAsiaTheme="minorHAnsi"/>
        </w:rPr>
        <w:instrText xml:space="preserve"> ADDIN ZOTERO_ITEM CSL_CITATION {"citationID":"a1dp70k6kcs","properties":{"formattedCitation":"[139\\uc0\\u8211{}141]","plainCitation":"[139–141]","noteIndex":0},"citationItems":[{"id":12303,"uris":["http://zotero.org/users/1272936/items/3FXFVCTZ"],"uri":["http://zotero.org/users/1272936/items/3FXFVCTZ"],"itemData":{"id":12303,"type":"article-journal","container-title":"Population Ecology","DOI":"10.1007/BF02511547","ISSN":"1438-3896","issue":"S1","journalAbbreviation":"Population Ecology","page":"1-91","source":"esj-journals.onlinelibrary.wiley.com (Atypon)","title":"A comparative study of models for predation and parasitism","volume":"13","author":[{"family":"Royama","given":"T."}],"issued":{"date-parts":[["1971",9,1]]}}},{"id":12306,"uris":["http://zotero.org/users/1272936/items/S82NUL6C"],"uri":["http://zotero.org/users/1272936/items/S82NUL6C"],"itemData":{"id":12306,"type":"article-journal","abstract":"(1) Many models for host-parasite interactions assume that the individuals in a population of parasites search at random with respect to each other, and that the number of parasite progeny produced will be limited by either the parasites' egg supplies or by their searching capacity, or both. (2) The number of hosts attacked by a parasite searching at random depends on the host density, but not on the host distribution. (3) The distribution of parasite eggs among hosts will be random only if the parasite searches at random and deposits one egg at each and every encounter with a host individual. (4) Unless the disc equation (Holling 1959) is incorporated into an exploitation model it should not be used to describe the outcome of experiments run for any length of time. (5) There will be a difference between the success of random search by parasites and predators that depends on the handling time. Only when handling time is negligible is it possible to predict the success of parasite and predator search by use of the same equation: when handling time is appreciable two different equations must be used. (6) The number of progeny produced by a parasite that does not search at random depends on the host density and on the parasite's response to the host distribution. (7) It may be possible to model non-random parasite and predator search by assuming that it consists of a series of random searches carried out for different periods of time.","archive":"JSTOR","container-title":"Journal of Animal Ecology","DOI":"10.2307/3474","ISSN":"0021-8790","issue":"2","page":"369-383","source":"JSTOR","title":"Random search and insect population models","volume":"41","author":[{"family":"Rogers","given":"David"}],"issued":{"date-parts":[["1972"]]}}},{"id":12301,"uris":["http://zotero.org/users/1272936/items/JRXAP6GL"],"uri":["http://zotero.org/users/1272936/items/JRXAP6GL"],"itemData":{"id":12301,"type":"article-journal","abstract":"(1) The death rate imposed by the predator population on the prey population is, inter alia, linked to the rate at which individual predators locate and consume prey, and hence to the rate of increase of the predator population. The overall rate of increase will depend, we argue, on three main components. These are (i) the duration of each predator instar, (ii) survival rates within instars and (iii) the fecundity of the adults. (2) Because the number of prey eaten per predator is defined by a complex surface involving prey density, predator density and their relative distributions, expressions for the components of the predator rate of increase are derived, for simplicity, as a slice through this complex surface in the prey-density plain for a single predator. (3) The effects of prey density on the development rates of particular predator instars and fecundity of adult predators are defined from arguments based on simple energetic considerations. The predicted relationships are in general agreement with experimental data reported from a wide range of predatory arthropods. (4) The effects of prey density on survival within particular predator instars are defined from arguments based on the assumption that mortality through food shortage will occur at some characteristic mean ingestion rate (mu I), with deaths in the population as a whole being approximately normally distributed about this mean. Again, agreement between models and experimental data is satisfactory. (5) Unfortunately, although these relationships have been documented for a wide variety of organisms, concentration on one species and all its components has not occurred. This represents a major gap in experimental ecological work.","archive":"JSTOR","container-title":"Journal of Animal Ecology","DOI":"10.2307/3773","ISSN":"0021-8790","issue":"1","page":"165-185","source":"JSTOR","title":"The components of arthropod predation: II. The predator rate of increase","title-short":"The components of arthropod predation","volume":"45","author":[{"family":"Beddington","given":"J. R."},{"family":"Hassell","given":"M. P."},{"family":"Lawton","given":"J. H."}],"issued":{"date-parts":[["1976"]]}}}],"schema":"https://github.com/citation-style-language/schema/raw/master/csl-citation.json"} </w:instrText>
      </w:r>
      <w:r w:rsidRPr="005D5611">
        <w:rPr>
          <w:rFonts w:eastAsiaTheme="minorHAnsi"/>
        </w:rPr>
        <w:fldChar w:fldCharType="separate"/>
      </w:r>
      <w:r w:rsidR="00C51ED3" w:rsidRPr="00C51ED3">
        <w:t>[139–141]</w:t>
      </w:r>
      <w:r w:rsidRPr="005D5611">
        <w:rPr>
          <w:rFonts w:eastAsiaTheme="minorHAnsi"/>
        </w:rPr>
        <w:fldChar w:fldCharType="end"/>
      </w:r>
      <w:r w:rsidRPr="005D5611">
        <w:rPr>
          <w:rFonts w:eastAsiaTheme="minorHAnsi"/>
        </w:rPr>
        <w:t xml:space="preserve">. </w:t>
      </w:r>
      <w:r w:rsidRPr="005D5611">
        <w:t>In our applications we use a per capita demand (</w:t>
      </w:r>
      <w:r w:rsidRPr="005D5611">
        <w:rPr>
          <w:i/>
        </w:rPr>
        <w:t>D</w:t>
      </w:r>
      <w:r w:rsidRPr="005D5611">
        <w:t xml:space="preserve">) driven functional response models that increase realism in three important ways: they provide the motivation for search, limit maximum consumption to realistic assimilable levels, and extend the applicability of the model to a wide range of consumer – resource applications. The demand may be in numbers of individuals, energy, biomass, or other units (e.g., units of nutrient or volumes of water uptake by roots). </w:t>
      </w:r>
    </w:p>
    <w:p w14:paraId="70BCF2BB" w14:textId="56E62C2F" w:rsidR="003A45CF" w:rsidRPr="005D5611" w:rsidRDefault="003A45CF" w:rsidP="003A45CF">
      <w:pPr>
        <w:pStyle w:val="SMText"/>
      </w:pPr>
      <w:r w:rsidRPr="005D5611">
        <w:rPr>
          <w:rFonts w:eastAsiaTheme="minorHAnsi"/>
        </w:rPr>
        <w:t>Specifically, the demand driven Gutierrez-Baumgartner predator form of the model is used for predation processes such as photosynthesis, water, and nutrient uptake by plants and for biomass acquisition and consumption by herbivores (</w:t>
      </w:r>
      <w:r w:rsidRPr="005D5611">
        <w:rPr>
          <w:rFonts w:eastAsiaTheme="minorHAnsi"/>
          <w:i/>
        </w:rPr>
        <w:t>M</w:t>
      </w:r>
      <w:r w:rsidRPr="005D5611">
        <w:rPr>
          <w:rFonts w:eastAsiaTheme="minorHAnsi"/>
          <w:i/>
          <w:vertAlign w:val="subscript"/>
        </w:rPr>
        <w:t>a</w:t>
      </w:r>
      <w:r w:rsidRPr="005D5611">
        <w:rPr>
          <w:rFonts w:eastAsiaTheme="minorHAnsi"/>
        </w:rPr>
        <w:t xml:space="preserve">) and true predators (eqn. S10; see </w:t>
      </w:r>
      <w:bookmarkStart w:id="31" w:name="_Hlk530132848"/>
      <w:r w:rsidRPr="005D5611">
        <w:rPr>
          <w:rFonts w:eastAsiaTheme="minorHAnsi"/>
        </w:rPr>
        <w:fldChar w:fldCharType="begin"/>
      </w:r>
      <w:r w:rsidR="002F5A10">
        <w:rPr>
          <w:rFonts w:eastAsiaTheme="minorHAnsi"/>
        </w:rPr>
        <w:instrText xml:space="preserve"> ADDIN ZOTERO_ITEM CSL_CITATION {"citationID":"nCkhoXhH","properties":{"formattedCitation":"[11]","plainCitation":"[11]","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schema":"https://github.com/citation-style-language/schema/raw/master/csl-citation.json"} </w:instrText>
      </w:r>
      <w:r w:rsidRPr="005D5611">
        <w:rPr>
          <w:rFonts w:eastAsiaTheme="minorHAnsi"/>
        </w:rPr>
        <w:fldChar w:fldCharType="separate"/>
      </w:r>
      <w:r w:rsidR="00C51ED3">
        <w:t>[11]</w:t>
      </w:r>
      <w:r w:rsidRPr="005D5611">
        <w:rPr>
          <w:rFonts w:eastAsiaTheme="minorHAnsi"/>
        </w:rPr>
        <w:fldChar w:fldCharType="end"/>
      </w:r>
      <w:r w:rsidRPr="005D5611">
        <w:rPr>
          <w:rFonts w:eastAsiaTheme="minorHAnsi"/>
        </w:rPr>
        <w:t>)</w:t>
      </w:r>
      <w:bookmarkEnd w:id="31"/>
      <w:r w:rsidRPr="005D5611">
        <w:rPr>
          <w:rFonts w:eastAsiaTheme="minorHAnsi"/>
        </w:rPr>
        <w:t xml:space="preserve">. </w:t>
      </w:r>
      <w:r w:rsidRPr="005D5611">
        <w:t>The predator form of the model is</w:t>
      </w:r>
    </w:p>
    <w:p w14:paraId="1BB8D1DE" w14:textId="77777777" w:rsidR="003A45CF" w:rsidRPr="005D5611" w:rsidRDefault="00947966" w:rsidP="003A45CF">
      <w:pPr>
        <w:pStyle w:val="SMText"/>
      </w:pPr>
      <w:r w:rsidRPr="005D5611">
        <w:rPr>
          <w:noProof/>
          <w:position w:val="-14"/>
        </w:rPr>
        <w:object w:dxaOrig="3500" w:dyaOrig="600" w14:anchorId="27CD4C95">
          <v:shape id="_x0000_i1068" type="#_x0000_t75" alt="" style="width:175pt;height:27.5pt;mso-width-percent:0;mso-height-percent:0;mso-width-percent:0;mso-height-percent:0" o:ole="">
            <v:imagedata r:id="rId104" o:title=""/>
          </v:shape>
          <o:OLEObject Type="Embed" ProgID="Equation.DSMT4" ShapeID="_x0000_i1068" DrawAspect="Content" ObjectID="_1662177477" r:id="rId105"/>
        </w:object>
      </w:r>
      <w:r w:rsidR="003A45CF" w:rsidRPr="005D5611">
        <w:tab/>
      </w:r>
      <w:r w:rsidR="003A45CF" w:rsidRPr="005D5611">
        <w:tab/>
      </w:r>
      <w:r w:rsidR="003A45CF" w:rsidRPr="005D5611">
        <w:tab/>
      </w:r>
      <w:r w:rsidR="003A45CF" w:rsidRPr="005D5611">
        <w:tab/>
      </w:r>
      <w:r w:rsidR="003A45CF" w:rsidRPr="005D5611">
        <w:tab/>
      </w:r>
      <w:r w:rsidR="003A45CF" w:rsidRPr="005D5611">
        <w:tab/>
        <w:t>(S14)</w:t>
      </w:r>
    </w:p>
    <w:p w14:paraId="1C57F4B6" w14:textId="22B63E84" w:rsidR="003A45CF" w:rsidRPr="005D5611" w:rsidRDefault="003A45CF" w:rsidP="003A45CF">
      <w:pPr>
        <w:pStyle w:val="SMText"/>
        <w:ind w:firstLine="0"/>
      </w:pPr>
      <w:r w:rsidRPr="005D5611">
        <w:t>where</w:t>
      </w:r>
      <w:r w:rsidRPr="005D5611">
        <w:rPr>
          <w:i/>
        </w:rPr>
        <w:t xml:space="preserve"> D</w:t>
      </w:r>
      <w:r w:rsidRPr="005D5611">
        <w:t xml:space="preserve"> is the biomass demand per unit mass (</w:t>
      </w:r>
      <w:r w:rsidRPr="005D5611">
        <w:rPr>
          <w:i/>
        </w:rPr>
        <w:t>M</w:t>
      </w:r>
      <w:r w:rsidRPr="005D5611">
        <w:rPr>
          <w:i/>
          <w:vertAlign w:val="subscript"/>
        </w:rPr>
        <w:t>i</w:t>
      </w:r>
      <w:r w:rsidRPr="005D5611">
        <w:t xml:space="preserve">) per unit time (see below) and may be a constant or a function that can incorporate complicated forcing biology, preferences, and multiple prey and multiple predators (see </w:t>
      </w:r>
      <w:r w:rsidRPr="005D5611">
        <w:fldChar w:fldCharType="begin"/>
      </w:r>
      <w:r w:rsidR="00FF3F09">
        <w:instrText xml:space="preserve"> ADDIN ZOTERO_ITEM CSL_CITATION {"citationID":"a1lf9eppc93","properties":{"formattedCitation":"[12]","plainCitation":"[12]","noteIndex":0},"citationItems":[{"id":4888,"uris":["http://zotero.org/users/1272936/items/8XVG77ZT"],"uri":["http://zotero.org/users/1272936/items/8XVG77ZT"],"itemData":{"id":4888,"type":"article-journal","abstract":"A simple age-specific energetics (calories or biomass) model for the growth and development, reproduction, respiration, ageing and intrinsic survivorship as a function of temperature and per capita energy availability for Acyrthosiphon pisum (Harris) is reported. Extensive published age-specific life-data sets on the aphid are used to test the model, and the results suggest that the lower thermal threshold for development is raised and the upper one is lowered as food resources are decreased; the temperature-dependent rate of development is slowed with decreasing energy resources; and the size of individuals and reproduction become smaller as temperature approaches the upper and lower thermal thresholds. A simple model for multitrophic level (predator-prey) interactions, incorporating the acquisition and assimilation functions, is prepared.","container-title":"Canadian Entomologist","DOI":"10.4039/Ent116923-7","issue":"7","journalAbbreviation":"Can. Entomol.","page":"924-932","title":"Multitrophic level models of predator-prey energetics: I. Age-specific energetics models - pea aphid &lt;i&gt;Acyrthosiphon pisum&lt;/i&gt; (Homoptera: Aphididae) as an example","volume":"116","author":[{"family":"Gutierrez","given":"A.P."},{"family":"Baumgärtner","given":"J.U."}],"issued":{"date-parts":[["1984"]]}}}],"schema":"https://github.com/citation-style-language/schema/raw/master/csl-citation.json"} </w:instrText>
      </w:r>
      <w:r w:rsidRPr="005D5611">
        <w:fldChar w:fldCharType="separate"/>
      </w:r>
      <w:r w:rsidR="00C51ED3">
        <w:t>[12]</w:t>
      </w:r>
      <w:r w:rsidRPr="005D5611">
        <w:fldChar w:fldCharType="end"/>
      </w:r>
      <w:r w:rsidRPr="005D5611">
        <w:t>).</w:t>
      </w:r>
      <w:r w:rsidRPr="005D5611">
        <w:rPr>
          <w:i/>
        </w:rPr>
        <w:t xml:space="preserve"> </w:t>
      </w:r>
      <w:r w:rsidRPr="005D5611">
        <w:t xml:space="preserve">The supply-demand function </w:t>
      </w:r>
      <w:r w:rsidRPr="005D5611">
        <w:rPr>
          <w:i/>
        </w:rPr>
        <w:t>h</w:t>
      </w:r>
      <w:r w:rsidRPr="005D5611">
        <w:rPr>
          <w:i/>
          <w:vertAlign w:val="subscript"/>
        </w:rPr>
        <w:t>i</w:t>
      </w:r>
      <w:r w:rsidRPr="005D5611">
        <w:rPr>
          <w:i/>
        </w:rPr>
        <w:t>(u)</w:t>
      </w:r>
      <w:r w:rsidRPr="005D5611">
        <w:t xml:space="preserve"> is the proportion of </w:t>
      </w:r>
      <w:r w:rsidRPr="005D5611">
        <w:rPr>
          <w:i/>
        </w:rPr>
        <w:t>D</w:t>
      </w:r>
      <w:r w:rsidRPr="005D5611">
        <w:rPr>
          <w:i/>
          <w:vertAlign w:val="subscript"/>
        </w:rPr>
        <w:t>i</w:t>
      </w:r>
      <w:r w:rsidRPr="005D5611">
        <w:rPr>
          <w:i/>
        </w:rPr>
        <w:t>M</w:t>
      </w:r>
      <w:r w:rsidRPr="005D5611">
        <w:rPr>
          <w:i/>
          <w:vertAlign w:val="subscript"/>
        </w:rPr>
        <w:t>i</w:t>
      </w:r>
      <w:r w:rsidRPr="005D5611">
        <w:t xml:space="preserve"> acquired with parameter </w:t>
      </w:r>
      <w:r w:rsidRPr="005D5611">
        <w:rPr>
          <w:rFonts w:ascii="Symbol" w:hAnsi="Symbol"/>
          <w:i/>
        </w:rPr>
        <w:t></w:t>
      </w:r>
      <w:r w:rsidRPr="005D5611">
        <w:rPr>
          <w:rFonts w:ascii="Symbol" w:hAnsi="Symbol"/>
          <w:i/>
          <w:vertAlign w:val="subscript"/>
        </w:rPr>
        <w:t></w:t>
      </w:r>
      <w:r w:rsidRPr="005D5611">
        <w:rPr>
          <w:rFonts w:ascii="Symbol" w:hAnsi="Symbol"/>
          <w:vertAlign w:val="subscript"/>
        </w:rPr>
        <w:t></w:t>
      </w:r>
      <w:r w:rsidRPr="005D5611">
        <w:t xml:space="preserve">being the discovery rate (i.e. the proportion of the prey discoverable for attack), and takes values from zero to unity that may vary with species, organism age and size, responses to prey kairomones, preferences, refuges, and with changes in the search environment. If </w:t>
      </w:r>
      <w:r w:rsidR="00947966" w:rsidRPr="005D5611">
        <w:rPr>
          <w:noProof/>
          <w:position w:val="-6"/>
        </w:rPr>
        <w:object w:dxaOrig="240" w:dyaOrig="220" w14:anchorId="2CCE0A33">
          <v:shape id="_x0000_i1069" type="#_x0000_t75" alt="" style="width:11.7pt;height:11.7pt;mso-width-percent:0;mso-height-percent:0;mso-width-percent:0;mso-height-percent:0" o:ole="">
            <v:imagedata r:id="rId106" o:title=""/>
          </v:shape>
          <o:OLEObject Type="Embed" ProgID="Equation.DSMT4" ShapeID="_x0000_i1069" DrawAspect="Content" ObjectID="_1662177478" r:id="rId107"/>
        </w:object>
      </w:r>
      <w:r w:rsidRPr="005D5611">
        <w:t>&lt; 1 then (</w:t>
      </w:r>
      <w:r w:rsidR="00947966" w:rsidRPr="005D5611">
        <w:rPr>
          <w:noProof/>
          <w:position w:val="-6"/>
        </w:rPr>
        <w:object w:dxaOrig="520" w:dyaOrig="279" w14:anchorId="1F7CA4F9">
          <v:shape id="_x0000_i1070" type="#_x0000_t75" alt="" style="width:25.15pt;height:14.05pt;mso-width-percent:0;mso-height-percent:0;mso-width-percent:0;mso-height-percent:0" o:ole="">
            <v:imagedata r:id="rId108" o:title=""/>
          </v:shape>
          <o:OLEObject Type="Embed" ProgID="Equation.DSMT4" ShapeID="_x0000_i1070" DrawAspect="Content" ObjectID="_1662177479" r:id="rId109"/>
        </w:object>
      </w:r>
      <w:r w:rsidRPr="005D5611">
        <w:t xml:space="preserve">) &lt; 1 is the refuge of the resource from predation. However, </w:t>
      </w:r>
      <w:r w:rsidRPr="005D5611">
        <w:rPr>
          <w:rFonts w:ascii="Symbol" w:hAnsi="Symbol"/>
          <w:i/>
          <w:iCs/>
        </w:rPr>
        <w:t></w:t>
      </w:r>
      <w:r w:rsidRPr="005D5611">
        <w:rPr>
          <w:rFonts w:ascii="Symbol" w:hAnsi="Symbol"/>
          <w:i/>
          <w:iCs/>
        </w:rPr>
        <w:t></w:t>
      </w:r>
      <w:r w:rsidRPr="005D5611">
        <w:rPr>
          <w:rFonts w:ascii="Symbol" w:hAnsi="Symbol"/>
        </w:rPr>
        <w:t></w:t>
      </w:r>
      <w:r w:rsidRPr="005D5611">
        <w:rPr>
          <w:rFonts w:ascii="Symbol" w:hAnsi="Symbol"/>
        </w:rPr>
        <w:t></w:t>
      </w:r>
      <w:r w:rsidRPr="005D5611">
        <w:t xml:space="preserve">could be used for certain bioeconomic applications where harvesting is very severe or if the consumer uses highly efficient kairomones to find prey. If </w:t>
      </w:r>
      <w:r w:rsidR="00947966" w:rsidRPr="005D5611">
        <w:rPr>
          <w:noProof/>
          <w:position w:val="-6"/>
        </w:rPr>
        <w:object w:dxaOrig="240" w:dyaOrig="220" w14:anchorId="3D8D3336">
          <v:shape id="_x0000_i1071" type="#_x0000_t75" alt="" style="width:11.7pt;height:11.7pt;mso-width-percent:0;mso-height-percent:0;mso-width-percent:0;mso-height-percent:0" o:ole="">
            <v:imagedata r:id="rId106" o:title=""/>
          </v:shape>
          <o:OLEObject Type="Embed" ProgID="Equation.DSMT4" ShapeID="_x0000_i1071" DrawAspect="Content" ObjectID="_1662177480" r:id="rId110"/>
        </w:object>
      </w:r>
      <w:r w:rsidRPr="005D5611">
        <w:t xml:space="preserve"> is a function of consumer size, the model becomes a type III model (e.g., LAI of plants). </w:t>
      </w:r>
    </w:p>
    <w:p w14:paraId="7553B365" w14:textId="45993F17" w:rsidR="003A45CF" w:rsidRPr="005D5611" w:rsidRDefault="003A45CF" w:rsidP="003A45CF">
      <w:pPr>
        <w:pStyle w:val="SMText"/>
      </w:pPr>
      <w:r w:rsidRPr="005D5611">
        <w:rPr>
          <w:rFonts w:eastAsiaTheme="minorHAnsi"/>
        </w:rPr>
        <w:t xml:space="preserve">The Gilbert-Fraser parasitoid model </w:t>
      </w:r>
      <w:r w:rsidRPr="005D5611">
        <w:rPr>
          <w:rFonts w:eastAsiaTheme="minorHAnsi"/>
        </w:rPr>
        <w:fldChar w:fldCharType="begin"/>
      </w:r>
      <w:r w:rsidR="00FF3F09">
        <w:rPr>
          <w:rFonts w:eastAsiaTheme="minorHAnsi"/>
        </w:rPr>
        <w:instrText xml:space="preserve"> ADDIN ZOTERO_ITEM CSL_CITATION {"citationID":"a1mil65r6dj","properties":{"formattedCitation":"[142]","plainCitation":"[142]","noteIndex":0},"citationItems":[{"id":13261,"uris":["http://zotero.org/users/1272936/items/LMBT9NPD"],"uri":["http://zotero.org/users/1272936/items/LMBT9NPD"],"itemData":{"id":13261,"type":"article-journal","container-title":"Journal of the Entomological Society of British Columbia","ISSN":"1929-7890","journalAbbreviation":"J. Entomol. Soc. B. C.","page":"33–56","title":"Coccinellids and aphids: A quantitative study of the impact of adult ladybirds (Coleoptera: Coccinellidae) preying on field populations of pea aphids (Homoptera: Aphididae)","volume":"73","author":[{"family":"Frazer","given":"B. D."},{"family":"Gilbert","given":"N."}],"issued":{"date-parts":[["1976"]]}}}],"schema":"https://github.com/citation-style-language/schema/raw/master/csl-citation.json"} </w:instrText>
      </w:r>
      <w:r w:rsidRPr="005D5611">
        <w:rPr>
          <w:rFonts w:eastAsiaTheme="minorHAnsi"/>
        </w:rPr>
        <w:fldChar w:fldCharType="separate"/>
      </w:r>
      <w:r w:rsidR="00C51ED3">
        <w:t>[142]</w:t>
      </w:r>
      <w:r w:rsidRPr="005D5611">
        <w:rPr>
          <w:rFonts w:eastAsiaTheme="minorHAnsi"/>
        </w:rPr>
        <w:fldChar w:fldCharType="end"/>
      </w:r>
      <w:r w:rsidRPr="005D5611">
        <w:rPr>
          <w:rFonts w:eastAsiaTheme="minorHAnsi"/>
        </w:rPr>
        <w:t xml:space="preserve"> is used for species that seek individual hosts</w:t>
      </w:r>
      <w:r w:rsidRPr="005D5611">
        <w:rPr>
          <w:rFonts w:eastAsiaTheme="minorHAnsi"/>
          <w:i/>
        </w:rPr>
        <w:t xml:space="preserve"> </w:t>
      </w:r>
      <w:r w:rsidRPr="005D5611">
        <w:rPr>
          <w:rFonts w:eastAsiaTheme="minorHAnsi"/>
        </w:rPr>
        <w:t>(</w:t>
      </w:r>
      <w:r w:rsidRPr="005D5611">
        <w:rPr>
          <w:rFonts w:eastAsiaTheme="minorHAnsi"/>
          <w:i/>
        </w:rPr>
        <w:t>N</w:t>
      </w:r>
      <w:r w:rsidRPr="005D5611">
        <w:rPr>
          <w:rFonts w:eastAsiaTheme="minorHAnsi"/>
          <w:i/>
          <w:vertAlign w:val="subscript"/>
        </w:rPr>
        <w:t>a</w:t>
      </w:r>
      <w:r w:rsidRPr="005D5611">
        <w:rPr>
          <w:rFonts w:eastAsiaTheme="minorHAnsi"/>
        </w:rPr>
        <w:t>) but that may be attacked multiple times (eqn. S11).</w:t>
      </w:r>
      <w:r w:rsidRPr="005D5611">
        <w:rPr>
          <w:rFonts w:eastAsiaTheme="minorHAnsi"/>
          <w:i/>
        </w:rPr>
        <w:t xml:space="preserve"> </w:t>
      </w:r>
      <w:r w:rsidRPr="005D5611">
        <w:t xml:space="preserve">The parasitoid forms of </w:t>
      </w:r>
      <w:r w:rsidRPr="005D5611">
        <w:rPr>
          <w:i/>
        </w:rPr>
        <w:t>h</w:t>
      </w:r>
      <w:r w:rsidRPr="005D5611">
        <w:rPr>
          <w:i/>
          <w:vertAlign w:val="subscript"/>
        </w:rPr>
        <w:t>i</w:t>
      </w:r>
      <w:r w:rsidRPr="005D5611">
        <w:rPr>
          <w:i/>
        </w:rPr>
        <w:t>(u)</w:t>
      </w:r>
      <w:r w:rsidRPr="005D5611">
        <w:t xml:space="preserve"> can be derived from eqn. S10 by making simple assumptions about random search and attack behavior (</w:t>
      </w:r>
      <w:r w:rsidRPr="005D5611">
        <w:fldChar w:fldCharType="begin"/>
      </w:r>
      <w:r w:rsidR="002F5A10">
        <w:instrText xml:space="preserve"> ADDIN ZOTERO_ITEM CSL_CITATION {"citationID":"Z48MwXeO","properties":{"formattedCitation":"[11]","plainCitation":"[11]","noteIndex":0},"citationItems":[{"id":2958,"uris":["http://zotero.org/users/1272936/items/3HJHR46H"],"uri":["http://zotero.org/users/1272936/items/3HJHR46H"],"itemData":{"id":2958,"type":"book","abstract":"The introductory chapter of this book outlines some major arguments that are considered part of common ecological wisdom. The 2nd chapter examines aspects of sampling theory that have had positive impact in applied ecology, while the 3rd chapter reviews the theory and practice of poikilotherm development as a basis of modelling plant-herbivore-natural enemy interactions. The basis of life table theory and practice are reviewed and the background for the development of time-varying life tables is introduced in the 4th chapter. Chapter 5 examines the underpinnings of the functional response in both traditional and nontraditional ways, pointing out the need for an appropriate currency to link trophic levels. Chapter 6 shows how the selection of an appropriate currency and functional response model can be used to develop per capita models for growth, development and reproduction that are general across trophic levels. Chapter 7 introduces the concept and realism of energy driven supply-demand theory in the development of simple single-species population dynamics models. The analytical properties of these simple physiologically based models are reviewed. Chapter 8 extends this development to multitrophic models. Single-species mass- and age-structure models are introduced in Chapter 9. Multitrophic models are covered in Chapter 10. Chapter 11 extrapolates the core ideas of the book to the analysis of regional problems and introduces applications of remote sensing and geographic information technology. Chapter 12 is a polemic on ecosystem sustainability.","event-place":"New York, USA","ISBN":"0-471-13586-0","note":"https://books.google.it/books?id=bUR6oSpMLx4C","number-of-pages":"300","publisher":"John Wiley and Sons","publisher-place":"New York, USA","title":"Applied population ecology: a supply-demand approach","URL":"https://www.wiley.com/en-us/Applied+Population+Ecology%3A+A+Supply+Demand+Approach-p-9780471135869","author":[{"family":"Gutierrez","given":"A.P."}],"issued":{"date-parts":[["1996"]]}}}],"schema":"https://github.com/citation-style-language/schema/raw/master/csl-citation.json"} </w:instrText>
      </w:r>
      <w:r w:rsidRPr="005D5611">
        <w:fldChar w:fldCharType="separate"/>
      </w:r>
      <w:r w:rsidR="00C51ED3">
        <w:t>[11]</w:t>
      </w:r>
      <w:r w:rsidRPr="005D5611">
        <w:fldChar w:fldCharType="end"/>
      </w:r>
      <w:r w:rsidRPr="005D5611">
        <w:t xml:space="preserve">, page 82-84). Reinterpreting in a fully ratio dependent form and ignoring trophic subscript, </w:t>
      </w:r>
      <w:r w:rsidRPr="005D5611">
        <w:rPr>
          <w:i/>
        </w:rPr>
        <w:t>D</w:t>
      </w:r>
      <w:r w:rsidRPr="005D5611">
        <w:t xml:space="preserve"> is the per capita demand rate of parasitoids (</w:t>
      </w:r>
      <w:r w:rsidRPr="005D5611">
        <w:rPr>
          <w:i/>
        </w:rPr>
        <w:t>P</w:t>
      </w:r>
      <w:r w:rsidRPr="005D5611">
        <w:t>) for individual hosts (</w:t>
      </w:r>
      <w:r w:rsidRPr="005D5611">
        <w:rPr>
          <w:i/>
        </w:rPr>
        <w:t>N</w:t>
      </w:r>
      <w:r w:rsidRPr="005D5611">
        <w:t xml:space="preserve">) per unit time, </w:t>
      </w:r>
      <w:r w:rsidRPr="005D5611">
        <w:rPr>
          <w:rFonts w:ascii="Symbol" w:hAnsi="Symbol"/>
          <w:i/>
        </w:rPr>
        <w:t></w:t>
      </w:r>
      <w:r w:rsidRPr="005D5611">
        <w:rPr>
          <w:rFonts w:ascii="Symbol" w:hAnsi="Symbol"/>
          <w:i/>
          <w:vertAlign w:val="subscript"/>
        </w:rPr>
        <w:t></w:t>
      </w:r>
      <w:r w:rsidRPr="005D5611">
        <w:t xml:space="preserve"> is the proportion of hosts that may be found, and </w:t>
      </w:r>
      <w:r w:rsidRPr="005D5611">
        <w:rPr>
          <w:i/>
        </w:rPr>
        <w:t>N</w:t>
      </w:r>
      <w:r w:rsidRPr="005D5611">
        <w:rPr>
          <w:i/>
          <w:vertAlign w:val="subscript"/>
        </w:rPr>
        <w:t>a</w:t>
      </w:r>
      <w:r w:rsidRPr="005D5611">
        <w:t xml:space="preserve"> is the number that are attacked one or more times. Again, </w:t>
      </w:r>
      <w:r w:rsidRPr="005D5611">
        <w:rPr>
          <w:i/>
        </w:rPr>
        <w:t>h(u)</w:t>
      </w:r>
      <w:r w:rsidRPr="005D5611">
        <w:t xml:space="preserve"> is the proportion of the demand met. We note that this model may also be used for herbivores such as pink bollworm that make multiple attacks on the same host (individual fruit).</w:t>
      </w:r>
    </w:p>
    <w:p w14:paraId="27161C42" w14:textId="77777777" w:rsidR="003A45CF" w:rsidRPr="005D5611" w:rsidRDefault="003A45CF" w:rsidP="003A45CF">
      <w:pPr>
        <w:pStyle w:val="SMText"/>
        <w:rPr>
          <w:rFonts w:eastAsiaTheme="minorHAnsi"/>
        </w:rPr>
      </w:pPr>
    </w:p>
    <w:p w14:paraId="1646DF7A" w14:textId="77777777" w:rsidR="003A45CF" w:rsidRPr="005D5611" w:rsidRDefault="00947966" w:rsidP="003A45CF">
      <w:pPr>
        <w:pStyle w:val="SMText"/>
      </w:pPr>
      <w:r w:rsidRPr="005D5611">
        <w:rPr>
          <w:noProof/>
          <w:position w:val="-12"/>
        </w:rPr>
        <w:object w:dxaOrig="3140" w:dyaOrig="700" w14:anchorId="5BDACE3B">
          <v:shape id="_x0000_i1072" type="#_x0000_t75" alt="" style="width:164.5pt;height:36.9pt;mso-width-percent:0;mso-height-percent:0;mso-width-percent:0;mso-height-percent:0" o:ole="">
            <v:imagedata r:id="rId111" o:title=""/>
          </v:shape>
          <o:OLEObject Type="Embed" ProgID="Equation.DSMT4" ShapeID="_x0000_i1072" DrawAspect="Content" ObjectID="_1662177481" r:id="rId112"/>
        </w:object>
      </w:r>
      <w:r w:rsidR="003A45CF" w:rsidRPr="005D5611">
        <w:t>.</w:t>
      </w:r>
      <w:r w:rsidR="003A45CF" w:rsidRPr="005D5611">
        <w:tab/>
      </w:r>
      <w:r w:rsidR="003A45CF" w:rsidRPr="005D5611">
        <w:tab/>
      </w:r>
      <w:r w:rsidR="003A45CF" w:rsidRPr="005D5611">
        <w:tab/>
      </w:r>
      <w:r w:rsidR="003A45CF" w:rsidRPr="005D5611">
        <w:tab/>
      </w:r>
      <w:r w:rsidR="003A45CF" w:rsidRPr="005D5611">
        <w:tab/>
      </w:r>
      <w:r w:rsidR="003A45CF" w:rsidRPr="005D5611">
        <w:tab/>
        <w:t>(S15)</w:t>
      </w:r>
    </w:p>
    <w:p w14:paraId="37F81A72" w14:textId="77777777" w:rsidR="003A45CF" w:rsidRPr="005D5611" w:rsidRDefault="003A45CF" w:rsidP="003A45CF">
      <w:pPr>
        <w:pStyle w:val="SMText"/>
      </w:pPr>
    </w:p>
    <w:p w14:paraId="441B5A0F" w14:textId="5CDEF70A" w:rsidR="003A45CF" w:rsidRPr="005D5611" w:rsidRDefault="003A45CF" w:rsidP="003A45CF">
      <w:pPr>
        <w:pStyle w:val="SMText"/>
        <w:ind w:firstLine="0"/>
      </w:pPr>
      <w:bookmarkStart w:id="32" w:name="_Toc15650844"/>
      <w:r w:rsidRPr="005D5611">
        <w:rPr>
          <w:b/>
        </w:rPr>
        <w:t>S4.3 Reproduction</w:t>
      </w:r>
      <w:bookmarkEnd w:id="32"/>
      <w:r w:rsidRPr="005D5611">
        <w:t xml:space="preserve"> – Reproduction by in plants and animals may occur as a single burst or may be distributed per </w:t>
      </w:r>
      <w:r w:rsidRPr="005D5611">
        <w:rPr>
          <w:i/>
        </w:rPr>
        <w:t>dd</w:t>
      </w:r>
      <w:r w:rsidRPr="005D5611">
        <w:t xml:space="preserve"> over the age (</w:t>
      </w:r>
      <w:r w:rsidRPr="005D5611">
        <w:rPr>
          <w:i/>
        </w:rPr>
        <w:t>x</w:t>
      </w:r>
      <w:r w:rsidRPr="005D5611">
        <w:t xml:space="preserve">) of the adult stage at optimal temperature. eqn. S12 is a commonly recurring form </w:t>
      </w:r>
      <w:r w:rsidRPr="005D5611">
        <w:rPr>
          <w:iCs/>
          <w:color w:val="000000"/>
        </w:rPr>
        <w:t xml:space="preserve">with fitted constants </w:t>
      </w:r>
      <w:r w:rsidRPr="005D5611">
        <w:rPr>
          <w:i/>
          <w:iCs/>
          <w:color w:val="000000"/>
        </w:rPr>
        <w:t>a,</w:t>
      </w:r>
      <w:r w:rsidRPr="005D5611">
        <w:rPr>
          <w:iCs/>
          <w:color w:val="000000"/>
        </w:rPr>
        <w:t xml:space="preserve"> </w:t>
      </w:r>
      <w:r w:rsidRPr="005D5611">
        <w:rPr>
          <w:i/>
          <w:iCs/>
          <w:color w:val="000000"/>
        </w:rPr>
        <w:t>b</w:t>
      </w:r>
      <w:r w:rsidRPr="005D5611">
        <w:t xml:space="preserve"> (</w:t>
      </w:r>
      <w:r w:rsidRPr="005D5611">
        <w:rPr>
          <w:i/>
        </w:rPr>
        <w:t>f(x)</w:t>
      </w:r>
      <w:r w:rsidRPr="005D5611">
        <w:t xml:space="preserve">) (see Fig. S8d; </w:t>
      </w:r>
      <w:r w:rsidRPr="005D5611">
        <w:rPr>
          <w:i/>
        </w:rPr>
        <w:t xml:space="preserve">cf. </w:t>
      </w:r>
      <w:r w:rsidRPr="005D5611">
        <w:rPr>
          <w:i/>
        </w:rPr>
        <w:fldChar w:fldCharType="begin"/>
      </w:r>
      <w:r w:rsidR="00FF3F09">
        <w:rPr>
          <w:i/>
        </w:rPr>
        <w:instrText xml:space="preserve"> ADDIN ZOTERO_ITEM CSL_CITATION {"citationID":"a2a3q9v293j","properties":{"formattedCitation":"[143]","plainCitation":"[143]","noteIndex":0},"citationItems":[{"id":2445,"uris":["http://zotero.org/users/1272936/items/X4MPR98W"],"uri":["http://zotero.org/users/1272936/items/X4MPR98W"],"itemData":{"id":2445,"type":"article-journal","container-title":"Mitteilungen der Schweizerischen Entomologischen Gesellschaft","DOI":"10.5169/seals-402070","journalAbbreviation":"Mitt Schweiz Entomol Ges","page":"163-171","title":"Development and fecundity of pea aphid (&lt;i&gt;Acyrthosiphon pisum&lt;/i&gt; Harris) as affected by constant temperatures and by pea varieties","volume":"56","author":[{"family":"Bieri","given":"M."},{"family":"Baumgärtner","given":"J."},{"family":"Bianchi","given":"G."},{"family":"Delucchi","given":"V."},{"family":"Arx","given":"R.","non-dropping-particle":"von"}],"issued":{"date-parts":[["1983"]]}}}],"schema":"https://github.com/citation-style-language/schema/raw/master/csl-citation.json"} </w:instrText>
      </w:r>
      <w:r w:rsidRPr="005D5611">
        <w:rPr>
          <w:i/>
        </w:rPr>
        <w:fldChar w:fldCharType="separate"/>
      </w:r>
      <w:r w:rsidR="00C51ED3">
        <w:t>[143]</w:t>
      </w:r>
      <w:r w:rsidRPr="005D5611">
        <w:rPr>
          <w:i/>
        </w:rPr>
        <w:fldChar w:fldCharType="end"/>
      </w:r>
      <w:r w:rsidRPr="005D5611">
        <w:rPr>
          <w:iCs/>
          <w:color w:val="000000"/>
        </w:rPr>
        <w:t>, but there are other forms</w:t>
      </w:r>
      <w:r w:rsidRPr="005D5611">
        <w:t>.</w:t>
      </w:r>
    </w:p>
    <w:p w14:paraId="685AD8B3" w14:textId="77777777" w:rsidR="003A45CF" w:rsidRPr="005D5611" w:rsidRDefault="00947966" w:rsidP="003A45CF">
      <w:pPr>
        <w:pStyle w:val="SMText"/>
      </w:pPr>
      <w:r w:rsidRPr="005D5611">
        <w:rPr>
          <w:noProof/>
          <w:position w:val="-24"/>
        </w:rPr>
        <w:object w:dxaOrig="1280" w:dyaOrig="620" w14:anchorId="1E88789F">
          <v:shape id="_x0000_i1073" type="#_x0000_t75" alt="" style="width:63.2pt;height:29.85pt;mso-width-percent:0;mso-height-percent:0;mso-width-percent:0;mso-height-percent:0" o:ole="">
            <v:imagedata r:id="rId113" o:title=""/>
          </v:shape>
          <o:OLEObject Type="Embed" ProgID="Equation.DSMT4" ShapeID="_x0000_i1073" DrawAspect="Content" ObjectID="_1662177482" r:id="rId114"/>
        </w:object>
      </w:r>
      <w:r w:rsidR="003A45CF" w:rsidRPr="005D5611">
        <w:tab/>
      </w:r>
      <w:r w:rsidR="003A45CF" w:rsidRPr="005D5611">
        <w:tab/>
      </w:r>
      <w:r w:rsidR="003A45CF" w:rsidRPr="005D5611">
        <w:tab/>
      </w:r>
      <w:r w:rsidR="003A45CF" w:rsidRPr="005D5611">
        <w:tab/>
      </w:r>
      <w:r w:rsidR="003A45CF" w:rsidRPr="005D5611">
        <w:tab/>
      </w:r>
      <w:r w:rsidR="003A45CF" w:rsidRPr="005D5611">
        <w:tab/>
      </w:r>
      <w:r w:rsidR="003A45CF" w:rsidRPr="005D5611">
        <w:tab/>
      </w:r>
      <w:r w:rsidR="003A45CF" w:rsidRPr="005D5611">
        <w:tab/>
      </w:r>
      <w:r w:rsidR="003A45CF" w:rsidRPr="005D5611">
        <w:tab/>
        <w:t>(S16)</w:t>
      </w:r>
    </w:p>
    <w:p w14:paraId="00383069" w14:textId="77777777" w:rsidR="003A45CF" w:rsidRPr="005D5611" w:rsidRDefault="003A45CF" w:rsidP="003A45CF">
      <w:pPr>
        <w:pStyle w:val="SMText"/>
      </w:pPr>
      <w:r w:rsidRPr="005D5611">
        <w:t>The maximum reproduction demand rate (</w:t>
      </w:r>
      <w:r w:rsidRPr="005D5611">
        <w:rPr>
          <w:i/>
        </w:rPr>
        <w:t>D</w:t>
      </w:r>
      <w:r w:rsidRPr="005D5611">
        <w:rPr>
          <w:i/>
          <w:vertAlign w:val="subscript"/>
        </w:rPr>
        <w:t>F</w:t>
      </w:r>
      <w:r w:rsidRPr="005D5611">
        <w:rPr>
          <w:i/>
        </w:rPr>
        <w:t xml:space="preserve">, </w:t>
      </w:r>
      <w:r w:rsidRPr="005D5611">
        <w:t>eqn. S13) by all females (</w:t>
      </w:r>
      <w:r w:rsidRPr="005D5611">
        <w:rPr>
          <w:i/>
        </w:rPr>
        <w:t>srN(x)</w:t>
      </w:r>
      <w:r w:rsidRPr="005D5611">
        <w:t>) may vary with the sex ratio (</w:t>
      </w:r>
      <w:r w:rsidRPr="005D5611">
        <w:rPr>
          <w:i/>
        </w:rPr>
        <w:t>sr</w:t>
      </w:r>
      <w:r w:rsidRPr="005D5611">
        <w:t xml:space="preserve">), nutrition </w:t>
      </w:r>
      <w:r w:rsidR="00947966" w:rsidRPr="005D5611">
        <w:rPr>
          <w:noProof/>
          <w:position w:val="-14"/>
        </w:rPr>
        <w:object w:dxaOrig="1120" w:dyaOrig="380" w14:anchorId="47A53EF5">
          <v:shape id="_x0000_i1074" type="#_x0000_t75" alt="" style="width:54.45pt;height:19.3pt;mso-width-percent:0;mso-height-percent:0;mso-width-percent:0;mso-height-percent:0" o:ole="">
            <v:imagedata r:id="rId115" o:title=""/>
          </v:shape>
          <o:OLEObject Type="Embed" ProgID="Equation.DSMT4" ShapeID="_x0000_i1074" DrawAspect="Content" ObjectID="_1662177483" r:id="rId116"/>
        </w:object>
      </w:r>
      <w:r w:rsidRPr="005D5611">
        <w:t xml:space="preserve">, relative humidity </w:t>
      </w:r>
      <w:r w:rsidR="00947966" w:rsidRPr="005D5611">
        <w:rPr>
          <w:noProof/>
          <w:position w:val="-12"/>
        </w:rPr>
        <w:object w:dxaOrig="1240" w:dyaOrig="360" w14:anchorId="2BE3D841">
          <v:shape id="_x0000_i1075" type="#_x0000_t75" alt="" style="width:62.05pt;height:18.75pt;mso-width-percent:0;mso-height-percent:0;mso-width-percent:0;mso-height-percent:0" o:ole="">
            <v:imagedata r:id="rId117" o:title=""/>
          </v:shape>
          <o:OLEObject Type="Embed" ProgID="Equation.DSMT4" ShapeID="_x0000_i1075" DrawAspect="Content" ObjectID="_1662177484" r:id="rId118"/>
        </w:object>
      </w:r>
      <w:r w:rsidRPr="005D5611">
        <w:t xml:space="preserve">, temperature </w:t>
      </w:r>
      <w:r w:rsidR="00947966" w:rsidRPr="005D5611">
        <w:rPr>
          <w:noProof/>
          <w:position w:val="-12"/>
        </w:rPr>
        <w:object w:dxaOrig="1120" w:dyaOrig="360" w14:anchorId="3F07B904">
          <v:shape id="_x0000_i1076" type="#_x0000_t75" alt="" style="width:54.45pt;height:18.75pt;mso-width-percent:0;mso-height-percent:0;mso-width-percent:0;mso-height-percent:0" o:ole="">
            <v:imagedata r:id="rId119" o:title=""/>
          </v:shape>
          <o:OLEObject Type="Embed" ProgID="Equation.DSMT4" ShapeID="_x0000_i1076" DrawAspect="Content" ObjectID="_1662177485" r:id="rId120"/>
        </w:object>
      </w:r>
      <w:r w:rsidRPr="005D5611">
        <w:rPr>
          <w:noProof/>
        </w:rPr>
        <w:t xml:space="preserve">, </w:t>
      </w:r>
      <w:r w:rsidRPr="005D5611">
        <w:t xml:space="preserve">and possibly other factors at time </w:t>
      </w:r>
      <w:r w:rsidRPr="005D5611">
        <w:rPr>
          <w:i/>
        </w:rPr>
        <w:t>t</w:t>
      </w:r>
      <w:r w:rsidRPr="005D5611">
        <w:t xml:space="preserve"> (see components in Figs. S8a, d, e).</w:t>
      </w:r>
    </w:p>
    <w:p w14:paraId="06A5D668" w14:textId="77777777" w:rsidR="003A45CF" w:rsidRPr="005D5611" w:rsidRDefault="00947966" w:rsidP="003A45CF">
      <w:pPr>
        <w:pStyle w:val="SMText"/>
      </w:pPr>
      <w:r w:rsidRPr="005D5611">
        <w:rPr>
          <w:noProof/>
          <w:position w:val="-28"/>
        </w:rPr>
        <w:object w:dxaOrig="3519" w:dyaOrig="700" w14:anchorId="4DE4D2B9">
          <v:shape id="_x0000_i1077" type="#_x0000_t75" alt="" style="width:179.1pt;height:35.1pt;mso-width-percent:0;mso-height-percent:0;mso-width-percent:0;mso-height-percent:0" o:ole="">
            <v:imagedata r:id="rId121" o:title=""/>
          </v:shape>
          <o:OLEObject Type="Embed" ProgID="Equation.DSMT4" ShapeID="_x0000_i1077" DrawAspect="Content" ObjectID="_1662177486" r:id="rId122"/>
        </w:object>
      </w:r>
      <w:r w:rsidR="003A45CF" w:rsidRPr="005D5611">
        <w:t>),</w:t>
      </w:r>
      <w:r w:rsidR="003A45CF" w:rsidRPr="005D5611">
        <w:tab/>
      </w:r>
      <w:r w:rsidR="003A45CF" w:rsidRPr="005D5611">
        <w:tab/>
      </w:r>
      <w:r w:rsidR="003A45CF" w:rsidRPr="005D5611">
        <w:tab/>
      </w:r>
      <w:r w:rsidR="003A45CF" w:rsidRPr="005D5611">
        <w:tab/>
      </w:r>
      <w:r w:rsidR="003A45CF" w:rsidRPr="005D5611">
        <w:tab/>
      </w:r>
      <w:r w:rsidR="003A45CF" w:rsidRPr="005D5611">
        <w:tab/>
        <w:t>(S17)</w:t>
      </w:r>
    </w:p>
    <w:p w14:paraId="231F1858" w14:textId="3755120A" w:rsidR="003A45CF" w:rsidRPr="005D5611" w:rsidRDefault="003A45CF" w:rsidP="003A45CF">
      <w:pPr>
        <w:pStyle w:val="SMText"/>
        <w:ind w:firstLine="0"/>
      </w:pPr>
      <w:r w:rsidRPr="005D5611">
        <w:t xml:space="preserve">where </w:t>
      </w:r>
      <w:r w:rsidR="00947966" w:rsidRPr="005D5611">
        <w:rPr>
          <w:noProof/>
          <w:position w:val="-6"/>
        </w:rPr>
        <w:object w:dxaOrig="340" w:dyaOrig="279" w14:anchorId="37C496DC">
          <v:shape id="_x0000_i1078" type="#_x0000_t75" alt="" style="width:18.75pt;height:14.05pt;mso-width-percent:0;mso-height-percent:0;mso-width-percent:0;mso-height-percent:0" o:ole="">
            <v:imagedata r:id="rId123" o:title=""/>
          </v:shape>
          <o:OLEObject Type="Embed" ProgID="Equation.DSMT4" ShapeID="_x0000_i1078" DrawAspect="Content" ObjectID="_1662177487" r:id="rId124"/>
        </w:object>
      </w:r>
      <w:r w:rsidRPr="005D5611">
        <w:t xml:space="preserve">is the change in physiological time and </w:t>
      </w:r>
      <w:r w:rsidR="00947966" w:rsidRPr="005D5611">
        <w:rPr>
          <w:noProof/>
          <w:position w:val="-12"/>
        </w:rPr>
        <w:object w:dxaOrig="1200" w:dyaOrig="380" w14:anchorId="647C9E6A">
          <v:shape id="_x0000_i1079" type="#_x0000_t75" alt="" style="width:60.3pt;height:19.3pt;mso-width-percent:0;mso-height-percent:0;mso-width-percent:0;mso-height-percent:0" o:ole="">
            <v:imagedata r:id="rId125" o:title=""/>
          </v:shape>
          <o:OLEObject Type="Embed" ProgID="Equation.DSMT4" ShapeID="_x0000_i1079" DrawAspect="Content" ObjectID="_1662177488" r:id="rId126"/>
        </w:object>
      </w:r>
      <w:r w:rsidRPr="005D5611">
        <w:t xml:space="preserve">is the realized reproductive rate with </w:t>
      </w:r>
      <w:r w:rsidRPr="005D5611">
        <w:rPr>
          <w:i/>
        </w:rPr>
        <w:t>h(u)</w:t>
      </w:r>
      <w:r w:rsidRPr="005D5611">
        <w:t xml:space="preserve"> defining the proportion of the reproductive demand satisfied (eqns. S1</w:t>
      </w:r>
      <w:r w:rsidR="00C06C3F">
        <w:t>4</w:t>
      </w:r>
      <w:r w:rsidRPr="005D5611">
        <w:t>, S1</w:t>
      </w:r>
      <w:r w:rsidR="00C06C3F">
        <w:t>5</w:t>
      </w:r>
      <w:r w:rsidRPr="005D5611">
        <w:t>).</w:t>
      </w:r>
      <w:r w:rsidRPr="005D5611" w:rsidDel="00435277">
        <w:t xml:space="preserve"> </w:t>
      </w:r>
      <w:r w:rsidRPr="005D5611">
        <w:t xml:space="preserve">An important aside is that the concave function </w:t>
      </w:r>
      <w:r w:rsidR="00947966" w:rsidRPr="005D5611">
        <w:rPr>
          <w:noProof/>
          <w:position w:val="-12"/>
        </w:rPr>
        <w:object w:dxaOrig="279" w:dyaOrig="360" w14:anchorId="350BFB41">
          <v:shape id="_x0000_i1080" type="#_x0000_t75" alt="" style="width:14.05pt;height:18.75pt;mso-width-percent:0;mso-height-percent:0;mso-width-percent:0;mso-height-percent:0" o:ole="">
            <v:imagedata r:id="rId127" o:title=""/>
          </v:shape>
          <o:OLEObject Type="Embed" ProgID="Equation.DSMT4" ShapeID="_x0000_i1080" DrawAspect="Content" ObjectID="_1662177489" r:id="rId128"/>
        </w:object>
      </w:r>
      <w:r w:rsidRPr="005D5611">
        <w:t xml:space="preserve">(Fig. S8e) may be viewed as the normalized difference between the resource acquisition rate and respiration plus conversion costs at temperature </w:t>
      </w:r>
      <w:r w:rsidRPr="005D5611">
        <w:rPr>
          <w:i/>
        </w:rPr>
        <w:t>T</w:t>
      </w:r>
      <w:r w:rsidRPr="005D5611">
        <w:t xml:space="preserve">. </w:t>
      </w:r>
    </w:p>
    <w:p w14:paraId="7AF5B188" w14:textId="77777777" w:rsidR="003A45CF" w:rsidRPr="005D5611" w:rsidRDefault="003A45CF" w:rsidP="003A45CF">
      <w:pPr>
        <w:pStyle w:val="SMText"/>
      </w:pPr>
      <w:r w:rsidRPr="005D5611">
        <w:t>The per capita growth rate can be modeled in a similar manner. The scalars that capture the effects of temperature, nutrition and other factors on vital rates, allow side stepping the development of the more complex metabolic pool model.</w:t>
      </w:r>
    </w:p>
    <w:p w14:paraId="3EA8A5F4" w14:textId="77777777" w:rsidR="003A45CF" w:rsidRPr="005D5611" w:rsidRDefault="003A45CF" w:rsidP="003A45CF">
      <w:pPr>
        <w:pStyle w:val="SMText"/>
      </w:pPr>
    </w:p>
    <w:p w14:paraId="66F36751" w14:textId="77777777" w:rsidR="003A45CF" w:rsidRPr="005D5611" w:rsidRDefault="003A45CF" w:rsidP="003A45CF">
      <w:pPr>
        <w:pStyle w:val="SMText"/>
        <w:ind w:firstLine="0"/>
        <w:rPr>
          <w:i/>
        </w:rPr>
      </w:pPr>
      <w:bookmarkStart w:id="33" w:name="_Toc15650845"/>
      <w:bookmarkStart w:id="34" w:name="_Hlk518368051"/>
      <w:r w:rsidRPr="005D5611">
        <w:rPr>
          <w:b/>
        </w:rPr>
        <w:t>S4.4 Mortality</w:t>
      </w:r>
      <w:bookmarkEnd w:id="33"/>
      <w:r w:rsidRPr="005D5611">
        <w:rPr>
          <w:rStyle w:val="Heading2Char"/>
        </w:rPr>
        <w:t xml:space="preserve"> </w:t>
      </w:r>
      <w:bookmarkEnd w:id="34"/>
      <w:r w:rsidRPr="005D5611">
        <w:rPr>
          <w:b/>
        </w:rPr>
        <w:t xml:space="preserve">– </w:t>
      </w:r>
      <w:r w:rsidRPr="005D5611">
        <w:t xml:space="preserve">Temperature dependent mortality of stage </w:t>
      </w:r>
      <w:r w:rsidRPr="005D5611">
        <w:rPr>
          <w:i/>
        </w:rPr>
        <w:t xml:space="preserve">s </w:t>
      </w:r>
      <w:r w:rsidRPr="005D5611">
        <w:t>is assumed to be minimal at the optimum temperature which occurs near the midrange of temperatures suitable for development (i.e.</w:t>
      </w:r>
      <w:r w:rsidR="00947966" w:rsidRPr="005D5611">
        <w:rPr>
          <w:noProof/>
          <w:position w:val="-12"/>
        </w:rPr>
        <w:object w:dxaOrig="1579" w:dyaOrig="360" w14:anchorId="20A7D22A">
          <v:shape id="_x0000_i1081" type="#_x0000_t75" alt="" style="width:77.85pt;height:18.75pt;mso-width-percent:0;mso-height-percent:0;mso-width-percent:0;mso-height-percent:0" o:ole="">
            <v:imagedata r:id="rId129" o:title=""/>
          </v:shape>
          <o:OLEObject Type="Embed" ProgID="Equation.DSMT4" ShapeID="_x0000_i1081" DrawAspect="Content" ObjectID="_1662177490" r:id="rId130"/>
        </w:object>
      </w:r>
      <w:r w:rsidRPr="005D5611">
        <w:rPr>
          <w:rFonts w:eastAsiaTheme="minorHAnsi"/>
        </w:rPr>
        <w:t xml:space="preserve">) </w:t>
      </w:r>
      <w:r w:rsidRPr="005D5611">
        <w:t xml:space="preserve">and is convex increasing above and below </w:t>
      </w:r>
      <w:r w:rsidR="00947966" w:rsidRPr="005D5611">
        <w:rPr>
          <w:noProof/>
          <w:position w:val="-12"/>
        </w:rPr>
        <w:object w:dxaOrig="279" w:dyaOrig="360" w14:anchorId="67D35B98">
          <v:shape id="_x0000_i1082" type="#_x0000_t75" alt="" style="width:14.05pt;height:18.75pt;mso-width-percent:0;mso-height-percent:0;mso-width-percent:0;mso-height-percent:0" o:ole="">
            <v:imagedata r:id="rId131" o:title=""/>
          </v:shape>
          <o:OLEObject Type="Embed" ProgID="Equation.DSMT4" ShapeID="_x0000_i1082" DrawAspect="Content" ObjectID="_1662177491" r:id="rId132"/>
        </w:object>
      </w:r>
      <w:r w:rsidRPr="005D5611">
        <w:t xml:space="preserve"> temperature (Fig. S8f). The simplest model is eqn. S18.</w:t>
      </w:r>
      <w:r w:rsidRPr="005D5611">
        <w:rPr>
          <w:i/>
        </w:rPr>
        <w:t xml:space="preserve"> </w:t>
      </w:r>
    </w:p>
    <w:p w14:paraId="22CF7AED" w14:textId="77777777" w:rsidR="003A45CF" w:rsidRPr="005D5611" w:rsidRDefault="00947966" w:rsidP="003A45CF">
      <w:pPr>
        <w:pStyle w:val="SMText"/>
        <w:rPr>
          <w:color w:val="000000"/>
        </w:rPr>
      </w:pPr>
      <w:r w:rsidRPr="005D5611">
        <w:rPr>
          <w:noProof/>
          <w:color w:val="000000"/>
          <w:position w:val="-32"/>
        </w:rPr>
        <w:object w:dxaOrig="3220" w:dyaOrig="820" w14:anchorId="4E1F0B2E">
          <v:shape id="_x0000_i1083" type="#_x0000_t75" alt="" style="width:162.75pt;height:41pt;mso-width-percent:0;mso-height-percent:0;mso-width-percent:0;mso-height-percent:0" o:ole="">
            <v:imagedata r:id="rId133" o:title=""/>
          </v:shape>
          <o:OLEObject Type="Embed" ProgID="Equation.DSMT4" ShapeID="_x0000_i1083" DrawAspect="Content" ObjectID="_1662177492" r:id="rId134"/>
        </w:object>
      </w:r>
      <w:r w:rsidR="003A45CF" w:rsidRPr="005D5611">
        <w:rPr>
          <w:color w:val="000000"/>
        </w:rPr>
        <w:t>,</w:t>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r>
      <w:r w:rsidR="003A45CF" w:rsidRPr="005D5611">
        <w:rPr>
          <w:color w:val="000000"/>
        </w:rPr>
        <w:tab/>
        <w:t>(S18)</w:t>
      </w:r>
    </w:p>
    <w:p w14:paraId="0CAB8A2D" w14:textId="77777777" w:rsidR="003A45CF" w:rsidRPr="005D5611" w:rsidRDefault="003A45CF" w:rsidP="003A45CF">
      <w:pPr>
        <w:pStyle w:val="SMText"/>
        <w:ind w:firstLine="0"/>
      </w:pPr>
      <w:r w:rsidRPr="005D5611">
        <w:t xml:space="preserve">where </w:t>
      </w:r>
      <w:r w:rsidR="00947966" w:rsidRPr="005D5611">
        <w:rPr>
          <w:noProof/>
          <w:position w:val="-6"/>
        </w:rPr>
        <w:object w:dxaOrig="220" w:dyaOrig="279" w14:anchorId="4D4B2C4A">
          <v:shape id="_x0000_i1084" type="#_x0000_t75" alt="" style="width:11.7pt;height:14.05pt;mso-width-percent:0;mso-height-percent:0;mso-width-percent:0;mso-height-percent:0" o:ole="">
            <v:imagedata r:id="rId135" o:title=""/>
          </v:shape>
          <o:OLEObject Type="Embed" ProgID="Equation.DSMT4" ShapeID="_x0000_i1084" DrawAspect="Content" ObjectID="_1662177493" r:id="rId136"/>
        </w:object>
      </w:r>
      <w:r w:rsidRPr="005D5611">
        <w:t xml:space="preserve"> is a constant, but it could be a </w:t>
      </w:r>
      <w:r w:rsidRPr="005D5611">
        <w:rPr>
          <w:color w:val="000000"/>
        </w:rPr>
        <w:t xml:space="preserve">function that accommodates say the effects of nutrition, </w:t>
      </w:r>
      <w:r w:rsidRPr="005D5611">
        <w:rPr>
          <w:i/>
          <w:color w:val="000000"/>
        </w:rPr>
        <w:t>RH</w:t>
      </w:r>
      <w:r w:rsidRPr="005D5611">
        <w:rPr>
          <w:color w:val="000000"/>
        </w:rPr>
        <w:t xml:space="preserve"> and other factors, and enters the model as a survivorship term </w:t>
      </w:r>
      <w:r w:rsidR="00947966" w:rsidRPr="005D5611">
        <w:rPr>
          <w:noProof/>
          <w:color w:val="000000"/>
          <w:position w:val="-12"/>
        </w:rPr>
        <w:object w:dxaOrig="2320" w:dyaOrig="360" w14:anchorId="68B5BF83">
          <v:shape id="_x0000_i1085" type="#_x0000_t75" alt="" style="width:117.05pt;height:18.75pt;mso-width-percent:0;mso-height-percent:0;mso-width-percent:0;mso-height-percent:0" o:ole="">
            <v:imagedata r:id="rId137" o:title=""/>
          </v:shape>
          <o:OLEObject Type="Embed" ProgID="Equation.DSMT4" ShapeID="_x0000_i1085" DrawAspect="Content" ObjectID="_1662177494" r:id="rId138"/>
        </w:object>
      </w:r>
      <w:r w:rsidRPr="005D5611">
        <w:rPr>
          <w:color w:val="000000"/>
        </w:rPr>
        <w:t xml:space="preserve">. </w:t>
      </w:r>
      <w:r w:rsidRPr="005D5611">
        <w:t xml:space="preserve">Some species may become cold or heat tolerant during periods of dormancy and the mortality function may be shifted several degrees during these critical time periods. The mortality from higher trophic levels (e.g., </w:t>
      </w:r>
      <w:r w:rsidR="00947966" w:rsidRPr="005D5611">
        <w:rPr>
          <w:noProof/>
          <w:position w:val="-12"/>
        </w:rPr>
        <w:object w:dxaOrig="1460" w:dyaOrig="360" w14:anchorId="1A774F94">
          <v:shape id="_x0000_i1086" type="#_x0000_t75" alt="" style="width:72.6pt;height:18.75pt;mso-width-percent:0;mso-height-percent:0;mso-width-percent:0;mso-height-percent:0" o:ole="">
            <v:imagedata r:id="rId139" o:title=""/>
          </v:shape>
          <o:OLEObject Type="Embed" ProgID="Equation.DSMT4" ShapeID="_x0000_i1086" DrawAspect="Content" ObjectID="_1662177495" r:id="rId140"/>
        </w:object>
      </w:r>
      <w:r w:rsidRPr="005D5611">
        <w:t xml:space="preserve">; Eqn. S1) can also be incorporated as additional loss rates (e.g., </w:t>
      </w:r>
      <w:r w:rsidRPr="005D5611">
        <w:sym w:font="Symbol" w:char="F06D"/>
      </w:r>
      <w:r w:rsidRPr="005D5611">
        <w:rPr>
          <w:vertAlign w:val="subscript"/>
        </w:rPr>
        <w:t>i+1</w:t>
      </w:r>
      <w:r w:rsidRPr="005D5611">
        <w:t>).</w:t>
      </w:r>
    </w:p>
    <w:p w14:paraId="2BE09D0B" w14:textId="77777777" w:rsidR="003A45CF" w:rsidRPr="005D5611" w:rsidRDefault="003A45CF" w:rsidP="003A45CF">
      <w:pPr>
        <w:pStyle w:val="SMText"/>
      </w:pPr>
    </w:p>
    <w:p w14:paraId="62F5676A" w14:textId="16385373" w:rsidR="003A45CF" w:rsidRPr="005D5611" w:rsidRDefault="003A45CF" w:rsidP="003A45CF">
      <w:pPr>
        <w:pStyle w:val="SMText"/>
      </w:pPr>
      <w:bookmarkStart w:id="35" w:name="_Toc15650846"/>
      <w:bookmarkStart w:id="36" w:name="_Hlk518368062"/>
      <w:r w:rsidRPr="005D5611">
        <w:rPr>
          <w:b/>
        </w:rPr>
        <w:t>S4.5 Dormancy</w:t>
      </w:r>
      <w:bookmarkEnd w:id="35"/>
      <w:r w:rsidRPr="005D5611">
        <w:rPr>
          <w:b/>
        </w:rPr>
        <w:t xml:space="preserve"> –</w:t>
      </w:r>
      <w:r w:rsidRPr="005D5611">
        <w:t xml:space="preserve"> </w:t>
      </w:r>
      <w:bookmarkEnd w:id="36"/>
      <w:r w:rsidRPr="005D5611">
        <w:t xml:space="preserve">Dormancy may occur in perennial plants in many stages (e.g., whole plants, bulbs, seed) and similarly in different stages in pokilothermic animals. Dormancy may be induced by low or high temperature, and short photoperiod or other factors (see </w:t>
      </w:r>
      <w:r w:rsidRPr="005D5611">
        <w:fldChar w:fldCharType="begin"/>
      </w:r>
      <w:r w:rsidR="00FF3F09">
        <w:instrText xml:space="preserve"> ADDIN ZOTERO_ITEM CSL_CITATION {"citationID":"agauhuj1oi","properties":{"formattedCitation":"[144]","plainCitation":"[144]","noteIndex":0},"citationItems":[{"id":1785,"uris":["http://zotero.org/users/1272936/items/MRNKXC69"],"uri":["http://zotero.org/users/1272936/items/MRNKXC69"],"itemData":{"id":1785,"type":"chapter","container-title":"Ecological entomology","event-place":"New York, USA","publisher":"John Wiley and Sons","publisher-place":"New York, USA","title":"Adaptations to hazardous seasonal conditions: dormancy, migration, and polyphenism","author":[{"family":"Nechols","given":"J. R."},{"family":"Tauber","given":"M. J."},{"family":"Tauber","given":"C. A."},{"family":"Masaki","given":"S."}],"editor":[{"family":"Huffaker","given":"C.B."},{"family":"Gutierrez","given":"A.P."}],"issued":{"date-parts":[["1999"]]}}}],"schema":"https://github.com/citation-style-language/schema/raw/master/csl-citation.json"} </w:instrText>
      </w:r>
      <w:r w:rsidRPr="005D5611">
        <w:fldChar w:fldCharType="separate"/>
      </w:r>
      <w:r w:rsidR="00C51ED3">
        <w:t>[144]</w:t>
      </w:r>
      <w:r w:rsidRPr="005D5611">
        <w:fldChar w:fldCharType="end"/>
      </w:r>
      <w:r w:rsidRPr="005D5611">
        <w:t>). In some cases, modeling this behavior may be relatively simple or may be more complicated as different portions of the population may enter dormancy at different times over extended periods of time due to the level of one or more environmental cues. Two examples of diapause are illustrated in Figs. S8: a simple model for grape berry moth (</w:t>
      </w:r>
      <w:r w:rsidRPr="005D5611">
        <w:rPr>
          <w:i/>
        </w:rPr>
        <w:t>Lobesia botrana</w:t>
      </w:r>
      <w:r w:rsidRPr="005D5611">
        <w:t>; Fig. S8g) and a more complicated model for the pink bollworm (</w:t>
      </w:r>
      <w:r w:rsidRPr="005D5611">
        <w:rPr>
          <w:i/>
        </w:rPr>
        <w:t xml:space="preserve">Pectinophora gossypiella </w:t>
      </w:r>
      <w:r w:rsidRPr="005D5611">
        <w:t>(PBW); Fig.</w:t>
      </w:r>
      <w:r w:rsidRPr="005D5611">
        <w:rPr>
          <w:i/>
        </w:rPr>
        <w:t xml:space="preserve"> </w:t>
      </w:r>
      <w:r w:rsidRPr="005D5611">
        <w:t xml:space="preserve">S8h; </w:t>
      </w:r>
      <w:r w:rsidRPr="005D5611">
        <w:fldChar w:fldCharType="begin"/>
      </w:r>
      <w:r w:rsidR="00FF3F09">
        <w:instrText xml:space="preserve"> ADDIN ZOTERO_ITEM CSL_CITATION {"citationID":"LAdywyTm","properties":{"formattedCitation":"[49]","plainCitation":"[49]","dontUpdate":true,"noteIndex":0},"citationItems":[{"id":13103,"uris":["http://zotero.org/users/1272936/items/JN3PF2PL"],"uri":["http://zotero.org/users/1272936/items/JN3PF2PL"],"itemData":{"id":13103,"type":"article-journal","abstract":"Published bi- and tri-trophic physiologically based demographic system models having similar sub components are used to assess prospectively the geographic distributions and relative abundance (a measure of invasiveness) of six invasive herbivorous insect species across the United States and Mexico. The plant hosts and insect species included in the study are: 1) cotton/pink bollworm, 2) a fruit tree host/Mediterranean fruit fly, 3) olive/olive fly, 4) a perennial host/light brown apple moth, 5) grapevine/glassy-winged sharpshooter and its two egg parasitoids, and 6) grapevine/European grapevine moth. All of these species are currently or have been targets for eradication. The goal of the analyses is to predict and explain prospectively the disparate distributions of the six species as a basis for examining eradication or containment efforts against them. The eradication of the new world screwworm is also reviewed in the discussion section because of its pivotal role in the development of the eradication paradigm. The models used are mechanistic descriptions of the weather driven biology of the species. Observed daily weather data (i.e., max-min temperatures, solar radiation) from 1,221 locations across the United States and Mexico for the period 1983-2003 were used to drive the models. Soil moisture and nutrition were assumed nonlimiting. The simulation results were mapped using GRASS GIS. The mathematical underpinnings of the modeling approach are reviewed in the appendix and in the supplemental materials.","container-title":"Environmental Entomology","DOI":"10.1603/EN12018","ISSN":"1938-2936 (Electronic) 0046-225X (Linking)","issue":"3","journalAbbreviation":"Environ. Entomol.","page":"395-411","title":"Eradication of invasive species: why the biology matters","volume":"42","author":[{"family":"Gutierrez","given":"A. P."},{"family":"Ponti","given":"L."}],"issued":{"date-parts":[["2013",6]]}}}],"schema":"https://github.com/citation-style-language/schema/raw/master/csl-citation.json"} </w:instrText>
      </w:r>
      <w:r w:rsidRPr="005D5611">
        <w:fldChar w:fldCharType="separate"/>
      </w:r>
      <w:r w:rsidRPr="005D5611">
        <w:t>[36]</w:t>
      </w:r>
      <w:r w:rsidRPr="005D5611">
        <w:fldChar w:fldCharType="end"/>
      </w:r>
      <w:r w:rsidRPr="005D5611">
        <w:t>). Modeling dormancy is critical if one seeks to predict the phenology and dynamics of field populations across years as was done in the text for pink bollworm, and is especially critical in modeling field dynamics across a wide geographic area. Figure S8h shows one solution for modelling diapause, say in PBW (see Fig. S9).</w:t>
      </w:r>
      <w:bookmarkStart w:id="37" w:name="_Hlk518368082"/>
    </w:p>
    <w:p w14:paraId="7B8D4517" w14:textId="77777777" w:rsidR="003A45CF" w:rsidRPr="005D5611" w:rsidRDefault="003A45CF" w:rsidP="003A45CF">
      <w:pPr>
        <w:pStyle w:val="SMcaption"/>
        <w:jc w:val="center"/>
      </w:pPr>
      <w:r w:rsidRPr="005D5611">
        <w:rPr>
          <w:noProof/>
        </w:rPr>
        <w:drawing>
          <wp:inline distT="0" distB="0" distL="0" distR="0" wp14:anchorId="71F77263" wp14:editId="3CEC26FE">
            <wp:extent cx="4260605" cy="3116969"/>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4357948" cy="3188183"/>
                    </a:xfrm>
                    <a:prstGeom prst="rect">
                      <a:avLst/>
                    </a:prstGeom>
                  </pic:spPr>
                </pic:pic>
              </a:graphicData>
            </a:graphic>
          </wp:inline>
        </w:drawing>
      </w:r>
    </w:p>
    <w:p w14:paraId="75A07FA9" w14:textId="77777777" w:rsidR="003A45CF" w:rsidRPr="005D5611" w:rsidRDefault="003A45CF" w:rsidP="003A45CF">
      <w:pPr>
        <w:pStyle w:val="SMcaption"/>
      </w:pPr>
      <w:r w:rsidRPr="005D5611">
        <w:t>c.</w:t>
      </w:r>
    </w:p>
    <w:p w14:paraId="294E5D6C" w14:textId="77777777" w:rsidR="003A45CF" w:rsidRPr="005D5611" w:rsidRDefault="003A45CF" w:rsidP="003A45CF">
      <w:pPr>
        <w:pStyle w:val="SMcaption"/>
        <w:jc w:val="center"/>
      </w:pPr>
      <w:r w:rsidRPr="005D5611">
        <w:rPr>
          <w:noProof/>
        </w:rPr>
        <w:drawing>
          <wp:inline distT="0" distB="0" distL="0" distR="0" wp14:anchorId="4AA0AED2" wp14:editId="115F923F">
            <wp:extent cx="4077799" cy="2295940"/>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167675" cy="2346543"/>
                    </a:xfrm>
                    <a:prstGeom prst="rect">
                      <a:avLst/>
                    </a:prstGeom>
                  </pic:spPr>
                </pic:pic>
              </a:graphicData>
            </a:graphic>
          </wp:inline>
        </w:drawing>
      </w:r>
    </w:p>
    <w:p w14:paraId="3E62C8C8" w14:textId="77777777" w:rsidR="003A45CF" w:rsidRPr="005D5611" w:rsidRDefault="003A45CF" w:rsidP="003A45CF">
      <w:pPr>
        <w:pStyle w:val="SMcaption"/>
        <w:rPr>
          <w:b/>
        </w:rPr>
      </w:pPr>
    </w:p>
    <w:p w14:paraId="6EBD849C" w14:textId="77777777" w:rsidR="003A45CF" w:rsidRPr="005D5611" w:rsidRDefault="003A45CF" w:rsidP="003A45CF">
      <w:pPr>
        <w:pStyle w:val="SMcaption"/>
        <w:rPr>
          <w:rFonts w:eastAsia="HelveticaLTStd-Roman"/>
        </w:rPr>
      </w:pPr>
      <w:r w:rsidRPr="005D5611">
        <w:rPr>
          <w:b/>
        </w:rPr>
        <w:t>Fig. S9.</w:t>
      </w:r>
      <w:r w:rsidRPr="005D5611">
        <w:t xml:space="preserve"> </w:t>
      </w:r>
      <w:r w:rsidRPr="005D5611">
        <w:rPr>
          <w:rFonts w:eastAsia="HelveticaLTStd-Roman"/>
        </w:rPr>
        <w:t>Sub model for diapause induction. (</w:t>
      </w:r>
      <w:r w:rsidRPr="005D5611">
        <w:rPr>
          <w:rFonts w:eastAsia="HelveticaLTStd-Roman"/>
          <w:b/>
        </w:rPr>
        <w:t>a</w:t>
      </w:r>
      <w:r w:rsidRPr="005D5611">
        <w:rPr>
          <w:rFonts w:eastAsia="HelveticaLTStd-Roman"/>
        </w:rPr>
        <w:t>) An age-structured models for the dynamics of a non-diapause (open symbols) species with egg (</w:t>
      </w:r>
      <w:r w:rsidRPr="005D5611">
        <w:rPr>
          <w:rFonts w:eastAsia="HelveticaLTStd-Roman"/>
          <w:i/>
          <w:iCs/>
        </w:rPr>
        <w:t>e</w:t>
      </w:r>
      <w:r w:rsidRPr="005D5611">
        <w:rPr>
          <w:rFonts w:eastAsia="HelveticaLTStd-Roman"/>
        </w:rPr>
        <w:t>), larval (</w:t>
      </w:r>
      <w:r w:rsidRPr="005D5611">
        <w:rPr>
          <w:rFonts w:eastAsia="HelveticaLTStd-Roman"/>
          <w:i/>
          <w:iCs/>
        </w:rPr>
        <w:t>l</w:t>
      </w:r>
      <w:r w:rsidRPr="005D5611">
        <w:rPr>
          <w:rFonts w:eastAsia="HelveticaLTStd-Roman"/>
        </w:rPr>
        <w:t>), pupal (</w:t>
      </w:r>
      <w:r w:rsidRPr="005D5611">
        <w:rPr>
          <w:rFonts w:eastAsia="HelveticaLTStd-Roman"/>
          <w:i/>
          <w:iCs/>
        </w:rPr>
        <w:t>p</w:t>
      </w:r>
      <w:r w:rsidRPr="005D5611">
        <w:rPr>
          <w:rFonts w:eastAsia="HelveticaLTStd-Roman"/>
        </w:rPr>
        <w:t>), and adults (</w:t>
      </w:r>
      <w:r w:rsidRPr="005D5611">
        <w:rPr>
          <w:rFonts w:eastAsia="HelveticaLTStd-Roman"/>
          <w:i/>
          <w:iCs/>
        </w:rPr>
        <w:t>a</w:t>
      </w:r>
      <w:r w:rsidRPr="005D5611">
        <w:rPr>
          <w:rFonts w:eastAsia="HelveticaLTStd-Roman"/>
        </w:rPr>
        <w:t>) stages, and (</w:t>
      </w:r>
      <w:r w:rsidRPr="005D5611">
        <w:rPr>
          <w:rFonts w:eastAsia="HelveticaLTStd-Roman"/>
          <w:b/>
        </w:rPr>
        <w:t>b</w:t>
      </w:r>
      <w:r w:rsidRPr="005D5611">
        <w:rPr>
          <w:rFonts w:eastAsia="HelveticaLTStd-Roman"/>
        </w:rPr>
        <w:t>) an example of a species with the same life stages but with diapause (dark stippled symbols) induction occurring in the egg and larval stages that flow from the non-diapause age classes to same age diapause classes, and (</w:t>
      </w:r>
      <w:r w:rsidRPr="005D5611">
        <w:rPr>
          <w:rFonts w:eastAsia="HelveticaLTStd-Roman"/>
          <w:b/>
        </w:rPr>
        <w:t>c</w:t>
      </w:r>
      <w:r w:rsidRPr="005D5611">
        <w:rPr>
          <w:rFonts w:eastAsia="HelveticaLTStd-Roman"/>
        </w:rPr>
        <w:t>) the diapause model for pink bollworm. (NB Of course diapause may be initiated in any substage.) Development of diapause eggs and larvae continue until they become first stage diapause pupae (black square) that, in spring, begin development (light stippled squares) to emerge as adults. The proportion of the eggs-larvae that enter diapause follow the rules of Fig. 8g, h, and/or other rules. Note that the distribution of developmental times could be any of the family of functions in Fig. S3b.</w:t>
      </w:r>
      <w:r w:rsidRPr="005D5611">
        <w:rPr>
          <w:b/>
        </w:rPr>
        <w:br w:type="page"/>
      </w:r>
    </w:p>
    <w:p w14:paraId="77953A59" w14:textId="3A352509" w:rsidR="003A45CF" w:rsidRPr="00395E09" w:rsidRDefault="003A45CF" w:rsidP="00395E09">
      <w:pPr>
        <w:pStyle w:val="SMText"/>
        <w:spacing w:line="360" w:lineRule="auto"/>
        <w:ind w:firstLine="0"/>
        <w:rPr>
          <w:sz w:val="28"/>
          <w:szCs w:val="28"/>
          <w:u w:val="words"/>
        </w:rPr>
      </w:pPr>
      <w:bookmarkStart w:id="38" w:name="_Toc15650847"/>
      <w:r w:rsidRPr="00395E09">
        <w:rPr>
          <w:sz w:val="28"/>
          <w:szCs w:val="28"/>
          <w:u w:val="words"/>
        </w:rPr>
        <w:t xml:space="preserve">S5 Borland Pascal code for the delay model with and without attrition (eqn. S4; cf. </w:t>
      </w:r>
      <w:r w:rsidRPr="00395E09">
        <w:rPr>
          <w:sz w:val="28"/>
          <w:szCs w:val="28"/>
          <w:u w:val="words"/>
        </w:rPr>
        <w:fldChar w:fldCharType="begin"/>
      </w:r>
      <w:r w:rsidRPr="00395E09">
        <w:rPr>
          <w:sz w:val="28"/>
          <w:szCs w:val="28"/>
          <w:u w:val="words"/>
        </w:rPr>
        <w:instrText xml:space="preserve"> ADDIN ZOTERO_ITEM CSL_CITATION {"citationID":"sVrIva5g","properties":{"formattedCitation":"[55]","plainCitation":"[55]","dontUpdate":true,"noteIndex":0},"citationItems":[{"id":1814,"uris":["http://zotero.org/users/1272936/items/IQ9JZX2N"],"uri":["http://zotero.org/users/1272936/items/IQ9JZX2N"],"itemData":{"id":1814,"type":"article-journal","container-title":"IEEE Transactions on Systems, Man, and Cybernetics","DOI":"10.1109/TSMC.1977.4309800","journalAbbreviation":"IEEE T. Syst. Man Cyb.","page":"635-638","title":"Attrition in distributed delay models","volume":"7","author":[{"family":"Vansickle","given":"J."}],"issued":{"date-parts":[["1977"]]}}}],"schema":"https://github.com/citation-style-language/schema/raw/master/csl-citation.json"} </w:instrText>
      </w:r>
      <w:r w:rsidRPr="00395E09">
        <w:rPr>
          <w:sz w:val="28"/>
          <w:szCs w:val="28"/>
          <w:u w:val="words"/>
        </w:rPr>
        <w:fldChar w:fldCharType="separate"/>
      </w:r>
      <w:r w:rsidRPr="00395E09">
        <w:rPr>
          <w:sz w:val="28"/>
          <w:szCs w:val="28"/>
          <w:u w:val="words"/>
        </w:rPr>
        <w:t>[111]</w:t>
      </w:r>
      <w:r w:rsidRPr="00395E09">
        <w:rPr>
          <w:sz w:val="28"/>
          <w:szCs w:val="28"/>
          <w:u w:val="words"/>
        </w:rPr>
        <w:fldChar w:fldCharType="end"/>
      </w:r>
      <w:r w:rsidRPr="00395E09">
        <w:rPr>
          <w:sz w:val="28"/>
          <w:szCs w:val="28"/>
          <w:u w:val="words"/>
        </w:rPr>
        <w:t xml:space="preserve">; discretization after </w:t>
      </w:r>
      <w:r w:rsidRPr="00395E09">
        <w:rPr>
          <w:sz w:val="28"/>
          <w:szCs w:val="28"/>
          <w:u w:val="words"/>
        </w:rPr>
        <w:fldChar w:fldCharType="begin"/>
      </w:r>
      <w:r w:rsidR="00FF3F09" w:rsidRPr="00395E09">
        <w:rPr>
          <w:sz w:val="28"/>
          <w:szCs w:val="28"/>
          <w:u w:val="words"/>
        </w:rPr>
        <w:instrText xml:space="preserve"> ADDIN ZOTERO_ITEM CSL_CITATION {"citationID":"ao2me6jv1q","properties":{"formattedCitation":"[145]","plainCitation":"[145]","noteIndex":0},"citationItems":[{"id":12308,"uris":["http://zotero.org/users/1272936/items/6LHS6HWV"],"uri":["http://zotero.org/users/1272936/items/6LHS6HWV"],"itemData":{"id":12308,"type":"book","event-place":"Lansing, MI, USA","publisher":"Department of Agricultural Economics, Michigan State University","publisher-place":"Lansing, MI, USA","title":"Computer library for agricultural systems simulation. Distributed delay routines: DEL, DELS, DELF, DELLF, DELVF, DELLVF","author":[{"family":"Abkin","given":"M.H."},{"family":"Wolf","given":"C."}],"issued":{"date-parts":[["1976"]]}}}],"schema":"https://github.com/citation-style-language/schema/raw/master/csl-citation.json"} </w:instrText>
      </w:r>
      <w:r w:rsidRPr="00395E09">
        <w:rPr>
          <w:sz w:val="28"/>
          <w:szCs w:val="28"/>
          <w:u w:val="words"/>
        </w:rPr>
        <w:fldChar w:fldCharType="separate"/>
      </w:r>
      <w:r w:rsidR="00C51ED3">
        <w:rPr>
          <w:sz w:val="28"/>
          <w:szCs w:val="28"/>
          <w:u w:val="words"/>
        </w:rPr>
        <w:t>[145]</w:t>
      </w:r>
      <w:r w:rsidRPr="00395E09">
        <w:rPr>
          <w:sz w:val="28"/>
          <w:szCs w:val="28"/>
          <w:u w:val="words"/>
        </w:rPr>
        <w:fldChar w:fldCharType="end"/>
      </w:r>
      <w:bookmarkEnd w:id="37"/>
      <w:r w:rsidRPr="00395E09">
        <w:rPr>
          <w:sz w:val="28"/>
          <w:szCs w:val="28"/>
          <w:u w:val="words"/>
        </w:rPr>
        <w:t>)</w:t>
      </w:r>
      <w:bookmarkEnd w:id="38"/>
    </w:p>
    <w:p w14:paraId="32EC54E7" w14:textId="77777777" w:rsidR="003A45CF" w:rsidRPr="005D5611" w:rsidRDefault="003A45CF" w:rsidP="003A45CF">
      <w:pPr>
        <w:pStyle w:val="SMSubheading"/>
        <w:rPr>
          <w:sz w:val="28"/>
          <w:szCs w:val="28"/>
          <w:u w:val="none"/>
        </w:rPr>
      </w:pPr>
    </w:p>
    <w:p w14:paraId="2F820367"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Procedure Delay(vin: single);    </w:t>
      </w:r>
    </w:p>
    <w:p w14:paraId="29C945F5"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var {variables that enter with a call to the delay routine}</w:t>
      </w:r>
    </w:p>
    <w:p w14:paraId="298DA30B" w14:textId="77777777" w:rsidR="003A45CF" w:rsidRPr="005D5611" w:rsidRDefault="003A45CF" w:rsidP="003A45CF">
      <w:pPr>
        <w:rPr>
          <w:rFonts w:ascii="Arial" w:hAnsi="Arial" w:cs="Arial"/>
          <w:sz w:val="21"/>
          <w:szCs w:val="21"/>
        </w:rPr>
      </w:pPr>
      <w:r w:rsidRPr="005D5611">
        <w:rPr>
          <w:rFonts w:ascii="Arial" w:hAnsi="Arial" w:cs="Arial"/>
          <w:sz w:val="21"/>
          <w:szCs w:val="21"/>
        </w:rPr>
        <w:tab/>
        <w:t>{vin is the number or mass of new individuals (births or new biomass) at time t}</w:t>
      </w:r>
    </w:p>
    <w:p w14:paraId="39B4AB12" w14:textId="77777777" w:rsidR="003A45CF" w:rsidRPr="005D5611" w:rsidRDefault="003A45CF" w:rsidP="003A45CF">
      <w:pPr>
        <w:ind w:firstLine="720"/>
        <w:rPr>
          <w:rFonts w:ascii="Arial" w:hAnsi="Arial" w:cs="Arial"/>
          <w:sz w:val="21"/>
          <w:szCs w:val="21"/>
        </w:rPr>
      </w:pPr>
      <w:r w:rsidRPr="005D5611">
        <w:rPr>
          <w:rFonts w:ascii="Arial" w:hAnsi="Arial" w:cs="Arial"/>
          <w:sz w:val="21"/>
          <w:szCs w:val="21"/>
        </w:rPr>
        <w:t xml:space="preserve">r    </w:t>
      </w:r>
      <w:r w:rsidRPr="005D5611">
        <w:rPr>
          <w:rFonts w:ascii="Arial" w:hAnsi="Arial" w:cs="Arial"/>
          <w:sz w:val="21"/>
          <w:szCs w:val="21"/>
        </w:rPr>
        <w:tab/>
        <w:t xml:space="preserve">: single100; </w:t>
      </w:r>
      <w:r w:rsidRPr="005D5611">
        <w:rPr>
          <w:rFonts w:ascii="Arial" w:hAnsi="Arial" w:cs="Arial"/>
          <w:sz w:val="21"/>
          <w:szCs w:val="21"/>
        </w:rPr>
        <w:tab/>
        <w:t>{population array as a rate -- r array}</w:t>
      </w:r>
    </w:p>
    <w:p w14:paraId="6313B5B7"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plr      </w:t>
      </w:r>
      <w:r w:rsidRPr="005D5611">
        <w:rPr>
          <w:rFonts w:ascii="Arial" w:hAnsi="Arial" w:cs="Arial"/>
          <w:sz w:val="21"/>
          <w:szCs w:val="21"/>
        </w:rPr>
        <w:tab/>
        <w:t xml:space="preserve">: single100; </w:t>
      </w:r>
      <w:r w:rsidRPr="005D5611">
        <w:rPr>
          <w:rFonts w:ascii="Arial" w:hAnsi="Arial" w:cs="Arial"/>
          <w:sz w:val="21"/>
          <w:szCs w:val="21"/>
        </w:rPr>
        <w:tab/>
        <w:t>{proportional loss rate -- attrition array}</w:t>
      </w:r>
    </w:p>
    <w:p w14:paraId="062F2811" w14:textId="77777777" w:rsidR="003A45CF" w:rsidRPr="005D5611" w:rsidRDefault="003A45CF" w:rsidP="003A45CF">
      <w:pPr>
        <w:ind w:firstLine="720"/>
        <w:rPr>
          <w:rFonts w:ascii="Arial" w:hAnsi="Arial" w:cs="Arial"/>
          <w:sz w:val="21"/>
          <w:szCs w:val="21"/>
        </w:rPr>
      </w:pPr>
      <w:r w:rsidRPr="005D5611">
        <w:rPr>
          <w:rFonts w:ascii="Arial" w:hAnsi="Arial" w:cs="Arial"/>
          <w:sz w:val="21"/>
          <w:szCs w:val="21"/>
        </w:rPr>
        <w:t xml:space="preserve">vout     : single;          </w:t>
      </w:r>
      <w:r w:rsidRPr="005D5611">
        <w:rPr>
          <w:rFonts w:ascii="Arial" w:hAnsi="Arial" w:cs="Arial"/>
          <w:sz w:val="21"/>
          <w:szCs w:val="21"/>
        </w:rPr>
        <w:tab/>
        <w:t>{out flow from the array}</w:t>
      </w:r>
    </w:p>
    <w:p w14:paraId="5A20CDF2"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shed    : single;    </w:t>
      </w:r>
      <w:r w:rsidRPr="005D5611">
        <w:rPr>
          <w:rFonts w:ascii="Arial" w:hAnsi="Arial" w:cs="Arial"/>
          <w:sz w:val="21"/>
          <w:szCs w:val="21"/>
        </w:rPr>
        <w:tab/>
        <w:t>{attrition from array}</w:t>
      </w:r>
    </w:p>
    <w:p w14:paraId="3789987A"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del      </w:t>
      </w:r>
      <w:r w:rsidRPr="005D5611">
        <w:rPr>
          <w:rFonts w:ascii="Arial" w:hAnsi="Arial" w:cs="Arial"/>
          <w:sz w:val="21"/>
          <w:szCs w:val="21"/>
        </w:rPr>
        <w:tab/>
        <w:t xml:space="preserve">: single;    </w:t>
      </w:r>
      <w:r w:rsidRPr="005D5611">
        <w:rPr>
          <w:rFonts w:ascii="Arial" w:hAnsi="Arial" w:cs="Arial"/>
          <w:sz w:val="21"/>
          <w:szCs w:val="21"/>
        </w:rPr>
        <w:tab/>
        <w:t>{mean developmental time through k sub stages}</w:t>
      </w:r>
    </w:p>
    <w:p w14:paraId="34AB58D0"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dt      </w:t>
      </w:r>
      <w:r w:rsidRPr="005D5611">
        <w:rPr>
          <w:rFonts w:ascii="Arial" w:hAnsi="Arial" w:cs="Arial"/>
          <w:sz w:val="21"/>
          <w:szCs w:val="21"/>
        </w:rPr>
        <w:tab/>
        <w:t xml:space="preserve">: single;   </w:t>
      </w:r>
      <w:r w:rsidRPr="005D5611">
        <w:rPr>
          <w:rFonts w:ascii="Arial" w:hAnsi="Arial" w:cs="Arial"/>
          <w:sz w:val="21"/>
          <w:szCs w:val="21"/>
        </w:rPr>
        <w:tab/>
        <w:t>{change in daily physiological time }</w:t>
      </w:r>
    </w:p>
    <w:p w14:paraId="2C7AEAE5"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k        </w:t>
      </w:r>
      <w:r w:rsidRPr="005D5611">
        <w:rPr>
          <w:rFonts w:ascii="Arial" w:hAnsi="Arial" w:cs="Arial"/>
          <w:sz w:val="21"/>
          <w:szCs w:val="21"/>
        </w:rPr>
        <w:tab/>
        <w:t xml:space="preserve">: integer); </w:t>
      </w:r>
      <w:r w:rsidRPr="005D5611">
        <w:rPr>
          <w:rFonts w:ascii="Arial" w:hAnsi="Arial" w:cs="Arial"/>
          <w:sz w:val="21"/>
          <w:szCs w:val="21"/>
        </w:rPr>
        <w:tab/>
        <w:t>{number of sub stages in r}</w:t>
      </w:r>
    </w:p>
    <w:p w14:paraId="02922A0A" w14:textId="77777777" w:rsidR="003A45CF" w:rsidRPr="005D5611" w:rsidRDefault="003A45CF" w:rsidP="003A45CF">
      <w:pPr>
        <w:rPr>
          <w:rFonts w:ascii="Arial" w:hAnsi="Arial" w:cs="Arial"/>
          <w:sz w:val="21"/>
          <w:szCs w:val="21"/>
        </w:rPr>
      </w:pPr>
      <w:r w:rsidRPr="005D5611">
        <w:rPr>
          <w:rFonts w:ascii="Arial" w:hAnsi="Arial" w:cs="Arial"/>
          <w:sz w:val="21"/>
          <w:szCs w:val="21"/>
        </w:rPr>
        <w:t>{variables internal to the delay routine}</w:t>
      </w:r>
    </w:p>
    <w:p w14:paraId="3C6362C0" w14:textId="77777777" w:rsidR="003A45CF" w:rsidRPr="005D5611" w:rsidRDefault="003A45CF" w:rsidP="003A45CF">
      <w:pPr>
        <w:rPr>
          <w:rFonts w:ascii="Arial" w:hAnsi="Arial" w:cs="Arial"/>
          <w:sz w:val="21"/>
          <w:szCs w:val="21"/>
        </w:rPr>
      </w:pPr>
      <w:r w:rsidRPr="005D5611">
        <w:rPr>
          <w:rFonts w:ascii="Arial" w:hAnsi="Arial" w:cs="Arial"/>
          <w:sz w:val="21"/>
          <w:szCs w:val="21"/>
        </w:rPr>
        <w:tab/>
        <w:t>idt</w:t>
      </w:r>
      <w:r w:rsidRPr="005D5611">
        <w:rPr>
          <w:rFonts w:ascii="Arial" w:hAnsi="Arial" w:cs="Arial"/>
          <w:sz w:val="21"/>
          <w:szCs w:val="21"/>
        </w:rPr>
        <w:tab/>
        <w:t>: integer;</w:t>
      </w:r>
    </w:p>
    <w:p w14:paraId="4BD04488" w14:textId="77777777" w:rsidR="003A45CF" w:rsidRPr="005D5611" w:rsidRDefault="003A45CF" w:rsidP="003A45CF">
      <w:pPr>
        <w:rPr>
          <w:rFonts w:ascii="Arial" w:hAnsi="Arial" w:cs="Arial"/>
          <w:sz w:val="21"/>
          <w:szCs w:val="21"/>
        </w:rPr>
      </w:pPr>
      <w:r w:rsidRPr="005D5611">
        <w:rPr>
          <w:rFonts w:ascii="Arial" w:hAnsi="Arial" w:cs="Arial"/>
          <w:sz w:val="21"/>
          <w:szCs w:val="21"/>
        </w:rPr>
        <w:tab/>
        <w:t>i, j</w:t>
      </w:r>
      <w:r w:rsidRPr="005D5611">
        <w:rPr>
          <w:rFonts w:ascii="Arial" w:hAnsi="Arial" w:cs="Arial"/>
          <w:sz w:val="21"/>
          <w:szCs w:val="21"/>
        </w:rPr>
        <w:tab/>
        <w:t>: byte;</w:t>
      </w:r>
    </w:p>
    <w:p w14:paraId="0FE1EBA7"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A, shd </w:t>
      </w:r>
      <w:r w:rsidRPr="005D5611">
        <w:rPr>
          <w:rFonts w:ascii="Arial" w:hAnsi="Arial" w:cs="Arial"/>
          <w:sz w:val="21"/>
          <w:szCs w:val="21"/>
        </w:rPr>
        <w:tab/>
        <w:t xml:space="preserve">: single; </w:t>
      </w:r>
      <w:r w:rsidRPr="005D5611">
        <w:rPr>
          <w:rFonts w:ascii="Arial" w:hAnsi="Arial" w:cs="Arial"/>
          <w:sz w:val="21"/>
          <w:szCs w:val="21"/>
        </w:rPr>
        <w:tab/>
        <w:t>{see definitions below}</w:t>
      </w:r>
    </w:p>
    <w:p w14:paraId="691A1BC4" w14:textId="77777777" w:rsidR="003A45CF" w:rsidRPr="005D5611" w:rsidRDefault="003A45CF" w:rsidP="003A45CF">
      <w:pPr>
        <w:rPr>
          <w:rFonts w:ascii="Arial" w:hAnsi="Arial" w:cs="Arial"/>
          <w:sz w:val="21"/>
          <w:szCs w:val="21"/>
        </w:rPr>
      </w:pPr>
      <w:r w:rsidRPr="005D5611">
        <w:rPr>
          <w:rFonts w:ascii="Arial" w:hAnsi="Arial" w:cs="Arial"/>
          <w:sz w:val="21"/>
          <w:szCs w:val="21"/>
        </w:rPr>
        <w:t>begin</w:t>
      </w:r>
    </w:p>
    <w:p w14:paraId="29A80D97"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shed:= 0.0;</w:t>
      </w:r>
    </w:p>
    <w:p w14:paraId="2F1E1619" w14:textId="77777777" w:rsidR="003A45CF" w:rsidRPr="005D5611" w:rsidRDefault="003A45CF" w:rsidP="003A45CF">
      <w:pPr>
        <w:rPr>
          <w:rFonts w:ascii="Arial" w:hAnsi="Arial" w:cs="Arial"/>
          <w:sz w:val="21"/>
          <w:szCs w:val="21"/>
        </w:rPr>
      </w:pPr>
      <w:r w:rsidRPr="005D5611">
        <w:rPr>
          <w:rFonts w:ascii="Arial" w:hAnsi="Arial" w:cs="Arial"/>
          <w:sz w:val="21"/>
          <w:szCs w:val="21"/>
        </w:rPr>
        <w:tab/>
        <w:t>vout:= 0.0;</w:t>
      </w:r>
    </w:p>
    <w:p w14:paraId="3042986C"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if dt &gt; 0.0 then begin </w:t>
      </w:r>
    </w:p>
    <w:p w14:paraId="05DE2AD3"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vin:=vin/dt;</w:t>
      </w:r>
    </w:p>
    <w:p w14:paraId="371D8DFC"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idt:= trunc(1. + (2.0*dt*(k/del)));    {number of iteration for a specific day}</w:t>
      </w:r>
    </w:p>
    <w:p w14:paraId="03DCD245" w14:textId="77777777" w:rsidR="003A45CF" w:rsidRPr="005D5611" w:rsidRDefault="003A45CF" w:rsidP="003A45CF">
      <w:pPr>
        <w:rPr>
          <w:rFonts w:ascii="Arial" w:hAnsi="Arial" w:cs="Arial"/>
          <w:sz w:val="21"/>
          <w:szCs w:val="21"/>
        </w:rPr>
      </w:pPr>
      <w:r w:rsidRPr="005D5611">
        <w:rPr>
          <w:rFonts w:ascii="Arial" w:hAnsi="Arial" w:cs="Arial"/>
          <w:sz w:val="21"/>
          <w:szCs w:val="21"/>
        </w:rPr>
        <w:tab/>
        <w:t>A:= (dt / (del/k)) / idt;    { A is scalar for dt for flow rate from one sub stage to next }</w:t>
      </w:r>
    </w:p>
    <w:p w14:paraId="497B4CC0" w14:textId="77777777" w:rsidR="003A45CF" w:rsidRPr="005D5611" w:rsidRDefault="003A45CF" w:rsidP="003A45CF">
      <w:pPr>
        <w:rPr>
          <w:rFonts w:ascii="Arial" w:hAnsi="Arial" w:cs="Arial"/>
          <w:sz w:val="21"/>
          <w:szCs w:val="21"/>
        </w:rPr>
      </w:pPr>
      <w:r w:rsidRPr="005D5611">
        <w:rPr>
          <w:rFonts w:ascii="Arial" w:hAnsi="Arial" w:cs="Arial"/>
          <w:sz w:val="21"/>
          <w:szCs w:val="21"/>
        </w:rPr>
        <w:t>{WITH ATTRITION as a proportional loss rate (plr)}</w:t>
      </w:r>
    </w:p>
    <w:p w14:paraId="1A3C379F" w14:textId="77777777" w:rsidR="003A45CF" w:rsidRPr="005D5611" w:rsidRDefault="003A45CF" w:rsidP="003A45CF">
      <w:pPr>
        <w:rPr>
          <w:rFonts w:ascii="Arial" w:hAnsi="Arial" w:cs="Arial"/>
          <w:sz w:val="21"/>
          <w:szCs w:val="21"/>
        </w:rPr>
      </w:pPr>
      <w:r w:rsidRPr="005D5611">
        <w:rPr>
          <w:rFonts w:ascii="Arial" w:hAnsi="Arial" w:cs="Arial"/>
          <w:sz w:val="21"/>
          <w:szCs w:val="21"/>
        </w:rPr>
        <w:tab/>
        <w:t>if (nonzero(plr, k)) then for j:= 1 to idt do</w:t>
      </w:r>
    </w:p>
    <w:p w14:paraId="132E8862"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begin</w:t>
      </w:r>
    </w:p>
    <w:p w14:paraId="7B32E539" w14:textId="77777777" w:rsidR="003A45CF" w:rsidRPr="005D5611" w:rsidRDefault="003A45CF" w:rsidP="003A45CF">
      <w:pPr>
        <w:rPr>
          <w:rFonts w:ascii="Arial" w:hAnsi="Arial" w:cs="Arial"/>
          <w:sz w:val="21"/>
          <w:szCs w:val="21"/>
        </w:rPr>
      </w:pPr>
      <w:r w:rsidRPr="005D5611">
        <w:rPr>
          <w:rFonts w:ascii="Arial" w:hAnsi="Arial" w:cs="Arial"/>
          <w:sz w:val="21"/>
          <w:szCs w:val="21"/>
        </w:rPr>
        <w:tab/>
        <w:t xml:space="preserve">    </w:t>
      </w:r>
      <w:r w:rsidRPr="005D5611">
        <w:rPr>
          <w:rFonts w:ascii="Arial" w:hAnsi="Arial" w:cs="Arial"/>
          <w:sz w:val="21"/>
          <w:szCs w:val="21"/>
        </w:rPr>
        <w:tab/>
      </w:r>
      <w:r w:rsidRPr="005D5611">
        <w:rPr>
          <w:rFonts w:ascii="Arial" w:hAnsi="Arial" w:cs="Arial"/>
          <w:sz w:val="21"/>
          <w:szCs w:val="21"/>
        </w:rPr>
        <w:tab/>
        <w:t>vout:= vout + A*r[k];</w:t>
      </w:r>
    </w:p>
    <w:p w14:paraId="6A90C2CD"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r>
      <w:r w:rsidRPr="005D5611">
        <w:rPr>
          <w:rFonts w:ascii="Arial" w:hAnsi="Arial" w:cs="Arial"/>
          <w:sz w:val="21"/>
          <w:szCs w:val="21"/>
        </w:rPr>
        <w:tab/>
        <w:t>for i:= k downto 2 do     {--reverse do loop -- k to 2-- }</w:t>
      </w:r>
    </w:p>
    <w:p w14:paraId="4E8E1F7E"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begin</w:t>
      </w:r>
    </w:p>
    <w:p w14:paraId="3D5B09A1" w14:textId="77777777" w:rsidR="003A45CF" w:rsidRPr="00395E09" w:rsidRDefault="003A45CF" w:rsidP="003A45CF">
      <w:pPr>
        <w:rPr>
          <w:rFonts w:ascii="Arial" w:hAnsi="Arial" w:cs="Arial"/>
          <w:sz w:val="21"/>
          <w:szCs w:val="21"/>
          <w:lang w:val="en-GB"/>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r>
      <w:r w:rsidRPr="00395E09">
        <w:rPr>
          <w:rFonts w:ascii="Arial" w:hAnsi="Arial" w:cs="Arial"/>
          <w:sz w:val="21"/>
          <w:szCs w:val="21"/>
          <w:lang w:val="en-GB"/>
        </w:rPr>
        <w:t>r[i]:=    r[i] + A*(r[i-1]-r[i]);</w:t>
      </w:r>
    </w:p>
    <w:p w14:paraId="688D2BB2" w14:textId="77777777" w:rsidR="003A45CF" w:rsidRPr="00395E09" w:rsidRDefault="003A45CF" w:rsidP="003A45CF">
      <w:pPr>
        <w:rPr>
          <w:rFonts w:ascii="Arial" w:hAnsi="Arial" w:cs="Arial"/>
          <w:sz w:val="21"/>
          <w:szCs w:val="21"/>
          <w:lang w:val="en-GB"/>
        </w:rPr>
      </w:pPr>
      <w:r w:rsidRPr="00395E09">
        <w:rPr>
          <w:rFonts w:ascii="Arial" w:hAnsi="Arial" w:cs="Arial"/>
          <w:sz w:val="21"/>
          <w:szCs w:val="21"/>
          <w:lang w:val="en-GB"/>
        </w:rPr>
        <w:tab/>
      </w:r>
      <w:r w:rsidRPr="00395E09">
        <w:rPr>
          <w:rFonts w:ascii="Arial" w:hAnsi="Arial" w:cs="Arial"/>
          <w:sz w:val="21"/>
          <w:szCs w:val="21"/>
          <w:lang w:val="en-GB"/>
        </w:rPr>
        <w:tab/>
      </w:r>
      <w:r w:rsidRPr="00395E09">
        <w:rPr>
          <w:rFonts w:ascii="Arial" w:hAnsi="Arial" w:cs="Arial"/>
          <w:sz w:val="21"/>
          <w:szCs w:val="21"/>
          <w:lang w:val="en-GB"/>
        </w:rPr>
        <w:tab/>
      </w:r>
      <w:r w:rsidRPr="00395E09">
        <w:rPr>
          <w:rFonts w:ascii="Arial" w:hAnsi="Arial" w:cs="Arial"/>
          <w:sz w:val="21"/>
          <w:szCs w:val="21"/>
          <w:lang w:val="en-GB"/>
        </w:rPr>
        <w:tab/>
        <w:t>shd:=   A*plr[i]*r[i];</w:t>
      </w:r>
    </w:p>
    <w:p w14:paraId="0AD22D13" w14:textId="77777777" w:rsidR="003A45CF" w:rsidRPr="005D5611" w:rsidRDefault="003A45CF" w:rsidP="003A45CF">
      <w:pPr>
        <w:rPr>
          <w:rFonts w:ascii="Arial" w:hAnsi="Arial" w:cs="Arial"/>
          <w:sz w:val="21"/>
          <w:szCs w:val="21"/>
        </w:rPr>
      </w:pPr>
      <w:r w:rsidRPr="00395E09">
        <w:rPr>
          <w:rFonts w:ascii="Arial" w:hAnsi="Arial" w:cs="Arial"/>
          <w:sz w:val="21"/>
          <w:szCs w:val="21"/>
          <w:lang w:val="en-GB"/>
        </w:rPr>
        <w:tab/>
      </w:r>
      <w:r w:rsidRPr="00395E09">
        <w:rPr>
          <w:rFonts w:ascii="Arial" w:hAnsi="Arial" w:cs="Arial"/>
          <w:sz w:val="21"/>
          <w:szCs w:val="21"/>
          <w:lang w:val="en-GB"/>
        </w:rPr>
        <w:tab/>
      </w:r>
      <w:r w:rsidRPr="00395E09">
        <w:rPr>
          <w:rFonts w:ascii="Arial" w:hAnsi="Arial" w:cs="Arial"/>
          <w:sz w:val="21"/>
          <w:szCs w:val="21"/>
          <w:lang w:val="en-GB"/>
        </w:rPr>
        <w:tab/>
      </w:r>
      <w:r w:rsidRPr="00395E09">
        <w:rPr>
          <w:rFonts w:ascii="Arial" w:hAnsi="Arial" w:cs="Arial"/>
          <w:sz w:val="21"/>
          <w:szCs w:val="21"/>
          <w:lang w:val="en-GB"/>
        </w:rPr>
        <w:tab/>
      </w:r>
      <w:r w:rsidRPr="005D5611">
        <w:rPr>
          <w:rFonts w:ascii="Arial" w:hAnsi="Arial" w:cs="Arial"/>
          <w:sz w:val="21"/>
          <w:szCs w:val="21"/>
        </w:rPr>
        <w:t>shed:= shed + shd;</w:t>
      </w:r>
    </w:p>
    <w:p w14:paraId="3C17EA79"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r[i]:=     r[i] - shd;</w:t>
      </w:r>
    </w:p>
    <w:p w14:paraId="7C8B031D"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end;</w:t>
      </w:r>
    </w:p>
    <w:p w14:paraId="7C036399"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if (j = 1) then r[1]:= r[1] + A*(vin*idt-r[1]) </w:t>
      </w:r>
    </w:p>
    <w:p w14:paraId="2910CC5C" w14:textId="77777777" w:rsidR="003A45CF" w:rsidRPr="005D5611" w:rsidRDefault="003A45CF" w:rsidP="003A45CF">
      <w:pPr>
        <w:ind w:left="1440" w:firstLine="720"/>
        <w:rPr>
          <w:rFonts w:ascii="Arial" w:hAnsi="Arial" w:cs="Arial"/>
          <w:sz w:val="21"/>
          <w:szCs w:val="21"/>
        </w:rPr>
      </w:pPr>
      <w:r w:rsidRPr="005D5611">
        <w:rPr>
          <w:rFonts w:ascii="Arial" w:hAnsi="Arial" w:cs="Arial"/>
          <w:sz w:val="21"/>
          <w:szCs w:val="21"/>
        </w:rPr>
        <w:t xml:space="preserve">   else r[1]:= r[1] - A* r[1];</w:t>
      </w:r>
    </w:p>
    <w:p w14:paraId="047CAEEE" w14:textId="77777777" w:rsidR="003A45CF" w:rsidRPr="005D5611" w:rsidRDefault="003A45CF" w:rsidP="003A45CF">
      <w:pPr>
        <w:rPr>
          <w:rFonts w:ascii="Arial" w:hAnsi="Arial" w:cs="Arial"/>
          <w:sz w:val="21"/>
          <w:szCs w:val="21"/>
        </w:rPr>
      </w:pPr>
      <w:r w:rsidRPr="005D5611">
        <w:rPr>
          <w:rFonts w:ascii="Arial" w:hAnsi="Arial" w:cs="Arial"/>
          <w:sz w:val="21"/>
          <w:szCs w:val="21"/>
        </w:rPr>
        <w:tab/>
        <w:t xml:space="preserve">            shd:= </w:t>
      </w:r>
      <w:r w:rsidRPr="005D5611">
        <w:rPr>
          <w:rFonts w:ascii="Arial" w:hAnsi="Arial" w:cs="Arial"/>
          <w:sz w:val="21"/>
          <w:szCs w:val="21"/>
        </w:rPr>
        <w:tab/>
        <w:t>A*plr[1]*r[1];</w:t>
      </w:r>
    </w:p>
    <w:p w14:paraId="3E4F9B35"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            shed:= shed + shd; </w:t>
      </w:r>
      <w:r w:rsidRPr="005D5611">
        <w:rPr>
          <w:rFonts w:ascii="Arial" w:hAnsi="Arial" w:cs="Arial"/>
          <w:sz w:val="21"/>
          <w:szCs w:val="21"/>
        </w:rPr>
        <w:tab/>
        <w:t>{cumulative attrition}</w:t>
      </w:r>
    </w:p>
    <w:p w14:paraId="0F020351"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w:t>
      </w:r>
      <w:r w:rsidRPr="005D5611">
        <w:rPr>
          <w:rFonts w:ascii="Arial" w:hAnsi="Arial" w:cs="Arial"/>
          <w:sz w:val="21"/>
          <w:szCs w:val="21"/>
        </w:rPr>
        <w:tab/>
        <w:t xml:space="preserve">r[1]:= </w:t>
      </w:r>
      <w:r w:rsidRPr="005D5611">
        <w:rPr>
          <w:rFonts w:ascii="Arial" w:hAnsi="Arial" w:cs="Arial"/>
          <w:sz w:val="21"/>
          <w:szCs w:val="21"/>
        </w:rPr>
        <w:tab/>
        <w:t xml:space="preserve"> r[1] - shd;</w:t>
      </w:r>
    </w:p>
    <w:p w14:paraId="5B4603B4" w14:textId="77777777" w:rsidR="003A45CF" w:rsidRPr="005D5611" w:rsidRDefault="003A45CF" w:rsidP="003A45CF">
      <w:pPr>
        <w:rPr>
          <w:rFonts w:ascii="Arial" w:hAnsi="Arial" w:cs="Arial"/>
          <w:sz w:val="21"/>
          <w:szCs w:val="21"/>
        </w:rPr>
      </w:pPr>
      <w:r w:rsidRPr="005D5611">
        <w:rPr>
          <w:rFonts w:ascii="Arial" w:hAnsi="Arial" w:cs="Arial"/>
          <w:sz w:val="21"/>
          <w:szCs w:val="21"/>
        </w:rPr>
        <w:tab/>
        <w:t xml:space="preserve">      end {for j}</w:t>
      </w:r>
    </w:p>
    <w:p w14:paraId="280902F5" w14:textId="77777777" w:rsidR="003A45CF" w:rsidRPr="005D5611" w:rsidRDefault="003A45CF" w:rsidP="003A45CF">
      <w:pPr>
        <w:rPr>
          <w:rFonts w:ascii="Arial" w:hAnsi="Arial" w:cs="Arial"/>
          <w:sz w:val="21"/>
          <w:szCs w:val="21"/>
        </w:rPr>
      </w:pPr>
      <w:r w:rsidRPr="005D5611">
        <w:rPr>
          <w:rFonts w:ascii="Arial" w:hAnsi="Arial" w:cs="Arial"/>
          <w:sz w:val="21"/>
          <w:szCs w:val="21"/>
        </w:rPr>
        <w:tab/>
        <w:t>else</w:t>
      </w:r>
    </w:p>
    <w:p w14:paraId="7CC3406D" w14:textId="77777777" w:rsidR="003A45CF" w:rsidRPr="005D5611" w:rsidRDefault="003A45CF" w:rsidP="003A45CF">
      <w:pPr>
        <w:rPr>
          <w:rFonts w:ascii="Arial" w:hAnsi="Arial" w:cs="Arial"/>
          <w:sz w:val="21"/>
          <w:szCs w:val="21"/>
        </w:rPr>
      </w:pPr>
      <w:r w:rsidRPr="005D5611">
        <w:rPr>
          <w:rFonts w:ascii="Arial" w:hAnsi="Arial" w:cs="Arial"/>
          <w:sz w:val="21"/>
          <w:szCs w:val="21"/>
        </w:rPr>
        <w:t>{WITHOUT ATTRITION --if plr = 0 then no attrition occurs and uses the following code}</w:t>
      </w:r>
    </w:p>
    <w:p w14:paraId="698B841D"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t>for j:= 1 to idt do</w:t>
      </w:r>
    </w:p>
    <w:p w14:paraId="285849BE"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t>begin</w:t>
      </w:r>
    </w:p>
    <w:p w14:paraId="5E11C581"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vout:= vout + A*r[k];</w:t>
      </w:r>
    </w:p>
    <w:p w14:paraId="6AD2CAA4"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for i:=  k downto 2 do r[i]:= r[i] + A*(r[i-1]-r[i]);</w:t>
      </w:r>
    </w:p>
    <w:p w14:paraId="33B4DB2F"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r>
      <w:r w:rsidRPr="005D5611">
        <w:rPr>
          <w:rFonts w:ascii="Arial" w:hAnsi="Arial" w:cs="Arial"/>
          <w:sz w:val="21"/>
          <w:szCs w:val="21"/>
        </w:rPr>
        <w:tab/>
        <w:t>r[1]:=    r[1] + A*(vin- r[1]);</w:t>
      </w:r>
    </w:p>
    <w:p w14:paraId="3C49593D" w14:textId="77777777" w:rsidR="003A45CF" w:rsidRPr="005D5611" w:rsidRDefault="003A45CF" w:rsidP="003A45CF">
      <w:pPr>
        <w:rPr>
          <w:rFonts w:ascii="Arial" w:hAnsi="Arial" w:cs="Arial"/>
          <w:sz w:val="21"/>
          <w:szCs w:val="21"/>
        </w:rPr>
      </w:pPr>
      <w:r w:rsidRPr="005D5611">
        <w:rPr>
          <w:rFonts w:ascii="Arial" w:hAnsi="Arial" w:cs="Arial"/>
          <w:sz w:val="21"/>
          <w:szCs w:val="21"/>
        </w:rPr>
        <w:tab/>
      </w:r>
      <w:r w:rsidRPr="005D5611">
        <w:rPr>
          <w:rFonts w:ascii="Arial" w:hAnsi="Arial" w:cs="Arial"/>
          <w:sz w:val="21"/>
          <w:szCs w:val="21"/>
        </w:rPr>
        <w:tab/>
        <w:t>end; {for j}</w:t>
      </w:r>
    </w:p>
    <w:p w14:paraId="64F157B8" w14:textId="77777777" w:rsidR="003A45CF" w:rsidRPr="005D5611" w:rsidRDefault="003A45CF" w:rsidP="003A45CF">
      <w:pPr>
        <w:rPr>
          <w:rFonts w:ascii="Arial" w:hAnsi="Arial" w:cs="Arial"/>
          <w:sz w:val="21"/>
          <w:szCs w:val="21"/>
        </w:rPr>
      </w:pPr>
      <w:r w:rsidRPr="005D5611">
        <w:rPr>
          <w:rFonts w:ascii="Arial" w:hAnsi="Arial" w:cs="Arial"/>
          <w:sz w:val="21"/>
          <w:szCs w:val="21"/>
        </w:rPr>
        <w:t xml:space="preserve">       end; {from if dt &gt; 0.0}</w:t>
      </w:r>
    </w:p>
    <w:p w14:paraId="19BF1087" w14:textId="77777777" w:rsidR="003A45CF" w:rsidRPr="005D5611" w:rsidRDefault="003A45CF" w:rsidP="003A45CF">
      <w:r w:rsidRPr="005D5611">
        <w:rPr>
          <w:rFonts w:ascii="Arial" w:hAnsi="Arial" w:cs="Arial"/>
          <w:sz w:val="21"/>
          <w:szCs w:val="21"/>
        </w:rPr>
        <w:t>end;  {Procedure DelayWithPlr &gt; 0}</w:t>
      </w:r>
      <w:r w:rsidRPr="005D5611">
        <w:br w:type="page"/>
      </w:r>
    </w:p>
    <w:p w14:paraId="51E9C6FC" w14:textId="77777777" w:rsidR="003A45CF" w:rsidRPr="005D5611" w:rsidRDefault="003A45CF" w:rsidP="003A45CF">
      <w:pPr>
        <w:pStyle w:val="SMcaption"/>
      </w:pPr>
      <w:r w:rsidRPr="00395E09">
        <w:rPr>
          <w:sz w:val="28"/>
          <w:szCs w:val="28"/>
          <w:u w:val="words"/>
        </w:rPr>
        <w:t>S6 Summaries of statewide data for AP, GJ, KA, MH, and MP used in the text</w:t>
      </w:r>
      <w:r w:rsidRPr="005D5611">
        <w:rPr>
          <w:noProof/>
        </w:rPr>
        <w:t xml:space="preserve"> </w:t>
      </w:r>
      <w:r w:rsidRPr="005D5611">
        <w:rPr>
          <w:noProof/>
        </w:rPr>
        <w:drawing>
          <wp:inline distT="0" distB="0" distL="0" distR="0" wp14:anchorId="1A7A3A34" wp14:editId="5E17A306">
            <wp:extent cx="4171941" cy="2355632"/>
            <wp:effectExtent l="0" t="0" r="635" b="698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301488" cy="2428779"/>
                    </a:xfrm>
                    <a:prstGeom prst="rect">
                      <a:avLst/>
                    </a:prstGeom>
                  </pic:spPr>
                </pic:pic>
              </a:graphicData>
            </a:graphic>
          </wp:inline>
        </w:drawing>
      </w:r>
    </w:p>
    <w:p w14:paraId="10839761" w14:textId="77777777" w:rsidR="003A45CF" w:rsidRPr="005D5611" w:rsidRDefault="003A45CF" w:rsidP="003A45CF">
      <w:pPr>
        <w:pStyle w:val="SMcaption"/>
      </w:pPr>
      <w:r w:rsidRPr="005D5611">
        <w:rPr>
          <w:b/>
        </w:rPr>
        <w:t>Fig. S10.</w:t>
      </w:r>
      <w:r w:rsidRPr="005D5611">
        <w:t xml:space="preserve"> Average income ($ day</w:t>
      </w:r>
      <w:r w:rsidRPr="005D5611">
        <w:rPr>
          <w:vertAlign w:val="superscript"/>
        </w:rPr>
        <w:t xml:space="preserve">-1 </w:t>
      </w:r>
      <w:r w:rsidRPr="005D5611">
        <w:t>ha</w:t>
      </w:r>
      <w:r w:rsidRPr="005D5611">
        <w:rPr>
          <w:vertAlign w:val="superscript"/>
        </w:rPr>
        <w:t>-1</w:t>
      </w:r>
      <w:r w:rsidRPr="005D5611">
        <w:t>) during 1999-2014. Inset figure is a plot of average income ($ day</w:t>
      </w:r>
      <w:r w:rsidRPr="005D5611">
        <w:rPr>
          <w:vertAlign w:val="superscript"/>
        </w:rPr>
        <w:t xml:space="preserve">-1 </w:t>
      </w:r>
      <w:r w:rsidRPr="005D5611">
        <w:t>ha</w:t>
      </w:r>
      <w:r w:rsidRPr="005D5611">
        <w:rPr>
          <w:vertAlign w:val="superscript"/>
        </w:rPr>
        <w:t>-1</w:t>
      </w:r>
      <w:r w:rsidRPr="005D5611">
        <w:t>) on average yield (kg ha</w:t>
      </w:r>
      <w:r w:rsidRPr="005D5611">
        <w:rPr>
          <w:vertAlign w:val="superscript"/>
        </w:rPr>
        <w:t>-1</w:t>
      </w:r>
      <w:r w:rsidRPr="005D5611">
        <w:t>). * Note that the high values in 2011 were due to abnormally high cotton prices.</w:t>
      </w:r>
    </w:p>
    <w:p w14:paraId="235311F2" w14:textId="77777777" w:rsidR="003A45CF" w:rsidRPr="005D5611" w:rsidRDefault="003A45CF" w:rsidP="003A45CF">
      <w:pPr>
        <w:pStyle w:val="SMcaption"/>
      </w:pPr>
    </w:p>
    <w:p w14:paraId="44E4431C" w14:textId="77777777" w:rsidR="003A45CF" w:rsidRPr="005D5611" w:rsidRDefault="003A45CF" w:rsidP="003A45CF">
      <w:pPr>
        <w:spacing w:line="480" w:lineRule="auto"/>
      </w:pPr>
      <w:r w:rsidRPr="005D5611">
        <w:rPr>
          <w:noProof/>
        </w:rPr>
        <w:drawing>
          <wp:inline distT="0" distB="0" distL="0" distR="0" wp14:anchorId="4BD5F79E" wp14:editId="6A894B74">
            <wp:extent cx="5292255" cy="3780182"/>
            <wp:effectExtent l="0" t="0" r="381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512147" cy="3937248"/>
                    </a:xfrm>
                    <a:prstGeom prst="rect">
                      <a:avLst/>
                    </a:prstGeom>
                  </pic:spPr>
                </pic:pic>
              </a:graphicData>
            </a:graphic>
          </wp:inline>
        </w:drawing>
      </w:r>
    </w:p>
    <w:p w14:paraId="03EF6CFB" w14:textId="77777777" w:rsidR="003A45CF" w:rsidRPr="005D5611" w:rsidRDefault="003A45CF" w:rsidP="003A45CF">
      <w:pPr>
        <w:pStyle w:val="SMcaption"/>
      </w:pPr>
      <w:r w:rsidRPr="005D5611">
        <w:rPr>
          <w:b/>
        </w:rPr>
        <w:t>Fig. S11.</w:t>
      </w:r>
      <w:r w:rsidRPr="005D5611">
        <w:t xml:space="preserve"> Average revenues (symbol </w:t>
      </w:r>
      <w:r w:rsidRPr="005D5611">
        <w:sym w:font="Symbol" w:char="F0B7"/>
      </w:r>
      <w:r w:rsidRPr="005D5611">
        <w:t xml:space="preserve">, lint cotton) and costs per ha (symbol </w:t>
      </w:r>
      <w:r w:rsidRPr="005D5611">
        <w:sym w:font="Symbol" w:char="F06F"/>
      </w:r>
      <w:r w:rsidRPr="005D5611">
        <w:t>; fertilizer + insecticide + seed). * Note that the high values in 2011 were due to abnormally high cotton prices.</w:t>
      </w:r>
    </w:p>
    <w:p w14:paraId="13348A90" w14:textId="77777777" w:rsidR="003A45CF" w:rsidRPr="005D5611" w:rsidRDefault="003A45CF" w:rsidP="003A45CF">
      <w:pPr>
        <w:pStyle w:val="SMcaption"/>
      </w:pPr>
    </w:p>
    <w:p w14:paraId="61B484B0" w14:textId="77777777" w:rsidR="003A45CF" w:rsidRPr="005D5611" w:rsidRDefault="003A45CF" w:rsidP="003A45CF">
      <w:pPr>
        <w:pStyle w:val="SMcaption"/>
      </w:pPr>
    </w:p>
    <w:p w14:paraId="65532DA0" w14:textId="77777777" w:rsidR="003A45CF" w:rsidRPr="005D5611" w:rsidRDefault="003A45CF" w:rsidP="003A45CF">
      <w:pPr>
        <w:spacing w:line="480" w:lineRule="auto"/>
      </w:pPr>
      <w:r w:rsidRPr="005D5611">
        <w:br w:type="page"/>
      </w:r>
      <w:r w:rsidRPr="005D5611">
        <w:rPr>
          <w:noProof/>
        </w:rPr>
        <w:drawing>
          <wp:inline distT="0" distB="0" distL="0" distR="0" wp14:anchorId="30207FED" wp14:editId="69D87851">
            <wp:extent cx="5827964" cy="3829050"/>
            <wp:effectExtent l="0" t="0" r="190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085545" cy="3998284"/>
                    </a:xfrm>
                    <a:prstGeom prst="rect">
                      <a:avLst/>
                    </a:prstGeom>
                  </pic:spPr>
                </pic:pic>
              </a:graphicData>
            </a:graphic>
          </wp:inline>
        </w:drawing>
      </w:r>
    </w:p>
    <w:p w14:paraId="430A3D39" w14:textId="77777777" w:rsidR="003A45CF" w:rsidRPr="005D5611" w:rsidRDefault="003A45CF" w:rsidP="003A45CF">
      <w:pPr>
        <w:pStyle w:val="SMcaption"/>
      </w:pPr>
      <w:r w:rsidRPr="005D5611">
        <w:rPr>
          <w:b/>
        </w:rPr>
        <w:t>Fig. S12.</w:t>
      </w:r>
      <w:r w:rsidRPr="005D5611">
        <w:t xml:space="preserve"> Adjusted statewide cotton farmer suicides per year per million hectares of cotton during 1999-2014.</w:t>
      </w:r>
    </w:p>
    <w:p w14:paraId="7ADB9556" w14:textId="77777777" w:rsidR="003A45CF" w:rsidRPr="005D5611" w:rsidRDefault="003A45CF" w:rsidP="003A45CF">
      <w:pPr>
        <w:pStyle w:val="SMcaption"/>
      </w:pPr>
    </w:p>
    <w:p w14:paraId="54FCF815" w14:textId="3E8EA663" w:rsidR="003A45CF" w:rsidRPr="00775684" w:rsidRDefault="003A45CF" w:rsidP="00775684">
      <w:pPr>
        <w:pStyle w:val="SMText"/>
        <w:spacing w:line="360" w:lineRule="auto"/>
        <w:ind w:firstLine="0"/>
        <w:rPr>
          <w:sz w:val="28"/>
          <w:szCs w:val="28"/>
          <w:u w:val="words"/>
        </w:rPr>
      </w:pPr>
      <w:r w:rsidRPr="00775684">
        <w:rPr>
          <w:sz w:val="28"/>
          <w:szCs w:val="28"/>
          <w:u w:val="words"/>
        </w:rPr>
        <w:t xml:space="preserve">References </w:t>
      </w:r>
      <w:r w:rsidR="00D2517E" w:rsidRPr="00775684">
        <w:rPr>
          <w:sz w:val="28"/>
          <w:szCs w:val="28"/>
          <w:u w:val="words"/>
        </w:rPr>
        <w:t>found only in</w:t>
      </w:r>
      <w:r w:rsidRPr="00775684">
        <w:rPr>
          <w:sz w:val="28"/>
          <w:szCs w:val="28"/>
          <w:u w:val="words"/>
        </w:rPr>
        <w:t xml:space="preserve"> Supplementa</w:t>
      </w:r>
      <w:r w:rsidR="002075BF" w:rsidRPr="00775684">
        <w:rPr>
          <w:sz w:val="28"/>
          <w:szCs w:val="28"/>
          <w:u w:val="words"/>
        </w:rPr>
        <w:t>ry</w:t>
      </w:r>
      <w:r w:rsidRPr="00775684">
        <w:rPr>
          <w:sz w:val="28"/>
          <w:szCs w:val="28"/>
          <w:u w:val="words"/>
        </w:rPr>
        <w:t xml:space="preserve"> materials</w:t>
      </w:r>
      <w:r w:rsidR="00B9682F">
        <w:rPr>
          <w:sz w:val="28"/>
          <w:szCs w:val="28"/>
          <w:u w:val="words"/>
        </w:rPr>
        <w:t xml:space="preserve"> – see text for lower number references</w:t>
      </w:r>
    </w:p>
    <w:p w14:paraId="61164AAF" w14:textId="77777777" w:rsidR="00DE6FE5" w:rsidRPr="002D6F50" w:rsidRDefault="00DE6FE5" w:rsidP="00DE6FE5">
      <w:pPr>
        <w:pStyle w:val="Bibliography"/>
        <w:rPr>
          <w:rFonts w:cs="Times New Roman"/>
        </w:rPr>
      </w:pPr>
      <w:r>
        <w:rPr>
          <w:szCs w:val="24"/>
        </w:rPr>
        <w:fldChar w:fldCharType="begin"/>
      </w:r>
      <w:r>
        <w:rPr>
          <w:szCs w:val="24"/>
        </w:rPr>
        <w:instrText xml:space="preserve"> ADDIN ZOTERO_BIBL {"uncited":[],"omitted":[],"custom":[]} CSL_BIBLIOGRAPHY </w:instrText>
      </w:r>
      <w:r>
        <w:rPr>
          <w:szCs w:val="24"/>
        </w:rPr>
        <w:fldChar w:fldCharType="separate"/>
      </w:r>
      <w:r w:rsidRPr="002D6F50">
        <w:rPr>
          <w:rFonts w:cs="Times New Roman"/>
        </w:rPr>
        <w:t xml:space="preserve">57. </w:t>
      </w:r>
      <w:r w:rsidRPr="002D6F50">
        <w:rPr>
          <w:rFonts w:cs="Times New Roman"/>
        </w:rPr>
        <w:tab/>
        <w:t>Guisan A, Zimmermann NE (2000) Predictive habitat distribution models in ecology. Ecol Model 135:147–186. https://doi.org/10.1016/S0304-3800(00)00354-9</w:t>
      </w:r>
    </w:p>
    <w:p w14:paraId="2F3BF7D0" w14:textId="77777777" w:rsidR="00DE6FE5" w:rsidRPr="002D6F50" w:rsidRDefault="00DE6FE5" w:rsidP="00DE6FE5">
      <w:pPr>
        <w:pStyle w:val="Bibliography"/>
        <w:rPr>
          <w:rFonts w:cs="Times New Roman"/>
        </w:rPr>
      </w:pPr>
      <w:r w:rsidRPr="002D6F50">
        <w:rPr>
          <w:rFonts w:cs="Times New Roman"/>
        </w:rPr>
        <w:t xml:space="preserve">58. </w:t>
      </w:r>
      <w:r w:rsidRPr="002D6F50">
        <w:rPr>
          <w:rFonts w:cs="Times New Roman"/>
        </w:rPr>
        <w:tab/>
        <w:t>Elith J, H. Graham C, P. Anderson R, et al (2006) Novel methods improve prediction of species’ distributions from occurrence data. Ecography 29:129–151</w:t>
      </w:r>
    </w:p>
    <w:p w14:paraId="2A9EB10B" w14:textId="77777777" w:rsidR="00DE6FE5" w:rsidRPr="002D6F50" w:rsidRDefault="00DE6FE5" w:rsidP="00DE6FE5">
      <w:pPr>
        <w:pStyle w:val="Bibliography"/>
        <w:rPr>
          <w:rFonts w:cs="Times New Roman"/>
        </w:rPr>
      </w:pPr>
      <w:r w:rsidRPr="002D6F50">
        <w:rPr>
          <w:rFonts w:cs="Times New Roman"/>
        </w:rPr>
        <w:t xml:space="preserve">59. </w:t>
      </w:r>
      <w:r w:rsidRPr="002D6F50">
        <w:rPr>
          <w:rFonts w:cs="Times New Roman"/>
        </w:rPr>
        <w:tab/>
        <w:t>Tonnang HEZ, Hervé BDB, Biber-Freudenberger L, et al (2017) Advances in crop insect modelling methods—Towards a whole system approach. Ecol Model 354:88–103. https://doi.org/10.1016/j.ecolmodel.2017.03.015</w:t>
      </w:r>
    </w:p>
    <w:p w14:paraId="24FABB9B" w14:textId="77777777" w:rsidR="00DE6FE5" w:rsidRPr="002D6F50" w:rsidRDefault="00DE6FE5" w:rsidP="00DE6FE5">
      <w:pPr>
        <w:pStyle w:val="Bibliography"/>
        <w:rPr>
          <w:rFonts w:cs="Times New Roman"/>
        </w:rPr>
      </w:pPr>
      <w:r w:rsidRPr="002D6F50">
        <w:rPr>
          <w:rFonts w:cs="Times New Roman"/>
        </w:rPr>
        <w:t xml:space="preserve">60. </w:t>
      </w:r>
      <w:r w:rsidRPr="002D6F50">
        <w:rPr>
          <w:rFonts w:cs="Times New Roman"/>
        </w:rPr>
        <w:tab/>
        <w:t>Elith J, Leathwick JR (2009) Species distribution models: ecological explanation and prediction across space and time. Annu Rev Ecol Evol Syst 40:677–697. https://doi.org/10.1146/annurev.ecolsys.110308.120159</w:t>
      </w:r>
    </w:p>
    <w:p w14:paraId="41FBDD29" w14:textId="77777777" w:rsidR="00DE6FE5" w:rsidRPr="002D6F50" w:rsidRDefault="00DE6FE5" w:rsidP="00DE6FE5">
      <w:pPr>
        <w:pStyle w:val="Bibliography"/>
        <w:rPr>
          <w:rFonts w:cs="Times New Roman"/>
        </w:rPr>
      </w:pPr>
      <w:r w:rsidRPr="002D6F50">
        <w:rPr>
          <w:rFonts w:cs="Times New Roman"/>
        </w:rPr>
        <w:t xml:space="preserve">61. </w:t>
      </w:r>
      <w:r w:rsidRPr="002D6F50">
        <w:rPr>
          <w:rFonts w:cs="Times New Roman"/>
        </w:rPr>
        <w:tab/>
        <w:t>Busby J (1991) BIOCLIM - a bioclimate analysis and prediction system. Plant Prot Q Aust 6:8–9</w:t>
      </w:r>
    </w:p>
    <w:p w14:paraId="76603C0B" w14:textId="77777777" w:rsidR="00DE6FE5" w:rsidRPr="002D6F50" w:rsidRDefault="00DE6FE5" w:rsidP="00DE6FE5">
      <w:pPr>
        <w:pStyle w:val="Bibliography"/>
        <w:rPr>
          <w:rFonts w:cs="Times New Roman"/>
        </w:rPr>
      </w:pPr>
      <w:r w:rsidRPr="002D6F50">
        <w:rPr>
          <w:rFonts w:cs="Times New Roman"/>
        </w:rPr>
        <w:t xml:space="preserve">62. </w:t>
      </w:r>
      <w:r w:rsidRPr="002D6F50">
        <w:rPr>
          <w:rFonts w:cs="Times New Roman"/>
        </w:rPr>
        <w:tab/>
        <w:t>Beaumont LJ, Gallagher RV, Thuiller W, et al (2009) Different climatic envelopes among invasive populations may lead to underestimations of current and future biological invasions. Divers Distrib 15:409–420. https://doi.org/10.1111/j.1472-4642.2008.00547.x</w:t>
      </w:r>
    </w:p>
    <w:p w14:paraId="64EC5D24" w14:textId="77777777" w:rsidR="00DE6FE5" w:rsidRPr="002D6F50" w:rsidRDefault="00DE6FE5" w:rsidP="00DE6FE5">
      <w:pPr>
        <w:pStyle w:val="Bibliography"/>
        <w:rPr>
          <w:rFonts w:cs="Times New Roman"/>
        </w:rPr>
      </w:pPr>
      <w:r w:rsidRPr="002D6F50">
        <w:rPr>
          <w:rFonts w:cs="Times New Roman"/>
        </w:rPr>
        <w:t xml:space="preserve">63. </w:t>
      </w:r>
      <w:r w:rsidRPr="002D6F50">
        <w:rPr>
          <w:rFonts w:cs="Times New Roman"/>
        </w:rPr>
        <w:tab/>
        <w:t>Fitzpatrick MC, Hargrove WW (2009) The projection of species distribution models and the problem of non-analog climate. Biodivers Conserv 18:2255–2261. https://doi.org/10.1007/s10531-009-9584-8</w:t>
      </w:r>
    </w:p>
    <w:p w14:paraId="5ABE24B0" w14:textId="77777777" w:rsidR="00DE6FE5" w:rsidRPr="002D6F50" w:rsidRDefault="00DE6FE5" w:rsidP="00DE6FE5">
      <w:pPr>
        <w:pStyle w:val="Bibliography"/>
        <w:rPr>
          <w:rFonts w:cs="Times New Roman"/>
        </w:rPr>
      </w:pPr>
      <w:r w:rsidRPr="002D6F50">
        <w:rPr>
          <w:rFonts w:cs="Times New Roman"/>
        </w:rPr>
        <w:t xml:space="preserve">64. </w:t>
      </w:r>
      <w:r w:rsidRPr="002D6F50">
        <w:rPr>
          <w:rFonts w:cs="Times New Roman"/>
        </w:rPr>
        <w:tab/>
        <w:t>Steen V, Sofaer HR, Skagen SK, et al (2017) Projecting species’ vulnerability to climate change: Which uncertainty sources matter most and extrapolate best? Ecol Evol 7:8841–8851. https://doi.org/10.1002/ece3.3403</w:t>
      </w:r>
    </w:p>
    <w:p w14:paraId="4B926262" w14:textId="77777777" w:rsidR="00DE6FE5" w:rsidRPr="002D6F50" w:rsidRDefault="00DE6FE5" w:rsidP="00DE6FE5">
      <w:pPr>
        <w:pStyle w:val="Bibliography"/>
        <w:rPr>
          <w:rFonts w:cs="Times New Roman"/>
        </w:rPr>
      </w:pPr>
      <w:r w:rsidRPr="002D6F50">
        <w:rPr>
          <w:rFonts w:cs="Times New Roman"/>
        </w:rPr>
        <w:t xml:space="preserve">65. </w:t>
      </w:r>
      <w:r w:rsidRPr="002D6F50">
        <w:rPr>
          <w:rFonts w:cs="Times New Roman"/>
        </w:rPr>
        <w:tab/>
        <w:t>Yates KL, Bouchet PJ, Caley MJ, et al (2018) Outstanding challenges in the transferability of ecological models. Trends Ecol Evol 33:790–802. https://doi.org/10.1016/j.tree.2018.08.001</w:t>
      </w:r>
    </w:p>
    <w:p w14:paraId="49D51966" w14:textId="77777777" w:rsidR="00DE6FE5" w:rsidRPr="002D6F50" w:rsidRDefault="00DE6FE5" w:rsidP="00DE6FE5">
      <w:pPr>
        <w:pStyle w:val="Bibliography"/>
        <w:rPr>
          <w:rFonts w:cs="Times New Roman"/>
        </w:rPr>
      </w:pPr>
      <w:r w:rsidRPr="002D6F50">
        <w:rPr>
          <w:rFonts w:cs="Times New Roman"/>
        </w:rPr>
        <w:t xml:space="preserve">66. </w:t>
      </w:r>
      <w:r w:rsidRPr="002D6F50">
        <w:rPr>
          <w:rFonts w:cs="Times New Roman"/>
        </w:rPr>
        <w:tab/>
        <w:t>Sofaer HR, Jarnevich CS (2017) Accounting for sampling patterns reverses the relative importance of trade and climate for the global sharing of exotic plants. Glob Ecol Biogeogr 26:669–678. https://doi.org/10.1111/geb.12577</w:t>
      </w:r>
    </w:p>
    <w:p w14:paraId="0F3C490E" w14:textId="77777777" w:rsidR="00DE6FE5" w:rsidRPr="002D6F50" w:rsidRDefault="00DE6FE5" w:rsidP="00DE6FE5">
      <w:pPr>
        <w:pStyle w:val="Bibliography"/>
        <w:rPr>
          <w:rFonts w:cs="Times New Roman"/>
        </w:rPr>
      </w:pPr>
      <w:r w:rsidRPr="002D6F50">
        <w:rPr>
          <w:rFonts w:cs="Times New Roman"/>
        </w:rPr>
        <w:t xml:space="preserve">67. </w:t>
      </w:r>
      <w:r w:rsidRPr="002D6F50">
        <w:rPr>
          <w:rFonts w:cs="Times New Roman"/>
        </w:rPr>
        <w:tab/>
        <w:t>Guillera-Arroita G, Lahoz-Monfort JJ, Elith J, et al (2015) Is my species distribution model fit for purpose? Matching data and models to applications. Glob Ecol Biogeogr 24:276–292. https://doi.org/10.1111/geb.12268</w:t>
      </w:r>
    </w:p>
    <w:p w14:paraId="16CB6040" w14:textId="77777777" w:rsidR="00DE6FE5" w:rsidRPr="002D6F50" w:rsidRDefault="00DE6FE5" w:rsidP="00DE6FE5">
      <w:pPr>
        <w:pStyle w:val="Bibliography"/>
        <w:rPr>
          <w:rFonts w:cs="Times New Roman"/>
        </w:rPr>
      </w:pPr>
      <w:r w:rsidRPr="002D6F50">
        <w:rPr>
          <w:rFonts w:cs="Times New Roman"/>
        </w:rPr>
        <w:t xml:space="preserve">68. </w:t>
      </w:r>
      <w:r w:rsidRPr="002D6F50">
        <w:rPr>
          <w:rFonts w:cs="Times New Roman"/>
        </w:rPr>
        <w:tab/>
        <w:t>Soberón J, Nakamura M (2009) Niches and distributional areas: Concepts, methods, and assumptions. Proc Natl Acad Sci USA 106:19644–19650. https://doi.org/10.1073/pnas.0901637106</w:t>
      </w:r>
    </w:p>
    <w:p w14:paraId="133839A4" w14:textId="77777777" w:rsidR="00DE6FE5" w:rsidRPr="002D6F50" w:rsidRDefault="00DE6FE5" w:rsidP="00DE6FE5">
      <w:pPr>
        <w:pStyle w:val="Bibliography"/>
        <w:rPr>
          <w:rFonts w:cs="Times New Roman"/>
        </w:rPr>
      </w:pPr>
      <w:r w:rsidRPr="002D6F50">
        <w:rPr>
          <w:rFonts w:cs="Times New Roman"/>
        </w:rPr>
        <w:t xml:space="preserve">69. </w:t>
      </w:r>
      <w:r w:rsidRPr="002D6F50">
        <w:rPr>
          <w:rFonts w:cs="Times New Roman"/>
        </w:rPr>
        <w:tab/>
        <w:t>IPCC Intergovernmental Panel on Climate Change (2014) Climate change 2014: Impacts, Adaptation, and Vulnerability. Part A: global and sectoral aspects. Contribution of Working Group II to the Fifth Assessment Report of the Intergovernmental Panel on Climate Change. Cambridge University Press, Cambridge, United Kingdom and New York, NY, USA</w:t>
      </w:r>
    </w:p>
    <w:p w14:paraId="6F07F981" w14:textId="77777777" w:rsidR="00DE6FE5" w:rsidRPr="002D6F50" w:rsidRDefault="00DE6FE5" w:rsidP="00DE6FE5">
      <w:pPr>
        <w:pStyle w:val="Bibliography"/>
        <w:rPr>
          <w:rFonts w:cs="Times New Roman"/>
        </w:rPr>
      </w:pPr>
      <w:r w:rsidRPr="002D6F50">
        <w:rPr>
          <w:rFonts w:cs="Times New Roman"/>
        </w:rPr>
        <w:t xml:space="preserve">70. </w:t>
      </w:r>
      <w:r w:rsidRPr="002D6F50">
        <w:rPr>
          <w:rFonts w:cs="Times New Roman"/>
        </w:rPr>
        <w:tab/>
        <w:t>IPCC Intergovernmental Panel on Climate Change (2007) Climate Change 2007: Impacts, Adaptation and Vulnerability. Contribution of Working Group II to the Fourth Assessment Report of the Intergovernmental Panel on Climate Change. Cambridge University Press, Cambridge, United Kingdom and New York, NY, USA</w:t>
      </w:r>
    </w:p>
    <w:p w14:paraId="1FFBBB28" w14:textId="77777777" w:rsidR="00DE6FE5" w:rsidRPr="002D6F50" w:rsidRDefault="00DE6FE5" w:rsidP="00DE6FE5">
      <w:pPr>
        <w:pStyle w:val="Bibliography"/>
        <w:rPr>
          <w:rFonts w:cs="Times New Roman"/>
        </w:rPr>
      </w:pPr>
      <w:r w:rsidRPr="002D6F50">
        <w:rPr>
          <w:rFonts w:cs="Times New Roman"/>
        </w:rPr>
        <w:t xml:space="preserve">71. </w:t>
      </w:r>
      <w:r w:rsidRPr="002D6F50">
        <w:rPr>
          <w:rFonts w:cs="Times New Roman"/>
        </w:rPr>
        <w:tab/>
        <w:t>Bradley BA (2013) Distribution models of invasive plants over-estimate potential impact. Biol Invasions 15:1417–1429. https://doi.org/10.1007/s10530-012-0380-0</w:t>
      </w:r>
    </w:p>
    <w:p w14:paraId="1747B996" w14:textId="77777777" w:rsidR="00DE6FE5" w:rsidRPr="002D6F50" w:rsidRDefault="00DE6FE5" w:rsidP="00DE6FE5">
      <w:pPr>
        <w:pStyle w:val="Bibliography"/>
        <w:rPr>
          <w:rFonts w:cs="Times New Roman"/>
        </w:rPr>
      </w:pPr>
      <w:r w:rsidRPr="002D6F50">
        <w:rPr>
          <w:rFonts w:cs="Times New Roman"/>
        </w:rPr>
        <w:t xml:space="preserve">72. </w:t>
      </w:r>
      <w:r w:rsidRPr="002D6F50">
        <w:rPr>
          <w:rFonts w:cs="Times New Roman"/>
        </w:rPr>
        <w:tab/>
        <w:t>Fordham DA, Bertelsmeier C, Brook BW, et al (2018) How complex should models be? Comparing correlative and mechanistic range dynamics models. Glob Change Biol 24:1357–1370. https://doi.org/10.1111/gcb.13935</w:t>
      </w:r>
    </w:p>
    <w:p w14:paraId="35A770FB" w14:textId="77777777" w:rsidR="00DE6FE5" w:rsidRPr="002D6F50" w:rsidRDefault="00DE6FE5" w:rsidP="00DE6FE5">
      <w:pPr>
        <w:pStyle w:val="Bibliography"/>
        <w:rPr>
          <w:rFonts w:cs="Times New Roman"/>
        </w:rPr>
      </w:pPr>
      <w:r w:rsidRPr="002D6F50">
        <w:rPr>
          <w:rFonts w:cs="Times New Roman"/>
        </w:rPr>
        <w:t xml:space="preserve">73. </w:t>
      </w:r>
      <w:r w:rsidRPr="002D6F50">
        <w:rPr>
          <w:rFonts w:cs="Times New Roman"/>
        </w:rPr>
        <w:tab/>
        <w:t>Sinclair BJ, Marshall KE, Sewell MA, et al (2016) Can we predict ectotherm responses to climate change using thermal performance curves and body temperatures? Ecol Lett 19:1372–1385. https://doi.org/10.1111/ele.12686</w:t>
      </w:r>
    </w:p>
    <w:p w14:paraId="73A61D94" w14:textId="77777777" w:rsidR="00DE6FE5" w:rsidRPr="002D6F50" w:rsidRDefault="00DE6FE5" w:rsidP="00DE6FE5">
      <w:pPr>
        <w:pStyle w:val="Bibliography"/>
        <w:rPr>
          <w:rFonts w:cs="Times New Roman"/>
        </w:rPr>
      </w:pPr>
      <w:r w:rsidRPr="002D6F50">
        <w:rPr>
          <w:rFonts w:cs="Times New Roman"/>
        </w:rPr>
        <w:t xml:space="preserve">74. </w:t>
      </w:r>
      <w:r w:rsidRPr="002D6F50">
        <w:rPr>
          <w:rFonts w:cs="Times New Roman"/>
        </w:rPr>
        <w:tab/>
        <w:t>Buckley YM, Csergő AM (2017) Predicting invasion winners and losers under climate change. Proc Natl Acad Sci USA 114:4040–4041. https://doi.org/10.1073/pnas.1703510114</w:t>
      </w:r>
    </w:p>
    <w:p w14:paraId="46C9B326" w14:textId="77777777" w:rsidR="00DE6FE5" w:rsidRPr="002D6F50" w:rsidRDefault="00DE6FE5" w:rsidP="00DE6FE5">
      <w:pPr>
        <w:pStyle w:val="Bibliography"/>
        <w:rPr>
          <w:rFonts w:cs="Times New Roman"/>
        </w:rPr>
      </w:pPr>
      <w:r w:rsidRPr="002D6F50">
        <w:rPr>
          <w:rFonts w:cs="Times New Roman"/>
        </w:rPr>
        <w:t xml:space="preserve">75. </w:t>
      </w:r>
      <w:r w:rsidRPr="002D6F50">
        <w:rPr>
          <w:rFonts w:cs="Times New Roman"/>
        </w:rPr>
        <w:tab/>
        <w:t>Gutierrez AP, Pitcairn MJ, Ellis CK, et al (2005) Evaluating biological control of yellow starthistle (</w:t>
      </w:r>
      <w:r w:rsidRPr="002D6F50">
        <w:rPr>
          <w:rFonts w:cs="Times New Roman"/>
          <w:i/>
          <w:iCs/>
        </w:rPr>
        <w:t>Centaurea solstitialis</w:t>
      </w:r>
      <w:r w:rsidRPr="002D6F50">
        <w:rPr>
          <w:rFonts w:cs="Times New Roman"/>
        </w:rPr>
        <w:t>) in California: A GIS based supply-demand demographic model. Biol Control 34:115–131. https://doi.org/10.1016/j.biocontrol.2005.04.015</w:t>
      </w:r>
    </w:p>
    <w:p w14:paraId="42EA805D" w14:textId="77777777" w:rsidR="00DE6FE5" w:rsidRPr="002D6F50" w:rsidRDefault="00DE6FE5" w:rsidP="00DE6FE5">
      <w:pPr>
        <w:pStyle w:val="Bibliography"/>
        <w:rPr>
          <w:rFonts w:cs="Times New Roman"/>
        </w:rPr>
      </w:pPr>
      <w:r w:rsidRPr="002D6F50">
        <w:rPr>
          <w:rFonts w:cs="Times New Roman"/>
        </w:rPr>
        <w:t xml:space="preserve">76. </w:t>
      </w:r>
      <w:r w:rsidRPr="002D6F50">
        <w:rPr>
          <w:rFonts w:cs="Times New Roman"/>
        </w:rPr>
        <w:tab/>
        <w:t>Poisot T, Stouffer DB, Gravel D (2015) Beyond species: why ecological interaction networks vary through space and time. Oikos 124:243–251. https://doi.org/10.1111/oik.01719</w:t>
      </w:r>
    </w:p>
    <w:p w14:paraId="394B352B" w14:textId="77777777" w:rsidR="00DE6FE5" w:rsidRPr="002D6F50" w:rsidRDefault="00DE6FE5" w:rsidP="00DE6FE5">
      <w:pPr>
        <w:pStyle w:val="Bibliography"/>
        <w:rPr>
          <w:rFonts w:cs="Times New Roman"/>
        </w:rPr>
      </w:pPr>
      <w:r w:rsidRPr="002D6F50">
        <w:rPr>
          <w:rFonts w:cs="Times New Roman"/>
        </w:rPr>
        <w:t xml:space="preserve">77. </w:t>
      </w:r>
      <w:r w:rsidRPr="002D6F50">
        <w:rPr>
          <w:rFonts w:cs="Times New Roman"/>
        </w:rPr>
        <w:tab/>
        <w:t>May RM, Oster GF (1976) Bifurcations and dynamic complexity in simple ecological models. Am Nat 110:573–599</w:t>
      </w:r>
    </w:p>
    <w:p w14:paraId="1543941B" w14:textId="77777777" w:rsidR="00DE6FE5" w:rsidRPr="002D6F50" w:rsidRDefault="00DE6FE5" w:rsidP="00DE6FE5">
      <w:pPr>
        <w:pStyle w:val="Bibliography"/>
        <w:rPr>
          <w:rFonts w:cs="Times New Roman"/>
        </w:rPr>
      </w:pPr>
      <w:r w:rsidRPr="002D6F50">
        <w:rPr>
          <w:rFonts w:cs="Times New Roman"/>
        </w:rPr>
        <w:t xml:space="preserve">78. </w:t>
      </w:r>
      <w:r w:rsidRPr="002D6F50">
        <w:rPr>
          <w:rFonts w:cs="Times New Roman"/>
        </w:rPr>
        <w:tab/>
        <w:t>Beddington JR, Free CA, Lawton JH (1975) Dynamic complexity in predator-prey models framed in difference equations. Nature 255:58–60. https://doi.org/10.1038/255058a0</w:t>
      </w:r>
    </w:p>
    <w:p w14:paraId="5C958F59" w14:textId="77777777" w:rsidR="00DE6FE5" w:rsidRPr="002D6F50" w:rsidRDefault="00DE6FE5" w:rsidP="00DE6FE5">
      <w:pPr>
        <w:pStyle w:val="Bibliography"/>
        <w:rPr>
          <w:rFonts w:cs="Times New Roman"/>
        </w:rPr>
      </w:pPr>
      <w:r w:rsidRPr="002D6F50">
        <w:rPr>
          <w:rFonts w:cs="Times New Roman"/>
        </w:rPr>
        <w:t xml:space="preserve">79. </w:t>
      </w:r>
      <w:r w:rsidRPr="002D6F50">
        <w:rPr>
          <w:rFonts w:cs="Times New Roman"/>
        </w:rPr>
        <w:tab/>
        <w:t>Hassell MP (1978) The dynamics of arthropod predator-prey systems. Princeton University Press, Princeton, New Jersey, USA</w:t>
      </w:r>
    </w:p>
    <w:p w14:paraId="70A9245E" w14:textId="77777777" w:rsidR="00DE6FE5" w:rsidRPr="002D6F50" w:rsidRDefault="00DE6FE5" w:rsidP="00DE6FE5">
      <w:pPr>
        <w:pStyle w:val="Bibliography"/>
        <w:rPr>
          <w:rFonts w:cs="Times New Roman"/>
        </w:rPr>
      </w:pPr>
      <w:r w:rsidRPr="002D6F50">
        <w:rPr>
          <w:rFonts w:cs="Times New Roman"/>
        </w:rPr>
        <w:t xml:space="preserve">80. </w:t>
      </w:r>
      <w:r w:rsidRPr="002D6F50">
        <w:rPr>
          <w:rFonts w:cs="Times New Roman"/>
        </w:rPr>
        <w:tab/>
        <w:t>Murdoch WW (1991) Meeting reviews: The shift from equilibrium to a non-equilibrium paradigm in ecology. Bull Ecol Soc Am 72:49–51. https://doi.org/10.2307/20167250</w:t>
      </w:r>
    </w:p>
    <w:p w14:paraId="23E51E97" w14:textId="77777777" w:rsidR="00DE6FE5" w:rsidRPr="002D6F50" w:rsidRDefault="00DE6FE5" w:rsidP="00DE6FE5">
      <w:pPr>
        <w:pStyle w:val="Bibliography"/>
        <w:rPr>
          <w:rFonts w:cs="Times New Roman"/>
        </w:rPr>
      </w:pPr>
      <w:r w:rsidRPr="002D6F50">
        <w:rPr>
          <w:rFonts w:cs="Times New Roman"/>
        </w:rPr>
        <w:t xml:space="preserve">81. </w:t>
      </w:r>
      <w:r w:rsidRPr="002D6F50">
        <w:rPr>
          <w:rFonts w:cs="Times New Roman"/>
        </w:rPr>
        <w:tab/>
        <w:t>Wang YH, Gutierrez AP (1980) An assessment of the use of stability analyses in population ecology. J Anim Ecol 49:435–452. https://doi.org/10.2307/4256</w:t>
      </w:r>
    </w:p>
    <w:p w14:paraId="27D344D3" w14:textId="77777777" w:rsidR="00DE6FE5" w:rsidRPr="002D6F50" w:rsidRDefault="00DE6FE5" w:rsidP="00DE6FE5">
      <w:pPr>
        <w:pStyle w:val="Bibliography"/>
        <w:rPr>
          <w:rFonts w:cs="Times New Roman"/>
        </w:rPr>
      </w:pPr>
      <w:r w:rsidRPr="002D6F50">
        <w:rPr>
          <w:rFonts w:cs="Times New Roman"/>
        </w:rPr>
        <w:t xml:space="preserve">82. </w:t>
      </w:r>
      <w:r w:rsidRPr="002D6F50">
        <w:rPr>
          <w:rFonts w:cs="Times New Roman"/>
        </w:rPr>
        <w:tab/>
        <w:t>May RM (1973) Stability and complexity in model ecosystems. Princeton University Press, Princeton, New Jersey, USA</w:t>
      </w:r>
    </w:p>
    <w:p w14:paraId="6F040E71" w14:textId="77777777" w:rsidR="00DE6FE5" w:rsidRPr="002D6F50" w:rsidRDefault="00DE6FE5" w:rsidP="00DE6FE5">
      <w:pPr>
        <w:pStyle w:val="Bibliography"/>
        <w:rPr>
          <w:rFonts w:cs="Times New Roman"/>
        </w:rPr>
      </w:pPr>
      <w:r w:rsidRPr="002D6F50">
        <w:rPr>
          <w:rFonts w:cs="Times New Roman"/>
        </w:rPr>
        <w:t xml:space="preserve">83. </w:t>
      </w:r>
      <w:r w:rsidRPr="002D6F50">
        <w:rPr>
          <w:rFonts w:cs="Times New Roman"/>
        </w:rPr>
        <w:tab/>
        <w:t>May RM (1981) Theoretical ecology: principles and applications, 2nd ed. Sinauer Associates, Sunderland, Massachusetts, USA</w:t>
      </w:r>
    </w:p>
    <w:p w14:paraId="09AB034F" w14:textId="77777777" w:rsidR="00DE6FE5" w:rsidRPr="002D6F50" w:rsidRDefault="00DE6FE5" w:rsidP="00DE6FE5">
      <w:pPr>
        <w:pStyle w:val="Bibliography"/>
        <w:rPr>
          <w:rFonts w:cs="Times New Roman"/>
        </w:rPr>
      </w:pPr>
      <w:r w:rsidRPr="002D6F50">
        <w:rPr>
          <w:rFonts w:cs="Times New Roman"/>
        </w:rPr>
        <w:t xml:space="preserve">84. </w:t>
      </w:r>
      <w:r w:rsidRPr="002D6F50">
        <w:rPr>
          <w:rFonts w:cs="Times New Roman"/>
        </w:rPr>
        <w:tab/>
        <w:t xml:space="preserve">Patten BC (2014) Systems ecology and environmentalism: Getting the science right. Part I: Facets for a more holistic </w:t>
      </w:r>
      <w:r w:rsidRPr="002D6F50">
        <w:rPr>
          <w:rFonts w:cs="Times New Roman"/>
          <w:i/>
          <w:iCs/>
        </w:rPr>
        <w:t>Nature Book</w:t>
      </w:r>
      <w:r w:rsidRPr="002D6F50">
        <w:rPr>
          <w:rFonts w:cs="Times New Roman"/>
        </w:rPr>
        <w:t xml:space="preserve"> of ecology. Ecol Model 293:4–21. https://doi.org/10.1016/j.ecolmodel.2014.04.010</w:t>
      </w:r>
    </w:p>
    <w:p w14:paraId="00AAA3BA" w14:textId="77777777" w:rsidR="00DE6FE5" w:rsidRPr="002D6F50" w:rsidRDefault="00DE6FE5" w:rsidP="00DE6FE5">
      <w:pPr>
        <w:pStyle w:val="Bibliography"/>
        <w:rPr>
          <w:rFonts w:cs="Times New Roman"/>
        </w:rPr>
      </w:pPr>
      <w:r w:rsidRPr="002D6F50">
        <w:rPr>
          <w:rFonts w:cs="Times New Roman"/>
        </w:rPr>
        <w:t xml:space="preserve">85. </w:t>
      </w:r>
      <w:r w:rsidRPr="002D6F50">
        <w:rPr>
          <w:rFonts w:cs="Times New Roman"/>
        </w:rPr>
        <w:tab/>
        <w:t xml:space="preserve">Patten BC (2016) The cardinal hypotheses of </w:t>
      </w:r>
      <w:r w:rsidRPr="002D6F50">
        <w:rPr>
          <w:rFonts w:cs="Times New Roman"/>
          <w:i/>
          <w:iCs/>
        </w:rPr>
        <w:t>Holoecology</w:t>
      </w:r>
      <w:r w:rsidRPr="002D6F50">
        <w:rPr>
          <w:rFonts w:cs="Times New Roman"/>
        </w:rPr>
        <w:t>: Facets for a general systems theory of the organism–environment relationship. Ecol Model 319:63–111. https://doi.org/10.1016/j.ecolmodel.2015.08.004</w:t>
      </w:r>
    </w:p>
    <w:p w14:paraId="2D57C8A0" w14:textId="77777777" w:rsidR="00DE6FE5" w:rsidRPr="002D6F50" w:rsidRDefault="00DE6FE5" w:rsidP="00DE6FE5">
      <w:pPr>
        <w:pStyle w:val="Bibliography"/>
        <w:rPr>
          <w:rFonts w:cs="Times New Roman"/>
        </w:rPr>
      </w:pPr>
      <w:r w:rsidRPr="002D6F50">
        <w:rPr>
          <w:rFonts w:cs="Times New Roman"/>
        </w:rPr>
        <w:t xml:space="preserve">86. </w:t>
      </w:r>
      <w:r w:rsidRPr="002D6F50">
        <w:rPr>
          <w:rFonts w:cs="Times New Roman"/>
        </w:rPr>
        <w:tab/>
        <w:t>Huston M, DeAngelis D, Post W (1988) New computer models unify ecological theory. BioScience 38:682–691. https://doi.org/10.2307/1310870</w:t>
      </w:r>
    </w:p>
    <w:p w14:paraId="1BB8627E" w14:textId="77777777" w:rsidR="00DE6FE5" w:rsidRPr="002D6F50" w:rsidRDefault="00DE6FE5" w:rsidP="00DE6FE5">
      <w:pPr>
        <w:pStyle w:val="Bibliography"/>
        <w:rPr>
          <w:rFonts w:cs="Times New Roman"/>
        </w:rPr>
      </w:pPr>
      <w:r w:rsidRPr="002D6F50">
        <w:rPr>
          <w:rFonts w:cs="Times New Roman"/>
        </w:rPr>
        <w:t xml:space="preserve">87. </w:t>
      </w:r>
      <w:r w:rsidRPr="002D6F50">
        <w:rPr>
          <w:rFonts w:cs="Times New Roman"/>
        </w:rPr>
        <w:tab/>
        <w:t>Isaac NJB, Jarzyna MA, Keil P, et al (2020) Data integration for large-scale models of species distributions. Trends Ecol Evol 35:56–67. https://doi.org/10.1016/j.tree.2019.08.006</w:t>
      </w:r>
    </w:p>
    <w:p w14:paraId="0BA73BE1" w14:textId="77777777" w:rsidR="00DE6FE5" w:rsidRPr="002D6F50" w:rsidRDefault="00DE6FE5" w:rsidP="00DE6FE5">
      <w:pPr>
        <w:pStyle w:val="Bibliography"/>
        <w:rPr>
          <w:rFonts w:cs="Times New Roman"/>
        </w:rPr>
      </w:pPr>
      <w:r w:rsidRPr="002D6F50">
        <w:rPr>
          <w:rFonts w:cs="Times New Roman"/>
        </w:rPr>
        <w:t xml:space="preserve">88. </w:t>
      </w:r>
      <w:r w:rsidRPr="002D6F50">
        <w:rPr>
          <w:rFonts w:cs="Times New Roman"/>
        </w:rPr>
        <w:tab/>
        <w:t>Rumpff L, Duncan DH, Vesk PA, et al (2011) State-and-transition modelling for Adaptive Management of native woodlands. Biol Conserv 144:1224–1236. https://doi.org/10.1016/j.biocon.2010.10.026</w:t>
      </w:r>
    </w:p>
    <w:p w14:paraId="29B0D622" w14:textId="77777777" w:rsidR="00DE6FE5" w:rsidRPr="002D6F50" w:rsidRDefault="00DE6FE5" w:rsidP="00DE6FE5">
      <w:pPr>
        <w:pStyle w:val="Bibliography"/>
        <w:rPr>
          <w:rFonts w:cs="Times New Roman"/>
        </w:rPr>
      </w:pPr>
      <w:r w:rsidRPr="002D6F50">
        <w:rPr>
          <w:rFonts w:cs="Times New Roman"/>
        </w:rPr>
        <w:t xml:space="preserve">89. </w:t>
      </w:r>
      <w:r w:rsidRPr="002D6F50">
        <w:rPr>
          <w:rFonts w:cs="Times New Roman"/>
        </w:rPr>
        <w:tab/>
        <w:t>Kattge J, Díaz S, Lavorel S, et al (2011) TRY - a global database of plant traits. Glob Change Biol 17:2905–2935. https://doi.org/10.1111/j.1365-2486.2011.02451.x</w:t>
      </w:r>
    </w:p>
    <w:p w14:paraId="001398B4" w14:textId="77777777" w:rsidR="00DE6FE5" w:rsidRPr="002D6F50" w:rsidRDefault="00DE6FE5" w:rsidP="00DE6FE5">
      <w:pPr>
        <w:pStyle w:val="Bibliography"/>
        <w:rPr>
          <w:rFonts w:cs="Times New Roman"/>
        </w:rPr>
      </w:pPr>
      <w:r w:rsidRPr="002D6F50">
        <w:rPr>
          <w:rFonts w:cs="Times New Roman"/>
        </w:rPr>
        <w:t xml:space="preserve">90. </w:t>
      </w:r>
      <w:r w:rsidRPr="002D6F50">
        <w:rPr>
          <w:rFonts w:cs="Times New Roman"/>
        </w:rPr>
        <w:tab/>
        <w:t>Purves D, Scharlemann JPW, Harfoot M, et al (2013) Ecosystems: Time to model all life on Earth. Nature 493:295–297. https://doi.org/10.1038/493295a</w:t>
      </w:r>
    </w:p>
    <w:p w14:paraId="0AD5F205" w14:textId="77777777" w:rsidR="00DE6FE5" w:rsidRPr="002D6F50" w:rsidRDefault="00DE6FE5" w:rsidP="00DE6FE5">
      <w:pPr>
        <w:pStyle w:val="Bibliography"/>
        <w:rPr>
          <w:rFonts w:cs="Times New Roman"/>
        </w:rPr>
      </w:pPr>
      <w:r w:rsidRPr="002D6F50">
        <w:rPr>
          <w:rFonts w:cs="Times New Roman"/>
        </w:rPr>
        <w:t xml:space="preserve">91. </w:t>
      </w:r>
      <w:r w:rsidRPr="002D6F50">
        <w:rPr>
          <w:rFonts w:cs="Times New Roman"/>
        </w:rPr>
        <w:tab/>
        <w:t>Harfoot MBJ, Newbold T, Tittensor DP, et al (2014) Emergent global patterns of ecosystem structure and function from a mechanistic general ecosystem model. PLoS Biol 12:e1001841. https://doi.org/10.1371/journal.pbio.1001841</w:t>
      </w:r>
    </w:p>
    <w:p w14:paraId="4CB263A0" w14:textId="77777777" w:rsidR="00DE6FE5" w:rsidRPr="002D6F50" w:rsidRDefault="00DE6FE5" w:rsidP="00DE6FE5">
      <w:pPr>
        <w:pStyle w:val="Bibliography"/>
        <w:rPr>
          <w:rFonts w:cs="Times New Roman"/>
        </w:rPr>
      </w:pPr>
      <w:r w:rsidRPr="002D6F50">
        <w:rPr>
          <w:rFonts w:cs="Times New Roman"/>
        </w:rPr>
        <w:t xml:space="preserve">92. </w:t>
      </w:r>
      <w:r w:rsidRPr="002D6F50">
        <w:rPr>
          <w:rFonts w:cs="Times New Roman"/>
        </w:rPr>
        <w:tab/>
        <w:t>Hatton IA, McCann KS, Fryxell JM, et al (2015) The predator-prey power law: Biomass scaling across terrestrial and aquatic biomes. Science 349:aac6284. https://doi.org/10.1126/science.aac6284</w:t>
      </w:r>
    </w:p>
    <w:p w14:paraId="72A4CAA5" w14:textId="77777777" w:rsidR="00DE6FE5" w:rsidRPr="002D6F50" w:rsidRDefault="00DE6FE5" w:rsidP="00DE6FE5">
      <w:pPr>
        <w:pStyle w:val="Bibliography"/>
        <w:rPr>
          <w:rFonts w:cs="Times New Roman"/>
        </w:rPr>
      </w:pPr>
      <w:r w:rsidRPr="002D6F50">
        <w:rPr>
          <w:rFonts w:cs="Times New Roman"/>
        </w:rPr>
        <w:t xml:space="preserve">93. </w:t>
      </w:r>
      <w:r w:rsidRPr="002D6F50">
        <w:rPr>
          <w:rFonts w:cs="Times New Roman"/>
        </w:rPr>
        <w:tab/>
        <w:t>Loreau M (2010) From populations to ecosystems: theoretical foundations for a new ecological synthesis. Princeton University Press, Princeton, New Jersey, USA</w:t>
      </w:r>
    </w:p>
    <w:p w14:paraId="36FEFFF9" w14:textId="77777777" w:rsidR="00DE6FE5" w:rsidRPr="002D6F50" w:rsidRDefault="00DE6FE5" w:rsidP="00DE6FE5">
      <w:pPr>
        <w:pStyle w:val="Bibliography"/>
        <w:rPr>
          <w:rFonts w:cs="Times New Roman"/>
        </w:rPr>
      </w:pPr>
      <w:r w:rsidRPr="002D6F50">
        <w:rPr>
          <w:rFonts w:cs="Times New Roman"/>
        </w:rPr>
        <w:t xml:space="preserve">94. </w:t>
      </w:r>
      <w:r w:rsidRPr="002D6F50">
        <w:rPr>
          <w:rFonts w:cs="Times New Roman"/>
        </w:rPr>
        <w:tab/>
        <w:t>Dormann CF (2011) Book review: From populations to ecosystems: theoretical foundations for a new ecological synthesis, monographs in population biology, Vol. 46, M. Loreau. Princeton University Press, Princeton (2010). 328 pp. Basic Appl Ecol 12:382–383. https://doi.org/10.1016/j.baae.2010.12.001</w:t>
      </w:r>
    </w:p>
    <w:p w14:paraId="6FAEB9D0" w14:textId="77777777" w:rsidR="00DE6FE5" w:rsidRPr="002D6F50" w:rsidRDefault="00DE6FE5" w:rsidP="00DE6FE5">
      <w:pPr>
        <w:pStyle w:val="Bibliography"/>
        <w:rPr>
          <w:rFonts w:cs="Times New Roman"/>
        </w:rPr>
      </w:pPr>
      <w:r w:rsidRPr="002D6F50">
        <w:rPr>
          <w:rFonts w:cs="Times New Roman"/>
        </w:rPr>
        <w:t xml:space="preserve">95. </w:t>
      </w:r>
      <w:r w:rsidRPr="002D6F50">
        <w:rPr>
          <w:rFonts w:cs="Times New Roman"/>
        </w:rPr>
        <w:tab/>
        <w:t>Brown JH, Gillooly JF, Allen AP, et al (2004) Toward a metabolic theory of ecology. Ecology 85:1771–1789. https://doi.org/10.1890/03-9000</w:t>
      </w:r>
    </w:p>
    <w:p w14:paraId="1D1B4FE9" w14:textId="77777777" w:rsidR="00DE6FE5" w:rsidRPr="002D6F50" w:rsidRDefault="00DE6FE5" w:rsidP="00DE6FE5">
      <w:pPr>
        <w:pStyle w:val="Bibliography"/>
        <w:rPr>
          <w:rFonts w:cs="Times New Roman"/>
        </w:rPr>
      </w:pPr>
      <w:r w:rsidRPr="002D6F50">
        <w:rPr>
          <w:rFonts w:cs="Times New Roman"/>
        </w:rPr>
        <w:t xml:space="preserve">96. </w:t>
      </w:r>
      <w:r w:rsidRPr="002D6F50">
        <w:rPr>
          <w:rFonts w:cs="Times New Roman"/>
        </w:rPr>
        <w:tab/>
        <w:t>Gillooly JF, Charnov EL, West GB, et al (2002) Effects of size and temperature on developmental time. Nature 417:70–73. https://doi.org/10.1038/417070a</w:t>
      </w:r>
    </w:p>
    <w:p w14:paraId="3BD54E20" w14:textId="77777777" w:rsidR="00DE6FE5" w:rsidRPr="002D6F50" w:rsidRDefault="00DE6FE5" w:rsidP="00DE6FE5">
      <w:pPr>
        <w:pStyle w:val="Bibliography"/>
        <w:rPr>
          <w:rFonts w:cs="Times New Roman"/>
        </w:rPr>
      </w:pPr>
      <w:r w:rsidRPr="002D6F50">
        <w:rPr>
          <w:rFonts w:cs="Times New Roman"/>
        </w:rPr>
        <w:t xml:space="preserve">97. </w:t>
      </w:r>
      <w:r w:rsidRPr="002D6F50">
        <w:rPr>
          <w:rFonts w:cs="Times New Roman"/>
        </w:rPr>
        <w:tab/>
        <w:t>O’Connor MI, Bernhardt JR (2018) The metabolic theory of ecology and the cost of parasitism. PLoS Biol 16:e2005628. https://doi.org/10.1371/journal.pbio.2005628</w:t>
      </w:r>
    </w:p>
    <w:p w14:paraId="0122E91C" w14:textId="77777777" w:rsidR="00DE6FE5" w:rsidRPr="002D6F50" w:rsidRDefault="00DE6FE5" w:rsidP="00DE6FE5">
      <w:pPr>
        <w:pStyle w:val="Bibliography"/>
        <w:rPr>
          <w:rFonts w:cs="Times New Roman"/>
        </w:rPr>
      </w:pPr>
      <w:r w:rsidRPr="002D6F50">
        <w:rPr>
          <w:rFonts w:cs="Times New Roman"/>
        </w:rPr>
        <w:t xml:space="preserve">98. </w:t>
      </w:r>
      <w:r w:rsidRPr="002D6F50">
        <w:rPr>
          <w:rFonts w:cs="Times New Roman"/>
        </w:rPr>
        <w:tab/>
        <w:t>van der Meer J, Kooijman S, Klok C, et al (2014) Dynamic Energy Budget theory: applications in marine sciences and fishery biology. J Sea Res 94:1–166. https://doi.org/10.1016/j.seares.2014.09.004</w:t>
      </w:r>
    </w:p>
    <w:p w14:paraId="33559597" w14:textId="77777777" w:rsidR="00DE6FE5" w:rsidRPr="002D6F50" w:rsidRDefault="00DE6FE5" w:rsidP="00DE6FE5">
      <w:pPr>
        <w:pStyle w:val="Bibliography"/>
        <w:rPr>
          <w:rFonts w:cs="Times New Roman"/>
        </w:rPr>
      </w:pPr>
      <w:r w:rsidRPr="002D6F50">
        <w:rPr>
          <w:rFonts w:cs="Times New Roman"/>
        </w:rPr>
        <w:t xml:space="preserve">99. </w:t>
      </w:r>
      <w:r w:rsidRPr="002D6F50">
        <w:rPr>
          <w:rFonts w:cs="Times New Roman"/>
        </w:rPr>
        <w:tab/>
        <w:t>Kooijman SALM (1986) Population dynamics on basis of budgets. In: Metz JA, Diekmann O (eds) The dynamics of physiologically structured populations. Springer-Verlag, Berlin Heidelberg, Germany, pp 266–375</w:t>
      </w:r>
    </w:p>
    <w:p w14:paraId="75588118" w14:textId="77777777" w:rsidR="00DE6FE5" w:rsidRPr="002D6F50" w:rsidRDefault="00DE6FE5" w:rsidP="00DE6FE5">
      <w:pPr>
        <w:pStyle w:val="Bibliography"/>
        <w:rPr>
          <w:rFonts w:cs="Times New Roman"/>
        </w:rPr>
      </w:pPr>
      <w:r w:rsidRPr="002D6F50">
        <w:rPr>
          <w:rFonts w:cs="Times New Roman"/>
        </w:rPr>
        <w:t xml:space="preserve">100. </w:t>
      </w:r>
      <w:r w:rsidRPr="002D6F50">
        <w:rPr>
          <w:rFonts w:cs="Times New Roman"/>
        </w:rPr>
        <w:tab/>
        <w:t>Kooijman SALM (1993) Dynamic energy budgets in biological systems: theory and applications in ecotoxicology, 1st ed. Cambridge University Press, New York, USA</w:t>
      </w:r>
    </w:p>
    <w:p w14:paraId="5F5D66BF" w14:textId="77777777" w:rsidR="00DE6FE5" w:rsidRPr="002D6F50" w:rsidRDefault="00DE6FE5" w:rsidP="00DE6FE5">
      <w:pPr>
        <w:pStyle w:val="Bibliography"/>
        <w:rPr>
          <w:rFonts w:cs="Times New Roman"/>
        </w:rPr>
      </w:pPr>
      <w:r w:rsidRPr="002D6F50">
        <w:rPr>
          <w:rFonts w:cs="Times New Roman"/>
        </w:rPr>
        <w:t xml:space="preserve">101. </w:t>
      </w:r>
      <w:r w:rsidRPr="002D6F50">
        <w:rPr>
          <w:rFonts w:cs="Times New Roman"/>
        </w:rPr>
        <w:tab/>
        <w:t>Kooijman SALM (2000) Dynamic energy and mass budgets in biological systems, 2nd ed. Cambridge University Press, New York, USA</w:t>
      </w:r>
    </w:p>
    <w:p w14:paraId="1D3B9AB6" w14:textId="77777777" w:rsidR="00DE6FE5" w:rsidRPr="002D6F50" w:rsidRDefault="00DE6FE5" w:rsidP="00DE6FE5">
      <w:pPr>
        <w:pStyle w:val="Bibliography"/>
        <w:rPr>
          <w:rFonts w:cs="Times New Roman"/>
        </w:rPr>
      </w:pPr>
      <w:r w:rsidRPr="002D6F50">
        <w:rPr>
          <w:rFonts w:cs="Times New Roman"/>
        </w:rPr>
        <w:t xml:space="preserve">102. </w:t>
      </w:r>
      <w:r w:rsidRPr="002D6F50">
        <w:rPr>
          <w:rFonts w:cs="Times New Roman"/>
        </w:rPr>
        <w:tab/>
        <w:t>Lika K, Augustine S, Pecquerie L, Kooijman SALM (2014) The bijection from data to parameter space with the standard DEB model quantifies the supply–demand spectrum. J Theor Biol 354:35–47. https://doi.org/10.1016/j.jtbi.2014.03.025</w:t>
      </w:r>
    </w:p>
    <w:p w14:paraId="12AAEC1F" w14:textId="77777777" w:rsidR="00DE6FE5" w:rsidRPr="002D6F50" w:rsidRDefault="00DE6FE5" w:rsidP="00DE6FE5">
      <w:pPr>
        <w:pStyle w:val="Bibliography"/>
        <w:rPr>
          <w:rFonts w:cs="Times New Roman"/>
        </w:rPr>
      </w:pPr>
      <w:r w:rsidRPr="002D6F50">
        <w:rPr>
          <w:rFonts w:cs="Times New Roman"/>
        </w:rPr>
        <w:t xml:space="preserve">103. </w:t>
      </w:r>
      <w:r w:rsidRPr="002D6F50">
        <w:rPr>
          <w:rFonts w:cs="Times New Roman"/>
        </w:rPr>
        <w:tab/>
        <w:t>Nisbet RM, Muller EB, Lika K, Kooijman S a. LM (2000) From molecules to ecosystems through dynamic energy budget models. J Anim Ecol 69:913–926. https://doi.org/10.1111/j.1365-2656.2000.00448.x</w:t>
      </w:r>
    </w:p>
    <w:p w14:paraId="423116FC" w14:textId="77777777" w:rsidR="00DE6FE5" w:rsidRPr="002D6F50" w:rsidRDefault="00DE6FE5" w:rsidP="00DE6FE5">
      <w:pPr>
        <w:pStyle w:val="Bibliography"/>
        <w:rPr>
          <w:rFonts w:cs="Times New Roman"/>
        </w:rPr>
      </w:pPr>
      <w:r w:rsidRPr="002D6F50">
        <w:rPr>
          <w:rFonts w:cs="Times New Roman"/>
        </w:rPr>
        <w:t xml:space="preserve">104. </w:t>
      </w:r>
      <w:r w:rsidRPr="002D6F50">
        <w:rPr>
          <w:rFonts w:cs="Times New Roman"/>
        </w:rPr>
        <w:tab/>
        <w:t>Gutierrez AP (1992) The physiological basis of ratio-dependent predator-prey theory: the metabolic pool model as a paradigm. Ecology 73:1552–1563. https://doi.org/10.2307/1940008</w:t>
      </w:r>
    </w:p>
    <w:p w14:paraId="704BA473" w14:textId="77777777" w:rsidR="00DE6FE5" w:rsidRPr="002D6F50" w:rsidRDefault="00DE6FE5" w:rsidP="00DE6FE5">
      <w:pPr>
        <w:pStyle w:val="Bibliography"/>
        <w:rPr>
          <w:rFonts w:cs="Times New Roman"/>
        </w:rPr>
      </w:pPr>
      <w:r w:rsidRPr="002D6F50">
        <w:rPr>
          <w:rFonts w:cs="Times New Roman"/>
        </w:rPr>
        <w:t xml:space="preserve">105. </w:t>
      </w:r>
      <w:r w:rsidRPr="002D6F50">
        <w:rPr>
          <w:rFonts w:cs="Times New Roman"/>
        </w:rPr>
        <w:tab/>
        <w:t>de Wit CT, Goudriaan J (1978) Simulation of ecological processes. PUDOC, Wageningen, The Netherlands</w:t>
      </w:r>
    </w:p>
    <w:p w14:paraId="20F0C6FE" w14:textId="77777777" w:rsidR="00DE6FE5" w:rsidRPr="002D6F50" w:rsidRDefault="00DE6FE5" w:rsidP="00DE6FE5">
      <w:pPr>
        <w:pStyle w:val="Bibliography"/>
        <w:rPr>
          <w:rFonts w:cs="Times New Roman"/>
        </w:rPr>
      </w:pPr>
      <w:r w:rsidRPr="002D6F50">
        <w:rPr>
          <w:rFonts w:cs="Times New Roman"/>
        </w:rPr>
        <w:t xml:space="preserve">106. </w:t>
      </w:r>
      <w:r w:rsidRPr="002D6F50">
        <w:rPr>
          <w:rFonts w:cs="Times New Roman"/>
        </w:rPr>
        <w:tab/>
        <w:t>Peters RH (1986) The ecological implications of body size. Cambridge University Press, New York, USA</w:t>
      </w:r>
    </w:p>
    <w:p w14:paraId="500EB173" w14:textId="77777777" w:rsidR="00DE6FE5" w:rsidRPr="002D6F50" w:rsidRDefault="00DE6FE5" w:rsidP="00DE6FE5">
      <w:pPr>
        <w:pStyle w:val="Bibliography"/>
        <w:rPr>
          <w:rFonts w:cs="Times New Roman"/>
        </w:rPr>
      </w:pPr>
      <w:r w:rsidRPr="002D6F50">
        <w:rPr>
          <w:rFonts w:cs="Times New Roman"/>
        </w:rPr>
        <w:t xml:space="preserve">107. </w:t>
      </w:r>
      <w:r w:rsidRPr="002D6F50">
        <w:rPr>
          <w:rFonts w:cs="Times New Roman"/>
        </w:rPr>
        <w:tab/>
        <w:t>Robinson WR, Peters RH, Zimmermann J (1983) The effects of body size and temperature on metabolic rate of organisms. Can J Zool 61:281–288. https://doi.org/10.1139/z83-037</w:t>
      </w:r>
    </w:p>
    <w:p w14:paraId="5EBA64F0" w14:textId="77777777" w:rsidR="00DE6FE5" w:rsidRPr="002D6F50" w:rsidRDefault="00DE6FE5" w:rsidP="00DE6FE5">
      <w:pPr>
        <w:pStyle w:val="Bibliography"/>
        <w:rPr>
          <w:rFonts w:cs="Times New Roman"/>
        </w:rPr>
      </w:pPr>
      <w:r w:rsidRPr="002D6F50">
        <w:rPr>
          <w:rFonts w:cs="Times New Roman"/>
        </w:rPr>
        <w:t xml:space="preserve">108. </w:t>
      </w:r>
      <w:r w:rsidRPr="002D6F50">
        <w:rPr>
          <w:rFonts w:cs="Times New Roman"/>
        </w:rPr>
        <w:tab/>
        <w:t>Farlow JO (1976) A consideration of the trophic dynamics of a Late Cretaceous large-dinosaur community (Oldman Formation). Ecology 57:841–857. https://doi.org/10.2307/1941052</w:t>
      </w:r>
    </w:p>
    <w:p w14:paraId="2FBF3510" w14:textId="77777777" w:rsidR="00DE6FE5" w:rsidRPr="002D6F50" w:rsidRDefault="00DE6FE5" w:rsidP="00DE6FE5">
      <w:pPr>
        <w:pStyle w:val="Bibliography"/>
        <w:rPr>
          <w:rFonts w:cs="Times New Roman"/>
        </w:rPr>
      </w:pPr>
      <w:r w:rsidRPr="002D6F50">
        <w:rPr>
          <w:rFonts w:cs="Times New Roman"/>
        </w:rPr>
        <w:t xml:space="preserve">109. </w:t>
      </w:r>
      <w:r w:rsidRPr="002D6F50">
        <w:rPr>
          <w:rFonts w:cs="Times New Roman"/>
        </w:rPr>
        <w:tab/>
        <w:t>Banavar JR, Damuth J, Maritan A, Rinaldo A (2002) Supply–demand balance and metabolic scaling. Proc Natl Acad Sci 99:10506–10509. https://doi.org/10.1073/pnas.162216899</w:t>
      </w:r>
    </w:p>
    <w:p w14:paraId="5563738A" w14:textId="77777777" w:rsidR="00DE6FE5" w:rsidRPr="002D6F50" w:rsidRDefault="00DE6FE5" w:rsidP="00DE6FE5">
      <w:pPr>
        <w:pStyle w:val="Bibliography"/>
        <w:rPr>
          <w:rFonts w:cs="Times New Roman"/>
        </w:rPr>
      </w:pPr>
      <w:r w:rsidRPr="002D6F50">
        <w:rPr>
          <w:rFonts w:cs="Times New Roman"/>
        </w:rPr>
        <w:t xml:space="preserve">110. </w:t>
      </w:r>
      <w:r w:rsidRPr="002D6F50">
        <w:rPr>
          <w:rFonts w:cs="Times New Roman"/>
        </w:rPr>
        <w:tab/>
        <w:t>Glazier DS (2006) The 3/4-power law is not universal: evolution of isometric, ontogenetic metabolic scaling in pelagic animals. BioScience 56:325–332. https://doi.org/10.1641/0006-3568(2006)56[325:TPLINU]2.0.CO;2</w:t>
      </w:r>
    </w:p>
    <w:p w14:paraId="63544EF8" w14:textId="77777777" w:rsidR="00DE6FE5" w:rsidRPr="002D6F50" w:rsidRDefault="00DE6FE5" w:rsidP="00DE6FE5">
      <w:pPr>
        <w:pStyle w:val="Bibliography"/>
        <w:rPr>
          <w:rFonts w:cs="Times New Roman"/>
        </w:rPr>
      </w:pPr>
      <w:r w:rsidRPr="002D6F50">
        <w:rPr>
          <w:rFonts w:cs="Times New Roman"/>
        </w:rPr>
        <w:t xml:space="preserve">111. </w:t>
      </w:r>
      <w:r w:rsidRPr="002D6F50">
        <w:rPr>
          <w:rFonts w:cs="Times New Roman"/>
        </w:rPr>
        <w:tab/>
        <w:t>Arditi R, Saïah H (1992) Empirical evidence of the role of heterogeneity in ratio-dependent consumption. Ecology 73:1544–1551. https://doi.org/10.2307/1940007</w:t>
      </w:r>
    </w:p>
    <w:p w14:paraId="34667821" w14:textId="77777777" w:rsidR="00DE6FE5" w:rsidRPr="002D6F50" w:rsidRDefault="00DE6FE5" w:rsidP="00DE6FE5">
      <w:pPr>
        <w:pStyle w:val="Bibliography"/>
        <w:rPr>
          <w:rFonts w:cs="Times New Roman"/>
        </w:rPr>
      </w:pPr>
      <w:r w:rsidRPr="002D6F50">
        <w:rPr>
          <w:rFonts w:cs="Times New Roman"/>
        </w:rPr>
        <w:t xml:space="preserve">112. </w:t>
      </w:r>
      <w:r w:rsidRPr="002D6F50">
        <w:rPr>
          <w:rFonts w:cs="Times New Roman"/>
        </w:rPr>
        <w:tab/>
        <w:t>Leslie PH (1945) On the use of matrices in certain population mathematics. Biometrika 33:183–212. https://doi.org/10.2307/2332297</w:t>
      </w:r>
    </w:p>
    <w:p w14:paraId="5A1B6360" w14:textId="77777777" w:rsidR="00DE6FE5" w:rsidRPr="002D6F50" w:rsidRDefault="00DE6FE5" w:rsidP="00DE6FE5">
      <w:pPr>
        <w:pStyle w:val="Bibliography"/>
        <w:rPr>
          <w:rFonts w:cs="Times New Roman"/>
        </w:rPr>
      </w:pPr>
      <w:r w:rsidRPr="002D6F50">
        <w:rPr>
          <w:rFonts w:cs="Times New Roman"/>
        </w:rPr>
        <w:t xml:space="preserve">113. </w:t>
      </w:r>
      <w:r w:rsidRPr="002D6F50">
        <w:rPr>
          <w:rFonts w:cs="Times New Roman"/>
        </w:rPr>
        <w:tab/>
        <w:t>Foerster  von H (1959) Some remarks on changing populations. In: Stahlman FJr (ed) The kinetics of cellular proliferation. Grune and Stratton, New York, USA, pp 382–407</w:t>
      </w:r>
    </w:p>
    <w:p w14:paraId="67C04E76" w14:textId="77777777" w:rsidR="00DE6FE5" w:rsidRPr="002D6F50" w:rsidRDefault="00DE6FE5" w:rsidP="00DE6FE5">
      <w:pPr>
        <w:pStyle w:val="Bibliography"/>
        <w:rPr>
          <w:rFonts w:cs="Times New Roman"/>
        </w:rPr>
      </w:pPr>
      <w:r w:rsidRPr="002D6F50">
        <w:rPr>
          <w:rFonts w:cs="Times New Roman"/>
        </w:rPr>
        <w:t xml:space="preserve">114. </w:t>
      </w:r>
      <w:r w:rsidRPr="002D6F50">
        <w:rPr>
          <w:rFonts w:cs="Times New Roman"/>
        </w:rPr>
        <w:tab/>
        <w:t>Sinko JW, Streifer W (1967) A new model for age-size structure of a population. Ecology 48:910–918. https://doi.org/10.2307/1934533</w:t>
      </w:r>
    </w:p>
    <w:p w14:paraId="578EF6FB" w14:textId="77777777" w:rsidR="00DE6FE5" w:rsidRPr="002D6F50" w:rsidRDefault="00DE6FE5" w:rsidP="00DE6FE5">
      <w:pPr>
        <w:pStyle w:val="Bibliography"/>
        <w:rPr>
          <w:rFonts w:cs="Times New Roman"/>
        </w:rPr>
      </w:pPr>
      <w:r w:rsidRPr="002D6F50">
        <w:rPr>
          <w:rFonts w:cs="Times New Roman"/>
        </w:rPr>
        <w:t xml:space="preserve">115. </w:t>
      </w:r>
      <w:r w:rsidRPr="002D6F50">
        <w:rPr>
          <w:rFonts w:cs="Times New Roman"/>
        </w:rPr>
        <w:tab/>
        <w:t>Manetsch TJ (1976) Time-varying distributed delays and their use in aggregative models of large systems. IEEE Trans Syst Man Cybern 6:547–553. https://doi.org/10.1109/TSMC.1976.4309549</w:t>
      </w:r>
    </w:p>
    <w:p w14:paraId="22A5ED87" w14:textId="77777777" w:rsidR="00DE6FE5" w:rsidRPr="002D6F50" w:rsidRDefault="00DE6FE5" w:rsidP="00DE6FE5">
      <w:pPr>
        <w:pStyle w:val="Bibliography"/>
        <w:rPr>
          <w:rFonts w:cs="Times New Roman"/>
        </w:rPr>
      </w:pPr>
      <w:r w:rsidRPr="002D6F50">
        <w:rPr>
          <w:rFonts w:cs="Times New Roman"/>
        </w:rPr>
        <w:t xml:space="preserve">116. </w:t>
      </w:r>
      <w:r w:rsidRPr="002D6F50">
        <w:rPr>
          <w:rFonts w:cs="Times New Roman"/>
        </w:rPr>
        <w:tab/>
        <w:t>Curry GL, Feldman RM (1987) Mathematical foundations of population dynamics. Published for the Texas Engineering Experiment Station, Texas A&amp;M University System, by Texas A&amp;M University Press, College Station, Texas, USA</w:t>
      </w:r>
    </w:p>
    <w:p w14:paraId="52960E90" w14:textId="77777777" w:rsidR="00DE6FE5" w:rsidRPr="002D6F50" w:rsidRDefault="00DE6FE5" w:rsidP="00DE6FE5">
      <w:pPr>
        <w:pStyle w:val="Bibliography"/>
        <w:rPr>
          <w:rFonts w:cs="Times New Roman"/>
        </w:rPr>
      </w:pPr>
      <w:r w:rsidRPr="002D6F50">
        <w:rPr>
          <w:rFonts w:cs="Times New Roman"/>
        </w:rPr>
        <w:t xml:space="preserve">117. </w:t>
      </w:r>
      <w:r w:rsidRPr="002D6F50">
        <w:rPr>
          <w:rFonts w:cs="Times New Roman"/>
        </w:rPr>
        <w:tab/>
        <w:t>Nicholson AJ (1954) Compensatory reactions of populations to stresses, and their evolutionary significance. Aust J Zool 2:1–8. https://doi.org/10.1071/zo9540001</w:t>
      </w:r>
    </w:p>
    <w:p w14:paraId="61B97ED4" w14:textId="77777777" w:rsidR="00DE6FE5" w:rsidRPr="002D6F50" w:rsidRDefault="00DE6FE5" w:rsidP="00DE6FE5">
      <w:pPr>
        <w:pStyle w:val="Bibliography"/>
        <w:rPr>
          <w:rFonts w:cs="Times New Roman"/>
        </w:rPr>
      </w:pPr>
      <w:r w:rsidRPr="002D6F50">
        <w:rPr>
          <w:rFonts w:cs="Times New Roman"/>
        </w:rPr>
        <w:t xml:space="preserve">118. </w:t>
      </w:r>
      <w:r w:rsidRPr="002D6F50">
        <w:rPr>
          <w:rFonts w:cs="Times New Roman"/>
        </w:rPr>
        <w:tab/>
        <w:t>Nicholson AJ (1954) An outline of the dynamics of animal populations. Aust J Zool 2:9–65. https://doi.org/10.1071/zo9540009</w:t>
      </w:r>
    </w:p>
    <w:p w14:paraId="24438706" w14:textId="77777777" w:rsidR="00DE6FE5" w:rsidRPr="002D6F50" w:rsidRDefault="00DE6FE5" w:rsidP="00DE6FE5">
      <w:pPr>
        <w:pStyle w:val="Bibliography"/>
        <w:rPr>
          <w:rFonts w:cs="Times New Roman"/>
        </w:rPr>
      </w:pPr>
      <w:r w:rsidRPr="002D6F50">
        <w:rPr>
          <w:rFonts w:cs="Times New Roman"/>
        </w:rPr>
        <w:t xml:space="preserve">119. </w:t>
      </w:r>
      <w:r w:rsidRPr="002D6F50">
        <w:rPr>
          <w:rFonts w:cs="Times New Roman"/>
        </w:rPr>
        <w:tab/>
        <w:t>Gutierrez AP, Pizzamiglio MA, Dos Santos WJ, et al (1984) A general distributed delay time varying life table plant population model: Cotton (</w:t>
      </w:r>
      <w:r w:rsidRPr="002D6F50">
        <w:rPr>
          <w:rFonts w:cs="Times New Roman"/>
          <w:i/>
          <w:iCs/>
        </w:rPr>
        <w:t>Gossypium hirsutum</w:t>
      </w:r>
      <w:r w:rsidRPr="002D6F50">
        <w:rPr>
          <w:rFonts w:cs="Times New Roman"/>
        </w:rPr>
        <w:t xml:space="preserve"> L.) growth and development as an example. Ecol Model 26:231–249. https://doi.org/10.1016/0304-3800(84)90071-1</w:t>
      </w:r>
    </w:p>
    <w:p w14:paraId="4D9FBC42" w14:textId="77777777" w:rsidR="00DE6FE5" w:rsidRPr="002D6F50" w:rsidRDefault="00DE6FE5" w:rsidP="00DE6FE5">
      <w:pPr>
        <w:pStyle w:val="Bibliography"/>
        <w:rPr>
          <w:rFonts w:cs="Times New Roman"/>
        </w:rPr>
      </w:pPr>
      <w:r w:rsidRPr="002D6F50">
        <w:rPr>
          <w:rFonts w:cs="Times New Roman"/>
        </w:rPr>
        <w:t xml:space="preserve">120. </w:t>
      </w:r>
      <w:r w:rsidRPr="002D6F50">
        <w:rPr>
          <w:rFonts w:cs="Times New Roman"/>
        </w:rPr>
        <w:tab/>
        <w:t>Wermelinger B, Baumgärtner J, Gutierrez AP (1991) A demographic model of assimilation and allocation of carbon and nitrogen in grapevines. Ecol Model 53:1–26. https://doi.org/10.1016/0304-3800(91)90138-Q</w:t>
      </w:r>
    </w:p>
    <w:p w14:paraId="040609F8" w14:textId="77777777" w:rsidR="00DE6FE5" w:rsidRPr="002D6F50" w:rsidRDefault="00DE6FE5" w:rsidP="00DE6FE5">
      <w:pPr>
        <w:pStyle w:val="Bibliography"/>
        <w:rPr>
          <w:rFonts w:cs="Times New Roman"/>
        </w:rPr>
      </w:pPr>
      <w:r w:rsidRPr="002D6F50">
        <w:rPr>
          <w:rFonts w:cs="Times New Roman"/>
        </w:rPr>
        <w:t xml:space="preserve">121. </w:t>
      </w:r>
      <w:r w:rsidRPr="002D6F50">
        <w:rPr>
          <w:rFonts w:cs="Times New Roman"/>
        </w:rPr>
        <w:tab/>
        <w:t xml:space="preserve">Gutierrez AP, Baumgaertner JU, Hagen KS (1981) A conceptual model for growth, development, and reproduction in the ladybird beetle, </w:t>
      </w:r>
      <w:r w:rsidRPr="002D6F50">
        <w:rPr>
          <w:rFonts w:cs="Times New Roman"/>
          <w:i/>
          <w:iCs/>
        </w:rPr>
        <w:t>Hippodamia convergens</w:t>
      </w:r>
      <w:r w:rsidRPr="002D6F50">
        <w:rPr>
          <w:rFonts w:cs="Times New Roman"/>
        </w:rPr>
        <w:t xml:space="preserve"> (Coleoptera: Coccinellidae). Can Entomol 113:21–33. https://doi.org/10.4039/Ent11321-1</w:t>
      </w:r>
    </w:p>
    <w:p w14:paraId="76B92856" w14:textId="77777777" w:rsidR="00DE6FE5" w:rsidRPr="002D6F50" w:rsidRDefault="00DE6FE5" w:rsidP="00DE6FE5">
      <w:pPr>
        <w:pStyle w:val="Bibliography"/>
        <w:rPr>
          <w:rFonts w:cs="Times New Roman"/>
        </w:rPr>
      </w:pPr>
      <w:r w:rsidRPr="002D6F50">
        <w:rPr>
          <w:rFonts w:cs="Times New Roman"/>
        </w:rPr>
        <w:t xml:space="preserve">122. </w:t>
      </w:r>
      <w:r w:rsidRPr="002D6F50">
        <w:rPr>
          <w:rFonts w:cs="Times New Roman"/>
        </w:rPr>
        <w:tab/>
        <w:t>Loomis RS, Williams WA (1963) Maximum crop productivity: an extimate. Crop Sci 3:67–72. https://doi.org/10.2135/cropsci1963.0011183X000300010021x</w:t>
      </w:r>
    </w:p>
    <w:p w14:paraId="384D62C1" w14:textId="77777777" w:rsidR="00DE6FE5" w:rsidRPr="002D6F50" w:rsidRDefault="00DE6FE5" w:rsidP="00DE6FE5">
      <w:pPr>
        <w:pStyle w:val="Bibliography"/>
        <w:rPr>
          <w:rFonts w:cs="Times New Roman"/>
        </w:rPr>
      </w:pPr>
      <w:r w:rsidRPr="002D6F50">
        <w:rPr>
          <w:rFonts w:cs="Times New Roman"/>
        </w:rPr>
        <w:t xml:space="preserve">123. </w:t>
      </w:r>
      <w:r w:rsidRPr="002D6F50">
        <w:rPr>
          <w:rFonts w:cs="Times New Roman"/>
        </w:rPr>
        <w:tab/>
        <w:t>Gutierrez AP, Schulthess F, Wilson LT, et al (1987) Energy acquisition and allocation in plants and insects: a hypothesis for the possible role of hormones in insect feeding patterns. Can Entomol 119:109–129. https://doi.org/10.4039/Ent119109-2</w:t>
      </w:r>
    </w:p>
    <w:p w14:paraId="0BD2552B" w14:textId="77777777" w:rsidR="00DE6FE5" w:rsidRPr="002D6F50" w:rsidRDefault="00DE6FE5" w:rsidP="00DE6FE5">
      <w:pPr>
        <w:pStyle w:val="Bibliography"/>
        <w:rPr>
          <w:rFonts w:cs="Times New Roman"/>
        </w:rPr>
      </w:pPr>
      <w:r w:rsidRPr="002D6F50">
        <w:rPr>
          <w:rFonts w:cs="Times New Roman"/>
        </w:rPr>
        <w:t xml:space="preserve">124. </w:t>
      </w:r>
      <w:r w:rsidRPr="002D6F50">
        <w:rPr>
          <w:rFonts w:cs="Times New Roman"/>
        </w:rPr>
        <w:tab/>
        <w:t>Hanski I, Gilpin M (1991) Metapopulation dynamics: brief history and conceptual domain. Biol J Linn Soc 42:3–16. https://doi.org/10.1111/j.1095-8312.1991.tb00548.x</w:t>
      </w:r>
    </w:p>
    <w:p w14:paraId="1F19F7F0" w14:textId="77777777" w:rsidR="00DE6FE5" w:rsidRPr="002D6F50" w:rsidRDefault="00DE6FE5" w:rsidP="00DE6FE5">
      <w:pPr>
        <w:pStyle w:val="Bibliography"/>
        <w:rPr>
          <w:rFonts w:cs="Times New Roman"/>
        </w:rPr>
      </w:pPr>
      <w:r w:rsidRPr="002D6F50">
        <w:rPr>
          <w:rFonts w:cs="Times New Roman"/>
        </w:rPr>
        <w:t xml:space="preserve">125. </w:t>
      </w:r>
      <w:r w:rsidRPr="002D6F50">
        <w:rPr>
          <w:rFonts w:cs="Times New Roman"/>
        </w:rPr>
        <w:tab/>
        <w:t>Marcelis LFM, Heuvelink E (2007) Concepts of modelling carbon allocation among plant organs. In: Vos J, Marcelis LFM, Visser PHB de, et al (eds) Functional-Structural Plant Modelling in Crop Production. Springer, The Netherlands, pp 103–111</w:t>
      </w:r>
    </w:p>
    <w:p w14:paraId="42497732" w14:textId="77777777" w:rsidR="00DE6FE5" w:rsidRPr="002D6F50" w:rsidRDefault="00DE6FE5" w:rsidP="00DE6FE5">
      <w:pPr>
        <w:pStyle w:val="Bibliography"/>
        <w:rPr>
          <w:rFonts w:cs="Times New Roman"/>
        </w:rPr>
      </w:pPr>
      <w:r w:rsidRPr="002D6F50">
        <w:rPr>
          <w:rFonts w:cs="Times New Roman"/>
        </w:rPr>
        <w:t xml:space="preserve">126. </w:t>
      </w:r>
      <w:r w:rsidRPr="002D6F50">
        <w:rPr>
          <w:rFonts w:cs="Times New Roman"/>
        </w:rPr>
        <w:tab/>
        <w:t xml:space="preserve">Johnsen S, Gutierrez AP, Jrgensen J (1997) Overwintering in the cabbage root fly </w:t>
      </w:r>
      <w:r w:rsidRPr="002D6F50">
        <w:rPr>
          <w:rFonts w:cs="Times New Roman"/>
          <w:i/>
          <w:iCs/>
        </w:rPr>
        <w:t>Delia radicum</w:t>
      </w:r>
      <w:r w:rsidRPr="002D6F50">
        <w:rPr>
          <w:rFonts w:cs="Times New Roman"/>
        </w:rPr>
        <w:t>: a dynamic model of temperature-dependent dormancy and post-dormancy development. J Appl Ecol 34:21–28. https://doi.org/10.2307/2404844</w:t>
      </w:r>
    </w:p>
    <w:p w14:paraId="176E9E2C" w14:textId="77777777" w:rsidR="00DE6FE5" w:rsidRPr="002D6F50" w:rsidRDefault="00DE6FE5" w:rsidP="00DE6FE5">
      <w:pPr>
        <w:pStyle w:val="Bibliography"/>
        <w:rPr>
          <w:rFonts w:cs="Times New Roman"/>
        </w:rPr>
      </w:pPr>
      <w:r w:rsidRPr="002D6F50">
        <w:rPr>
          <w:rFonts w:cs="Times New Roman"/>
        </w:rPr>
        <w:t xml:space="preserve">127. </w:t>
      </w:r>
      <w:r w:rsidRPr="002D6F50">
        <w:rPr>
          <w:rFonts w:cs="Times New Roman"/>
        </w:rPr>
        <w:tab/>
        <w:t>Mills NJ, Gutierrez AP (1996) Prospective modelling in biological control: an analysis of the dynamics of heteronomous hyperparasitism in a cotton-whitefly-parasitoid system. J Appl Ecol 33:1379–1394</w:t>
      </w:r>
    </w:p>
    <w:p w14:paraId="09B6ABC5" w14:textId="77777777" w:rsidR="00DE6FE5" w:rsidRPr="002D6F50" w:rsidRDefault="00DE6FE5" w:rsidP="00DE6FE5">
      <w:pPr>
        <w:pStyle w:val="Bibliography"/>
        <w:rPr>
          <w:rFonts w:cs="Times New Roman"/>
        </w:rPr>
      </w:pPr>
      <w:r w:rsidRPr="002D6F50">
        <w:rPr>
          <w:rFonts w:cs="Times New Roman"/>
        </w:rPr>
        <w:t xml:space="preserve">128. </w:t>
      </w:r>
      <w:r w:rsidRPr="002D6F50">
        <w:rPr>
          <w:rFonts w:cs="Times New Roman"/>
        </w:rPr>
        <w:tab/>
        <w:t>Gutierrez AP, Yaninek JS, Neuenschwander P, Ellis CK (1999) A physiologically-based tritrophic metapopulation model of the African cassava food web. Ecol Model 123:225–242. https://doi.org/10.1016/S0304-3800(99)00144-1</w:t>
      </w:r>
    </w:p>
    <w:p w14:paraId="3FE8575E" w14:textId="77777777" w:rsidR="00DE6FE5" w:rsidRPr="002D6F50" w:rsidRDefault="00DE6FE5" w:rsidP="00DE6FE5">
      <w:pPr>
        <w:pStyle w:val="Bibliography"/>
        <w:rPr>
          <w:rFonts w:cs="Times New Roman"/>
        </w:rPr>
      </w:pPr>
      <w:r w:rsidRPr="002D6F50">
        <w:rPr>
          <w:rFonts w:cs="Times New Roman"/>
        </w:rPr>
        <w:t xml:space="preserve">129. </w:t>
      </w:r>
      <w:r w:rsidRPr="002D6F50">
        <w:rPr>
          <w:rFonts w:cs="Times New Roman"/>
        </w:rPr>
        <w:tab/>
        <w:t>Crawley M (1990) The responses of terrestrial ecosystems to global climate change. In: MacDonald GJ, Sertorio L (eds) Global climate and ecosystem change. Springer, Boston, Massachusetts, USA, pp 141–164</w:t>
      </w:r>
    </w:p>
    <w:p w14:paraId="4F6C90D5" w14:textId="77777777" w:rsidR="00DE6FE5" w:rsidRPr="002D6F50" w:rsidRDefault="00DE6FE5" w:rsidP="00DE6FE5">
      <w:pPr>
        <w:pStyle w:val="Bibliography"/>
        <w:rPr>
          <w:rFonts w:cs="Times New Roman"/>
        </w:rPr>
      </w:pPr>
      <w:r w:rsidRPr="002D6F50">
        <w:rPr>
          <w:rFonts w:cs="Times New Roman"/>
        </w:rPr>
        <w:t xml:space="preserve">130. </w:t>
      </w:r>
      <w:r w:rsidRPr="002D6F50">
        <w:rPr>
          <w:rFonts w:cs="Times New Roman"/>
        </w:rPr>
        <w:tab/>
        <w:t>de Candolle A (1855) Géographie botanique raisonnée. Librairie de Victor Masson, Paris, France</w:t>
      </w:r>
    </w:p>
    <w:p w14:paraId="12FD137F" w14:textId="77777777" w:rsidR="00DE6FE5" w:rsidRPr="002D6F50" w:rsidRDefault="00DE6FE5" w:rsidP="00DE6FE5">
      <w:pPr>
        <w:pStyle w:val="Bibliography"/>
        <w:rPr>
          <w:rFonts w:cs="Times New Roman"/>
        </w:rPr>
      </w:pPr>
      <w:r w:rsidRPr="002D6F50">
        <w:rPr>
          <w:rFonts w:cs="Times New Roman"/>
        </w:rPr>
        <w:t xml:space="preserve">131. </w:t>
      </w:r>
      <w:r w:rsidRPr="002D6F50">
        <w:rPr>
          <w:rFonts w:cs="Times New Roman"/>
        </w:rPr>
        <w:tab/>
        <w:t>Stinner RE, Gutierrez AP, Butler GD (1974) An algorithm for temperature-dependent growth rate simulation. Can Entomol 106:519–524</w:t>
      </w:r>
    </w:p>
    <w:p w14:paraId="11E1B9FE" w14:textId="77777777" w:rsidR="00DE6FE5" w:rsidRPr="002D6F50" w:rsidRDefault="00DE6FE5" w:rsidP="00DE6FE5">
      <w:pPr>
        <w:pStyle w:val="Bibliography"/>
        <w:rPr>
          <w:rFonts w:cs="Times New Roman"/>
        </w:rPr>
      </w:pPr>
      <w:r w:rsidRPr="002D6F50">
        <w:rPr>
          <w:rFonts w:cs="Times New Roman"/>
        </w:rPr>
        <w:t xml:space="preserve">132. </w:t>
      </w:r>
      <w:r w:rsidRPr="002D6F50">
        <w:rPr>
          <w:rFonts w:cs="Times New Roman"/>
        </w:rPr>
        <w:tab/>
        <w:t>Logan JA, Wollkind DJ, Hoyt SC, Tanigoshi LK (1976) An analytic model for description of temperature dependent rate phenomena in arthropods. Environ Entomol 5:1133–1140. https://doi.org/10.1093/ee/5.6.1133</w:t>
      </w:r>
    </w:p>
    <w:p w14:paraId="1BA90A5C" w14:textId="77777777" w:rsidR="00DE6FE5" w:rsidRPr="002D6F50" w:rsidRDefault="00DE6FE5" w:rsidP="00DE6FE5">
      <w:pPr>
        <w:pStyle w:val="Bibliography"/>
        <w:rPr>
          <w:rFonts w:cs="Times New Roman"/>
        </w:rPr>
      </w:pPr>
      <w:r w:rsidRPr="002D6F50">
        <w:rPr>
          <w:rFonts w:cs="Times New Roman"/>
        </w:rPr>
        <w:t xml:space="preserve">133. </w:t>
      </w:r>
      <w:r w:rsidRPr="002D6F50">
        <w:rPr>
          <w:rFonts w:cs="Times New Roman"/>
        </w:rPr>
        <w:tab/>
        <w:t>Sharpe PJH, DeMichele DW (1977) Reaction kinetics of poikilotherm development. J Theor Biol 64:649–670. https://doi.org/10.1016/0022-5193(77)90265-X</w:t>
      </w:r>
    </w:p>
    <w:p w14:paraId="3EFF3108" w14:textId="77777777" w:rsidR="00DE6FE5" w:rsidRPr="002D6F50" w:rsidRDefault="00DE6FE5" w:rsidP="00DE6FE5">
      <w:pPr>
        <w:pStyle w:val="Bibliography"/>
        <w:rPr>
          <w:rFonts w:cs="Times New Roman"/>
        </w:rPr>
      </w:pPr>
      <w:r w:rsidRPr="002D6F50">
        <w:rPr>
          <w:rFonts w:cs="Times New Roman"/>
        </w:rPr>
        <w:t xml:space="preserve">134. </w:t>
      </w:r>
      <w:r w:rsidRPr="002D6F50">
        <w:rPr>
          <w:rFonts w:cs="Times New Roman"/>
        </w:rPr>
        <w:tab/>
        <w:t>Lactin DJ, Holliday NJ, Johnson DL, Craigen R (1995) Improved rate model of temperature-dependent development by arthropods. Environ Entomol 24:68–75. https://doi.org/10.1093/ee/24.1.68</w:t>
      </w:r>
    </w:p>
    <w:p w14:paraId="5F08CFEE" w14:textId="77777777" w:rsidR="00DE6FE5" w:rsidRPr="002D6F50" w:rsidRDefault="00DE6FE5" w:rsidP="00DE6FE5">
      <w:pPr>
        <w:pStyle w:val="Bibliography"/>
        <w:rPr>
          <w:rFonts w:cs="Times New Roman"/>
        </w:rPr>
      </w:pPr>
      <w:r w:rsidRPr="002D6F50">
        <w:rPr>
          <w:rFonts w:cs="Times New Roman"/>
        </w:rPr>
        <w:t xml:space="preserve">135. </w:t>
      </w:r>
      <w:r w:rsidRPr="002D6F50">
        <w:rPr>
          <w:rFonts w:cs="Times New Roman"/>
        </w:rPr>
        <w:tab/>
        <w:t>Ratkowsky DA, Reddy GVP (2017) Empirical model with excellent statistical properties for describing temperature-dependent developmental rates of insects and mites. Ann Entomol Soc Am 110:302–309. https://doi.org/10.1093/aesa/saw098</w:t>
      </w:r>
    </w:p>
    <w:p w14:paraId="701DB6FF" w14:textId="77777777" w:rsidR="00DE6FE5" w:rsidRPr="002D6F50" w:rsidRDefault="00DE6FE5" w:rsidP="00DE6FE5">
      <w:pPr>
        <w:pStyle w:val="Bibliography"/>
        <w:rPr>
          <w:rFonts w:cs="Times New Roman"/>
        </w:rPr>
      </w:pPr>
      <w:r w:rsidRPr="002D6F50">
        <w:rPr>
          <w:rFonts w:cs="Times New Roman"/>
        </w:rPr>
        <w:t xml:space="preserve">136. </w:t>
      </w:r>
      <w:r w:rsidRPr="002D6F50">
        <w:rPr>
          <w:rFonts w:cs="Times New Roman"/>
        </w:rPr>
        <w:tab/>
        <w:t>Briére JF, Pracros P, Le Roux AY, Pierre JS (1999) A novel rate model of temperature-dependent development for arthropods. Environ Entomol 28:22–29. https://doi.org/10.1093/ee/28.1.22</w:t>
      </w:r>
    </w:p>
    <w:p w14:paraId="3F02572A" w14:textId="77777777" w:rsidR="00DE6FE5" w:rsidRPr="002D6F50" w:rsidRDefault="00DE6FE5" w:rsidP="00DE6FE5">
      <w:pPr>
        <w:pStyle w:val="Bibliography"/>
        <w:rPr>
          <w:rFonts w:cs="Times New Roman"/>
        </w:rPr>
      </w:pPr>
      <w:r w:rsidRPr="002D6F50">
        <w:rPr>
          <w:rFonts w:cs="Times New Roman"/>
        </w:rPr>
        <w:t xml:space="preserve">137. </w:t>
      </w:r>
      <w:r w:rsidRPr="002D6F50">
        <w:rPr>
          <w:rFonts w:cs="Times New Roman"/>
        </w:rPr>
        <w:tab/>
        <w:t>Gutierrez AP, Ponti L, Gilioli G, Baumgärtner J (2018) Climate warming effects on grape and grapevine moth (</w:t>
      </w:r>
      <w:r w:rsidRPr="002D6F50">
        <w:rPr>
          <w:rFonts w:cs="Times New Roman"/>
          <w:i/>
          <w:iCs/>
        </w:rPr>
        <w:t>Lobesia botrana</w:t>
      </w:r>
      <w:r w:rsidRPr="002D6F50">
        <w:rPr>
          <w:rFonts w:cs="Times New Roman"/>
        </w:rPr>
        <w:t>) in the Palearctic region. Agric For Entomol 20:255–271. https://doi.org/10.1111/afe.12256</w:t>
      </w:r>
    </w:p>
    <w:p w14:paraId="57D6A9EB" w14:textId="77777777" w:rsidR="00DE6FE5" w:rsidRPr="002D6F50" w:rsidRDefault="00DE6FE5" w:rsidP="00DE6FE5">
      <w:pPr>
        <w:pStyle w:val="Bibliography"/>
        <w:rPr>
          <w:rFonts w:cs="Times New Roman"/>
        </w:rPr>
      </w:pPr>
      <w:r w:rsidRPr="002D6F50">
        <w:rPr>
          <w:rFonts w:cs="Times New Roman"/>
        </w:rPr>
        <w:t xml:space="preserve">138. </w:t>
      </w:r>
      <w:r w:rsidRPr="002D6F50">
        <w:rPr>
          <w:rFonts w:cs="Times New Roman"/>
        </w:rPr>
        <w:tab/>
        <w:t>Gutierrez AP, Ponti L, Dalton DT (2016) Analysis of the invasiveness of spotted wing Drosophila (</w:t>
      </w:r>
      <w:r w:rsidRPr="002D6F50">
        <w:rPr>
          <w:rFonts w:cs="Times New Roman"/>
          <w:i/>
          <w:iCs/>
        </w:rPr>
        <w:t>Drosophila suzukii</w:t>
      </w:r>
      <w:r w:rsidRPr="002D6F50">
        <w:rPr>
          <w:rFonts w:cs="Times New Roman"/>
        </w:rPr>
        <w:t>) in North America, Europe, and the Mediterranean Basin. Biol Invasions 18:3647–3663. https://doi.org/10.1007/s10530-016-1255-6</w:t>
      </w:r>
    </w:p>
    <w:p w14:paraId="61417708" w14:textId="77777777" w:rsidR="00DE6FE5" w:rsidRPr="002D6F50" w:rsidRDefault="00DE6FE5" w:rsidP="00DE6FE5">
      <w:pPr>
        <w:pStyle w:val="Bibliography"/>
        <w:rPr>
          <w:rFonts w:cs="Times New Roman"/>
        </w:rPr>
      </w:pPr>
      <w:r w:rsidRPr="002D6F50">
        <w:rPr>
          <w:rFonts w:cs="Times New Roman"/>
        </w:rPr>
        <w:t xml:space="preserve">139. </w:t>
      </w:r>
      <w:r w:rsidRPr="002D6F50">
        <w:rPr>
          <w:rFonts w:cs="Times New Roman"/>
        </w:rPr>
        <w:tab/>
        <w:t>Royama T (1971) A comparative study of models for predation and parasitism. Popul Ecol 13:1–91. https://doi.org/10.1007/BF02511547</w:t>
      </w:r>
    </w:p>
    <w:p w14:paraId="278065DE" w14:textId="77777777" w:rsidR="00DE6FE5" w:rsidRPr="002D6F50" w:rsidRDefault="00DE6FE5" w:rsidP="00DE6FE5">
      <w:pPr>
        <w:pStyle w:val="Bibliography"/>
        <w:rPr>
          <w:rFonts w:cs="Times New Roman"/>
        </w:rPr>
      </w:pPr>
      <w:r w:rsidRPr="002D6F50">
        <w:rPr>
          <w:rFonts w:cs="Times New Roman"/>
        </w:rPr>
        <w:t xml:space="preserve">140. </w:t>
      </w:r>
      <w:r w:rsidRPr="002D6F50">
        <w:rPr>
          <w:rFonts w:cs="Times New Roman"/>
        </w:rPr>
        <w:tab/>
        <w:t>Rogers D (1972) Random search and insect population models. J Anim Ecol 41:369–383. https://doi.org/10.2307/3474</w:t>
      </w:r>
    </w:p>
    <w:p w14:paraId="03D0C813" w14:textId="77777777" w:rsidR="00DE6FE5" w:rsidRPr="002D6F50" w:rsidRDefault="00DE6FE5" w:rsidP="00DE6FE5">
      <w:pPr>
        <w:pStyle w:val="Bibliography"/>
        <w:rPr>
          <w:rFonts w:cs="Times New Roman"/>
        </w:rPr>
      </w:pPr>
      <w:r w:rsidRPr="002D6F50">
        <w:rPr>
          <w:rFonts w:cs="Times New Roman"/>
        </w:rPr>
        <w:t xml:space="preserve">141. </w:t>
      </w:r>
      <w:r w:rsidRPr="002D6F50">
        <w:rPr>
          <w:rFonts w:cs="Times New Roman"/>
        </w:rPr>
        <w:tab/>
        <w:t>Beddington JR, Hassell MP, Lawton JH (1976) The components of arthropod predation: II. The predator rate of increase. J Anim Ecol 45:165–185. https://doi.org/10.2307/3773</w:t>
      </w:r>
    </w:p>
    <w:p w14:paraId="7B982CE2" w14:textId="77777777" w:rsidR="00DE6FE5" w:rsidRPr="002D6F50" w:rsidRDefault="00DE6FE5" w:rsidP="00DE6FE5">
      <w:pPr>
        <w:pStyle w:val="Bibliography"/>
        <w:rPr>
          <w:rFonts w:cs="Times New Roman"/>
        </w:rPr>
      </w:pPr>
      <w:r w:rsidRPr="002D6F50">
        <w:rPr>
          <w:rFonts w:cs="Times New Roman"/>
        </w:rPr>
        <w:t xml:space="preserve">142. </w:t>
      </w:r>
      <w:r w:rsidRPr="002D6F50">
        <w:rPr>
          <w:rFonts w:cs="Times New Roman"/>
        </w:rPr>
        <w:tab/>
        <w:t>Frazer BD, Gilbert N (1976) Coccinellids and aphids: A quantitative study of the impact of adult ladybirds (Coleoptera: Coccinellidae) preying on field populations of pea aphids (Homoptera: Aphididae). J Entomol Soc Br Columbia 73:33–56</w:t>
      </w:r>
    </w:p>
    <w:p w14:paraId="17FECBD8" w14:textId="77777777" w:rsidR="00DE6FE5" w:rsidRPr="002D6F50" w:rsidRDefault="00DE6FE5" w:rsidP="00DE6FE5">
      <w:pPr>
        <w:pStyle w:val="Bibliography"/>
        <w:rPr>
          <w:rFonts w:cs="Times New Roman"/>
        </w:rPr>
      </w:pPr>
      <w:r w:rsidRPr="002D6F50">
        <w:rPr>
          <w:rFonts w:cs="Times New Roman"/>
        </w:rPr>
        <w:t xml:space="preserve">143. </w:t>
      </w:r>
      <w:r w:rsidRPr="002D6F50">
        <w:rPr>
          <w:rFonts w:cs="Times New Roman"/>
        </w:rPr>
        <w:tab/>
        <w:t>Bieri M, Baumgärtner J, Bianchi G, et al (1983) Development and fecundity of pea aphid (</w:t>
      </w:r>
      <w:r w:rsidRPr="002D6F50">
        <w:rPr>
          <w:rFonts w:cs="Times New Roman"/>
          <w:i/>
          <w:iCs/>
        </w:rPr>
        <w:t>Acyrthosiphon pisum</w:t>
      </w:r>
      <w:r w:rsidRPr="002D6F50">
        <w:rPr>
          <w:rFonts w:cs="Times New Roman"/>
        </w:rPr>
        <w:t xml:space="preserve"> Harris) as affected by constant temperatures and by pea varieties. Mitteilungen Schweiz Entomol Ges 56:163–171. https://doi.org/10.5169/seals-402070</w:t>
      </w:r>
    </w:p>
    <w:p w14:paraId="24DEED1F" w14:textId="77777777" w:rsidR="00DE6FE5" w:rsidRPr="002D6F50" w:rsidRDefault="00DE6FE5" w:rsidP="00DE6FE5">
      <w:pPr>
        <w:pStyle w:val="Bibliography"/>
        <w:rPr>
          <w:rFonts w:cs="Times New Roman"/>
        </w:rPr>
      </w:pPr>
      <w:r w:rsidRPr="002D6F50">
        <w:rPr>
          <w:rFonts w:cs="Times New Roman"/>
        </w:rPr>
        <w:t xml:space="preserve">144. </w:t>
      </w:r>
      <w:r w:rsidRPr="002D6F50">
        <w:rPr>
          <w:rFonts w:cs="Times New Roman"/>
        </w:rPr>
        <w:tab/>
        <w:t>Nechols JR, Tauber MJ, Tauber CA, Masaki S (1999) Adaptations to hazardous seasonal conditions: dormancy, migration, and polyphenism. In: Huffaker CB, Gutierrez AP (eds) Ecological entomology. John Wiley and Sons, New York, USA</w:t>
      </w:r>
    </w:p>
    <w:p w14:paraId="173B74F6" w14:textId="77777777" w:rsidR="00DE6FE5" w:rsidRPr="002D6F50" w:rsidRDefault="00DE6FE5" w:rsidP="00DE6FE5">
      <w:pPr>
        <w:pStyle w:val="Bibliography"/>
        <w:rPr>
          <w:rFonts w:cs="Times New Roman"/>
        </w:rPr>
      </w:pPr>
      <w:r w:rsidRPr="002D6F50">
        <w:rPr>
          <w:rFonts w:cs="Times New Roman"/>
        </w:rPr>
        <w:t xml:space="preserve">145. </w:t>
      </w:r>
      <w:r w:rsidRPr="002D6F50">
        <w:rPr>
          <w:rFonts w:cs="Times New Roman"/>
        </w:rPr>
        <w:tab/>
        <w:t>Abkin MH, Wolf C (1976) Computer library for agricultural systems simulation. Distributed delay routines: DEL, DELS, DELF, DELLF, DELVF, DELLVF. Department of Agricultural Economics, Michigan State University, Lansing, MI, USA</w:t>
      </w:r>
    </w:p>
    <w:p w14:paraId="2AAA8228" w14:textId="5F02CBC5" w:rsidR="00C12D50" w:rsidRPr="00395E09" w:rsidRDefault="00DE6FE5" w:rsidP="00DE6FE5">
      <w:pPr>
        <w:rPr>
          <w:rFonts w:ascii="Times New Roman" w:hAnsi="Times New Roman"/>
          <w:sz w:val="24"/>
          <w:szCs w:val="24"/>
        </w:rPr>
      </w:pPr>
      <w:r>
        <w:rPr>
          <w:rFonts w:ascii="Times New Roman" w:hAnsi="Times New Roman"/>
          <w:sz w:val="24"/>
          <w:szCs w:val="24"/>
        </w:rPr>
        <w:fldChar w:fldCharType="end"/>
      </w:r>
    </w:p>
    <w:sectPr w:rsidR="00C12D50" w:rsidRPr="00395E09" w:rsidSect="00DB4BFE">
      <w:headerReference w:type="default" r:id="rId146"/>
      <w:footerReference w:type="default" r:id="rId147"/>
      <w:headerReference w:type="first" r:id="rId148"/>
      <w:footerReference w:type="first" r:id="rId149"/>
      <w:pgSz w:w="12240" w:h="15840" w:code="1"/>
      <w:pgMar w:top="1440" w:right="1440" w:bottom="1440" w:left="1440" w:header="43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EDCE0" w14:textId="77777777" w:rsidR="00187681" w:rsidRDefault="00187681" w:rsidP="00FB0DB4">
      <w:r>
        <w:separator/>
      </w:r>
    </w:p>
  </w:endnote>
  <w:endnote w:type="continuationSeparator" w:id="0">
    <w:p w14:paraId="35FC2A31" w14:textId="77777777" w:rsidR="00187681" w:rsidRDefault="00187681" w:rsidP="00FB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athematica1">
    <w:altName w:val="Symbol"/>
    <w:charset w:val="02"/>
    <w:family w:val="auto"/>
    <w:pitch w:val="variable"/>
    <w:sig w:usb0="00000000" w:usb1="10000000" w:usb2="00000000" w:usb3="00000000" w:csb0="80000000" w:csb1="00000000"/>
  </w:font>
  <w:font w:name="HelveticaLTStd-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D4BF6" w14:textId="24D2E28A" w:rsidR="00775684" w:rsidRDefault="00775684">
    <w:pPr>
      <w:pStyle w:val="Footer"/>
    </w:pPr>
  </w:p>
  <w:p w14:paraId="4949A02C" w14:textId="1FD4F457" w:rsidR="00775684" w:rsidRPr="00FB0DB4" w:rsidRDefault="00775684" w:rsidP="00FB0DB4">
    <w:pPr>
      <w:pStyle w:val="Footer"/>
      <w:jc w:val="center"/>
      <w:rPr>
        <w:color w:val="000000" w:themeColor="text1"/>
        <w:sz w:val="24"/>
        <w:szCs w:val="24"/>
      </w:rPr>
    </w:pPr>
    <w:r w:rsidRPr="00FB0DB4">
      <w:rPr>
        <w:caps/>
        <w:color w:val="000000" w:themeColor="text1"/>
        <w:sz w:val="24"/>
        <w:szCs w:val="24"/>
      </w:rPr>
      <w:fldChar w:fldCharType="begin"/>
    </w:r>
    <w:r w:rsidRPr="00FB0DB4">
      <w:rPr>
        <w:caps/>
        <w:color w:val="000000" w:themeColor="text1"/>
        <w:sz w:val="24"/>
        <w:szCs w:val="24"/>
      </w:rPr>
      <w:instrText xml:space="preserve"> PAGE   \* MERGEFORMAT </w:instrText>
    </w:r>
    <w:r w:rsidRPr="00FB0DB4">
      <w:rPr>
        <w:caps/>
        <w:color w:val="000000" w:themeColor="text1"/>
        <w:sz w:val="24"/>
        <w:szCs w:val="24"/>
      </w:rPr>
      <w:fldChar w:fldCharType="separate"/>
    </w:r>
    <w:r w:rsidRPr="00FB0DB4">
      <w:rPr>
        <w:caps/>
        <w:color w:val="000000" w:themeColor="text1"/>
        <w:sz w:val="24"/>
        <w:szCs w:val="24"/>
      </w:rPr>
      <w:t>27</w:t>
    </w:r>
    <w:r w:rsidRPr="00FB0DB4">
      <w:rPr>
        <w:caps/>
        <w:noProof/>
        <w:color w:val="000000" w:themeColor="text1"/>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D57B5" w14:textId="77777777" w:rsidR="00775684" w:rsidRDefault="00775684">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1</w:t>
    </w:r>
    <w:r>
      <w:rPr>
        <w:caps/>
        <w:noProof/>
        <w:color w:val="4472C4" w:themeColor="accent1"/>
      </w:rPr>
      <w:fldChar w:fldCharType="end"/>
    </w:r>
  </w:p>
  <w:p w14:paraId="0CBAAE99" w14:textId="77777777" w:rsidR="00775684" w:rsidRDefault="007756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F140C" w14:textId="77777777" w:rsidR="00187681" w:rsidRDefault="00187681" w:rsidP="00FB0DB4">
      <w:r>
        <w:separator/>
      </w:r>
    </w:p>
  </w:footnote>
  <w:footnote w:type="continuationSeparator" w:id="0">
    <w:p w14:paraId="771E47A5" w14:textId="77777777" w:rsidR="00187681" w:rsidRDefault="00187681" w:rsidP="00FB0D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2525E" w14:textId="0F491B11" w:rsidR="00775684" w:rsidRDefault="00775684" w:rsidP="00FB0DB4">
    <w:pPr>
      <w:pStyle w:val="Header"/>
      <w:tabs>
        <w:tab w:val="clear" w:pos="4320"/>
        <w:tab w:val="clear" w:pos="8640"/>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CE6C3" w14:textId="77777777" w:rsidR="00775684" w:rsidRPr="00204015" w:rsidRDefault="00775684" w:rsidP="00262B28">
    <w:pPr>
      <w:pStyle w:val="Header"/>
    </w:pPr>
    <w:r>
      <w:rPr>
        <w:noProof/>
      </w:rPr>
      <w:drawing>
        <wp:anchor distT="0" distB="0" distL="114300" distR="114300" simplePos="0" relativeHeight="251659264" behindDoc="1" locked="0" layoutInCell="1" allowOverlap="1" wp14:anchorId="381313FB" wp14:editId="4EF258C7">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333DA088" w14:textId="77777777" w:rsidR="00775684" w:rsidRDefault="00775684" w:rsidP="00262B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B5E5C06"/>
    <w:lvl w:ilvl="0">
      <w:start w:val="1"/>
      <w:numFmt w:val="decimal"/>
      <w:lvlText w:val="%1."/>
      <w:lvlJc w:val="left"/>
      <w:pPr>
        <w:tabs>
          <w:tab w:val="num" w:pos="1800"/>
        </w:tabs>
        <w:ind w:left="1800" w:hanging="360"/>
      </w:pPr>
    </w:lvl>
  </w:abstractNum>
  <w:abstractNum w:abstractNumId="1">
    <w:nsid w:val="FFFFFF7D"/>
    <w:multiLevelType w:val="singleLevel"/>
    <w:tmpl w:val="ED267E8E"/>
    <w:lvl w:ilvl="0">
      <w:start w:val="1"/>
      <w:numFmt w:val="decimal"/>
      <w:lvlText w:val="%1."/>
      <w:lvlJc w:val="left"/>
      <w:pPr>
        <w:tabs>
          <w:tab w:val="num" w:pos="1440"/>
        </w:tabs>
        <w:ind w:left="1440" w:hanging="360"/>
      </w:pPr>
    </w:lvl>
  </w:abstractNum>
  <w:abstractNum w:abstractNumId="2">
    <w:nsid w:val="FFFFFF7E"/>
    <w:multiLevelType w:val="singleLevel"/>
    <w:tmpl w:val="B3BE2BE2"/>
    <w:lvl w:ilvl="0">
      <w:start w:val="1"/>
      <w:numFmt w:val="decimal"/>
      <w:lvlText w:val="%1."/>
      <w:lvlJc w:val="left"/>
      <w:pPr>
        <w:tabs>
          <w:tab w:val="num" w:pos="1080"/>
        </w:tabs>
        <w:ind w:left="1080" w:hanging="360"/>
      </w:pPr>
    </w:lvl>
  </w:abstractNum>
  <w:abstractNum w:abstractNumId="3">
    <w:nsid w:val="FFFFFF7F"/>
    <w:multiLevelType w:val="singleLevel"/>
    <w:tmpl w:val="DA8EF6A8"/>
    <w:lvl w:ilvl="0">
      <w:start w:val="1"/>
      <w:numFmt w:val="decimal"/>
      <w:lvlText w:val="%1."/>
      <w:lvlJc w:val="left"/>
      <w:pPr>
        <w:tabs>
          <w:tab w:val="num" w:pos="720"/>
        </w:tabs>
        <w:ind w:left="720" w:hanging="360"/>
      </w:pPr>
    </w:lvl>
  </w:abstractNum>
  <w:abstractNum w:abstractNumId="4">
    <w:nsid w:val="FFFFFF80"/>
    <w:multiLevelType w:val="singleLevel"/>
    <w:tmpl w:val="2EAC05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20B45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96E14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1E80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BF6EB06"/>
    <w:lvl w:ilvl="0">
      <w:start w:val="1"/>
      <w:numFmt w:val="decimal"/>
      <w:lvlText w:val="%1."/>
      <w:lvlJc w:val="left"/>
      <w:pPr>
        <w:tabs>
          <w:tab w:val="num" w:pos="360"/>
        </w:tabs>
        <w:ind w:left="360" w:hanging="360"/>
      </w:pPr>
    </w:lvl>
  </w:abstractNum>
  <w:abstractNum w:abstractNumId="9">
    <w:nsid w:val="FFFFFF89"/>
    <w:multiLevelType w:val="singleLevel"/>
    <w:tmpl w:val="6A72241E"/>
    <w:lvl w:ilvl="0">
      <w:start w:val="1"/>
      <w:numFmt w:val="bullet"/>
      <w:lvlText w:val=""/>
      <w:lvlJc w:val="left"/>
      <w:pPr>
        <w:tabs>
          <w:tab w:val="num" w:pos="360"/>
        </w:tabs>
        <w:ind w:left="360" w:hanging="360"/>
      </w:pPr>
      <w:rPr>
        <w:rFonts w:ascii="Symbol" w:hAnsi="Symbol" w:hint="default"/>
      </w:rPr>
    </w:lvl>
  </w:abstractNum>
  <w:abstractNum w:abstractNumId="10">
    <w:nsid w:val="04B30545"/>
    <w:multiLevelType w:val="hybridMultilevel"/>
    <w:tmpl w:val="C732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5AF3E2D"/>
    <w:multiLevelType w:val="hybridMultilevel"/>
    <w:tmpl w:val="DF2C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A1757"/>
    <w:multiLevelType w:val="multilevel"/>
    <w:tmpl w:val="180A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69C1A5E"/>
    <w:multiLevelType w:val="hybridMultilevel"/>
    <w:tmpl w:val="0F185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CC505C"/>
    <w:multiLevelType w:val="hybridMultilevel"/>
    <w:tmpl w:val="81AE96C2"/>
    <w:lvl w:ilvl="0" w:tplc="570A86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1AE919B6"/>
    <w:multiLevelType w:val="multilevel"/>
    <w:tmpl w:val="FC44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5A7DCD"/>
    <w:multiLevelType w:val="hybridMultilevel"/>
    <w:tmpl w:val="C9E611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961815"/>
    <w:multiLevelType w:val="hybridMultilevel"/>
    <w:tmpl w:val="48DC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6F5F5F"/>
    <w:multiLevelType w:val="hybridMultilevel"/>
    <w:tmpl w:val="84CC12EC"/>
    <w:lvl w:ilvl="0" w:tplc="B946332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E51615"/>
    <w:multiLevelType w:val="hybridMultilevel"/>
    <w:tmpl w:val="4F7A8628"/>
    <w:lvl w:ilvl="0" w:tplc="500A1F48">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F44B0D"/>
    <w:multiLevelType w:val="hybridMultilevel"/>
    <w:tmpl w:val="26760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3D3B19"/>
    <w:multiLevelType w:val="multilevel"/>
    <w:tmpl w:val="C37CE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9C2D0C"/>
    <w:multiLevelType w:val="hybridMultilevel"/>
    <w:tmpl w:val="B264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5B05E8"/>
    <w:multiLevelType w:val="hybridMultilevel"/>
    <w:tmpl w:val="966C155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49CE2226"/>
    <w:multiLevelType w:val="hybridMultilevel"/>
    <w:tmpl w:val="34DC3DFE"/>
    <w:lvl w:ilvl="0" w:tplc="4FC2520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0C5745"/>
    <w:multiLevelType w:val="hybridMultilevel"/>
    <w:tmpl w:val="2E389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015C9A"/>
    <w:multiLevelType w:val="hybridMultilevel"/>
    <w:tmpl w:val="732CD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AC05F8"/>
    <w:multiLevelType w:val="hybridMultilevel"/>
    <w:tmpl w:val="ED58DC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354213"/>
    <w:multiLevelType w:val="hybridMultilevel"/>
    <w:tmpl w:val="D3B8C79C"/>
    <w:lvl w:ilvl="0" w:tplc="3E2435A0">
      <w:start w:val="1"/>
      <w:numFmt w:val="decimal"/>
      <w:lvlText w:val="%1."/>
      <w:lvlJc w:val="left"/>
      <w:pPr>
        <w:tabs>
          <w:tab w:val="num" w:pos="540"/>
        </w:tabs>
        <w:ind w:left="540" w:hanging="360"/>
      </w:pPr>
      <w:rPr>
        <w:rFonts w:hint="default"/>
        <w:b w:val="0"/>
        <w:bCs/>
      </w:rPr>
    </w:lvl>
    <w:lvl w:ilvl="1" w:tplc="12D61BD8">
      <w:start w:val="157"/>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D1D6AB7"/>
    <w:multiLevelType w:val="hybridMultilevel"/>
    <w:tmpl w:val="5ADA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7A3FCA"/>
    <w:multiLevelType w:val="multilevel"/>
    <w:tmpl w:val="B9E8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EC56C0"/>
    <w:multiLevelType w:val="multilevel"/>
    <w:tmpl w:val="95A2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E148CB"/>
    <w:multiLevelType w:val="hybridMultilevel"/>
    <w:tmpl w:val="E5D00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6C131E"/>
    <w:multiLevelType w:val="hybridMultilevel"/>
    <w:tmpl w:val="F286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AB724F"/>
    <w:multiLevelType w:val="hybridMultilevel"/>
    <w:tmpl w:val="1C206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9"/>
  </w:num>
  <w:num w:numId="13">
    <w:abstractNumId w:val="32"/>
  </w:num>
  <w:num w:numId="14">
    <w:abstractNumId w:val="16"/>
  </w:num>
  <w:num w:numId="15">
    <w:abstractNumId w:val="22"/>
  </w:num>
  <w:num w:numId="16">
    <w:abstractNumId w:val="26"/>
  </w:num>
  <w:num w:numId="17">
    <w:abstractNumId w:val="30"/>
  </w:num>
  <w:num w:numId="18">
    <w:abstractNumId w:val="34"/>
  </w:num>
  <w:num w:numId="19">
    <w:abstractNumId w:val="33"/>
  </w:num>
  <w:num w:numId="20">
    <w:abstractNumId w:val="31"/>
  </w:num>
  <w:num w:numId="21">
    <w:abstractNumId w:val="21"/>
  </w:num>
  <w:num w:numId="22">
    <w:abstractNumId w:val="19"/>
  </w:num>
  <w:num w:numId="23">
    <w:abstractNumId w:val="15"/>
  </w:num>
  <w:num w:numId="24">
    <w:abstractNumId w:val="17"/>
  </w:num>
  <w:num w:numId="25">
    <w:abstractNumId w:val="24"/>
  </w:num>
  <w:num w:numId="26">
    <w:abstractNumId w:val="12"/>
  </w:num>
  <w:num w:numId="27">
    <w:abstractNumId w:val="14"/>
  </w:num>
  <w:num w:numId="28">
    <w:abstractNumId w:val="35"/>
  </w:num>
  <w:num w:numId="29">
    <w:abstractNumId w:val="27"/>
  </w:num>
  <w:num w:numId="30">
    <w:abstractNumId w:val="20"/>
  </w:num>
  <w:num w:numId="31">
    <w:abstractNumId w:val="11"/>
  </w:num>
  <w:num w:numId="32">
    <w:abstractNumId w:val="25"/>
  </w:num>
  <w:num w:numId="33">
    <w:abstractNumId w:val="23"/>
  </w:num>
  <w:num w:numId="34">
    <w:abstractNumId w:val="28"/>
  </w:num>
  <w:num w:numId="35">
    <w:abstractNumId w:val="1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8"/>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9BD"/>
    <w:rsid w:val="000018F9"/>
    <w:rsid w:val="00016A52"/>
    <w:rsid w:val="00024F2B"/>
    <w:rsid w:val="000255F7"/>
    <w:rsid w:val="00032D9B"/>
    <w:rsid w:val="00033D88"/>
    <w:rsid w:val="00041C3B"/>
    <w:rsid w:val="00046ACA"/>
    <w:rsid w:val="0005258F"/>
    <w:rsid w:val="00061596"/>
    <w:rsid w:val="000629EA"/>
    <w:rsid w:val="000802B2"/>
    <w:rsid w:val="00084189"/>
    <w:rsid w:val="000A42D4"/>
    <w:rsid w:val="000B45DD"/>
    <w:rsid w:val="000C1506"/>
    <w:rsid w:val="000C2C1A"/>
    <w:rsid w:val="000C4881"/>
    <w:rsid w:val="000C7940"/>
    <w:rsid w:val="000F346C"/>
    <w:rsid w:val="001047C1"/>
    <w:rsid w:val="0010557E"/>
    <w:rsid w:val="00110D67"/>
    <w:rsid w:val="00115181"/>
    <w:rsid w:val="0012295C"/>
    <w:rsid w:val="00130229"/>
    <w:rsid w:val="00130B56"/>
    <w:rsid w:val="00133E5C"/>
    <w:rsid w:val="00151DEE"/>
    <w:rsid w:val="001823F2"/>
    <w:rsid w:val="00187681"/>
    <w:rsid w:val="001930D0"/>
    <w:rsid w:val="00196E41"/>
    <w:rsid w:val="001A4E93"/>
    <w:rsid w:val="001E489F"/>
    <w:rsid w:val="001E55F5"/>
    <w:rsid w:val="001F518F"/>
    <w:rsid w:val="002001E5"/>
    <w:rsid w:val="002075BF"/>
    <w:rsid w:val="00211CEB"/>
    <w:rsid w:val="002122AE"/>
    <w:rsid w:val="0021675E"/>
    <w:rsid w:val="00220706"/>
    <w:rsid w:val="00230124"/>
    <w:rsid w:val="00236797"/>
    <w:rsid w:val="002377DE"/>
    <w:rsid w:val="00251499"/>
    <w:rsid w:val="00262B28"/>
    <w:rsid w:val="002631DE"/>
    <w:rsid w:val="00271402"/>
    <w:rsid w:val="00274905"/>
    <w:rsid w:val="0029063D"/>
    <w:rsid w:val="00297895"/>
    <w:rsid w:val="002A05CD"/>
    <w:rsid w:val="002B1201"/>
    <w:rsid w:val="002B26C1"/>
    <w:rsid w:val="002B3711"/>
    <w:rsid w:val="002B762D"/>
    <w:rsid w:val="002D3AFC"/>
    <w:rsid w:val="002D6F50"/>
    <w:rsid w:val="002F5A10"/>
    <w:rsid w:val="0031027B"/>
    <w:rsid w:val="0031262D"/>
    <w:rsid w:val="00322ED2"/>
    <w:rsid w:val="00351692"/>
    <w:rsid w:val="00357265"/>
    <w:rsid w:val="00387B9A"/>
    <w:rsid w:val="00395E09"/>
    <w:rsid w:val="0039706D"/>
    <w:rsid w:val="003A45CF"/>
    <w:rsid w:val="003A4867"/>
    <w:rsid w:val="003A7022"/>
    <w:rsid w:val="003A7099"/>
    <w:rsid w:val="003B3B1D"/>
    <w:rsid w:val="003C5C93"/>
    <w:rsid w:val="003C6436"/>
    <w:rsid w:val="003D0356"/>
    <w:rsid w:val="003E3432"/>
    <w:rsid w:val="003F057B"/>
    <w:rsid w:val="003F686E"/>
    <w:rsid w:val="003F6F66"/>
    <w:rsid w:val="0040108A"/>
    <w:rsid w:val="004032A6"/>
    <w:rsid w:val="00403AF1"/>
    <w:rsid w:val="00415750"/>
    <w:rsid w:val="004171B0"/>
    <w:rsid w:val="00425120"/>
    <w:rsid w:val="00436BEE"/>
    <w:rsid w:val="0044041F"/>
    <w:rsid w:val="00441E2A"/>
    <w:rsid w:val="00453AB5"/>
    <w:rsid w:val="00454130"/>
    <w:rsid w:val="00465956"/>
    <w:rsid w:val="00466663"/>
    <w:rsid w:val="00490C74"/>
    <w:rsid w:val="004A5652"/>
    <w:rsid w:val="004A6EAD"/>
    <w:rsid w:val="004C5113"/>
    <w:rsid w:val="004D2573"/>
    <w:rsid w:val="004E240D"/>
    <w:rsid w:val="004E34DD"/>
    <w:rsid w:val="004E7968"/>
    <w:rsid w:val="004F138C"/>
    <w:rsid w:val="005051FD"/>
    <w:rsid w:val="00511A5B"/>
    <w:rsid w:val="005154E6"/>
    <w:rsid w:val="00522D75"/>
    <w:rsid w:val="005241C3"/>
    <w:rsid w:val="0052627D"/>
    <w:rsid w:val="00537D69"/>
    <w:rsid w:val="00537EF5"/>
    <w:rsid w:val="00542149"/>
    <w:rsid w:val="005429D4"/>
    <w:rsid w:val="00546A9A"/>
    <w:rsid w:val="00550ED9"/>
    <w:rsid w:val="00555858"/>
    <w:rsid w:val="00555F3A"/>
    <w:rsid w:val="00571D5A"/>
    <w:rsid w:val="005807B3"/>
    <w:rsid w:val="00593C92"/>
    <w:rsid w:val="00596453"/>
    <w:rsid w:val="005A4B97"/>
    <w:rsid w:val="005A724D"/>
    <w:rsid w:val="005B7A58"/>
    <w:rsid w:val="005C6C99"/>
    <w:rsid w:val="005F2F7A"/>
    <w:rsid w:val="00605648"/>
    <w:rsid w:val="00612D39"/>
    <w:rsid w:val="00631077"/>
    <w:rsid w:val="00643C6C"/>
    <w:rsid w:val="0064403D"/>
    <w:rsid w:val="00644366"/>
    <w:rsid w:val="00655E89"/>
    <w:rsid w:val="00660552"/>
    <w:rsid w:val="00661E76"/>
    <w:rsid w:val="0066437D"/>
    <w:rsid w:val="0068006E"/>
    <w:rsid w:val="006824E8"/>
    <w:rsid w:val="00682918"/>
    <w:rsid w:val="00682ADF"/>
    <w:rsid w:val="00687313"/>
    <w:rsid w:val="006A16AF"/>
    <w:rsid w:val="006A1FC4"/>
    <w:rsid w:val="006A33CF"/>
    <w:rsid w:val="006A3BE1"/>
    <w:rsid w:val="006A44FE"/>
    <w:rsid w:val="006C0C38"/>
    <w:rsid w:val="006C17C2"/>
    <w:rsid w:val="006D1A25"/>
    <w:rsid w:val="006E63C2"/>
    <w:rsid w:val="006F0AF8"/>
    <w:rsid w:val="00702943"/>
    <w:rsid w:val="00714472"/>
    <w:rsid w:val="0071499F"/>
    <w:rsid w:val="007202CA"/>
    <w:rsid w:val="00726DAE"/>
    <w:rsid w:val="00732806"/>
    <w:rsid w:val="00743794"/>
    <w:rsid w:val="00756AA2"/>
    <w:rsid w:val="00763799"/>
    <w:rsid w:val="007719A7"/>
    <w:rsid w:val="00775684"/>
    <w:rsid w:val="00776D2E"/>
    <w:rsid w:val="00777621"/>
    <w:rsid w:val="00780B6A"/>
    <w:rsid w:val="0078636D"/>
    <w:rsid w:val="0079426E"/>
    <w:rsid w:val="007976DB"/>
    <w:rsid w:val="007A79B2"/>
    <w:rsid w:val="007B2532"/>
    <w:rsid w:val="007B2D05"/>
    <w:rsid w:val="007C26B9"/>
    <w:rsid w:val="007C2E86"/>
    <w:rsid w:val="007D5599"/>
    <w:rsid w:val="0080001E"/>
    <w:rsid w:val="008011E2"/>
    <w:rsid w:val="008049D2"/>
    <w:rsid w:val="00805B26"/>
    <w:rsid w:val="00805BCC"/>
    <w:rsid w:val="00807D76"/>
    <w:rsid w:val="00823EA4"/>
    <w:rsid w:val="00827B28"/>
    <w:rsid w:val="00830DAC"/>
    <w:rsid w:val="008329E5"/>
    <w:rsid w:val="008366D9"/>
    <w:rsid w:val="008509F5"/>
    <w:rsid w:val="00851931"/>
    <w:rsid w:val="00864701"/>
    <w:rsid w:val="00870477"/>
    <w:rsid w:val="00870BA1"/>
    <w:rsid w:val="00877400"/>
    <w:rsid w:val="00894B77"/>
    <w:rsid w:val="00897AF1"/>
    <w:rsid w:val="008A02F3"/>
    <w:rsid w:val="008A0DDC"/>
    <w:rsid w:val="008A3897"/>
    <w:rsid w:val="008B6966"/>
    <w:rsid w:val="008B6D31"/>
    <w:rsid w:val="008C230F"/>
    <w:rsid w:val="008D01E3"/>
    <w:rsid w:val="008D7415"/>
    <w:rsid w:val="008E499E"/>
    <w:rsid w:val="008F46F6"/>
    <w:rsid w:val="00923C8A"/>
    <w:rsid w:val="00931113"/>
    <w:rsid w:val="009318B5"/>
    <w:rsid w:val="00941EA0"/>
    <w:rsid w:val="00947966"/>
    <w:rsid w:val="00952FB6"/>
    <w:rsid w:val="009540E7"/>
    <w:rsid w:val="00956789"/>
    <w:rsid w:val="009632CE"/>
    <w:rsid w:val="00966848"/>
    <w:rsid w:val="00975B44"/>
    <w:rsid w:val="009A03B1"/>
    <w:rsid w:val="009A1849"/>
    <w:rsid w:val="009A18A0"/>
    <w:rsid w:val="009A2B54"/>
    <w:rsid w:val="009B7F2B"/>
    <w:rsid w:val="009C1B6A"/>
    <w:rsid w:val="009C5DE1"/>
    <w:rsid w:val="009D039E"/>
    <w:rsid w:val="009D04F3"/>
    <w:rsid w:val="009D09BD"/>
    <w:rsid w:val="009E1333"/>
    <w:rsid w:val="009E34AF"/>
    <w:rsid w:val="009F261F"/>
    <w:rsid w:val="009F4D08"/>
    <w:rsid w:val="00A308D3"/>
    <w:rsid w:val="00A36A08"/>
    <w:rsid w:val="00A377CE"/>
    <w:rsid w:val="00A40897"/>
    <w:rsid w:val="00A5674A"/>
    <w:rsid w:val="00A56765"/>
    <w:rsid w:val="00A57848"/>
    <w:rsid w:val="00A713C9"/>
    <w:rsid w:val="00A84903"/>
    <w:rsid w:val="00AA15D3"/>
    <w:rsid w:val="00AA62BB"/>
    <w:rsid w:val="00AC0D76"/>
    <w:rsid w:val="00AC1B2A"/>
    <w:rsid w:val="00AC685B"/>
    <w:rsid w:val="00AC77B7"/>
    <w:rsid w:val="00AC7ED2"/>
    <w:rsid w:val="00AD5F47"/>
    <w:rsid w:val="00AE1FCD"/>
    <w:rsid w:val="00AE79E9"/>
    <w:rsid w:val="00AF1F4F"/>
    <w:rsid w:val="00AF6F7B"/>
    <w:rsid w:val="00B0571A"/>
    <w:rsid w:val="00B104C7"/>
    <w:rsid w:val="00B11468"/>
    <w:rsid w:val="00B15172"/>
    <w:rsid w:val="00B157CB"/>
    <w:rsid w:val="00B15B2D"/>
    <w:rsid w:val="00B31C10"/>
    <w:rsid w:val="00B32CED"/>
    <w:rsid w:val="00B35D3A"/>
    <w:rsid w:val="00B43D36"/>
    <w:rsid w:val="00B45BF7"/>
    <w:rsid w:val="00B51829"/>
    <w:rsid w:val="00B56FAB"/>
    <w:rsid w:val="00B61005"/>
    <w:rsid w:val="00B61A07"/>
    <w:rsid w:val="00B6776A"/>
    <w:rsid w:val="00B8279D"/>
    <w:rsid w:val="00B9682F"/>
    <w:rsid w:val="00BA0C28"/>
    <w:rsid w:val="00BC54C3"/>
    <w:rsid w:val="00BD2308"/>
    <w:rsid w:val="00BD5451"/>
    <w:rsid w:val="00BE4FFC"/>
    <w:rsid w:val="00C06C3F"/>
    <w:rsid w:val="00C12325"/>
    <w:rsid w:val="00C12D50"/>
    <w:rsid w:val="00C35E07"/>
    <w:rsid w:val="00C50A15"/>
    <w:rsid w:val="00C5107C"/>
    <w:rsid w:val="00C51ED3"/>
    <w:rsid w:val="00C5260E"/>
    <w:rsid w:val="00C60BE5"/>
    <w:rsid w:val="00C77D11"/>
    <w:rsid w:val="00C803F1"/>
    <w:rsid w:val="00C83264"/>
    <w:rsid w:val="00C85806"/>
    <w:rsid w:val="00C9220C"/>
    <w:rsid w:val="00C94348"/>
    <w:rsid w:val="00CA20A4"/>
    <w:rsid w:val="00CA3798"/>
    <w:rsid w:val="00CC0849"/>
    <w:rsid w:val="00CC0A5A"/>
    <w:rsid w:val="00CD1CEC"/>
    <w:rsid w:val="00CD3336"/>
    <w:rsid w:val="00CD648D"/>
    <w:rsid w:val="00CE0FF7"/>
    <w:rsid w:val="00CE66A9"/>
    <w:rsid w:val="00CE7E5F"/>
    <w:rsid w:val="00D10DEE"/>
    <w:rsid w:val="00D17362"/>
    <w:rsid w:val="00D17525"/>
    <w:rsid w:val="00D17F7C"/>
    <w:rsid w:val="00D2245F"/>
    <w:rsid w:val="00D2517E"/>
    <w:rsid w:val="00D2559C"/>
    <w:rsid w:val="00D31AC3"/>
    <w:rsid w:val="00D32B58"/>
    <w:rsid w:val="00D33B19"/>
    <w:rsid w:val="00D41E76"/>
    <w:rsid w:val="00D54EA2"/>
    <w:rsid w:val="00D55495"/>
    <w:rsid w:val="00D557CB"/>
    <w:rsid w:val="00D72FCF"/>
    <w:rsid w:val="00D76FFE"/>
    <w:rsid w:val="00D80C04"/>
    <w:rsid w:val="00D83FB2"/>
    <w:rsid w:val="00D86071"/>
    <w:rsid w:val="00D87C40"/>
    <w:rsid w:val="00D95183"/>
    <w:rsid w:val="00DB2146"/>
    <w:rsid w:val="00DB4BFE"/>
    <w:rsid w:val="00DC1238"/>
    <w:rsid w:val="00DC149A"/>
    <w:rsid w:val="00DC5B7E"/>
    <w:rsid w:val="00DD0ADD"/>
    <w:rsid w:val="00DD48D1"/>
    <w:rsid w:val="00DD6C91"/>
    <w:rsid w:val="00DD7D7B"/>
    <w:rsid w:val="00DE6FE5"/>
    <w:rsid w:val="00DF15D3"/>
    <w:rsid w:val="00DF3F6C"/>
    <w:rsid w:val="00E0766E"/>
    <w:rsid w:val="00E11D1B"/>
    <w:rsid w:val="00E14DB6"/>
    <w:rsid w:val="00E17EAD"/>
    <w:rsid w:val="00E26D26"/>
    <w:rsid w:val="00E271C0"/>
    <w:rsid w:val="00E27298"/>
    <w:rsid w:val="00E3320D"/>
    <w:rsid w:val="00E40884"/>
    <w:rsid w:val="00E426A5"/>
    <w:rsid w:val="00E766A1"/>
    <w:rsid w:val="00E76AEE"/>
    <w:rsid w:val="00E90E5C"/>
    <w:rsid w:val="00E94870"/>
    <w:rsid w:val="00EA0453"/>
    <w:rsid w:val="00EC627D"/>
    <w:rsid w:val="00EC70D2"/>
    <w:rsid w:val="00ED03E5"/>
    <w:rsid w:val="00ED747D"/>
    <w:rsid w:val="00F01807"/>
    <w:rsid w:val="00F063C5"/>
    <w:rsid w:val="00F14526"/>
    <w:rsid w:val="00F22E80"/>
    <w:rsid w:val="00F275A2"/>
    <w:rsid w:val="00F32EE8"/>
    <w:rsid w:val="00F354FB"/>
    <w:rsid w:val="00F61702"/>
    <w:rsid w:val="00F634CF"/>
    <w:rsid w:val="00F81738"/>
    <w:rsid w:val="00F90BE0"/>
    <w:rsid w:val="00F91888"/>
    <w:rsid w:val="00F97B25"/>
    <w:rsid w:val="00FA7162"/>
    <w:rsid w:val="00FB0DB4"/>
    <w:rsid w:val="00FC1D1E"/>
    <w:rsid w:val="00FD0D32"/>
    <w:rsid w:val="00FE464D"/>
    <w:rsid w:val="00FF0D6B"/>
    <w:rsid w:val="00FF1202"/>
    <w:rsid w:val="00FF2E41"/>
    <w:rsid w:val="00FF3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B809CF"/>
  <w15:chartTrackingRefBased/>
  <w15:docId w15:val="{F0365EBA-D132-244F-99A4-A9DD8BE76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4C7"/>
    <w:rPr>
      <w:rFonts w:eastAsia="Calibri" w:cs="Times New Roman"/>
      <w:sz w:val="20"/>
      <w:szCs w:val="20"/>
      <w:lang w:val="en-US"/>
    </w:rPr>
  </w:style>
  <w:style w:type="paragraph" w:styleId="Heading1">
    <w:name w:val="heading 1"/>
    <w:basedOn w:val="Normal"/>
    <w:next w:val="Normal"/>
    <w:link w:val="Heading1Char"/>
    <w:uiPriority w:val="9"/>
    <w:qFormat/>
    <w:rsid w:val="006A33CF"/>
    <w:pPr>
      <w:keepNext/>
      <w:keepLines/>
      <w:spacing w:before="240" w:line="259" w:lineRule="auto"/>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6A33CF"/>
    <w:pPr>
      <w:keepNext/>
      <w:keepLines/>
      <w:spacing w:before="40" w:line="259" w:lineRule="auto"/>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6A33CF"/>
    <w:pPr>
      <w:keepNext/>
      <w:keepLines/>
      <w:spacing w:before="40" w:line="259" w:lineRule="auto"/>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6A33CF"/>
    <w:pPr>
      <w:keepNext/>
      <w:keepLines/>
      <w:spacing w:before="40" w:line="259" w:lineRule="auto"/>
      <w:outlineLvl w:val="3"/>
    </w:pPr>
    <w:rPr>
      <w:rFonts w:asciiTheme="majorHAnsi" w:eastAsiaTheme="majorEastAsia" w:hAnsiTheme="majorHAnsi" w:cstheme="majorBidi"/>
      <w:i/>
      <w:iCs/>
      <w:color w:val="404040" w:themeColor="text1" w:themeTint="BF"/>
      <w:sz w:val="22"/>
      <w:szCs w:val="22"/>
    </w:rPr>
  </w:style>
  <w:style w:type="paragraph" w:styleId="Heading5">
    <w:name w:val="heading 5"/>
    <w:basedOn w:val="Normal"/>
    <w:next w:val="Normal"/>
    <w:link w:val="Heading5Char"/>
    <w:uiPriority w:val="9"/>
    <w:semiHidden/>
    <w:unhideWhenUsed/>
    <w:qFormat/>
    <w:rsid w:val="006A33CF"/>
    <w:pPr>
      <w:keepNext/>
      <w:keepLines/>
      <w:spacing w:before="40" w:line="259" w:lineRule="auto"/>
      <w:outlineLvl w:val="4"/>
    </w:pPr>
    <w:rPr>
      <w:rFonts w:asciiTheme="majorHAnsi" w:eastAsiaTheme="majorEastAsia" w:hAnsiTheme="majorHAnsi" w:cstheme="majorBidi"/>
      <w:color w:val="404040" w:themeColor="text1" w:themeTint="BF"/>
      <w:sz w:val="22"/>
      <w:szCs w:val="22"/>
    </w:rPr>
  </w:style>
  <w:style w:type="paragraph" w:styleId="Heading6">
    <w:name w:val="heading 6"/>
    <w:basedOn w:val="Normal"/>
    <w:next w:val="Normal"/>
    <w:link w:val="Heading6Char"/>
    <w:uiPriority w:val="9"/>
    <w:semiHidden/>
    <w:unhideWhenUsed/>
    <w:qFormat/>
    <w:rsid w:val="006A33CF"/>
    <w:pPr>
      <w:keepNext/>
      <w:keepLines/>
      <w:spacing w:before="40" w:line="259" w:lineRule="auto"/>
      <w:outlineLvl w:val="5"/>
    </w:pPr>
    <w:rPr>
      <w:rFonts w:asciiTheme="majorHAnsi" w:eastAsiaTheme="majorEastAsia" w:hAnsiTheme="majorHAnsi" w:cstheme="majorBidi"/>
      <w:sz w:val="22"/>
      <w:szCs w:val="22"/>
    </w:rPr>
  </w:style>
  <w:style w:type="paragraph" w:styleId="Heading7">
    <w:name w:val="heading 7"/>
    <w:basedOn w:val="Normal"/>
    <w:next w:val="Normal"/>
    <w:link w:val="Heading7Char"/>
    <w:uiPriority w:val="9"/>
    <w:semiHidden/>
    <w:unhideWhenUsed/>
    <w:qFormat/>
    <w:rsid w:val="006A33CF"/>
    <w:pPr>
      <w:keepNext/>
      <w:keepLines/>
      <w:spacing w:before="40" w:line="259" w:lineRule="auto"/>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6A33CF"/>
    <w:pPr>
      <w:keepNext/>
      <w:keepLines/>
      <w:spacing w:before="40" w:line="259" w:lineRule="auto"/>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6A33CF"/>
    <w:pPr>
      <w:keepNext/>
      <w:keepLines/>
      <w:spacing w:before="40" w:line="259" w:lineRule="auto"/>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3CF"/>
    <w:rPr>
      <w:rFonts w:asciiTheme="majorHAnsi" w:eastAsiaTheme="majorEastAsia" w:hAnsiTheme="majorHAnsi" w:cstheme="majorBidi"/>
      <w:color w:val="262626" w:themeColor="text1" w:themeTint="D9"/>
      <w:sz w:val="32"/>
      <w:szCs w:val="32"/>
      <w:lang w:val="en-US"/>
    </w:rPr>
  </w:style>
  <w:style w:type="character" w:customStyle="1" w:styleId="Heading2Char">
    <w:name w:val="Heading 2 Char"/>
    <w:basedOn w:val="DefaultParagraphFont"/>
    <w:link w:val="Heading2"/>
    <w:uiPriority w:val="9"/>
    <w:rsid w:val="006A33CF"/>
    <w:rPr>
      <w:rFonts w:asciiTheme="majorHAnsi" w:eastAsiaTheme="majorEastAsia" w:hAnsiTheme="majorHAnsi" w:cstheme="majorBidi"/>
      <w:color w:val="262626" w:themeColor="text1" w:themeTint="D9"/>
      <w:sz w:val="28"/>
      <w:szCs w:val="28"/>
      <w:lang w:val="en-US"/>
    </w:rPr>
  </w:style>
  <w:style w:type="character" w:customStyle="1" w:styleId="Heading3Char">
    <w:name w:val="Heading 3 Char"/>
    <w:basedOn w:val="DefaultParagraphFont"/>
    <w:link w:val="Heading3"/>
    <w:uiPriority w:val="9"/>
    <w:rsid w:val="006A33CF"/>
    <w:rPr>
      <w:rFonts w:asciiTheme="majorHAnsi" w:eastAsiaTheme="majorEastAsia" w:hAnsiTheme="majorHAnsi" w:cstheme="majorBidi"/>
      <w:color w:val="0D0D0D" w:themeColor="text1" w:themeTint="F2"/>
      <w:lang w:val="en-US"/>
    </w:rPr>
  </w:style>
  <w:style w:type="character" w:customStyle="1" w:styleId="Heading4Char">
    <w:name w:val="Heading 4 Char"/>
    <w:basedOn w:val="DefaultParagraphFont"/>
    <w:link w:val="Heading4"/>
    <w:uiPriority w:val="9"/>
    <w:semiHidden/>
    <w:rsid w:val="006A33CF"/>
    <w:rPr>
      <w:rFonts w:asciiTheme="majorHAnsi" w:eastAsiaTheme="majorEastAsia" w:hAnsiTheme="majorHAnsi" w:cstheme="majorBidi"/>
      <w:i/>
      <w:iCs/>
      <w:color w:val="404040" w:themeColor="text1" w:themeTint="BF"/>
      <w:sz w:val="22"/>
      <w:szCs w:val="22"/>
      <w:lang w:val="en-US"/>
    </w:rPr>
  </w:style>
  <w:style w:type="character" w:customStyle="1" w:styleId="Heading5Char">
    <w:name w:val="Heading 5 Char"/>
    <w:basedOn w:val="DefaultParagraphFont"/>
    <w:link w:val="Heading5"/>
    <w:uiPriority w:val="9"/>
    <w:semiHidden/>
    <w:rsid w:val="006A33CF"/>
    <w:rPr>
      <w:rFonts w:asciiTheme="majorHAnsi" w:eastAsiaTheme="majorEastAsia" w:hAnsiTheme="majorHAnsi" w:cstheme="majorBidi"/>
      <w:color w:val="404040" w:themeColor="text1" w:themeTint="BF"/>
      <w:sz w:val="22"/>
      <w:szCs w:val="22"/>
      <w:lang w:val="en-US"/>
    </w:rPr>
  </w:style>
  <w:style w:type="character" w:customStyle="1" w:styleId="Heading6Char">
    <w:name w:val="Heading 6 Char"/>
    <w:basedOn w:val="DefaultParagraphFont"/>
    <w:link w:val="Heading6"/>
    <w:uiPriority w:val="9"/>
    <w:semiHidden/>
    <w:rsid w:val="006A33CF"/>
    <w:rPr>
      <w:rFonts w:asciiTheme="majorHAnsi" w:eastAsiaTheme="majorEastAsia" w:hAnsiTheme="majorHAnsi" w:cstheme="majorBidi"/>
      <w:sz w:val="22"/>
      <w:szCs w:val="22"/>
      <w:lang w:val="en-US"/>
    </w:rPr>
  </w:style>
  <w:style w:type="character" w:customStyle="1" w:styleId="Heading7Char">
    <w:name w:val="Heading 7 Char"/>
    <w:basedOn w:val="DefaultParagraphFont"/>
    <w:link w:val="Heading7"/>
    <w:uiPriority w:val="9"/>
    <w:semiHidden/>
    <w:rsid w:val="006A33CF"/>
    <w:rPr>
      <w:rFonts w:asciiTheme="majorHAnsi" w:eastAsiaTheme="majorEastAsia" w:hAnsiTheme="majorHAnsi" w:cstheme="majorBidi"/>
      <w:i/>
      <w:iCs/>
      <w:sz w:val="22"/>
      <w:szCs w:val="22"/>
      <w:lang w:val="en-US"/>
    </w:rPr>
  </w:style>
  <w:style w:type="character" w:customStyle="1" w:styleId="Heading8Char">
    <w:name w:val="Heading 8 Char"/>
    <w:basedOn w:val="DefaultParagraphFont"/>
    <w:link w:val="Heading8"/>
    <w:uiPriority w:val="9"/>
    <w:semiHidden/>
    <w:rsid w:val="006A33CF"/>
    <w:rPr>
      <w:rFonts w:asciiTheme="majorHAnsi" w:eastAsiaTheme="majorEastAsia" w:hAnsiTheme="majorHAnsi" w:cstheme="majorBidi"/>
      <w:color w:val="262626" w:themeColor="text1" w:themeTint="D9"/>
      <w:sz w:val="21"/>
      <w:szCs w:val="21"/>
      <w:lang w:val="en-US"/>
    </w:rPr>
  </w:style>
  <w:style w:type="character" w:customStyle="1" w:styleId="Heading9Char">
    <w:name w:val="Heading 9 Char"/>
    <w:basedOn w:val="DefaultParagraphFont"/>
    <w:link w:val="Heading9"/>
    <w:uiPriority w:val="9"/>
    <w:semiHidden/>
    <w:rsid w:val="006A33CF"/>
    <w:rPr>
      <w:rFonts w:asciiTheme="majorHAnsi" w:eastAsiaTheme="majorEastAsia" w:hAnsiTheme="majorHAnsi" w:cstheme="majorBidi"/>
      <w:i/>
      <w:iCs/>
      <w:color w:val="262626" w:themeColor="text1" w:themeTint="D9"/>
      <w:sz w:val="21"/>
      <w:szCs w:val="21"/>
      <w:lang w:val="en-US"/>
    </w:rPr>
  </w:style>
  <w:style w:type="paragraph" w:customStyle="1" w:styleId="BaseText">
    <w:name w:val="Base_Text"/>
    <w:rsid w:val="006A33CF"/>
    <w:pPr>
      <w:spacing w:before="120"/>
    </w:pPr>
    <w:rPr>
      <w:rFonts w:ascii="Times New Roman" w:eastAsia="Times New Roman" w:hAnsi="Times New Roman" w:cs="Times New Roman"/>
      <w:lang w:val="en-US"/>
    </w:rPr>
  </w:style>
  <w:style w:type="paragraph" w:customStyle="1" w:styleId="1stparatext">
    <w:name w:val="1st para text"/>
    <w:basedOn w:val="BaseText"/>
    <w:rsid w:val="006A33CF"/>
  </w:style>
  <w:style w:type="paragraph" w:customStyle="1" w:styleId="BaseHeading">
    <w:name w:val="Base_Heading"/>
    <w:rsid w:val="006A33CF"/>
    <w:pPr>
      <w:keepNext/>
      <w:spacing w:before="240"/>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6A33CF"/>
  </w:style>
  <w:style w:type="paragraph" w:customStyle="1" w:styleId="AbstractSummary">
    <w:name w:val="Abstract/Summary"/>
    <w:basedOn w:val="BaseText"/>
    <w:rsid w:val="006A33CF"/>
  </w:style>
  <w:style w:type="paragraph" w:customStyle="1" w:styleId="Referencesandnotes">
    <w:name w:val="References and notes"/>
    <w:basedOn w:val="BaseText"/>
    <w:rsid w:val="006A33CF"/>
    <w:pPr>
      <w:ind w:left="720" w:hanging="720"/>
    </w:pPr>
  </w:style>
  <w:style w:type="paragraph" w:customStyle="1" w:styleId="Acknowledgement">
    <w:name w:val="Acknowledgement"/>
    <w:basedOn w:val="Referencesandnotes"/>
    <w:rsid w:val="006A33CF"/>
  </w:style>
  <w:style w:type="paragraph" w:customStyle="1" w:styleId="Subhead">
    <w:name w:val="Subhead"/>
    <w:basedOn w:val="BaseHeading"/>
    <w:rsid w:val="006A33CF"/>
    <w:rPr>
      <w:b/>
      <w:bCs/>
      <w:sz w:val="24"/>
      <w:szCs w:val="24"/>
    </w:rPr>
  </w:style>
  <w:style w:type="paragraph" w:customStyle="1" w:styleId="AppendixHead">
    <w:name w:val="AppendixHead"/>
    <w:basedOn w:val="Subhead"/>
    <w:rsid w:val="006A33CF"/>
  </w:style>
  <w:style w:type="paragraph" w:customStyle="1" w:styleId="AppendixSubhead">
    <w:name w:val="AppendixSubhead"/>
    <w:basedOn w:val="Subhead"/>
    <w:rsid w:val="006A33CF"/>
  </w:style>
  <w:style w:type="paragraph" w:customStyle="1" w:styleId="Articletype">
    <w:name w:val="Article type"/>
    <w:basedOn w:val="BaseText"/>
    <w:rsid w:val="006A33CF"/>
  </w:style>
  <w:style w:type="character" w:customStyle="1" w:styleId="aubase">
    <w:name w:val="au_base"/>
    <w:rsid w:val="006A33CF"/>
    <w:rPr>
      <w:sz w:val="24"/>
    </w:rPr>
  </w:style>
  <w:style w:type="character" w:customStyle="1" w:styleId="aucollab">
    <w:name w:val="au_collab"/>
    <w:basedOn w:val="aubase"/>
    <w:rsid w:val="006A33CF"/>
    <w:rPr>
      <w:sz w:val="24"/>
      <w:bdr w:val="none" w:sz="0" w:space="0" w:color="auto"/>
      <w:shd w:val="clear" w:color="auto" w:fill="C0C0C0"/>
    </w:rPr>
  </w:style>
  <w:style w:type="character" w:customStyle="1" w:styleId="audeg">
    <w:name w:val="au_deg"/>
    <w:basedOn w:val="DefaultParagraphFont"/>
    <w:rsid w:val="006A33CF"/>
    <w:rPr>
      <w:sz w:val="24"/>
      <w:bdr w:val="none" w:sz="0" w:space="0" w:color="auto"/>
      <w:shd w:val="clear" w:color="auto" w:fill="FFFF00"/>
    </w:rPr>
  </w:style>
  <w:style w:type="character" w:customStyle="1" w:styleId="aufname">
    <w:name w:val="au_fname"/>
    <w:basedOn w:val="aubase"/>
    <w:rsid w:val="006A33CF"/>
    <w:rPr>
      <w:sz w:val="24"/>
      <w:bdr w:val="none" w:sz="0" w:space="0" w:color="auto"/>
      <w:shd w:val="clear" w:color="auto" w:fill="00FFFF"/>
    </w:rPr>
  </w:style>
  <w:style w:type="character" w:customStyle="1" w:styleId="aurole">
    <w:name w:val="au_role"/>
    <w:basedOn w:val="aubase"/>
    <w:rsid w:val="006A33CF"/>
    <w:rPr>
      <w:sz w:val="24"/>
      <w:bdr w:val="none" w:sz="0" w:space="0" w:color="auto"/>
      <w:shd w:val="clear" w:color="auto" w:fill="808000"/>
    </w:rPr>
  </w:style>
  <w:style w:type="character" w:customStyle="1" w:styleId="ausuffix">
    <w:name w:val="au_suffix"/>
    <w:basedOn w:val="aubase"/>
    <w:rsid w:val="006A33CF"/>
    <w:rPr>
      <w:sz w:val="24"/>
      <w:bdr w:val="none" w:sz="0" w:space="0" w:color="auto"/>
      <w:shd w:val="clear" w:color="auto" w:fill="FF00FF"/>
    </w:rPr>
  </w:style>
  <w:style w:type="character" w:customStyle="1" w:styleId="ausurname">
    <w:name w:val="au_surname"/>
    <w:basedOn w:val="aubase"/>
    <w:rsid w:val="006A33CF"/>
    <w:rPr>
      <w:sz w:val="24"/>
      <w:bdr w:val="none" w:sz="0" w:space="0" w:color="auto"/>
      <w:shd w:val="clear" w:color="auto" w:fill="00FF00"/>
    </w:rPr>
  </w:style>
  <w:style w:type="paragraph" w:customStyle="1" w:styleId="AuthorAttribute">
    <w:name w:val="Author Attribute"/>
    <w:basedOn w:val="BaseText"/>
    <w:rsid w:val="006A33CF"/>
    <w:pPr>
      <w:spacing w:before="480"/>
    </w:pPr>
  </w:style>
  <w:style w:type="paragraph" w:customStyle="1" w:styleId="Footnote">
    <w:name w:val="Footnote"/>
    <w:basedOn w:val="BaseText"/>
    <w:rsid w:val="006A33CF"/>
  </w:style>
  <w:style w:type="paragraph" w:customStyle="1" w:styleId="AuthorFootnote">
    <w:name w:val="AuthorFootnote"/>
    <w:basedOn w:val="Footnote"/>
    <w:rsid w:val="006A33CF"/>
    <w:pPr>
      <w:autoSpaceDE w:val="0"/>
      <w:autoSpaceDN w:val="0"/>
      <w:adjustRightInd w:val="0"/>
    </w:pPr>
    <w:rPr>
      <w:lang w:bidi="he-IL"/>
    </w:rPr>
  </w:style>
  <w:style w:type="paragraph" w:customStyle="1" w:styleId="Authors">
    <w:name w:val="Authors"/>
    <w:basedOn w:val="BaseText"/>
    <w:rsid w:val="006A33CF"/>
    <w:pPr>
      <w:spacing w:after="360"/>
      <w:jc w:val="center"/>
    </w:pPr>
  </w:style>
  <w:style w:type="character" w:customStyle="1" w:styleId="BalloonTextChar">
    <w:name w:val="Balloon Text Char"/>
    <w:basedOn w:val="DefaultParagraphFont"/>
    <w:link w:val="BalloonText"/>
    <w:uiPriority w:val="99"/>
    <w:semiHidden/>
    <w:rsid w:val="006A33CF"/>
    <w:rPr>
      <w:rFonts w:ascii="Lucida Grande" w:eastAsia="Times New Roman" w:hAnsi="Lucida Grande" w:cs="Times New Roman"/>
      <w:sz w:val="18"/>
      <w:szCs w:val="18"/>
      <w:lang w:val="en-US"/>
    </w:rPr>
  </w:style>
  <w:style w:type="paragraph" w:styleId="BalloonText">
    <w:name w:val="Balloon Text"/>
    <w:basedOn w:val="Normal"/>
    <w:link w:val="BalloonTextChar"/>
    <w:uiPriority w:val="99"/>
    <w:semiHidden/>
    <w:rsid w:val="006A33CF"/>
    <w:rPr>
      <w:rFonts w:ascii="Lucida Grande" w:eastAsia="Times New Roman" w:hAnsi="Lucida Grande"/>
      <w:sz w:val="18"/>
      <w:szCs w:val="18"/>
    </w:rPr>
  </w:style>
  <w:style w:type="character" w:customStyle="1" w:styleId="bibarticle">
    <w:name w:val="bib_article"/>
    <w:basedOn w:val="DefaultParagraphFont"/>
    <w:rsid w:val="006A33CF"/>
    <w:rPr>
      <w:sz w:val="24"/>
      <w:bdr w:val="none" w:sz="0" w:space="0" w:color="auto"/>
      <w:shd w:val="clear" w:color="auto" w:fill="00FFFF"/>
    </w:rPr>
  </w:style>
  <w:style w:type="character" w:customStyle="1" w:styleId="bibbase">
    <w:name w:val="bib_base"/>
    <w:rsid w:val="006A33CF"/>
    <w:rPr>
      <w:sz w:val="24"/>
    </w:rPr>
  </w:style>
  <w:style w:type="character" w:customStyle="1" w:styleId="bibcomment">
    <w:name w:val="bib_comment"/>
    <w:basedOn w:val="bibbase"/>
    <w:rsid w:val="006A33CF"/>
    <w:rPr>
      <w:sz w:val="24"/>
    </w:rPr>
  </w:style>
  <w:style w:type="character" w:customStyle="1" w:styleId="bibdeg">
    <w:name w:val="bib_deg"/>
    <w:basedOn w:val="bibbase"/>
    <w:rsid w:val="006A33CF"/>
    <w:rPr>
      <w:sz w:val="24"/>
    </w:rPr>
  </w:style>
  <w:style w:type="character" w:customStyle="1" w:styleId="bibdoi">
    <w:name w:val="bib_doi"/>
    <w:basedOn w:val="bibbase"/>
    <w:rsid w:val="006A33CF"/>
    <w:rPr>
      <w:sz w:val="24"/>
      <w:bdr w:val="none" w:sz="0" w:space="0" w:color="auto"/>
      <w:shd w:val="clear" w:color="auto" w:fill="00FF00"/>
    </w:rPr>
  </w:style>
  <w:style w:type="character" w:customStyle="1" w:styleId="bibetal">
    <w:name w:val="bib_etal"/>
    <w:basedOn w:val="bibbase"/>
    <w:rsid w:val="006A33CF"/>
    <w:rPr>
      <w:sz w:val="24"/>
      <w:bdr w:val="none" w:sz="0" w:space="0" w:color="auto"/>
      <w:shd w:val="clear" w:color="auto" w:fill="008080"/>
    </w:rPr>
  </w:style>
  <w:style w:type="character" w:customStyle="1" w:styleId="bibfname">
    <w:name w:val="bib_fname"/>
    <w:basedOn w:val="bibbase"/>
    <w:rsid w:val="006A33CF"/>
    <w:rPr>
      <w:sz w:val="24"/>
      <w:bdr w:val="none" w:sz="0" w:space="0" w:color="auto"/>
      <w:shd w:val="clear" w:color="auto" w:fill="FFFF00"/>
    </w:rPr>
  </w:style>
  <w:style w:type="character" w:customStyle="1" w:styleId="bibfpage">
    <w:name w:val="bib_fpage"/>
    <w:basedOn w:val="bibbase"/>
    <w:rsid w:val="006A33CF"/>
    <w:rPr>
      <w:sz w:val="24"/>
      <w:bdr w:val="none" w:sz="0" w:space="0" w:color="auto"/>
      <w:shd w:val="clear" w:color="auto" w:fill="808080"/>
    </w:rPr>
  </w:style>
  <w:style w:type="character" w:customStyle="1" w:styleId="bibissue">
    <w:name w:val="bib_issue"/>
    <w:basedOn w:val="bibbase"/>
    <w:rsid w:val="006A33CF"/>
    <w:rPr>
      <w:sz w:val="24"/>
      <w:bdr w:val="none" w:sz="0" w:space="0" w:color="auto"/>
      <w:shd w:val="clear" w:color="auto" w:fill="FFFF00"/>
    </w:rPr>
  </w:style>
  <w:style w:type="character" w:customStyle="1" w:styleId="bibjournal">
    <w:name w:val="bib_journal"/>
    <w:basedOn w:val="bibbase"/>
    <w:rsid w:val="006A33CF"/>
    <w:rPr>
      <w:sz w:val="24"/>
      <w:bdr w:val="none" w:sz="0" w:space="0" w:color="auto"/>
      <w:shd w:val="clear" w:color="auto" w:fill="808000"/>
    </w:rPr>
  </w:style>
  <w:style w:type="character" w:customStyle="1" w:styleId="biblpage">
    <w:name w:val="bib_lpage"/>
    <w:basedOn w:val="bibbase"/>
    <w:rsid w:val="006A33CF"/>
    <w:rPr>
      <w:sz w:val="24"/>
      <w:bdr w:val="none" w:sz="0" w:space="0" w:color="auto"/>
      <w:shd w:val="clear" w:color="auto" w:fill="808080"/>
    </w:rPr>
  </w:style>
  <w:style w:type="character" w:customStyle="1" w:styleId="bibmedline">
    <w:name w:val="bib_medline"/>
    <w:basedOn w:val="bibbase"/>
    <w:rsid w:val="006A33CF"/>
    <w:rPr>
      <w:sz w:val="24"/>
    </w:rPr>
  </w:style>
  <w:style w:type="character" w:customStyle="1" w:styleId="bibnumber">
    <w:name w:val="bib_number"/>
    <w:basedOn w:val="bibbase"/>
    <w:rsid w:val="006A33CF"/>
    <w:rPr>
      <w:sz w:val="24"/>
    </w:rPr>
  </w:style>
  <w:style w:type="character" w:customStyle="1" w:styleId="biborganization">
    <w:name w:val="bib_organization"/>
    <w:basedOn w:val="bibbase"/>
    <w:rsid w:val="006A33CF"/>
    <w:rPr>
      <w:sz w:val="24"/>
      <w:bdr w:val="none" w:sz="0" w:space="0" w:color="auto"/>
      <w:shd w:val="clear" w:color="auto" w:fill="808000"/>
    </w:rPr>
  </w:style>
  <w:style w:type="character" w:customStyle="1" w:styleId="bibsuffix">
    <w:name w:val="bib_suffix"/>
    <w:basedOn w:val="bibbase"/>
    <w:rsid w:val="006A33CF"/>
    <w:rPr>
      <w:sz w:val="24"/>
    </w:rPr>
  </w:style>
  <w:style w:type="character" w:customStyle="1" w:styleId="bibsuppl">
    <w:name w:val="bib_suppl"/>
    <w:basedOn w:val="bibbase"/>
    <w:rsid w:val="006A33CF"/>
    <w:rPr>
      <w:sz w:val="24"/>
      <w:bdr w:val="none" w:sz="0" w:space="0" w:color="auto"/>
      <w:shd w:val="clear" w:color="auto" w:fill="FFFF00"/>
    </w:rPr>
  </w:style>
  <w:style w:type="character" w:customStyle="1" w:styleId="bibsurname">
    <w:name w:val="bib_surname"/>
    <w:basedOn w:val="bibbase"/>
    <w:rsid w:val="006A33CF"/>
    <w:rPr>
      <w:sz w:val="24"/>
      <w:bdr w:val="none" w:sz="0" w:space="0" w:color="auto"/>
      <w:shd w:val="clear" w:color="auto" w:fill="FFFF00"/>
    </w:rPr>
  </w:style>
  <w:style w:type="character" w:customStyle="1" w:styleId="bibunpubl">
    <w:name w:val="bib_unpubl"/>
    <w:basedOn w:val="bibbase"/>
    <w:rsid w:val="006A33CF"/>
    <w:rPr>
      <w:sz w:val="24"/>
    </w:rPr>
  </w:style>
  <w:style w:type="character" w:customStyle="1" w:styleId="biburl">
    <w:name w:val="bib_url"/>
    <w:basedOn w:val="bibbase"/>
    <w:rsid w:val="006A33CF"/>
    <w:rPr>
      <w:sz w:val="24"/>
      <w:bdr w:val="none" w:sz="0" w:space="0" w:color="auto"/>
      <w:shd w:val="clear" w:color="auto" w:fill="00FF00"/>
    </w:rPr>
  </w:style>
  <w:style w:type="character" w:customStyle="1" w:styleId="bibvolume">
    <w:name w:val="bib_volume"/>
    <w:basedOn w:val="bibbase"/>
    <w:rsid w:val="006A33CF"/>
    <w:rPr>
      <w:sz w:val="24"/>
      <w:bdr w:val="none" w:sz="0" w:space="0" w:color="auto"/>
      <w:shd w:val="clear" w:color="auto" w:fill="00FF00"/>
    </w:rPr>
  </w:style>
  <w:style w:type="character" w:customStyle="1" w:styleId="bibyear">
    <w:name w:val="bib_year"/>
    <w:basedOn w:val="bibbase"/>
    <w:rsid w:val="006A33CF"/>
    <w:rPr>
      <w:sz w:val="24"/>
      <w:bdr w:val="none" w:sz="0" w:space="0" w:color="auto"/>
      <w:shd w:val="clear" w:color="auto" w:fill="FF00FF"/>
    </w:rPr>
  </w:style>
  <w:style w:type="paragraph" w:customStyle="1" w:styleId="BookorMeetingInformation">
    <w:name w:val="Book or Meeting Information"/>
    <w:basedOn w:val="BaseText"/>
    <w:rsid w:val="006A33CF"/>
  </w:style>
  <w:style w:type="paragraph" w:customStyle="1" w:styleId="BookInformation">
    <w:name w:val="BookInformation"/>
    <w:basedOn w:val="BaseText"/>
    <w:rsid w:val="006A33CF"/>
  </w:style>
  <w:style w:type="paragraph" w:customStyle="1" w:styleId="Level2Head">
    <w:name w:val="Level 2 Head"/>
    <w:basedOn w:val="BaseHeading"/>
    <w:rsid w:val="006A33CF"/>
    <w:pPr>
      <w:outlineLvl w:val="1"/>
    </w:pPr>
    <w:rPr>
      <w:i/>
      <w:iCs/>
      <w:sz w:val="24"/>
      <w:szCs w:val="24"/>
    </w:rPr>
  </w:style>
  <w:style w:type="paragraph" w:customStyle="1" w:styleId="BoxLevel2Head">
    <w:name w:val="BoxLevel 2 Head"/>
    <w:basedOn w:val="Level2Head"/>
    <w:rsid w:val="006A33CF"/>
    <w:pPr>
      <w:shd w:val="clear" w:color="auto" w:fill="E6E6E6"/>
    </w:pPr>
  </w:style>
  <w:style w:type="paragraph" w:customStyle="1" w:styleId="BoxListUnnumbered">
    <w:name w:val="BoxListUnnumbered"/>
    <w:basedOn w:val="BaseText"/>
    <w:rsid w:val="006A33CF"/>
    <w:pPr>
      <w:shd w:val="clear" w:color="auto" w:fill="E6E6E6"/>
      <w:ind w:left="1080" w:hanging="360"/>
    </w:pPr>
  </w:style>
  <w:style w:type="paragraph" w:customStyle="1" w:styleId="BoxList">
    <w:name w:val="BoxList"/>
    <w:basedOn w:val="BoxListUnnumbered"/>
    <w:rsid w:val="006A33CF"/>
  </w:style>
  <w:style w:type="paragraph" w:customStyle="1" w:styleId="BoxSubhead">
    <w:name w:val="BoxSubhead"/>
    <w:basedOn w:val="Subhead"/>
    <w:rsid w:val="006A33CF"/>
    <w:pPr>
      <w:shd w:val="clear" w:color="auto" w:fill="E6E6E6"/>
    </w:pPr>
  </w:style>
  <w:style w:type="paragraph" w:customStyle="1" w:styleId="Paragraph">
    <w:name w:val="Paragraph"/>
    <w:basedOn w:val="BaseText"/>
    <w:rsid w:val="006A33CF"/>
    <w:pPr>
      <w:ind w:firstLine="720"/>
    </w:pPr>
  </w:style>
  <w:style w:type="paragraph" w:customStyle="1" w:styleId="BoxText">
    <w:name w:val="BoxText"/>
    <w:basedOn w:val="Paragraph"/>
    <w:rsid w:val="006A33CF"/>
    <w:pPr>
      <w:shd w:val="clear" w:color="auto" w:fill="E6E6E6"/>
    </w:pPr>
  </w:style>
  <w:style w:type="paragraph" w:customStyle="1" w:styleId="BoxTitle">
    <w:name w:val="BoxTitle"/>
    <w:basedOn w:val="BaseHeading"/>
    <w:rsid w:val="006A33CF"/>
    <w:pPr>
      <w:shd w:val="clear" w:color="auto" w:fill="E6E6E6"/>
    </w:pPr>
    <w:rPr>
      <w:b/>
      <w:sz w:val="24"/>
      <w:szCs w:val="24"/>
    </w:rPr>
  </w:style>
  <w:style w:type="paragraph" w:customStyle="1" w:styleId="BulletedText">
    <w:name w:val="Bulleted Text"/>
    <w:basedOn w:val="BaseText"/>
    <w:rsid w:val="006A33CF"/>
    <w:pPr>
      <w:ind w:left="720" w:hanging="720"/>
    </w:pPr>
  </w:style>
  <w:style w:type="paragraph" w:customStyle="1" w:styleId="career-magazine">
    <w:name w:val="career-magazine"/>
    <w:basedOn w:val="BaseText"/>
    <w:rsid w:val="006A33CF"/>
    <w:pPr>
      <w:jc w:val="right"/>
    </w:pPr>
    <w:rPr>
      <w:color w:val="FF0000"/>
    </w:rPr>
  </w:style>
  <w:style w:type="paragraph" w:customStyle="1" w:styleId="career-stage">
    <w:name w:val="career-stage"/>
    <w:basedOn w:val="BaseText"/>
    <w:rsid w:val="006A33CF"/>
    <w:pPr>
      <w:jc w:val="right"/>
    </w:pPr>
    <w:rPr>
      <w:color w:val="339966"/>
    </w:rPr>
  </w:style>
  <w:style w:type="character" w:customStyle="1" w:styleId="citebase">
    <w:name w:val="cite_base"/>
    <w:rsid w:val="006A33CF"/>
    <w:rPr>
      <w:sz w:val="24"/>
    </w:rPr>
  </w:style>
  <w:style w:type="character" w:customStyle="1" w:styleId="citebib">
    <w:name w:val="cite_bib"/>
    <w:basedOn w:val="DefaultParagraphFont"/>
    <w:rsid w:val="006A33CF"/>
    <w:rPr>
      <w:sz w:val="24"/>
      <w:bdr w:val="none" w:sz="0" w:space="0" w:color="auto"/>
      <w:shd w:val="clear" w:color="auto" w:fill="00FFFF"/>
    </w:rPr>
  </w:style>
  <w:style w:type="character" w:customStyle="1" w:styleId="citebox">
    <w:name w:val="cite_box"/>
    <w:basedOn w:val="citebase"/>
    <w:rsid w:val="006A33CF"/>
    <w:rPr>
      <w:sz w:val="24"/>
    </w:rPr>
  </w:style>
  <w:style w:type="character" w:customStyle="1" w:styleId="citeen">
    <w:name w:val="cite_en"/>
    <w:basedOn w:val="citebase"/>
    <w:rsid w:val="006A33CF"/>
    <w:rPr>
      <w:sz w:val="24"/>
      <w:shd w:val="clear" w:color="auto" w:fill="FFFF00"/>
      <w:vertAlign w:val="superscript"/>
    </w:rPr>
  </w:style>
  <w:style w:type="character" w:customStyle="1" w:styleId="citeeq">
    <w:name w:val="cite_eq"/>
    <w:basedOn w:val="citebase"/>
    <w:rsid w:val="006A33CF"/>
    <w:rPr>
      <w:sz w:val="24"/>
      <w:bdr w:val="none" w:sz="0" w:space="0" w:color="auto"/>
      <w:shd w:val="clear" w:color="auto" w:fill="FF99CC"/>
    </w:rPr>
  </w:style>
  <w:style w:type="character" w:customStyle="1" w:styleId="citefig">
    <w:name w:val="cite_fig"/>
    <w:basedOn w:val="citebase"/>
    <w:rsid w:val="006A33CF"/>
    <w:rPr>
      <w:color w:val="000000"/>
      <w:sz w:val="24"/>
      <w:bdr w:val="none" w:sz="0" w:space="0" w:color="auto"/>
      <w:shd w:val="clear" w:color="auto" w:fill="00FF00"/>
    </w:rPr>
  </w:style>
  <w:style w:type="character" w:customStyle="1" w:styleId="citefn">
    <w:name w:val="cite_fn"/>
    <w:basedOn w:val="citebase"/>
    <w:rsid w:val="006A33CF"/>
    <w:rPr>
      <w:sz w:val="24"/>
      <w:bdr w:val="none" w:sz="0" w:space="0" w:color="auto"/>
      <w:shd w:val="clear" w:color="auto" w:fill="FF0000"/>
    </w:rPr>
  </w:style>
  <w:style w:type="character" w:customStyle="1" w:styleId="citetbl">
    <w:name w:val="cite_tbl"/>
    <w:basedOn w:val="citebase"/>
    <w:rsid w:val="006A33CF"/>
    <w:rPr>
      <w:color w:val="000000"/>
      <w:sz w:val="24"/>
      <w:bdr w:val="none" w:sz="0" w:space="0" w:color="auto"/>
      <w:shd w:val="clear" w:color="auto" w:fill="FF00FF"/>
    </w:rPr>
  </w:style>
  <w:style w:type="character" w:styleId="CommentReference">
    <w:name w:val="annotation reference"/>
    <w:basedOn w:val="DefaultParagraphFont"/>
    <w:uiPriority w:val="99"/>
    <w:rsid w:val="006A33CF"/>
    <w:rPr>
      <w:sz w:val="18"/>
      <w:szCs w:val="18"/>
    </w:rPr>
  </w:style>
  <w:style w:type="character" w:customStyle="1" w:styleId="CommentTextChar">
    <w:name w:val="Comment Text Char"/>
    <w:basedOn w:val="DefaultParagraphFont"/>
    <w:link w:val="CommentText"/>
    <w:uiPriority w:val="99"/>
    <w:semiHidden/>
    <w:rsid w:val="006A33CF"/>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semiHidden/>
    <w:rsid w:val="006A33CF"/>
    <w:rPr>
      <w:rFonts w:eastAsia="Times New Roman"/>
    </w:rPr>
  </w:style>
  <w:style w:type="character" w:customStyle="1" w:styleId="CommentSubjectChar">
    <w:name w:val="Comment Subject Char"/>
    <w:basedOn w:val="CommentTextChar"/>
    <w:link w:val="CommentSubject"/>
    <w:uiPriority w:val="99"/>
    <w:semiHidden/>
    <w:rsid w:val="006A33CF"/>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6A33CF"/>
    <w:rPr>
      <w:b/>
      <w:bCs/>
    </w:rPr>
  </w:style>
  <w:style w:type="paragraph" w:customStyle="1" w:styleId="ContinuedParagraph">
    <w:name w:val="ContinuedParagraph"/>
    <w:basedOn w:val="Paragraph"/>
    <w:rsid w:val="006A33CF"/>
    <w:pPr>
      <w:ind w:firstLine="0"/>
    </w:pPr>
  </w:style>
  <w:style w:type="character" w:customStyle="1" w:styleId="ContractNumber">
    <w:name w:val="Contract Number"/>
    <w:basedOn w:val="DefaultParagraphFont"/>
    <w:rsid w:val="006A33CF"/>
    <w:rPr>
      <w:sz w:val="24"/>
      <w:szCs w:val="24"/>
      <w:bdr w:val="none" w:sz="0" w:space="0" w:color="auto"/>
      <w:shd w:val="clear" w:color="auto" w:fill="CCFFCC"/>
    </w:rPr>
  </w:style>
  <w:style w:type="character" w:customStyle="1" w:styleId="ContractSponsor">
    <w:name w:val="Contract Sponsor"/>
    <w:basedOn w:val="DefaultParagraphFont"/>
    <w:rsid w:val="006A33CF"/>
    <w:rPr>
      <w:sz w:val="24"/>
      <w:szCs w:val="24"/>
      <w:bdr w:val="none" w:sz="0" w:space="0" w:color="auto"/>
      <w:shd w:val="clear" w:color="auto" w:fill="FFCC99"/>
    </w:rPr>
  </w:style>
  <w:style w:type="paragraph" w:customStyle="1" w:styleId="Correspondence">
    <w:name w:val="Correspondence"/>
    <w:basedOn w:val="BaseText"/>
    <w:rsid w:val="006A33CF"/>
    <w:pPr>
      <w:spacing w:before="0" w:after="240"/>
    </w:pPr>
  </w:style>
  <w:style w:type="paragraph" w:customStyle="1" w:styleId="DateAccepted">
    <w:name w:val="Date Accepted"/>
    <w:basedOn w:val="BaseText"/>
    <w:rsid w:val="006A33CF"/>
    <w:pPr>
      <w:spacing w:before="360"/>
    </w:pPr>
  </w:style>
  <w:style w:type="paragraph" w:customStyle="1" w:styleId="Deck">
    <w:name w:val="Deck"/>
    <w:basedOn w:val="BaseHeading"/>
    <w:rsid w:val="006A33CF"/>
    <w:pPr>
      <w:outlineLvl w:val="1"/>
    </w:pPr>
  </w:style>
  <w:style w:type="paragraph" w:customStyle="1" w:styleId="DefTerm">
    <w:name w:val="DefTerm"/>
    <w:basedOn w:val="BaseText"/>
    <w:rsid w:val="006A33CF"/>
    <w:pPr>
      <w:ind w:left="720"/>
    </w:pPr>
  </w:style>
  <w:style w:type="paragraph" w:customStyle="1" w:styleId="Definition">
    <w:name w:val="Definition"/>
    <w:basedOn w:val="DefTerm"/>
    <w:rsid w:val="006A33CF"/>
    <w:pPr>
      <w:ind w:left="1080" w:hanging="360"/>
    </w:pPr>
  </w:style>
  <w:style w:type="paragraph" w:customStyle="1" w:styleId="DefListTitle">
    <w:name w:val="DefListTitle"/>
    <w:basedOn w:val="BaseHeading"/>
    <w:rsid w:val="006A33CF"/>
  </w:style>
  <w:style w:type="paragraph" w:customStyle="1" w:styleId="discipline">
    <w:name w:val="discipline"/>
    <w:basedOn w:val="BaseText"/>
    <w:rsid w:val="006A33CF"/>
    <w:pPr>
      <w:jc w:val="right"/>
    </w:pPr>
    <w:rPr>
      <w:color w:val="993366"/>
    </w:rPr>
  </w:style>
  <w:style w:type="paragraph" w:customStyle="1" w:styleId="Editors">
    <w:name w:val="Editors"/>
    <w:basedOn w:val="Authors"/>
    <w:rsid w:val="006A33CF"/>
  </w:style>
  <w:style w:type="character" w:styleId="Emphasis">
    <w:name w:val="Emphasis"/>
    <w:basedOn w:val="DefaultParagraphFont"/>
    <w:uiPriority w:val="20"/>
    <w:qFormat/>
    <w:rsid w:val="006A33CF"/>
    <w:rPr>
      <w:i/>
      <w:iCs/>
    </w:rPr>
  </w:style>
  <w:style w:type="character" w:customStyle="1" w:styleId="EndnoteTextChar">
    <w:name w:val="Endnote Text Char"/>
    <w:basedOn w:val="DefaultParagraphFont"/>
    <w:link w:val="EndnoteText"/>
    <w:semiHidden/>
    <w:rsid w:val="006A33CF"/>
    <w:rPr>
      <w:rFonts w:ascii="Cambria" w:eastAsia="Cambria" w:hAnsi="Cambria" w:cs="Times New Roman"/>
      <w:sz w:val="20"/>
      <w:szCs w:val="20"/>
      <w:lang w:val="en-US"/>
    </w:rPr>
  </w:style>
  <w:style w:type="paragraph" w:styleId="EndnoteText">
    <w:name w:val="endnote text"/>
    <w:basedOn w:val="Normal"/>
    <w:link w:val="EndnoteTextChar"/>
    <w:semiHidden/>
    <w:rsid w:val="006A33CF"/>
    <w:rPr>
      <w:rFonts w:ascii="Cambria" w:eastAsia="Cambria" w:hAnsi="Cambria"/>
    </w:rPr>
  </w:style>
  <w:style w:type="character" w:customStyle="1" w:styleId="eqno">
    <w:name w:val="eq_no"/>
    <w:basedOn w:val="citebase"/>
    <w:rsid w:val="006A33CF"/>
    <w:rPr>
      <w:sz w:val="24"/>
    </w:rPr>
  </w:style>
  <w:style w:type="paragraph" w:customStyle="1" w:styleId="Equation">
    <w:name w:val="Equation"/>
    <w:basedOn w:val="BaseText"/>
    <w:rsid w:val="006A33CF"/>
    <w:pPr>
      <w:jc w:val="center"/>
    </w:pPr>
  </w:style>
  <w:style w:type="paragraph" w:customStyle="1" w:styleId="FieldCodes">
    <w:name w:val="FieldCodes"/>
    <w:basedOn w:val="BaseText"/>
    <w:rsid w:val="006A33CF"/>
  </w:style>
  <w:style w:type="paragraph" w:customStyle="1" w:styleId="Legend">
    <w:name w:val="Legend"/>
    <w:basedOn w:val="BaseHeading"/>
    <w:rsid w:val="00956789"/>
    <w:rPr>
      <w:sz w:val="24"/>
      <w:szCs w:val="24"/>
    </w:rPr>
  </w:style>
  <w:style w:type="paragraph" w:customStyle="1" w:styleId="FigureCopyright">
    <w:name w:val="FigureCopyright"/>
    <w:basedOn w:val="Legend"/>
    <w:rsid w:val="006A33CF"/>
    <w:pPr>
      <w:autoSpaceDE w:val="0"/>
      <w:autoSpaceDN w:val="0"/>
      <w:adjustRightInd w:val="0"/>
      <w:spacing w:before="80"/>
    </w:pPr>
    <w:rPr>
      <w:lang w:bidi="he-IL"/>
    </w:rPr>
  </w:style>
  <w:style w:type="paragraph" w:customStyle="1" w:styleId="FigureCredit">
    <w:name w:val="FigureCredit"/>
    <w:basedOn w:val="FigureCopyright"/>
    <w:rsid w:val="006A33CF"/>
  </w:style>
  <w:style w:type="character" w:styleId="FollowedHyperlink">
    <w:name w:val="FollowedHyperlink"/>
    <w:basedOn w:val="DefaultParagraphFont"/>
    <w:uiPriority w:val="99"/>
    <w:rsid w:val="006A33CF"/>
    <w:rPr>
      <w:color w:val="800080"/>
      <w:u w:val="single"/>
    </w:rPr>
  </w:style>
  <w:style w:type="paragraph" w:styleId="Footer">
    <w:name w:val="footer"/>
    <w:basedOn w:val="Normal"/>
    <w:link w:val="FooterChar"/>
    <w:uiPriority w:val="99"/>
    <w:rsid w:val="006A33CF"/>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6A33CF"/>
    <w:rPr>
      <w:rFonts w:ascii="Times New Roman" w:eastAsia="Times New Roman" w:hAnsi="Times New Roman" w:cs="Times New Roman"/>
      <w:sz w:val="20"/>
      <w:szCs w:val="20"/>
      <w:lang w:val="en-US"/>
    </w:rPr>
  </w:style>
  <w:style w:type="paragraph" w:customStyle="1" w:styleId="Gloss">
    <w:name w:val="Gloss"/>
    <w:basedOn w:val="AbstractSummary"/>
    <w:rsid w:val="006A33CF"/>
  </w:style>
  <w:style w:type="paragraph" w:customStyle="1" w:styleId="Glossary">
    <w:name w:val="Glossary"/>
    <w:basedOn w:val="BaseText"/>
    <w:rsid w:val="006A33CF"/>
  </w:style>
  <w:style w:type="paragraph" w:customStyle="1" w:styleId="GlossHead">
    <w:name w:val="GlossHead"/>
    <w:basedOn w:val="AbstractHead"/>
    <w:rsid w:val="006A33CF"/>
  </w:style>
  <w:style w:type="paragraph" w:customStyle="1" w:styleId="GraphicAltText">
    <w:name w:val="GraphicAltText"/>
    <w:basedOn w:val="Legend"/>
    <w:rsid w:val="006A33CF"/>
    <w:pPr>
      <w:autoSpaceDE w:val="0"/>
      <w:autoSpaceDN w:val="0"/>
      <w:adjustRightInd w:val="0"/>
    </w:pPr>
  </w:style>
  <w:style w:type="paragraph" w:customStyle="1" w:styleId="GraphicCredit">
    <w:name w:val="GraphicCredit"/>
    <w:basedOn w:val="FigureCredit"/>
    <w:rsid w:val="006A33CF"/>
  </w:style>
  <w:style w:type="paragraph" w:customStyle="1" w:styleId="Head">
    <w:name w:val="Head"/>
    <w:basedOn w:val="BaseHeading"/>
    <w:rsid w:val="006A33CF"/>
    <w:pPr>
      <w:spacing w:before="120" w:after="120"/>
      <w:jc w:val="center"/>
    </w:pPr>
    <w:rPr>
      <w:b/>
      <w:bCs/>
    </w:rPr>
  </w:style>
  <w:style w:type="paragraph" w:styleId="Header">
    <w:name w:val="header"/>
    <w:basedOn w:val="Normal"/>
    <w:link w:val="HeaderChar"/>
    <w:uiPriority w:val="99"/>
    <w:rsid w:val="006A33CF"/>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6A33CF"/>
    <w:rPr>
      <w:rFonts w:ascii="Times New Roman" w:eastAsia="Times New Roman" w:hAnsi="Times New Roman" w:cs="Times New Roman"/>
      <w:sz w:val="20"/>
      <w:szCs w:val="20"/>
      <w:lang w:val="en-US"/>
    </w:rPr>
  </w:style>
  <w:style w:type="character" w:styleId="HTMLAcronym">
    <w:name w:val="HTML Acronym"/>
    <w:basedOn w:val="DefaultParagraphFont"/>
    <w:rsid w:val="006A33CF"/>
  </w:style>
  <w:style w:type="character" w:styleId="HTMLCite">
    <w:name w:val="HTML Cite"/>
    <w:basedOn w:val="DefaultParagraphFont"/>
    <w:uiPriority w:val="99"/>
    <w:rsid w:val="006A33CF"/>
    <w:rPr>
      <w:i/>
      <w:iCs/>
    </w:rPr>
  </w:style>
  <w:style w:type="character" w:styleId="HTMLCode">
    <w:name w:val="HTML Code"/>
    <w:basedOn w:val="DefaultParagraphFont"/>
    <w:rsid w:val="006A33CF"/>
    <w:rPr>
      <w:rFonts w:ascii="Courier New" w:hAnsi="Courier New" w:cs="Courier New"/>
      <w:sz w:val="20"/>
      <w:szCs w:val="20"/>
    </w:rPr>
  </w:style>
  <w:style w:type="character" w:styleId="HTMLDefinition">
    <w:name w:val="HTML Definition"/>
    <w:basedOn w:val="DefaultParagraphFont"/>
    <w:rsid w:val="006A33CF"/>
    <w:rPr>
      <w:i/>
      <w:iCs/>
    </w:rPr>
  </w:style>
  <w:style w:type="character" w:styleId="HTMLKeyboard">
    <w:name w:val="HTML Keyboard"/>
    <w:basedOn w:val="DefaultParagraphFont"/>
    <w:rsid w:val="006A33CF"/>
    <w:rPr>
      <w:rFonts w:ascii="Courier New" w:hAnsi="Courier New" w:cs="Courier New"/>
      <w:sz w:val="20"/>
      <w:szCs w:val="20"/>
    </w:rPr>
  </w:style>
  <w:style w:type="paragraph" w:styleId="HTMLPreformatted">
    <w:name w:val="HTML Preformatted"/>
    <w:basedOn w:val="Normal"/>
    <w:link w:val="HTMLPreformattedChar"/>
    <w:rsid w:val="006A33CF"/>
    <w:rPr>
      <w:rFonts w:ascii="Consolas" w:eastAsia="Times New Roman" w:hAnsi="Consolas"/>
    </w:rPr>
  </w:style>
  <w:style w:type="character" w:customStyle="1" w:styleId="HTMLPreformattedChar">
    <w:name w:val="HTML Preformatted Char"/>
    <w:basedOn w:val="DefaultParagraphFont"/>
    <w:link w:val="HTMLPreformatted"/>
    <w:rsid w:val="006A33CF"/>
    <w:rPr>
      <w:rFonts w:ascii="Consolas" w:eastAsia="Times New Roman" w:hAnsi="Consolas" w:cs="Times New Roman"/>
      <w:sz w:val="20"/>
      <w:szCs w:val="20"/>
      <w:lang w:val="en-US"/>
    </w:rPr>
  </w:style>
  <w:style w:type="character" w:styleId="HTMLSample">
    <w:name w:val="HTML Sample"/>
    <w:basedOn w:val="DefaultParagraphFont"/>
    <w:rsid w:val="006A33CF"/>
    <w:rPr>
      <w:rFonts w:ascii="Courier New" w:hAnsi="Courier New" w:cs="Courier New"/>
    </w:rPr>
  </w:style>
  <w:style w:type="character" w:styleId="HTMLTypewriter">
    <w:name w:val="HTML Typewriter"/>
    <w:basedOn w:val="DefaultParagraphFont"/>
    <w:rsid w:val="006A33CF"/>
    <w:rPr>
      <w:rFonts w:ascii="Courier New" w:hAnsi="Courier New" w:cs="Courier New"/>
      <w:sz w:val="20"/>
      <w:szCs w:val="20"/>
    </w:rPr>
  </w:style>
  <w:style w:type="character" w:styleId="HTMLVariable">
    <w:name w:val="HTML Variable"/>
    <w:basedOn w:val="DefaultParagraphFont"/>
    <w:rsid w:val="006A33CF"/>
    <w:rPr>
      <w:i/>
      <w:iCs/>
    </w:rPr>
  </w:style>
  <w:style w:type="character" w:styleId="Hyperlink">
    <w:name w:val="Hyperlink"/>
    <w:basedOn w:val="DefaultParagraphFont"/>
    <w:uiPriority w:val="99"/>
    <w:rsid w:val="006A33CF"/>
    <w:rPr>
      <w:color w:val="0000FF"/>
      <w:u w:val="single"/>
    </w:rPr>
  </w:style>
  <w:style w:type="paragraph" w:customStyle="1" w:styleId="InstructionsText">
    <w:name w:val="Instructions Text"/>
    <w:basedOn w:val="BaseText"/>
    <w:rsid w:val="006A33CF"/>
  </w:style>
  <w:style w:type="paragraph" w:customStyle="1" w:styleId="Overline">
    <w:name w:val="Overline"/>
    <w:basedOn w:val="BaseText"/>
    <w:rsid w:val="006A33CF"/>
  </w:style>
  <w:style w:type="paragraph" w:customStyle="1" w:styleId="IssueName">
    <w:name w:val="IssueName"/>
    <w:basedOn w:val="Overline"/>
    <w:rsid w:val="006A33CF"/>
  </w:style>
  <w:style w:type="paragraph" w:customStyle="1" w:styleId="Keywords">
    <w:name w:val="Keywords"/>
    <w:basedOn w:val="BaseText"/>
    <w:rsid w:val="006A33CF"/>
  </w:style>
  <w:style w:type="paragraph" w:customStyle="1" w:styleId="Level3Head">
    <w:name w:val="Level 3 Head"/>
    <w:basedOn w:val="BaseHeading"/>
    <w:rsid w:val="006A33CF"/>
    <w:pPr>
      <w:outlineLvl w:val="2"/>
    </w:pPr>
    <w:rPr>
      <w:sz w:val="24"/>
      <w:szCs w:val="24"/>
      <w:u w:val="single"/>
    </w:rPr>
  </w:style>
  <w:style w:type="paragraph" w:customStyle="1" w:styleId="Level4Head">
    <w:name w:val="Level 4 Head"/>
    <w:basedOn w:val="BaseHeading"/>
    <w:rsid w:val="006A33CF"/>
    <w:pPr>
      <w:ind w:left="346"/>
    </w:pPr>
    <w:rPr>
      <w:sz w:val="24"/>
      <w:szCs w:val="24"/>
    </w:rPr>
  </w:style>
  <w:style w:type="character" w:styleId="LineNumber">
    <w:name w:val="line number"/>
    <w:basedOn w:val="DefaultParagraphFont"/>
    <w:uiPriority w:val="99"/>
    <w:rsid w:val="006A33CF"/>
  </w:style>
  <w:style w:type="paragraph" w:customStyle="1" w:styleId="Literaryquote">
    <w:name w:val="Literary quote"/>
    <w:basedOn w:val="BaseText"/>
    <w:rsid w:val="006A33CF"/>
    <w:pPr>
      <w:ind w:left="1440" w:right="1440"/>
    </w:pPr>
  </w:style>
  <w:style w:type="paragraph" w:customStyle="1" w:styleId="MaterialsText">
    <w:name w:val="Materials Text"/>
    <w:basedOn w:val="BaseText"/>
    <w:rsid w:val="006A33CF"/>
  </w:style>
  <w:style w:type="paragraph" w:customStyle="1" w:styleId="NoteInProof">
    <w:name w:val="NoteInProof"/>
    <w:basedOn w:val="BaseText"/>
    <w:rsid w:val="006A33CF"/>
  </w:style>
  <w:style w:type="paragraph" w:customStyle="1" w:styleId="Notes">
    <w:name w:val="Notes"/>
    <w:basedOn w:val="BaseText"/>
    <w:rsid w:val="006A33CF"/>
    <w:rPr>
      <w:i/>
    </w:rPr>
  </w:style>
  <w:style w:type="paragraph" w:customStyle="1" w:styleId="Notes-Helvetica">
    <w:name w:val="Notes-Helvetica"/>
    <w:basedOn w:val="BaseText"/>
    <w:rsid w:val="006A33CF"/>
    <w:rPr>
      <w:i/>
    </w:rPr>
  </w:style>
  <w:style w:type="paragraph" w:customStyle="1" w:styleId="NumberedInstructions">
    <w:name w:val="Numbered Instructions"/>
    <w:basedOn w:val="BaseText"/>
    <w:rsid w:val="006A33CF"/>
  </w:style>
  <w:style w:type="paragraph" w:customStyle="1" w:styleId="OutlineLevel1">
    <w:name w:val="OutlineLevel1"/>
    <w:basedOn w:val="BaseHeading"/>
    <w:rsid w:val="006A33CF"/>
    <w:rPr>
      <w:b/>
      <w:bCs/>
    </w:rPr>
  </w:style>
  <w:style w:type="paragraph" w:customStyle="1" w:styleId="OutlineLevel2">
    <w:name w:val="OutlineLevel2"/>
    <w:basedOn w:val="BaseHeading"/>
    <w:rsid w:val="006A33CF"/>
    <w:pPr>
      <w:ind w:left="360"/>
      <w:outlineLvl w:val="1"/>
    </w:pPr>
    <w:rPr>
      <w:b/>
      <w:bCs/>
      <w:sz w:val="24"/>
      <w:szCs w:val="24"/>
    </w:rPr>
  </w:style>
  <w:style w:type="paragraph" w:customStyle="1" w:styleId="OutlineLevel3">
    <w:name w:val="OutlineLevel3"/>
    <w:basedOn w:val="BaseHeading"/>
    <w:rsid w:val="006A33CF"/>
    <w:pPr>
      <w:ind w:left="720"/>
      <w:outlineLvl w:val="2"/>
    </w:pPr>
    <w:rPr>
      <w:b/>
      <w:bCs/>
      <w:sz w:val="24"/>
      <w:szCs w:val="24"/>
    </w:rPr>
  </w:style>
  <w:style w:type="character" w:styleId="PageNumber">
    <w:name w:val="page number"/>
    <w:basedOn w:val="DefaultParagraphFont"/>
    <w:rsid w:val="006A33CF"/>
  </w:style>
  <w:style w:type="paragraph" w:customStyle="1" w:styleId="Preformat">
    <w:name w:val="Preformat"/>
    <w:basedOn w:val="BaseText"/>
    <w:rsid w:val="006A33CF"/>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6A33CF"/>
  </w:style>
  <w:style w:type="paragraph" w:customStyle="1" w:styleId="ProductInformation">
    <w:name w:val="ProductInformation"/>
    <w:basedOn w:val="BaseText"/>
    <w:rsid w:val="006A33CF"/>
  </w:style>
  <w:style w:type="paragraph" w:customStyle="1" w:styleId="ProductTitle">
    <w:name w:val="ProductTitle"/>
    <w:basedOn w:val="BaseText"/>
    <w:rsid w:val="006A33CF"/>
    <w:rPr>
      <w:b/>
      <w:bCs/>
    </w:rPr>
  </w:style>
  <w:style w:type="paragraph" w:customStyle="1" w:styleId="PublishedOnline">
    <w:name w:val="Published Online"/>
    <w:basedOn w:val="DateAccepted"/>
    <w:rsid w:val="006A33CF"/>
  </w:style>
  <w:style w:type="paragraph" w:customStyle="1" w:styleId="RecipeMaterials">
    <w:name w:val="Recipe Materials"/>
    <w:basedOn w:val="BaseText"/>
    <w:rsid w:val="006A33CF"/>
  </w:style>
  <w:style w:type="paragraph" w:customStyle="1" w:styleId="Refhead">
    <w:name w:val="Ref head"/>
    <w:basedOn w:val="BaseHeading"/>
    <w:rsid w:val="006A33CF"/>
    <w:pPr>
      <w:spacing w:before="120" w:after="120"/>
    </w:pPr>
    <w:rPr>
      <w:b/>
      <w:bCs/>
      <w:sz w:val="24"/>
      <w:szCs w:val="24"/>
    </w:rPr>
  </w:style>
  <w:style w:type="paragraph" w:customStyle="1" w:styleId="ReferenceNote">
    <w:name w:val="Reference Note"/>
    <w:basedOn w:val="Referencesandnotes"/>
    <w:rsid w:val="006A33CF"/>
  </w:style>
  <w:style w:type="paragraph" w:customStyle="1" w:styleId="ReferencesandnotesLong">
    <w:name w:val="References and notes Long"/>
    <w:basedOn w:val="BaseText"/>
    <w:rsid w:val="006A33CF"/>
    <w:pPr>
      <w:ind w:left="720" w:hanging="720"/>
    </w:pPr>
  </w:style>
  <w:style w:type="paragraph" w:customStyle="1" w:styleId="region">
    <w:name w:val="region"/>
    <w:basedOn w:val="BaseText"/>
    <w:rsid w:val="006A33CF"/>
    <w:pPr>
      <w:jc w:val="right"/>
    </w:pPr>
    <w:rPr>
      <w:color w:val="0000FF"/>
    </w:rPr>
  </w:style>
  <w:style w:type="paragraph" w:customStyle="1" w:styleId="RelatedArticle">
    <w:name w:val="RelatedArticle"/>
    <w:basedOn w:val="Referencesandnotes"/>
    <w:rsid w:val="006A33CF"/>
  </w:style>
  <w:style w:type="paragraph" w:customStyle="1" w:styleId="RunHead">
    <w:name w:val="RunHead"/>
    <w:basedOn w:val="BaseText"/>
    <w:rsid w:val="006A33CF"/>
  </w:style>
  <w:style w:type="paragraph" w:customStyle="1" w:styleId="SOMContent">
    <w:name w:val="SOMContent"/>
    <w:basedOn w:val="1stparatext"/>
    <w:rsid w:val="006A33CF"/>
  </w:style>
  <w:style w:type="paragraph" w:customStyle="1" w:styleId="SOMHead">
    <w:name w:val="SOMHead"/>
    <w:basedOn w:val="BaseHeading"/>
    <w:rsid w:val="006A33CF"/>
    <w:rPr>
      <w:b/>
      <w:sz w:val="24"/>
      <w:szCs w:val="24"/>
    </w:rPr>
  </w:style>
  <w:style w:type="paragraph" w:customStyle="1" w:styleId="Speaker">
    <w:name w:val="Speaker"/>
    <w:basedOn w:val="Paragraph"/>
    <w:rsid w:val="006A33CF"/>
    <w:pPr>
      <w:autoSpaceDE w:val="0"/>
      <w:autoSpaceDN w:val="0"/>
      <w:adjustRightInd w:val="0"/>
    </w:pPr>
    <w:rPr>
      <w:b/>
      <w:lang w:bidi="he-IL"/>
    </w:rPr>
  </w:style>
  <w:style w:type="paragraph" w:customStyle="1" w:styleId="Speech">
    <w:name w:val="Speech"/>
    <w:basedOn w:val="Paragraph"/>
    <w:rsid w:val="006A33CF"/>
    <w:pPr>
      <w:autoSpaceDE w:val="0"/>
      <w:autoSpaceDN w:val="0"/>
      <w:adjustRightInd w:val="0"/>
    </w:pPr>
    <w:rPr>
      <w:lang w:bidi="he-IL"/>
    </w:rPr>
  </w:style>
  <w:style w:type="character" w:styleId="Strong">
    <w:name w:val="Strong"/>
    <w:basedOn w:val="DefaultParagraphFont"/>
    <w:uiPriority w:val="22"/>
    <w:qFormat/>
    <w:rsid w:val="006A33CF"/>
    <w:rPr>
      <w:b/>
      <w:bCs/>
    </w:rPr>
  </w:style>
  <w:style w:type="paragraph" w:customStyle="1" w:styleId="SX-Abstract">
    <w:name w:val="SX-Abstract"/>
    <w:basedOn w:val="Normal"/>
    <w:qFormat/>
    <w:rsid w:val="006A33CF"/>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6A33CF"/>
    <w:pPr>
      <w:spacing w:after="160" w:line="190" w:lineRule="exact"/>
    </w:pPr>
    <w:rPr>
      <w:rFonts w:ascii="BlissRegular" w:eastAsia="Times New Roman" w:hAnsi="BlissRegular"/>
      <w:sz w:val="16"/>
    </w:rPr>
  </w:style>
  <w:style w:type="paragraph" w:customStyle="1" w:styleId="SX-Articlehead">
    <w:name w:val="SX-Article head"/>
    <w:basedOn w:val="Normal"/>
    <w:qFormat/>
    <w:rsid w:val="006A33CF"/>
    <w:pPr>
      <w:spacing w:before="210" w:line="210" w:lineRule="exact"/>
      <w:ind w:firstLine="288"/>
      <w:jc w:val="both"/>
    </w:pPr>
    <w:rPr>
      <w:rFonts w:eastAsia="Times New Roman"/>
      <w:b/>
      <w:sz w:val="18"/>
    </w:rPr>
  </w:style>
  <w:style w:type="paragraph" w:customStyle="1" w:styleId="SX-Authornames">
    <w:name w:val="SX-Author names"/>
    <w:basedOn w:val="Normal"/>
    <w:rsid w:val="006A33CF"/>
    <w:pPr>
      <w:spacing w:after="120" w:line="210" w:lineRule="exact"/>
    </w:pPr>
    <w:rPr>
      <w:rFonts w:ascii="BlissMedium" w:eastAsia="Times New Roman" w:hAnsi="BlissMedium"/>
    </w:rPr>
  </w:style>
  <w:style w:type="paragraph" w:customStyle="1" w:styleId="SX-Bodytext">
    <w:name w:val="SX-Body text"/>
    <w:basedOn w:val="Normal"/>
    <w:next w:val="Normal"/>
    <w:rsid w:val="006A33CF"/>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6A33CF"/>
    <w:pPr>
      <w:ind w:firstLine="0"/>
    </w:pPr>
  </w:style>
  <w:style w:type="paragraph" w:customStyle="1" w:styleId="SX-Correspondence">
    <w:name w:val="SX-Correspondence"/>
    <w:basedOn w:val="SX-Affiliation"/>
    <w:qFormat/>
    <w:rsid w:val="006A33CF"/>
    <w:pPr>
      <w:spacing w:after="80"/>
    </w:pPr>
  </w:style>
  <w:style w:type="paragraph" w:customStyle="1" w:styleId="SX-Date">
    <w:name w:val="SX-Date"/>
    <w:basedOn w:val="Normal"/>
    <w:qFormat/>
    <w:rsid w:val="006A33CF"/>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6A33CF"/>
    <w:pPr>
      <w:autoSpaceDE w:val="0"/>
      <w:autoSpaceDN w:val="0"/>
      <w:adjustRightInd w:val="0"/>
      <w:spacing w:line="240" w:lineRule="auto"/>
      <w:jc w:val="center"/>
    </w:pPr>
  </w:style>
  <w:style w:type="paragraph" w:customStyle="1" w:styleId="SX-Legend">
    <w:name w:val="SX-Legend"/>
    <w:basedOn w:val="SX-Authornames"/>
    <w:rsid w:val="006A33CF"/>
    <w:pPr>
      <w:jc w:val="both"/>
    </w:pPr>
    <w:rPr>
      <w:sz w:val="18"/>
    </w:rPr>
  </w:style>
  <w:style w:type="paragraph" w:customStyle="1" w:styleId="SX-References">
    <w:name w:val="SX-References"/>
    <w:basedOn w:val="Normal"/>
    <w:rsid w:val="006A33CF"/>
    <w:pPr>
      <w:spacing w:line="190" w:lineRule="exact"/>
      <w:ind w:left="245" w:hanging="245"/>
      <w:jc w:val="both"/>
    </w:pPr>
    <w:rPr>
      <w:rFonts w:eastAsia="Times New Roman"/>
      <w:sz w:val="16"/>
    </w:rPr>
  </w:style>
  <w:style w:type="paragraph" w:customStyle="1" w:styleId="SX-RefHead">
    <w:name w:val="SX-RefHead"/>
    <w:basedOn w:val="Normal"/>
    <w:rsid w:val="006A33CF"/>
    <w:pPr>
      <w:spacing w:before="200" w:line="190" w:lineRule="exact"/>
    </w:pPr>
    <w:rPr>
      <w:rFonts w:eastAsia="Times New Roman"/>
      <w:b/>
      <w:sz w:val="16"/>
    </w:rPr>
  </w:style>
  <w:style w:type="character" w:customStyle="1" w:styleId="SX-reflink">
    <w:name w:val="SX-reflink"/>
    <w:basedOn w:val="DefaultParagraphFont"/>
    <w:uiPriority w:val="1"/>
    <w:qFormat/>
    <w:rsid w:val="006A33CF"/>
    <w:rPr>
      <w:color w:val="0000FF"/>
      <w:sz w:val="16"/>
      <w:u w:val="words"/>
      <w:bdr w:val="none" w:sz="0" w:space="0" w:color="auto"/>
      <w:shd w:val="clear" w:color="auto" w:fill="FFFFFF"/>
    </w:rPr>
  </w:style>
  <w:style w:type="paragraph" w:customStyle="1" w:styleId="SX-SOMHead">
    <w:name w:val="SX-SOMHead"/>
    <w:basedOn w:val="SX-RefHead"/>
    <w:rsid w:val="006A33CF"/>
  </w:style>
  <w:style w:type="paragraph" w:customStyle="1" w:styleId="SX-Tablehead">
    <w:name w:val="SX-Tablehead"/>
    <w:basedOn w:val="Normal"/>
    <w:qFormat/>
    <w:rsid w:val="006A33CF"/>
    <w:rPr>
      <w:rFonts w:eastAsia="Times New Roman"/>
      <w:szCs w:val="24"/>
    </w:rPr>
  </w:style>
  <w:style w:type="paragraph" w:customStyle="1" w:styleId="SX-Tablelegend">
    <w:name w:val="SX-Tablelegend"/>
    <w:basedOn w:val="Normal"/>
    <w:qFormat/>
    <w:rsid w:val="006A33CF"/>
    <w:pPr>
      <w:spacing w:line="190" w:lineRule="exact"/>
      <w:ind w:left="245" w:hanging="245"/>
      <w:jc w:val="both"/>
    </w:pPr>
    <w:rPr>
      <w:rFonts w:eastAsia="Times New Roman"/>
      <w:sz w:val="16"/>
    </w:rPr>
  </w:style>
  <w:style w:type="paragraph" w:customStyle="1" w:styleId="SX-Tabletext">
    <w:name w:val="SX-Tabletext"/>
    <w:basedOn w:val="Normal"/>
    <w:qFormat/>
    <w:rsid w:val="006A33CF"/>
    <w:pPr>
      <w:spacing w:line="210" w:lineRule="exact"/>
      <w:jc w:val="center"/>
    </w:pPr>
    <w:rPr>
      <w:rFonts w:eastAsia="Times New Roman"/>
      <w:sz w:val="18"/>
    </w:rPr>
  </w:style>
  <w:style w:type="paragraph" w:customStyle="1" w:styleId="SX-Tabletitle">
    <w:name w:val="SX-Tabletitle"/>
    <w:basedOn w:val="Normal"/>
    <w:qFormat/>
    <w:rsid w:val="006A33CF"/>
    <w:pPr>
      <w:spacing w:after="120" w:line="210" w:lineRule="exact"/>
      <w:jc w:val="both"/>
    </w:pPr>
    <w:rPr>
      <w:rFonts w:ascii="BlissMedium" w:eastAsia="Times New Roman" w:hAnsi="BlissMedium"/>
      <w:sz w:val="18"/>
    </w:rPr>
  </w:style>
  <w:style w:type="paragraph" w:customStyle="1" w:styleId="SX-Title">
    <w:name w:val="SX-Title"/>
    <w:basedOn w:val="Normal"/>
    <w:rsid w:val="006A33CF"/>
    <w:pPr>
      <w:spacing w:after="240" w:line="500" w:lineRule="exact"/>
    </w:pPr>
    <w:rPr>
      <w:rFonts w:ascii="BlissBold" w:eastAsia="Times New Roman" w:hAnsi="BlissBold"/>
      <w:b/>
      <w:sz w:val="44"/>
    </w:rPr>
  </w:style>
  <w:style w:type="paragraph" w:customStyle="1" w:styleId="Tablecolumnhead">
    <w:name w:val="Table column head"/>
    <w:basedOn w:val="BaseText"/>
    <w:rsid w:val="006A33CF"/>
    <w:pPr>
      <w:spacing w:before="0"/>
    </w:pPr>
  </w:style>
  <w:style w:type="paragraph" w:customStyle="1" w:styleId="Tabletext">
    <w:name w:val="Table text"/>
    <w:basedOn w:val="BaseText"/>
    <w:rsid w:val="006A33CF"/>
    <w:pPr>
      <w:spacing w:before="0"/>
    </w:pPr>
  </w:style>
  <w:style w:type="paragraph" w:customStyle="1" w:styleId="TableLegend">
    <w:name w:val="TableLegend"/>
    <w:basedOn w:val="BaseText"/>
    <w:rsid w:val="006A33CF"/>
    <w:pPr>
      <w:spacing w:before="0"/>
    </w:pPr>
  </w:style>
  <w:style w:type="paragraph" w:customStyle="1" w:styleId="TableTitle">
    <w:name w:val="TableTitle"/>
    <w:basedOn w:val="BaseHeading"/>
    <w:rsid w:val="006A33CF"/>
  </w:style>
  <w:style w:type="paragraph" w:customStyle="1" w:styleId="Teaser">
    <w:name w:val="Teaser"/>
    <w:basedOn w:val="BaseText"/>
    <w:rsid w:val="006A33CF"/>
  </w:style>
  <w:style w:type="paragraph" w:customStyle="1" w:styleId="TWIS">
    <w:name w:val="TWIS"/>
    <w:basedOn w:val="AbstractSummary"/>
    <w:rsid w:val="006A33CF"/>
    <w:pPr>
      <w:autoSpaceDE w:val="0"/>
      <w:autoSpaceDN w:val="0"/>
      <w:adjustRightInd w:val="0"/>
    </w:pPr>
  </w:style>
  <w:style w:type="paragraph" w:customStyle="1" w:styleId="TWISorEC">
    <w:name w:val="TWIS or EC"/>
    <w:basedOn w:val="Normal"/>
    <w:rsid w:val="006A33CF"/>
    <w:pPr>
      <w:spacing w:line="210" w:lineRule="exact"/>
    </w:pPr>
    <w:rPr>
      <w:rFonts w:ascii="BlissRegular" w:eastAsia="Times New Roman" w:hAnsi="BlissRegular"/>
      <w:sz w:val="19"/>
    </w:rPr>
  </w:style>
  <w:style w:type="paragraph" w:customStyle="1" w:styleId="work-sector">
    <w:name w:val="work-sector"/>
    <w:basedOn w:val="BaseText"/>
    <w:rsid w:val="006A33CF"/>
    <w:pPr>
      <w:jc w:val="right"/>
    </w:pPr>
    <w:rPr>
      <w:color w:val="003300"/>
    </w:rPr>
  </w:style>
  <w:style w:type="paragraph" w:customStyle="1" w:styleId="DOI">
    <w:name w:val="DOI"/>
    <w:basedOn w:val="DateAccepted"/>
    <w:qFormat/>
    <w:rsid w:val="006A33CF"/>
  </w:style>
  <w:style w:type="character" w:customStyle="1" w:styleId="nlmxref-aff">
    <w:name w:val="nlm_xref-aff"/>
    <w:basedOn w:val="DefaultParagraphFont"/>
    <w:uiPriority w:val="99"/>
    <w:rsid w:val="006A33CF"/>
    <w:rPr>
      <w:rFonts w:cs="Times New Roman"/>
    </w:rPr>
  </w:style>
  <w:style w:type="character" w:customStyle="1" w:styleId="tgc">
    <w:name w:val="_tgc"/>
    <w:basedOn w:val="DefaultParagraphFont"/>
    <w:rsid w:val="006A33CF"/>
  </w:style>
  <w:style w:type="paragraph" w:customStyle="1" w:styleId="Normalenorientro">
    <w:name w:val="Normale (no rientro)"/>
    <w:basedOn w:val="Normal"/>
    <w:next w:val="Normal"/>
    <w:link w:val="NormalenorientroCarattere"/>
    <w:rsid w:val="006A33CF"/>
    <w:pPr>
      <w:spacing w:after="160" w:line="360" w:lineRule="auto"/>
    </w:pPr>
    <w:rPr>
      <w:rFonts w:eastAsiaTheme="minorEastAsia" w:cstheme="minorBidi"/>
      <w:sz w:val="22"/>
      <w:szCs w:val="22"/>
      <w:lang w:eastAsia="it-IT"/>
    </w:rPr>
  </w:style>
  <w:style w:type="character" w:customStyle="1" w:styleId="NormalenorientroCarattere">
    <w:name w:val="Normale (no rientro) Carattere"/>
    <w:basedOn w:val="DefaultParagraphFont"/>
    <w:link w:val="Normalenorientro"/>
    <w:rsid w:val="006A33CF"/>
    <w:rPr>
      <w:rFonts w:eastAsiaTheme="minorEastAsia"/>
      <w:sz w:val="22"/>
      <w:szCs w:val="22"/>
      <w:lang w:val="en-US" w:eastAsia="it-IT"/>
    </w:rPr>
  </w:style>
  <w:style w:type="paragraph" w:styleId="NormalWeb">
    <w:name w:val="Normal (Web)"/>
    <w:basedOn w:val="Normal"/>
    <w:uiPriority w:val="99"/>
    <w:unhideWhenUsed/>
    <w:rsid w:val="006A33CF"/>
    <w:pPr>
      <w:spacing w:before="100" w:beforeAutospacing="1" w:after="100" w:afterAutospacing="1" w:line="259" w:lineRule="auto"/>
    </w:pPr>
    <w:rPr>
      <w:rFonts w:eastAsiaTheme="minorEastAsia" w:cstheme="minorBidi"/>
      <w:sz w:val="22"/>
      <w:szCs w:val="22"/>
    </w:rPr>
  </w:style>
  <w:style w:type="character" w:customStyle="1" w:styleId="st">
    <w:name w:val="st"/>
    <w:basedOn w:val="DefaultParagraphFont"/>
    <w:rsid w:val="006A33CF"/>
  </w:style>
  <w:style w:type="paragraph" w:styleId="BodyTextIndent3">
    <w:name w:val="Body Text Indent 3"/>
    <w:basedOn w:val="Normal"/>
    <w:link w:val="BodyTextIndent3Char"/>
    <w:rsid w:val="006A33CF"/>
    <w:pPr>
      <w:tabs>
        <w:tab w:val="right" w:pos="900"/>
      </w:tabs>
      <w:spacing w:after="160" w:line="259" w:lineRule="auto"/>
      <w:ind w:left="1080" w:hanging="1080"/>
    </w:pPr>
    <w:rPr>
      <w:rFonts w:ascii="Arial" w:eastAsiaTheme="minorEastAsia" w:hAnsi="Arial" w:cstheme="minorBidi"/>
      <w:sz w:val="22"/>
    </w:rPr>
  </w:style>
  <w:style w:type="character" w:customStyle="1" w:styleId="BodyTextIndent3Char">
    <w:name w:val="Body Text Indent 3 Char"/>
    <w:basedOn w:val="DefaultParagraphFont"/>
    <w:link w:val="BodyTextIndent3"/>
    <w:rsid w:val="006A33CF"/>
    <w:rPr>
      <w:rFonts w:ascii="Arial" w:eastAsiaTheme="minorEastAsia" w:hAnsi="Arial"/>
      <w:sz w:val="22"/>
      <w:szCs w:val="20"/>
      <w:lang w:val="en-US"/>
    </w:rPr>
  </w:style>
  <w:style w:type="paragraph" w:styleId="BodyText">
    <w:name w:val="Body Text"/>
    <w:basedOn w:val="Normal"/>
    <w:link w:val="BodyTextChar"/>
    <w:unhideWhenUsed/>
    <w:rsid w:val="006A33CF"/>
    <w:pPr>
      <w:spacing w:after="120" w:line="259" w:lineRule="auto"/>
    </w:pPr>
    <w:rPr>
      <w:rFonts w:eastAsiaTheme="minorEastAsia" w:cstheme="minorBidi"/>
      <w:sz w:val="22"/>
      <w:szCs w:val="22"/>
    </w:rPr>
  </w:style>
  <w:style w:type="character" w:customStyle="1" w:styleId="BodyTextChar">
    <w:name w:val="Body Text Char"/>
    <w:basedOn w:val="DefaultParagraphFont"/>
    <w:link w:val="BodyText"/>
    <w:rsid w:val="006A33CF"/>
    <w:rPr>
      <w:rFonts w:eastAsiaTheme="minorEastAsia"/>
      <w:sz w:val="22"/>
      <w:szCs w:val="22"/>
      <w:lang w:val="en-US"/>
    </w:rPr>
  </w:style>
  <w:style w:type="character" w:customStyle="1" w:styleId="element-citation">
    <w:name w:val="element-citation"/>
    <w:basedOn w:val="DefaultParagraphFont"/>
    <w:rsid w:val="006A33CF"/>
  </w:style>
  <w:style w:type="character" w:customStyle="1" w:styleId="ref-journal">
    <w:name w:val="ref-journal"/>
    <w:basedOn w:val="DefaultParagraphFont"/>
    <w:rsid w:val="006A33CF"/>
  </w:style>
  <w:style w:type="character" w:customStyle="1" w:styleId="ref-vol">
    <w:name w:val="ref-vol"/>
    <w:basedOn w:val="DefaultParagraphFont"/>
    <w:rsid w:val="006A33CF"/>
  </w:style>
  <w:style w:type="character" w:customStyle="1" w:styleId="hithilite">
    <w:name w:val="hithilite"/>
    <w:basedOn w:val="DefaultParagraphFont"/>
    <w:rsid w:val="006A33CF"/>
  </w:style>
  <w:style w:type="character" w:customStyle="1" w:styleId="label">
    <w:name w:val="label"/>
    <w:basedOn w:val="DefaultParagraphFont"/>
    <w:rsid w:val="006A33CF"/>
  </w:style>
  <w:style w:type="character" w:customStyle="1" w:styleId="databold">
    <w:name w:val="data_bold"/>
    <w:basedOn w:val="DefaultParagraphFont"/>
    <w:rsid w:val="006A33CF"/>
  </w:style>
  <w:style w:type="character" w:customStyle="1" w:styleId="btext">
    <w:name w:val="btext"/>
    <w:basedOn w:val="DefaultParagraphFont"/>
    <w:rsid w:val="006A33CF"/>
  </w:style>
  <w:style w:type="character" w:customStyle="1" w:styleId="bc-sep">
    <w:name w:val="bc-sep"/>
    <w:basedOn w:val="DefaultParagraphFont"/>
    <w:rsid w:val="006A33CF"/>
  </w:style>
  <w:style w:type="character" w:customStyle="1" w:styleId="doi0">
    <w:name w:val="doi"/>
    <w:basedOn w:val="DefaultParagraphFont"/>
    <w:rsid w:val="006A33CF"/>
  </w:style>
  <w:style w:type="character" w:customStyle="1" w:styleId="name">
    <w:name w:val="name"/>
    <w:basedOn w:val="DefaultParagraphFont"/>
    <w:rsid w:val="006A33CF"/>
  </w:style>
  <w:style w:type="character" w:customStyle="1" w:styleId="xref-sep">
    <w:name w:val="xref-sep"/>
    <w:basedOn w:val="DefaultParagraphFont"/>
    <w:rsid w:val="006A33CF"/>
  </w:style>
  <w:style w:type="paragraph" w:styleId="Revision">
    <w:name w:val="Revision"/>
    <w:hidden/>
    <w:uiPriority w:val="99"/>
    <w:rsid w:val="006A33CF"/>
    <w:rPr>
      <w:rFonts w:ascii="Times New Roman" w:eastAsia="Times New Roman" w:hAnsi="Times New Roman" w:cs="Times New Roman"/>
      <w:lang w:val="en-US"/>
    </w:rPr>
  </w:style>
  <w:style w:type="character" w:customStyle="1" w:styleId="a-size-extra-large">
    <w:name w:val="a-size-extra-large"/>
    <w:basedOn w:val="DefaultParagraphFont"/>
    <w:rsid w:val="006A33CF"/>
  </w:style>
  <w:style w:type="paragraph" w:styleId="ListParagraph">
    <w:name w:val="List Paragraph"/>
    <w:basedOn w:val="Normal"/>
    <w:uiPriority w:val="34"/>
    <w:qFormat/>
    <w:rsid w:val="006A33CF"/>
    <w:pPr>
      <w:spacing w:after="160" w:line="259" w:lineRule="auto"/>
      <w:ind w:left="720"/>
      <w:contextualSpacing/>
    </w:pPr>
    <w:rPr>
      <w:rFonts w:eastAsiaTheme="minorEastAsia" w:cstheme="minorBidi"/>
      <w:sz w:val="22"/>
      <w:szCs w:val="22"/>
    </w:rPr>
  </w:style>
  <w:style w:type="character" w:customStyle="1" w:styleId="al-author-name">
    <w:name w:val="al-author-name"/>
    <w:basedOn w:val="DefaultParagraphFont"/>
    <w:rsid w:val="006A33CF"/>
  </w:style>
  <w:style w:type="character" w:customStyle="1" w:styleId="lrzxr">
    <w:name w:val="lrzxr"/>
    <w:basedOn w:val="DefaultParagraphFont"/>
    <w:rsid w:val="006A33CF"/>
  </w:style>
  <w:style w:type="character" w:customStyle="1" w:styleId="ilfuvd">
    <w:name w:val="ilfuvd"/>
    <w:basedOn w:val="DefaultParagraphFont"/>
    <w:rsid w:val="006A33CF"/>
  </w:style>
  <w:style w:type="character" w:customStyle="1" w:styleId="gd">
    <w:name w:val="gd"/>
    <w:basedOn w:val="DefaultParagraphFont"/>
    <w:rsid w:val="006A33CF"/>
  </w:style>
  <w:style w:type="character" w:customStyle="1" w:styleId="g3">
    <w:name w:val="g3"/>
    <w:basedOn w:val="DefaultParagraphFont"/>
    <w:rsid w:val="006A33CF"/>
  </w:style>
  <w:style w:type="character" w:customStyle="1" w:styleId="hb">
    <w:name w:val="hb"/>
    <w:basedOn w:val="DefaultParagraphFont"/>
    <w:rsid w:val="006A33CF"/>
  </w:style>
  <w:style w:type="character" w:customStyle="1" w:styleId="g2">
    <w:name w:val="g2"/>
    <w:basedOn w:val="DefaultParagraphFont"/>
    <w:rsid w:val="006A33CF"/>
  </w:style>
  <w:style w:type="paragraph" w:customStyle="1" w:styleId="volume-issue">
    <w:name w:val="volume-issue"/>
    <w:basedOn w:val="Normal"/>
    <w:rsid w:val="006A33CF"/>
    <w:pPr>
      <w:spacing w:before="100" w:beforeAutospacing="1" w:after="100" w:afterAutospacing="1" w:line="259" w:lineRule="auto"/>
    </w:pPr>
    <w:rPr>
      <w:rFonts w:eastAsiaTheme="minorEastAsia" w:cstheme="minorBidi"/>
      <w:sz w:val="22"/>
      <w:szCs w:val="22"/>
    </w:rPr>
  </w:style>
  <w:style w:type="character" w:customStyle="1" w:styleId="val">
    <w:name w:val="val"/>
    <w:basedOn w:val="DefaultParagraphFont"/>
    <w:rsid w:val="006A33CF"/>
  </w:style>
  <w:style w:type="paragraph" w:customStyle="1" w:styleId="page-range">
    <w:name w:val="page-range"/>
    <w:basedOn w:val="Normal"/>
    <w:rsid w:val="006A33CF"/>
    <w:pPr>
      <w:spacing w:before="100" w:beforeAutospacing="1" w:after="100" w:afterAutospacing="1" w:line="259" w:lineRule="auto"/>
    </w:pPr>
    <w:rPr>
      <w:rFonts w:eastAsiaTheme="minorEastAsia" w:cstheme="minorBidi"/>
      <w:sz w:val="22"/>
      <w:szCs w:val="22"/>
    </w:rPr>
  </w:style>
  <w:style w:type="paragraph" w:styleId="Title">
    <w:name w:val="Title"/>
    <w:basedOn w:val="Normal"/>
    <w:next w:val="Normal"/>
    <w:link w:val="TitleChar"/>
    <w:uiPriority w:val="10"/>
    <w:qFormat/>
    <w:rsid w:val="006A33CF"/>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A33CF"/>
    <w:rPr>
      <w:rFonts w:asciiTheme="majorHAnsi" w:eastAsiaTheme="majorEastAsia" w:hAnsiTheme="majorHAnsi" w:cstheme="majorBidi"/>
      <w:spacing w:val="-10"/>
      <w:sz w:val="56"/>
      <w:szCs w:val="56"/>
      <w:lang w:val="en-US"/>
    </w:rPr>
  </w:style>
  <w:style w:type="paragraph" w:styleId="Subtitle">
    <w:name w:val="Subtitle"/>
    <w:basedOn w:val="Normal"/>
    <w:next w:val="Normal"/>
    <w:link w:val="SubtitleChar"/>
    <w:uiPriority w:val="11"/>
    <w:qFormat/>
    <w:rsid w:val="006A33CF"/>
    <w:pPr>
      <w:numPr>
        <w:ilvl w:val="1"/>
      </w:numPr>
      <w:spacing w:after="160" w:line="259" w:lineRule="auto"/>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A33CF"/>
    <w:rPr>
      <w:rFonts w:eastAsiaTheme="minorEastAsia"/>
      <w:color w:val="5A5A5A" w:themeColor="text1" w:themeTint="A5"/>
      <w:spacing w:val="15"/>
      <w:sz w:val="22"/>
      <w:szCs w:val="22"/>
      <w:lang w:val="en-US"/>
    </w:rPr>
  </w:style>
  <w:style w:type="paragraph" w:styleId="NoSpacing">
    <w:name w:val="No Spacing"/>
    <w:uiPriority w:val="1"/>
    <w:qFormat/>
    <w:rsid w:val="006A33CF"/>
    <w:rPr>
      <w:rFonts w:eastAsiaTheme="minorEastAsia"/>
      <w:sz w:val="22"/>
      <w:szCs w:val="22"/>
      <w:lang w:val="en-US"/>
    </w:rPr>
  </w:style>
  <w:style w:type="paragraph" w:styleId="Quote">
    <w:name w:val="Quote"/>
    <w:basedOn w:val="Normal"/>
    <w:next w:val="Normal"/>
    <w:link w:val="QuoteChar"/>
    <w:uiPriority w:val="29"/>
    <w:qFormat/>
    <w:rsid w:val="006A33CF"/>
    <w:pPr>
      <w:spacing w:before="200" w:after="160" w:line="259" w:lineRule="auto"/>
      <w:ind w:left="864" w:right="864"/>
    </w:pPr>
    <w:rPr>
      <w:rFonts w:eastAsiaTheme="minorEastAsia" w:cstheme="minorBidi"/>
      <w:i/>
      <w:iCs/>
      <w:color w:val="404040" w:themeColor="text1" w:themeTint="BF"/>
      <w:sz w:val="22"/>
      <w:szCs w:val="22"/>
    </w:rPr>
  </w:style>
  <w:style w:type="character" w:customStyle="1" w:styleId="QuoteChar">
    <w:name w:val="Quote Char"/>
    <w:basedOn w:val="DefaultParagraphFont"/>
    <w:link w:val="Quote"/>
    <w:uiPriority w:val="29"/>
    <w:rsid w:val="006A33CF"/>
    <w:rPr>
      <w:rFonts w:eastAsiaTheme="minorEastAsia"/>
      <w:i/>
      <w:iCs/>
      <w:color w:val="404040" w:themeColor="text1" w:themeTint="BF"/>
      <w:sz w:val="22"/>
      <w:szCs w:val="22"/>
      <w:lang w:val="en-US"/>
    </w:rPr>
  </w:style>
  <w:style w:type="paragraph" w:styleId="IntenseQuote">
    <w:name w:val="Intense Quote"/>
    <w:basedOn w:val="Normal"/>
    <w:next w:val="Normal"/>
    <w:link w:val="IntenseQuoteChar"/>
    <w:uiPriority w:val="30"/>
    <w:qFormat/>
    <w:rsid w:val="006A33CF"/>
    <w:pPr>
      <w:pBdr>
        <w:top w:val="single" w:sz="4" w:space="10" w:color="404040" w:themeColor="text1" w:themeTint="BF"/>
        <w:bottom w:val="single" w:sz="4" w:space="10" w:color="404040" w:themeColor="text1" w:themeTint="BF"/>
      </w:pBdr>
      <w:spacing w:before="360" w:after="360" w:line="259" w:lineRule="auto"/>
      <w:ind w:left="864" w:right="864"/>
      <w:jc w:val="center"/>
    </w:pPr>
    <w:rPr>
      <w:rFonts w:eastAsiaTheme="minorEastAsia" w:cstheme="minorBidi"/>
      <w:i/>
      <w:iCs/>
      <w:color w:val="404040" w:themeColor="text1" w:themeTint="BF"/>
      <w:sz w:val="22"/>
      <w:szCs w:val="22"/>
    </w:rPr>
  </w:style>
  <w:style w:type="character" w:customStyle="1" w:styleId="IntenseQuoteChar">
    <w:name w:val="Intense Quote Char"/>
    <w:basedOn w:val="DefaultParagraphFont"/>
    <w:link w:val="IntenseQuote"/>
    <w:uiPriority w:val="30"/>
    <w:rsid w:val="006A33CF"/>
    <w:rPr>
      <w:rFonts w:eastAsiaTheme="minorEastAsia"/>
      <w:i/>
      <w:iCs/>
      <w:color w:val="404040" w:themeColor="text1" w:themeTint="BF"/>
      <w:sz w:val="22"/>
      <w:szCs w:val="22"/>
      <w:lang w:val="en-US"/>
    </w:rPr>
  </w:style>
  <w:style w:type="character" w:styleId="SubtleEmphasis">
    <w:name w:val="Subtle Emphasis"/>
    <w:basedOn w:val="DefaultParagraphFont"/>
    <w:uiPriority w:val="19"/>
    <w:qFormat/>
    <w:rsid w:val="006A33CF"/>
    <w:rPr>
      <w:i/>
      <w:iCs/>
      <w:color w:val="404040" w:themeColor="text1" w:themeTint="BF"/>
    </w:rPr>
  </w:style>
  <w:style w:type="character" w:styleId="IntenseEmphasis">
    <w:name w:val="Intense Emphasis"/>
    <w:basedOn w:val="DefaultParagraphFont"/>
    <w:uiPriority w:val="21"/>
    <w:qFormat/>
    <w:rsid w:val="006A33CF"/>
    <w:rPr>
      <w:b/>
      <w:bCs/>
      <w:i/>
      <w:iCs/>
      <w:color w:val="auto"/>
    </w:rPr>
  </w:style>
  <w:style w:type="character" w:styleId="SubtleReference">
    <w:name w:val="Subtle Reference"/>
    <w:basedOn w:val="DefaultParagraphFont"/>
    <w:uiPriority w:val="31"/>
    <w:qFormat/>
    <w:rsid w:val="006A33CF"/>
    <w:rPr>
      <w:smallCaps/>
      <w:color w:val="404040" w:themeColor="text1" w:themeTint="BF"/>
    </w:rPr>
  </w:style>
  <w:style w:type="character" w:styleId="IntenseReference">
    <w:name w:val="Intense Reference"/>
    <w:basedOn w:val="DefaultParagraphFont"/>
    <w:uiPriority w:val="32"/>
    <w:qFormat/>
    <w:rsid w:val="006A33CF"/>
    <w:rPr>
      <w:b/>
      <w:bCs/>
      <w:smallCaps/>
      <w:color w:val="404040" w:themeColor="text1" w:themeTint="BF"/>
      <w:spacing w:val="5"/>
    </w:rPr>
  </w:style>
  <w:style w:type="character" w:styleId="BookTitle">
    <w:name w:val="Book Title"/>
    <w:basedOn w:val="DefaultParagraphFont"/>
    <w:uiPriority w:val="33"/>
    <w:qFormat/>
    <w:rsid w:val="006A33CF"/>
    <w:rPr>
      <w:b/>
      <w:bCs/>
      <w:i/>
      <w:iCs/>
      <w:spacing w:val="5"/>
    </w:rPr>
  </w:style>
  <w:style w:type="character" w:customStyle="1" w:styleId="al-author-name-more">
    <w:name w:val="al-author-name-more"/>
    <w:basedOn w:val="DefaultParagraphFont"/>
    <w:rsid w:val="006A33CF"/>
  </w:style>
  <w:style w:type="paragraph" w:styleId="FootnoteText">
    <w:name w:val="footnote text"/>
    <w:basedOn w:val="Normal"/>
    <w:link w:val="FootnoteTextChar"/>
    <w:uiPriority w:val="99"/>
    <w:semiHidden/>
    <w:unhideWhenUsed/>
    <w:rsid w:val="006A33CF"/>
    <w:rPr>
      <w:rFonts w:eastAsiaTheme="minorEastAsia" w:cstheme="minorBidi"/>
    </w:rPr>
  </w:style>
  <w:style w:type="character" w:customStyle="1" w:styleId="FootnoteTextChar">
    <w:name w:val="Footnote Text Char"/>
    <w:basedOn w:val="DefaultParagraphFont"/>
    <w:link w:val="FootnoteText"/>
    <w:uiPriority w:val="99"/>
    <w:semiHidden/>
    <w:rsid w:val="006A33CF"/>
    <w:rPr>
      <w:rFonts w:eastAsiaTheme="minorEastAsia"/>
      <w:sz w:val="20"/>
      <w:szCs w:val="20"/>
      <w:lang w:val="en-US"/>
    </w:rPr>
  </w:style>
  <w:style w:type="character" w:customStyle="1" w:styleId="contribdegrees">
    <w:name w:val="contribdegrees"/>
    <w:basedOn w:val="DefaultParagraphFont"/>
    <w:rsid w:val="006A33CF"/>
  </w:style>
  <w:style w:type="character" w:customStyle="1" w:styleId="entryauthor">
    <w:name w:val="entryauthor"/>
    <w:basedOn w:val="DefaultParagraphFont"/>
    <w:rsid w:val="006A33CF"/>
  </w:style>
  <w:style w:type="character" w:customStyle="1" w:styleId="nlmstring-name">
    <w:name w:val="nlm_string-name"/>
    <w:basedOn w:val="DefaultParagraphFont"/>
    <w:rsid w:val="006A33CF"/>
  </w:style>
  <w:style w:type="character" w:customStyle="1" w:styleId="apple-converted-space">
    <w:name w:val="apple-converted-space"/>
    <w:basedOn w:val="DefaultParagraphFont"/>
    <w:rsid w:val="006A33CF"/>
  </w:style>
  <w:style w:type="character" w:customStyle="1" w:styleId="topic-highlight">
    <w:name w:val="topic-highlight"/>
    <w:basedOn w:val="DefaultParagraphFont"/>
    <w:rsid w:val="006A33CF"/>
  </w:style>
  <w:style w:type="character" w:customStyle="1" w:styleId="text">
    <w:name w:val="text"/>
    <w:basedOn w:val="DefaultParagraphFont"/>
    <w:rsid w:val="006A33CF"/>
  </w:style>
  <w:style w:type="character" w:customStyle="1" w:styleId="author-ref">
    <w:name w:val="author-ref"/>
    <w:basedOn w:val="DefaultParagraphFont"/>
    <w:rsid w:val="006A33CF"/>
  </w:style>
  <w:style w:type="paragraph" w:customStyle="1" w:styleId="author">
    <w:name w:val="author"/>
    <w:basedOn w:val="Normal"/>
    <w:rsid w:val="006A33CF"/>
    <w:pPr>
      <w:spacing w:before="100" w:beforeAutospacing="1" w:after="100" w:afterAutospacing="1"/>
    </w:pPr>
    <w:rPr>
      <w:rFonts w:eastAsia="Times New Roman"/>
      <w:sz w:val="24"/>
      <w:szCs w:val="24"/>
    </w:rPr>
  </w:style>
  <w:style w:type="paragraph" w:customStyle="1" w:styleId="source">
    <w:name w:val="source"/>
    <w:basedOn w:val="Normal"/>
    <w:rsid w:val="006A33CF"/>
    <w:pPr>
      <w:spacing w:before="100" w:beforeAutospacing="1" w:after="100" w:afterAutospacing="1"/>
    </w:pPr>
    <w:rPr>
      <w:rFonts w:eastAsia="Times New Roman"/>
      <w:sz w:val="24"/>
      <w:szCs w:val="24"/>
    </w:rPr>
  </w:style>
  <w:style w:type="paragraph" w:styleId="Bibliography">
    <w:name w:val="Bibliography"/>
    <w:basedOn w:val="Normal"/>
    <w:next w:val="Normal"/>
    <w:uiPriority w:val="37"/>
    <w:unhideWhenUsed/>
    <w:rsid w:val="00B104C7"/>
    <w:pPr>
      <w:tabs>
        <w:tab w:val="left" w:pos="500"/>
        <w:tab w:val="left" w:pos="561"/>
        <w:tab w:val="left" w:pos="620"/>
      </w:tabs>
      <w:spacing w:line="360" w:lineRule="auto"/>
      <w:ind w:left="624" w:hanging="624"/>
    </w:pPr>
    <w:rPr>
      <w:rFonts w:ascii="Times New Roman" w:eastAsiaTheme="minorEastAsia" w:hAnsi="Times New Roman" w:cstheme="minorBidi"/>
      <w:sz w:val="24"/>
      <w:szCs w:val="22"/>
    </w:rPr>
  </w:style>
  <w:style w:type="character" w:customStyle="1" w:styleId="highwire-citation-authors">
    <w:name w:val="highwire-citation-authors"/>
    <w:basedOn w:val="DefaultParagraphFont"/>
    <w:rsid w:val="006A33CF"/>
  </w:style>
  <w:style w:type="character" w:customStyle="1" w:styleId="highwire-citation-author">
    <w:name w:val="highwire-citation-author"/>
    <w:basedOn w:val="DefaultParagraphFont"/>
    <w:rsid w:val="006A33CF"/>
  </w:style>
  <w:style w:type="character" w:customStyle="1" w:styleId="highwire-cite-metadata-journal">
    <w:name w:val="highwire-cite-metadata-journal"/>
    <w:basedOn w:val="DefaultParagraphFont"/>
    <w:rsid w:val="006A33CF"/>
  </w:style>
  <w:style w:type="character" w:customStyle="1" w:styleId="highwire-cite-metadata-date">
    <w:name w:val="highwire-cite-metadata-date"/>
    <w:basedOn w:val="DefaultParagraphFont"/>
    <w:rsid w:val="006A33CF"/>
  </w:style>
  <w:style w:type="character" w:customStyle="1" w:styleId="highwire-cite-metadata-volume">
    <w:name w:val="highwire-cite-metadata-volume"/>
    <w:basedOn w:val="DefaultParagraphFont"/>
    <w:rsid w:val="006A33CF"/>
  </w:style>
  <w:style w:type="character" w:customStyle="1" w:styleId="highwire-cite-metadata-issue">
    <w:name w:val="highwire-cite-metadata-issue"/>
    <w:basedOn w:val="DefaultParagraphFont"/>
    <w:rsid w:val="006A33CF"/>
  </w:style>
  <w:style w:type="character" w:customStyle="1" w:styleId="highwire-cite-metadata-pages">
    <w:name w:val="highwire-cite-metadata-pages"/>
    <w:basedOn w:val="DefaultParagraphFont"/>
    <w:rsid w:val="006A33CF"/>
  </w:style>
  <w:style w:type="character" w:customStyle="1" w:styleId="highwire-cite-metadata-doi">
    <w:name w:val="highwire-cite-metadata-doi"/>
    <w:basedOn w:val="DefaultParagraphFont"/>
    <w:rsid w:val="006A33CF"/>
  </w:style>
  <w:style w:type="character" w:customStyle="1" w:styleId="Title1">
    <w:name w:val="Title1"/>
    <w:basedOn w:val="DefaultParagraphFont"/>
    <w:rsid w:val="006A33CF"/>
  </w:style>
  <w:style w:type="character" w:customStyle="1" w:styleId="highwire-cite-metadata-papdate">
    <w:name w:val="highwire-cite-metadata-papdate"/>
    <w:basedOn w:val="DefaultParagraphFont"/>
    <w:rsid w:val="006A33CF"/>
  </w:style>
  <w:style w:type="character" w:customStyle="1" w:styleId="reference-text">
    <w:name w:val="reference-text"/>
    <w:basedOn w:val="DefaultParagraphFont"/>
    <w:rsid w:val="006A33CF"/>
  </w:style>
  <w:style w:type="character" w:customStyle="1" w:styleId="e24kjd">
    <w:name w:val="e24kjd"/>
    <w:basedOn w:val="DefaultParagraphFont"/>
    <w:rsid w:val="006A33CF"/>
  </w:style>
  <w:style w:type="paragraph" w:customStyle="1" w:styleId="c-author-listitem">
    <w:name w:val="c-author-list__item"/>
    <w:basedOn w:val="Normal"/>
    <w:rsid w:val="006A33CF"/>
    <w:pPr>
      <w:spacing w:before="100" w:beforeAutospacing="1" w:after="100" w:afterAutospacing="1"/>
    </w:pPr>
    <w:rPr>
      <w:rFonts w:eastAsia="Times New Roman"/>
      <w:sz w:val="24"/>
      <w:szCs w:val="24"/>
    </w:rPr>
  </w:style>
  <w:style w:type="paragraph" w:customStyle="1" w:styleId="c-article-info-details">
    <w:name w:val="c-article-info-details"/>
    <w:basedOn w:val="Normal"/>
    <w:rsid w:val="006A33CF"/>
    <w:pPr>
      <w:spacing w:before="100" w:beforeAutospacing="1" w:after="100" w:afterAutospacing="1"/>
    </w:pPr>
    <w:rPr>
      <w:rFonts w:eastAsia="Times New Roman"/>
      <w:sz w:val="24"/>
      <w:szCs w:val="24"/>
    </w:rPr>
  </w:style>
  <w:style w:type="character" w:customStyle="1" w:styleId="u-visually-hidden">
    <w:name w:val="u-visually-hidden"/>
    <w:basedOn w:val="DefaultParagraphFont"/>
    <w:rsid w:val="006A33CF"/>
  </w:style>
  <w:style w:type="paragraph" w:customStyle="1" w:styleId="SMHeading">
    <w:name w:val="SM Heading"/>
    <w:basedOn w:val="SMcaption"/>
    <w:qFormat/>
    <w:rsid w:val="00F90BE0"/>
    <w:rPr>
      <w:b/>
    </w:rPr>
  </w:style>
  <w:style w:type="paragraph" w:customStyle="1" w:styleId="SMcaption">
    <w:name w:val="SM caption"/>
    <w:basedOn w:val="SMText"/>
    <w:autoRedefine/>
    <w:qFormat/>
    <w:rsid w:val="00956789"/>
    <w:pPr>
      <w:spacing w:line="240" w:lineRule="auto"/>
      <w:ind w:firstLine="0"/>
    </w:pPr>
  </w:style>
  <w:style w:type="paragraph" w:customStyle="1" w:styleId="SMText">
    <w:name w:val="SM Text"/>
    <w:basedOn w:val="Normal"/>
    <w:qFormat/>
    <w:rsid w:val="00AC685B"/>
    <w:pPr>
      <w:spacing w:line="480" w:lineRule="auto"/>
      <w:ind w:firstLine="480"/>
    </w:pPr>
    <w:rPr>
      <w:rFonts w:ascii="Times New Roman" w:eastAsia="Times New Roman" w:hAnsi="Times New Roman"/>
      <w:sz w:val="24"/>
    </w:rPr>
  </w:style>
  <w:style w:type="paragraph" w:customStyle="1" w:styleId="SMSubheading">
    <w:name w:val="SM Subheading"/>
    <w:basedOn w:val="Normal"/>
    <w:qFormat/>
    <w:rsid w:val="00F91888"/>
    <w:rPr>
      <w:rFonts w:ascii="Times New Roman" w:eastAsia="Times New Roman" w:hAnsi="Times New Roman"/>
      <w:sz w:val="32"/>
      <w:u w:val="words"/>
    </w:rPr>
  </w:style>
  <w:style w:type="character" w:customStyle="1" w:styleId="BodyText2Char">
    <w:name w:val="Body Text 2 Char"/>
    <w:basedOn w:val="DefaultParagraphFont"/>
    <w:link w:val="BodyText2"/>
    <w:semiHidden/>
    <w:rsid w:val="006A33CF"/>
    <w:rPr>
      <w:rFonts w:eastAsia="Times New Roman"/>
    </w:rPr>
  </w:style>
  <w:style w:type="paragraph" w:styleId="BodyText2">
    <w:name w:val="Body Text 2"/>
    <w:basedOn w:val="Normal"/>
    <w:link w:val="BodyText2Char"/>
    <w:semiHidden/>
    <w:rsid w:val="006A33CF"/>
    <w:pPr>
      <w:spacing w:after="120" w:line="480" w:lineRule="auto"/>
    </w:pPr>
    <w:rPr>
      <w:rFonts w:eastAsia="Times New Roman" w:cstheme="minorBidi"/>
      <w:sz w:val="24"/>
      <w:szCs w:val="24"/>
      <w:lang w:val="en-GB"/>
    </w:rPr>
  </w:style>
  <w:style w:type="character" w:customStyle="1" w:styleId="BodyText2Char1">
    <w:name w:val="Body Text 2 Char1"/>
    <w:basedOn w:val="DefaultParagraphFont"/>
    <w:uiPriority w:val="99"/>
    <w:semiHidden/>
    <w:rsid w:val="006A33CF"/>
    <w:rPr>
      <w:rFonts w:ascii="Times New Roman" w:eastAsia="Calibri" w:hAnsi="Times New Roman" w:cs="Times New Roman"/>
      <w:sz w:val="20"/>
      <w:szCs w:val="20"/>
      <w:lang w:val="en-US"/>
    </w:rPr>
  </w:style>
  <w:style w:type="character" w:customStyle="1" w:styleId="BodyText3Char">
    <w:name w:val="Body Text 3 Char"/>
    <w:basedOn w:val="DefaultParagraphFont"/>
    <w:link w:val="BodyText3"/>
    <w:semiHidden/>
    <w:rsid w:val="006A33CF"/>
    <w:rPr>
      <w:rFonts w:eastAsia="Times New Roman"/>
      <w:sz w:val="16"/>
      <w:szCs w:val="16"/>
    </w:rPr>
  </w:style>
  <w:style w:type="paragraph" w:styleId="BodyText3">
    <w:name w:val="Body Text 3"/>
    <w:basedOn w:val="Normal"/>
    <w:link w:val="BodyText3Char"/>
    <w:semiHidden/>
    <w:rsid w:val="006A33CF"/>
    <w:pPr>
      <w:spacing w:after="120"/>
    </w:pPr>
    <w:rPr>
      <w:rFonts w:eastAsia="Times New Roman" w:cstheme="minorBidi"/>
      <w:sz w:val="16"/>
      <w:szCs w:val="16"/>
      <w:lang w:val="en-GB"/>
    </w:rPr>
  </w:style>
  <w:style w:type="character" w:customStyle="1" w:styleId="BodyText3Char1">
    <w:name w:val="Body Text 3 Char1"/>
    <w:basedOn w:val="DefaultParagraphFont"/>
    <w:uiPriority w:val="99"/>
    <w:semiHidden/>
    <w:rsid w:val="006A33CF"/>
    <w:rPr>
      <w:rFonts w:ascii="Times New Roman" w:eastAsia="Calibri" w:hAnsi="Times New Roman" w:cs="Times New Roman"/>
      <w:sz w:val="16"/>
      <w:szCs w:val="16"/>
      <w:lang w:val="en-US"/>
    </w:rPr>
  </w:style>
  <w:style w:type="character" w:customStyle="1" w:styleId="BodyTextFirstIndentChar">
    <w:name w:val="Body Text First Indent Char"/>
    <w:basedOn w:val="BodyTextChar"/>
    <w:link w:val="BodyTextFirstIndent"/>
    <w:semiHidden/>
    <w:rsid w:val="006A33CF"/>
    <w:rPr>
      <w:rFonts w:eastAsia="Times New Roman"/>
      <w:sz w:val="22"/>
      <w:szCs w:val="22"/>
      <w:lang w:val="en-US"/>
    </w:rPr>
  </w:style>
  <w:style w:type="paragraph" w:styleId="BodyTextFirstIndent">
    <w:name w:val="Body Text First Indent"/>
    <w:basedOn w:val="BodyText"/>
    <w:link w:val="BodyTextFirstIndentChar"/>
    <w:semiHidden/>
    <w:rsid w:val="006A33CF"/>
    <w:pPr>
      <w:spacing w:line="240" w:lineRule="auto"/>
      <w:ind w:firstLine="210"/>
    </w:pPr>
    <w:rPr>
      <w:rFonts w:eastAsia="Times New Roman"/>
      <w:sz w:val="24"/>
    </w:rPr>
  </w:style>
  <w:style w:type="character" w:customStyle="1" w:styleId="BodyTextFirstIndentChar1">
    <w:name w:val="Body Text First Indent Char1"/>
    <w:basedOn w:val="BodyTextChar"/>
    <w:uiPriority w:val="99"/>
    <w:semiHidden/>
    <w:rsid w:val="006A33CF"/>
    <w:rPr>
      <w:rFonts w:eastAsiaTheme="minorEastAsia"/>
      <w:sz w:val="22"/>
      <w:szCs w:val="22"/>
      <w:lang w:val="en-US"/>
    </w:rPr>
  </w:style>
  <w:style w:type="character" w:customStyle="1" w:styleId="BodyTextIndentChar">
    <w:name w:val="Body Text Indent Char"/>
    <w:basedOn w:val="DefaultParagraphFont"/>
    <w:link w:val="BodyTextIndent"/>
    <w:semiHidden/>
    <w:rsid w:val="006A33CF"/>
    <w:rPr>
      <w:rFonts w:eastAsia="Times New Roman"/>
    </w:rPr>
  </w:style>
  <w:style w:type="paragraph" w:styleId="BodyTextIndent">
    <w:name w:val="Body Text Indent"/>
    <w:basedOn w:val="Normal"/>
    <w:link w:val="BodyTextIndentChar"/>
    <w:semiHidden/>
    <w:rsid w:val="006A33CF"/>
    <w:pPr>
      <w:spacing w:after="120"/>
      <w:ind w:left="360"/>
    </w:pPr>
    <w:rPr>
      <w:rFonts w:eastAsia="Times New Roman" w:cstheme="minorBidi"/>
      <w:sz w:val="24"/>
      <w:szCs w:val="24"/>
      <w:lang w:val="en-GB"/>
    </w:rPr>
  </w:style>
  <w:style w:type="character" w:customStyle="1" w:styleId="BodyTextIndentChar1">
    <w:name w:val="Body Text Indent Char1"/>
    <w:basedOn w:val="DefaultParagraphFont"/>
    <w:uiPriority w:val="99"/>
    <w:semiHidden/>
    <w:rsid w:val="006A33CF"/>
    <w:rPr>
      <w:rFonts w:ascii="Times New Roman" w:eastAsia="Calibri" w:hAnsi="Times New Roman" w:cs="Times New Roman"/>
      <w:sz w:val="20"/>
      <w:szCs w:val="20"/>
      <w:lang w:val="en-US"/>
    </w:rPr>
  </w:style>
  <w:style w:type="character" w:customStyle="1" w:styleId="BodyTextFirstIndent2Char">
    <w:name w:val="Body Text First Indent 2 Char"/>
    <w:basedOn w:val="BodyTextIndentChar"/>
    <w:link w:val="BodyTextFirstIndent2"/>
    <w:semiHidden/>
    <w:rsid w:val="006A33CF"/>
    <w:rPr>
      <w:rFonts w:eastAsia="Times New Roman"/>
    </w:rPr>
  </w:style>
  <w:style w:type="paragraph" w:styleId="BodyTextFirstIndent2">
    <w:name w:val="Body Text First Indent 2"/>
    <w:basedOn w:val="BodyTextIndent"/>
    <w:link w:val="BodyTextFirstIndent2Char"/>
    <w:semiHidden/>
    <w:rsid w:val="006A33CF"/>
    <w:pPr>
      <w:ind w:firstLine="210"/>
    </w:pPr>
  </w:style>
  <w:style w:type="character" w:customStyle="1" w:styleId="BodyTextFirstIndent2Char1">
    <w:name w:val="Body Text First Indent 2 Char1"/>
    <w:basedOn w:val="BodyTextIndentChar1"/>
    <w:uiPriority w:val="99"/>
    <w:semiHidden/>
    <w:rsid w:val="006A33CF"/>
    <w:rPr>
      <w:rFonts w:ascii="Times New Roman" w:eastAsia="Calibri" w:hAnsi="Times New Roman" w:cs="Times New Roman"/>
      <w:sz w:val="20"/>
      <w:szCs w:val="20"/>
      <w:lang w:val="en-US"/>
    </w:rPr>
  </w:style>
  <w:style w:type="character" w:customStyle="1" w:styleId="BodyTextIndent2Char">
    <w:name w:val="Body Text Indent 2 Char"/>
    <w:basedOn w:val="DefaultParagraphFont"/>
    <w:link w:val="BodyTextIndent2"/>
    <w:semiHidden/>
    <w:rsid w:val="006A33CF"/>
    <w:rPr>
      <w:rFonts w:eastAsia="Times New Roman"/>
    </w:rPr>
  </w:style>
  <w:style w:type="paragraph" w:styleId="BodyTextIndent2">
    <w:name w:val="Body Text Indent 2"/>
    <w:basedOn w:val="Normal"/>
    <w:link w:val="BodyTextIndent2Char"/>
    <w:semiHidden/>
    <w:rsid w:val="006A33CF"/>
    <w:pPr>
      <w:spacing w:after="120" w:line="480" w:lineRule="auto"/>
      <w:ind w:left="360"/>
    </w:pPr>
    <w:rPr>
      <w:rFonts w:eastAsia="Times New Roman" w:cstheme="minorBidi"/>
      <w:sz w:val="24"/>
      <w:szCs w:val="24"/>
      <w:lang w:val="en-GB"/>
    </w:rPr>
  </w:style>
  <w:style w:type="character" w:customStyle="1" w:styleId="BodyTextIndent2Char1">
    <w:name w:val="Body Text Indent 2 Char1"/>
    <w:basedOn w:val="DefaultParagraphFont"/>
    <w:uiPriority w:val="99"/>
    <w:semiHidden/>
    <w:rsid w:val="006A33CF"/>
    <w:rPr>
      <w:rFonts w:ascii="Times New Roman" w:eastAsia="Calibri" w:hAnsi="Times New Roman" w:cs="Times New Roman"/>
      <w:sz w:val="20"/>
      <w:szCs w:val="20"/>
      <w:lang w:val="en-US"/>
    </w:rPr>
  </w:style>
  <w:style w:type="character" w:customStyle="1" w:styleId="ClosingChar">
    <w:name w:val="Closing Char"/>
    <w:basedOn w:val="DefaultParagraphFont"/>
    <w:link w:val="Closing"/>
    <w:semiHidden/>
    <w:rsid w:val="006A33CF"/>
    <w:rPr>
      <w:rFonts w:eastAsia="Times New Roman"/>
    </w:rPr>
  </w:style>
  <w:style w:type="paragraph" w:styleId="Closing">
    <w:name w:val="Closing"/>
    <w:basedOn w:val="Normal"/>
    <w:link w:val="ClosingChar"/>
    <w:semiHidden/>
    <w:rsid w:val="006A33CF"/>
    <w:pPr>
      <w:ind w:left="4320"/>
    </w:pPr>
    <w:rPr>
      <w:rFonts w:eastAsia="Times New Roman" w:cstheme="minorBidi"/>
      <w:sz w:val="24"/>
      <w:szCs w:val="24"/>
      <w:lang w:val="en-GB"/>
    </w:rPr>
  </w:style>
  <w:style w:type="character" w:customStyle="1" w:styleId="ClosingChar1">
    <w:name w:val="Closing Char1"/>
    <w:basedOn w:val="DefaultParagraphFont"/>
    <w:uiPriority w:val="99"/>
    <w:semiHidden/>
    <w:rsid w:val="006A33CF"/>
    <w:rPr>
      <w:rFonts w:ascii="Times New Roman" w:eastAsia="Calibri" w:hAnsi="Times New Roman" w:cs="Times New Roman"/>
      <w:sz w:val="20"/>
      <w:szCs w:val="20"/>
      <w:lang w:val="en-US"/>
    </w:rPr>
  </w:style>
  <w:style w:type="character" w:customStyle="1" w:styleId="DateChar">
    <w:name w:val="Date Char"/>
    <w:basedOn w:val="DefaultParagraphFont"/>
    <w:link w:val="Date"/>
    <w:semiHidden/>
    <w:rsid w:val="006A33CF"/>
    <w:rPr>
      <w:rFonts w:eastAsia="Times New Roman"/>
    </w:rPr>
  </w:style>
  <w:style w:type="paragraph" w:styleId="Date">
    <w:name w:val="Date"/>
    <w:basedOn w:val="Normal"/>
    <w:next w:val="Normal"/>
    <w:link w:val="DateChar"/>
    <w:semiHidden/>
    <w:rsid w:val="006A33CF"/>
    <w:rPr>
      <w:rFonts w:eastAsia="Times New Roman" w:cstheme="minorBidi"/>
      <w:sz w:val="24"/>
      <w:szCs w:val="24"/>
      <w:lang w:val="en-GB"/>
    </w:rPr>
  </w:style>
  <w:style w:type="character" w:customStyle="1" w:styleId="DateChar1">
    <w:name w:val="Date Char1"/>
    <w:basedOn w:val="DefaultParagraphFont"/>
    <w:uiPriority w:val="99"/>
    <w:semiHidden/>
    <w:rsid w:val="006A33CF"/>
    <w:rPr>
      <w:rFonts w:ascii="Times New Roman" w:eastAsia="Calibri" w:hAnsi="Times New Roman" w:cs="Times New Roman"/>
      <w:sz w:val="20"/>
      <w:szCs w:val="20"/>
      <w:lang w:val="en-US"/>
    </w:rPr>
  </w:style>
  <w:style w:type="character" w:customStyle="1" w:styleId="DocumentMapChar">
    <w:name w:val="Document Map Char"/>
    <w:basedOn w:val="DefaultParagraphFont"/>
    <w:link w:val="DocumentMap"/>
    <w:semiHidden/>
    <w:rsid w:val="006A33CF"/>
    <w:rPr>
      <w:rFonts w:ascii="Tahoma" w:eastAsia="Times New Roman" w:hAnsi="Tahoma" w:cs="Tahoma"/>
      <w:sz w:val="16"/>
      <w:szCs w:val="16"/>
    </w:rPr>
  </w:style>
  <w:style w:type="paragraph" w:styleId="DocumentMap">
    <w:name w:val="Document Map"/>
    <w:basedOn w:val="Normal"/>
    <w:link w:val="DocumentMapChar"/>
    <w:semiHidden/>
    <w:rsid w:val="006A33CF"/>
    <w:rPr>
      <w:rFonts w:ascii="Tahoma" w:eastAsia="Times New Roman" w:hAnsi="Tahoma" w:cs="Tahoma"/>
      <w:sz w:val="16"/>
      <w:szCs w:val="16"/>
      <w:lang w:val="en-GB"/>
    </w:rPr>
  </w:style>
  <w:style w:type="character" w:customStyle="1" w:styleId="DocumentMapChar1">
    <w:name w:val="Document Map Char1"/>
    <w:basedOn w:val="DefaultParagraphFont"/>
    <w:uiPriority w:val="99"/>
    <w:semiHidden/>
    <w:rsid w:val="006A33CF"/>
    <w:rPr>
      <w:rFonts w:ascii="Helvetica" w:eastAsia="Calibri" w:hAnsi="Helvetica" w:cs="Times New Roman"/>
      <w:sz w:val="26"/>
      <w:szCs w:val="26"/>
      <w:lang w:val="en-US"/>
    </w:rPr>
  </w:style>
  <w:style w:type="character" w:customStyle="1" w:styleId="E-mailSignatureChar">
    <w:name w:val="E-mail Signature Char"/>
    <w:basedOn w:val="DefaultParagraphFont"/>
    <w:link w:val="E-mailSignature"/>
    <w:semiHidden/>
    <w:rsid w:val="006A33CF"/>
    <w:rPr>
      <w:rFonts w:eastAsia="Times New Roman"/>
    </w:rPr>
  </w:style>
  <w:style w:type="paragraph" w:styleId="E-mailSignature">
    <w:name w:val="E-mail Signature"/>
    <w:basedOn w:val="Normal"/>
    <w:link w:val="E-mailSignatureChar"/>
    <w:semiHidden/>
    <w:rsid w:val="006A33CF"/>
    <w:rPr>
      <w:rFonts w:eastAsia="Times New Roman" w:cstheme="minorBidi"/>
      <w:sz w:val="24"/>
      <w:szCs w:val="24"/>
      <w:lang w:val="en-GB"/>
    </w:rPr>
  </w:style>
  <w:style w:type="character" w:customStyle="1" w:styleId="E-mailSignatureChar1">
    <w:name w:val="E-mail Signature Char1"/>
    <w:basedOn w:val="DefaultParagraphFont"/>
    <w:uiPriority w:val="99"/>
    <w:semiHidden/>
    <w:rsid w:val="006A33CF"/>
    <w:rPr>
      <w:rFonts w:ascii="Times New Roman" w:eastAsia="Calibri" w:hAnsi="Times New Roman" w:cs="Times New Roman"/>
      <w:sz w:val="20"/>
      <w:szCs w:val="20"/>
      <w:lang w:val="en-US"/>
    </w:rPr>
  </w:style>
  <w:style w:type="character" w:customStyle="1" w:styleId="HTMLAddressChar">
    <w:name w:val="HTML Address Char"/>
    <w:basedOn w:val="DefaultParagraphFont"/>
    <w:link w:val="HTMLAddress"/>
    <w:semiHidden/>
    <w:rsid w:val="006A33CF"/>
    <w:rPr>
      <w:rFonts w:eastAsia="Times New Roman"/>
      <w:i/>
      <w:iCs/>
    </w:rPr>
  </w:style>
  <w:style w:type="paragraph" w:styleId="HTMLAddress">
    <w:name w:val="HTML Address"/>
    <w:basedOn w:val="Normal"/>
    <w:link w:val="HTMLAddressChar"/>
    <w:semiHidden/>
    <w:rsid w:val="006A33CF"/>
    <w:rPr>
      <w:rFonts w:eastAsia="Times New Roman" w:cstheme="minorBidi"/>
      <w:i/>
      <w:iCs/>
      <w:sz w:val="24"/>
      <w:szCs w:val="24"/>
      <w:lang w:val="en-GB"/>
    </w:rPr>
  </w:style>
  <w:style w:type="character" w:customStyle="1" w:styleId="HTMLAddressChar1">
    <w:name w:val="HTML Address Char1"/>
    <w:basedOn w:val="DefaultParagraphFont"/>
    <w:uiPriority w:val="99"/>
    <w:semiHidden/>
    <w:rsid w:val="006A33CF"/>
    <w:rPr>
      <w:rFonts w:ascii="Times New Roman" w:eastAsia="Calibri" w:hAnsi="Times New Roman" w:cs="Times New Roman"/>
      <w:i/>
      <w:iCs/>
      <w:sz w:val="20"/>
      <w:szCs w:val="20"/>
      <w:lang w:val="en-US"/>
    </w:rPr>
  </w:style>
  <w:style w:type="paragraph" w:styleId="ListBullet">
    <w:name w:val="List Bullet"/>
    <w:basedOn w:val="Normal"/>
    <w:semiHidden/>
    <w:rsid w:val="006A33CF"/>
    <w:pPr>
      <w:tabs>
        <w:tab w:val="num" w:pos="360"/>
      </w:tabs>
      <w:ind w:left="360" w:hanging="360"/>
      <w:contextualSpacing/>
    </w:pPr>
    <w:rPr>
      <w:rFonts w:eastAsia="Times New Roman"/>
      <w:sz w:val="24"/>
    </w:rPr>
  </w:style>
  <w:style w:type="paragraph" w:styleId="ListNumber">
    <w:name w:val="List Number"/>
    <w:basedOn w:val="Normal"/>
    <w:semiHidden/>
    <w:rsid w:val="006A33CF"/>
    <w:pPr>
      <w:tabs>
        <w:tab w:val="num" w:pos="360"/>
      </w:tabs>
      <w:ind w:left="360" w:hanging="360"/>
      <w:contextualSpacing/>
    </w:pPr>
    <w:rPr>
      <w:rFonts w:eastAsia="Times New Roman"/>
      <w:sz w:val="24"/>
    </w:rPr>
  </w:style>
  <w:style w:type="character" w:customStyle="1" w:styleId="MacroTextChar">
    <w:name w:val="Macro Text Char"/>
    <w:basedOn w:val="DefaultParagraphFont"/>
    <w:link w:val="MacroText"/>
    <w:semiHidden/>
    <w:rsid w:val="006A33CF"/>
    <w:rPr>
      <w:rFonts w:ascii="Courier New" w:eastAsia="Times New Roman" w:hAnsi="Courier New" w:cs="Courier New"/>
    </w:rPr>
  </w:style>
  <w:style w:type="paragraph" w:styleId="MacroText">
    <w:name w:val="macro"/>
    <w:link w:val="MacroTextChar"/>
    <w:semiHidden/>
    <w:rsid w:val="006A33CF"/>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1">
    <w:name w:val="Macro Text Char1"/>
    <w:basedOn w:val="DefaultParagraphFont"/>
    <w:uiPriority w:val="99"/>
    <w:semiHidden/>
    <w:rsid w:val="006A33CF"/>
    <w:rPr>
      <w:rFonts w:ascii="Consolas" w:eastAsia="Calibri" w:hAnsi="Consolas" w:cs="Consolas"/>
      <w:sz w:val="20"/>
      <w:szCs w:val="20"/>
      <w:lang w:val="en-US"/>
    </w:rPr>
  </w:style>
  <w:style w:type="character" w:customStyle="1" w:styleId="MessageHeaderChar">
    <w:name w:val="Message Header Char"/>
    <w:basedOn w:val="DefaultParagraphFont"/>
    <w:link w:val="MessageHeader"/>
    <w:semiHidden/>
    <w:rsid w:val="006A33CF"/>
    <w:rPr>
      <w:rFonts w:ascii="Cambria" w:eastAsia="Times New Roman" w:hAnsi="Cambria"/>
      <w:shd w:val="pct20" w:color="auto" w:fill="auto"/>
    </w:rPr>
  </w:style>
  <w:style w:type="paragraph" w:styleId="MessageHeader">
    <w:name w:val="Message Header"/>
    <w:basedOn w:val="Normal"/>
    <w:link w:val="MessageHeaderChar"/>
    <w:semiHidden/>
    <w:rsid w:val="006A33CF"/>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heme="minorBidi"/>
      <w:sz w:val="24"/>
      <w:szCs w:val="24"/>
      <w:lang w:val="en-GB"/>
    </w:rPr>
  </w:style>
  <w:style w:type="character" w:customStyle="1" w:styleId="MessageHeaderChar1">
    <w:name w:val="Message Header Char1"/>
    <w:basedOn w:val="DefaultParagraphFont"/>
    <w:uiPriority w:val="99"/>
    <w:semiHidden/>
    <w:rsid w:val="006A33CF"/>
    <w:rPr>
      <w:rFonts w:asciiTheme="majorHAnsi" w:eastAsiaTheme="majorEastAsia" w:hAnsiTheme="majorHAnsi" w:cstheme="majorBidi"/>
      <w:shd w:val="pct20" w:color="auto" w:fill="auto"/>
      <w:lang w:val="en-US"/>
    </w:rPr>
  </w:style>
  <w:style w:type="character" w:customStyle="1" w:styleId="NoteHeadingChar">
    <w:name w:val="Note Heading Char"/>
    <w:basedOn w:val="DefaultParagraphFont"/>
    <w:link w:val="NoteHeading"/>
    <w:semiHidden/>
    <w:rsid w:val="006A33CF"/>
    <w:rPr>
      <w:rFonts w:eastAsia="Times New Roman"/>
    </w:rPr>
  </w:style>
  <w:style w:type="paragraph" w:styleId="NoteHeading">
    <w:name w:val="Note Heading"/>
    <w:basedOn w:val="Normal"/>
    <w:next w:val="Normal"/>
    <w:link w:val="NoteHeadingChar"/>
    <w:semiHidden/>
    <w:rsid w:val="006A33CF"/>
    <w:rPr>
      <w:rFonts w:eastAsia="Times New Roman" w:cstheme="minorBidi"/>
      <w:sz w:val="24"/>
      <w:szCs w:val="24"/>
      <w:lang w:val="en-GB"/>
    </w:rPr>
  </w:style>
  <w:style w:type="character" w:customStyle="1" w:styleId="NoteHeadingChar1">
    <w:name w:val="Note Heading Char1"/>
    <w:basedOn w:val="DefaultParagraphFont"/>
    <w:uiPriority w:val="99"/>
    <w:semiHidden/>
    <w:rsid w:val="006A33CF"/>
    <w:rPr>
      <w:rFonts w:ascii="Times New Roman" w:eastAsia="Calibri" w:hAnsi="Times New Roman" w:cs="Times New Roman"/>
      <w:sz w:val="20"/>
      <w:szCs w:val="20"/>
      <w:lang w:val="en-US"/>
    </w:rPr>
  </w:style>
  <w:style w:type="character" w:customStyle="1" w:styleId="PlainTextChar">
    <w:name w:val="Plain Text Char"/>
    <w:basedOn w:val="DefaultParagraphFont"/>
    <w:link w:val="PlainText"/>
    <w:semiHidden/>
    <w:rsid w:val="006A33CF"/>
    <w:rPr>
      <w:rFonts w:ascii="Courier New" w:eastAsia="Times New Roman" w:hAnsi="Courier New" w:cs="Courier New"/>
    </w:rPr>
  </w:style>
  <w:style w:type="paragraph" w:styleId="PlainText">
    <w:name w:val="Plain Text"/>
    <w:basedOn w:val="Normal"/>
    <w:link w:val="PlainTextChar"/>
    <w:semiHidden/>
    <w:rsid w:val="006A33CF"/>
    <w:rPr>
      <w:rFonts w:ascii="Courier New" w:eastAsia="Times New Roman" w:hAnsi="Courier New" w:cs="Courier New"/>
      <w:sz w:val="24"/>
      <w:szCs w:val="24"/>
      <w:lang w:val="en-GB"/>
    </w:rPr>
  </w:style>
  <w:style w:type="character" w:customStyle="1" w:styleId="PlainTextChar1">
    <w:name w:val="Plain Text Char1"/>
    <w:basedOn w:val="DefaultParagraphFont"/>
    <w:uiPriority w:val="99"/>
    <w:semiHidden/>
    <w:rsid w:val="006A33CF"/>
    <w:rPr>
      <w:rFonts w:ascii="Consolas" w:eastAsia="Calibri" w:hAnsi="Consolas" w:cs="Consolas"/>
      <w:sz w:val="21"/>
      <w:szCs w:val="21"/>
      <w:lang w:val="en-US"/>
    </w:rPr>
  </w:style>
  <w:style w:type="character" w:customStyle="1" w:styleId="SalutationChar">
    <w:name w:val="Salutation Char"/>
    <w:basedOn w:val="DefaultParagraphFont"/>
    <w:link w:val="Salutation"/>
    <w:semiHidden/>
    <w:rsid w:val="006A33CF"/>
    <w:rPr>
      <w:rFonts w:eastAsia="Times New Roman"/>
    </w:rPr>
  </w:style>
  <w:style w:type="paragraph" w:styleId="Salutation">
    <w:name w:val="Salutation"/>
    <w:basedOn w:val="Normal"/>
    <w:next w:val="Normal"/>
    <w:link w:val="SalutationChar"/>
    <w:semiHidden/>
    <w:rsid w:val="006A33CF"/>
    <w:rPr>
      <w:rFonts w:eastAsia="Times New Roman" w:cstheme="minorBidi"/>
      <w:sz w:val="24"/>
      <w:szCs w:val="24"/>
      <w:lang w:val="en-GB"/>
    </w:rPr>
  </w:style>
  <w:style w:type="character" w:customStyle="1" w:styleId="SalutationChar1">
    <w:name w:val="Salutation Char1"/>
    <w:basedOn w:val="DefaultParagraphFont"/>
    <w:uiPriority w:val="99"/>
    <w:semiHidden/>
    <w:rsid w:val="006A33CF"/>
    <w:rPr>
      <w:rFonts w:ascii="Times New Roman" w:eastAsia="Calibri" w:hAnsi="Times New Roman" w:cs="Times New Roman"/>
      <w:sz w:val="20"/>
      <w:szCs w:val="20"/>
      <w:lang w:val="en-US"/>
    </w:rPr>
  </w:style>
  <w:style w:type="character" w:customStyle="1" w:styleId="SignatureChar">
    <w:name w:val="Signature Char"/>
    <w:basedOn w:val="DefaultParagraphFont"/>
    <w:link w:val="Signature"/>
    <w:semiHidden/>
    <w:rsid w:val="006A33CF"/>
    <w:rPr>
      <w:rFonts w:eastAsia="Times New Roman"/>
    </w:rPr>
  </w:style>
  <w:style w:type="paragraph" w:styleId="Signature">
    <w:name w:val="Signature"/>
    <w:basedOn w:val="Normal"/>
    <w:link w:val="SignatureChar"/>
    <w:semiHidden/>
    <w:rsid w:val="006A33CF"/>
    <w:pPr>
      <w:ind w:left="4320"/>
    </w:pPr>
    <w:rPr>
      <w:rFonts w:eastAsia="Times New Roman" w:cstheme="minorBidi"/>
      <w:sz w:val="24"/>
      <w:szCs w:val="24"/>
      <w:lang w:val="en-GB"/>
    </w:rPr>
  </w:style>
  <w:style w:type="character" w:customStyle="1" w:styleId="SignatureChar1">
    <w:name w:val="Signature Char1"/>
    <w:basedOn w:val="DefaultParagraphFont"/>
    <w:uiPriority w:val="99"/>
    <w:semiHidden/>
    <w:rsid w:val="006A33CF"/>
    <w:rPr>
      <w:rFonts w:ascii="Times New Roman" w:eastAsia="Calibri" w:hAnsi="Times New Roman" w:cs="Times New Roman"/>
      <w:sz w:val="20"/>
      <w:szCs w:val="20"/>
      <w:lang w:val="en-US"/>
    </w:rPr>
  </w:style>
  <w:style w:type="paragraph" w:styleId="TOC1">
    <w:name w:val="toc 1"/>
    <w:basedOn w:val="Normal"/>
    <w:next w:val="Normal"/>
    <w:autoRedefine/>
    <w:uiPriority w:val="39"/>
    <w:rsid w:val="006A33CF"/>
    <w:rPr>
      <w:rFonts w:eastAsia="Times New Roman"/>
      <w:sz w:val="24"/>
    </w:rPr>
  </w:style>
  <w:style w:type="paragraph" w:styleId="TOC2">
    <w:name w:val="toc 2"/>
    <w:basedOn w:val="Normal"/>
    <w:next w:val="Normal"/>
    <w:autoRedefine/>
    <w:uiPriority w:val="39"/>
    <w:rsid w:val="006A33CF"/>
    <w:pPr>
      <w:ind w:left="240"/>
    </w:pPr>
    <w:rPr>
      <w:rFonts w:eastAsia="Times New Roman"/>
      <w:sz w:val="24"/>
    </w:rPr>
  </w:style>
  <w:style w:type="character" w:customStyle="1" w:styleId="UnresolvedMention">
    <w:name w:val="Unresolved Mention"/>
    <w:basedOn w:val="DefaultParagraphFont"/>
    <w:uiPriority w:val="99"/>
    <w:semiHidden/>
    <w:unhideWhenUsed/>
    <w:rsid w:val="00F35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951580">
      <w:bodyDiv w:val="1"/>
      <w:marLeft w:val="0"/>
      <w:marRight w:val="0"/>
      <w:marTop w:val="0"/>
      <w:marBottom w:val="0"/>
      <w:divBdr>
        <w:top w:val="none" w:sz="0" w:space="0" w:color="auto"/>
        <w:left w:val="none" w:sz="0" w:space="0" w:color="auto"/>
        <w:bottom w:val="none" w:sz="0" w:space="0" w:color="auto"/>
        <w:right w:val="none" w:sz="0" w:space="0" w:color="auto"/>
      </w:divBdr>
      <w:divsChild>
        <w:div w:id="1869369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8.wmf"/><Relationship Id="rId21" Type="http://schemas.openxmlformats.org/officeDocument/2006/relationships/image" Target="media/image7.wmf"/><Relationship Id="rId42" Type="http://schemas.openxmlformats.org/officeDocument/2006/relationships/image" Target="media/image18.wmf"/><Relationship Id="rId47" Type="http://schemas.openxmlformats.org/officeDocument/2006/relationships/oleObject" Target="embeddings/oleObject19.bin"/><Relationship Id="rId63" Type="http://schemas.openxmlformats.org/officeDocument/2006/relationships/image" Target="media/image29.wmf"/><Relationship Id="rId68" Type="http://schemas.openxmlformats.org/officeDocument/2006/relationships/oleObject" Target="embeddings/oleObject29.bin"/><Relationship Id="rId84" Type="http://schemas.openxmlformats.org/officeDocument/2006/relationships/image" Target="media/image42.wmf"/><Relationship Id="rId89" Type="http://schemas.openxmlformats.org/officeDocument/2006/relationships/oleObject" Target="embeddings/oleObject36.bin"/><Relationship Id="rId112" Type="http://schemas.openxmlformats.org/officeDocument/2006/relationships/oleObject" Target="embeddings/oleObject48.bin"/><Relationship Id="rId133" Type="http://schemas.openxmlformats.org/officeDocument/2006/relationships/image" Target="media/image66.wmf"/><Relationship Id="rId138" Type="http://schemas.openxmlformats.org/officeDocument/2006/relationships/oleObject" Target="embeddings/oleObject61.bin"/><Relationship Id="rId16" Type="http://schemas.openxmlformats.org/officeDocument/2006/relationships/oleObject" Target="embeddings/oleObject4.bin"/><Relationship Id="rId107" Type="http://schemas.openxmlformats.org/officeDocument/2006/relationships/oleObject" Target="embeddings/oleObject45.bin"/><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oleObject" Target="embeddings/oleObject14.bin"/><Relationship Id="rId53" Type="http://schemas.openxmlformats.org/officeDocument/2006/relationships/image" Target="media/image23.wmf"/><Relationship Id="rId58" Type="http://schemas.openxmlformats.org/officeDocument/2006/relationships/oleObject" Target="embeddings/oleObject24.bin"/><Relationship Id="rId74" Type="http://schemas.openxmlformats.org/officeDocument/2006/relationships/image" Target="media/image36.png"/><Relationship Id="rId79" Type="http://schemas.openxmlformats.org/officeDocument/2006/relationships/oleObject" Target="embeddings/oleObject31.bin"/><Relationship Id="rId102" Type="http://schemas.openxmlformats.org/officeDocument/2006/relationships/image" Target="media/image51.wmf"/><Relationship Id="rId123" Type="http://schemas.openxmlformats.org/officeDocument/2006/relationships/image" Target="media/image61.wmf"/><Relationship Id="rId128" Type="http://schemas.openxmlformats.org/officeDocument/2006/relationships/oleObject" Target="embeddings/oleObject56.bin"/><Relationship Id="rId144" Type="http://schemas.openxmlformats.org/officeDocument/2006/relationships/image" Target="media/image73.png"/><Relationship Id="rId149"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image" Target="media/image45.wmf"/><Relationship Id="rId95" Type="http://schemas.openxmlformats.org/officeDocument/2006/relationships/oleObject" Target="embeddings/oleObject39.bin"/><Relationship Id="rId22" Type="http://schemas.openxmlformats.org/officeDocument/2006/relationships/oleObject" Target="embeddings/oleObject7.bin"/><Relationship Id="rId27" Type="http://schemas.openxmlformats.org/officeDocument/2006/relationships/image" Target="media/image10.wmf"/><Relationship Id="rId43" Type="http://schemas.openxmlformats.org/officeDocument/2006/relationships/oleObject" Target="embeddings/oleObject17.bin"/><Relationship Id="rId48" Type="http://schemas.openxmlformats.org/officeDocument/2006/relationships/image" Target="media/image21.wmf"/><Relationship Id="rId64" Type="http://schemas.openxmlformats.org/officeDocument/2006/relationships/oleObject" Target="embeddings/oleObject27.bin"/><Relationship Id="rId69" Type="http://schemas.openxmlformats.org/officeDocument/2006/relationships/image" Target="media/image32.png"/><Relationship Id="rId113" Type="http://schemas.openxmlformats.org/officeDocument/2006/relationships/image" Target="media/image56.wmf"/><Relationship Id="rId118" Type="http://schemas.openxmlformats.org/officeDocument/2006/relationships/oleObject" Target="embeddings/oleObject51.bin"/><Relationship Id="rId134" Type="http://schemas.openxmlformats.org/officeDocument/2006/relationships/oleObject" Target="embeddings/oleObject59.bin"/><Relationship Id="rId139" Type="http://schemas.openxmlformats.org/officeDocument/2006/relationships/image" Target="media/image69.wmf"/><Relationship Id="rId80" Type="http://schemas.openxmlformats.org/officeDocument/2006/relationships/image" Target="media/image40.wmf"/><Relationship Id="rId85" Type="http://schemas.openxmlformats.org/officeDocument/2006/relationships/oleObject" Target="embeddings/oleObject34.bin"/><Relationship Id="rId150" Type="http://schemas.openxmlformats.org/officeDocument/2006/relationships/fontTable" Target="fontTable.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7.wmf"/><Relationship Id="rId67" Type="http://schemas.openxmlformats.org/officeDocument/2006/relationships/image" Target="media/image31.wmf"/><Relationship Id="rId103" Type="http://schemas.openxmlformats.org/officeDocument/2006/relationships/oleObject" Target="embeddings/oleObject43.bin"/><Relationship Id="rId108" Type="http://schemas.openxmlformats.org/officeDocument/2006/relationships/image" Target="media/image54.wmf"/><Relationship Id="rId116" Type="http://schemas.openxmlformats.org/officeDocument/2006/relationships/oleObject" Target="embeddings/oleObject50.bin"/><Relationship Id="rId124" Type="http://schemas.openxmlformats.org/officeDocument/2006/relationships/oleObject" Target="embeddings/oleObject54.bin"/><Relationship Id="rId129" Type="http://schemas.openxmlformats.org/officeDocument/2006/relationships/image" Target="media/image64.wmf"/><Relationship Id="rId137" Type="http://schemas.openxmlformats.org/officeDocument/2006/relationships/image" Target="media/image68.wmf"/><Relationship Id="rId20" Type="http://schemas.openxmlformats.org/officeDocument/2006/relationships/oleObject" Target="embeddings/oleObject6.bin"/><Relationship Id="rId41" Type="http://schemas.openxmlformats.org/officeDocument/2006/relationships/oleObject" Target="embeddings/oleObject16.bin"/><Relationship Id="rId54" Type="http://schemas.openxmlformats.org/officeDocument/2006/relationships/oleObject" Target="embeddings/oleObject23.bin"/><Relationship Id="rId62" Type="http://schemas.openxmlformats.org/officeDocument/2006/relationships/oleObject" Target="embeddings/oleObject26.bin"/><Relationship Id="rId70" Type="http://schemas.openxmlformats.org/officeDocument/2006/relationships/image" Target="media/image33.wmf"/><Relationship Id="rId75" Type="http://schemas.openxmlformats.org/officeDocument/2006/relationships/hyperlink" Target="https://www.casasglobal.org" TargetMode="External"/><Relationship Id="rId83" Type="http://schemas.openxmlformats.org/officeDocument/2006/relationships/oleObject" Target="embeddings/oleObject33.bin"/><Relationship Id="rId88" Type="http://schemas.openxmlformats.org/officeDocument/2006/relationships/image" Target="media/image44.wmf"/><Relationship Id="rId91" Type="http://schemas.openxmlformats.org/officeDocument/2006/relationships/oleObject" Target="embeddings/oleObject37.bin"/><Relationship Id="rId96" Type="http://schemas.openxmlformats.org/officeDocument/2006/relationships/image" Target="media/image48.wmf"/><Relationship Id="rId111" Type="http://schemas.openxmlformats.org/officeDocument/2006/relationships/image" Target="media/image55.wmf"/><Relationship Id="rId132" Type="http://schemas.openxmlformats.org/officeDocument/2006/relationships/oleObject" Target="embeddings/oleObject58.bin"/><Relationship Id="rId140" Type="http://schemas.openxmlformats.org/officeDocument/2006/relationships/oleObject" Target="embeddings/oleObject62.bin"/><Relationship Id="rId145"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image" Target="media/image26.wmf"/><Relationship Id="rId106" Type="http://schemas.openxmlformats.org/officeDocument/2006/relationships/image" Target="media/image53.wmf"/><Relationship Id="rId114" Type="http://schemas.openxmlformats.org/officeDocument/2006/relationships/oleObject" Target="embeddings/oleObject49.bin"/><Relationship Id="rId119" Type="http://schemas.openxmlformats.org/officeDocument/2006/relationships/image" Target="media/image59.wmf"/><Relationship Id="rId127" Type="http://schemas.openxmlformats.org/officeDocument/2006/relationships/image" Target="media/image63.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image" Target="media/image19.wmf"/><Relationship Id="rId52" Type="http://schemas.openxmlformats.org/officeDocument/2006/relationships/oleObject" Target="embeddings/oleObject22.bin"/><Relationship Id="rId60" Type="http://schemas.openxmlformats.org/officeDocument/2006/relationships/oleObject" Target="embeddings/oleObject25.bin"/><Relationship Id="rId65" Type="http://schemas.openxmlformats.org/officeDocument/2006/relationships/image" Target="media/image30.wmf"/><Relationship Id="rId73" Type="http://schemas.openxmlformats.org/officeDocument/2006/relationships/image" Target="media/image35.png"/><Relationship Id="rId78" Type="http://schemas.openxmlformats.org/officeDocument/2006/relationships/image" Target="media/image39.wmf"/><Relationship Id="rId81" Type="http://schemas.openxmlformats.org/officeDocument/2006/relationships/oleObject" Target="embeddings/oleObject32.bin"/><Relationship Id="rId86" Type="http://schemas.openxmlformats.org/officeDocument/2006/relationships/image" Target="media/image43.wmf"/><Relationship Id="rId94" Type="http://schemas.openxmlformats.org/officeDocument/2006/relationships/image" Target="media/image47.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oleObject" Target="embeddings/oleObject53.bin"/><Relationship Id="rId130" Type="http://schemas.openxmlformats.org/officeDocument/2006/relationships/oleObject" Target="embeddings/oleObject57.bin"/><Relationship Id="rId135" Type="http://schemas.openxmlformats.org/officeDocument/2006/relationships/image" Target="media/image67.wmf"/><Relationship Id="rId143" Type="http://schemas.openxmlformats.org/officeDocument/2006/relationships/image" Target="media/image72.png"/><Relationship Id="rId148" Type="http://schemas.openxmlformats.org/officeDocument/2006/relationships/header" Target="header2.xml"/><Relationship Id="rId15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oleObject" Target="embeddings/oleObject46.bin"/><Relationship Id="rId34" Type="http://schemas.openxmlformats.org/officeDocument/2006/relationships/oleObject" Target="embeddings/oleObject13.bin"/><Relationship Id="rId50" Type="http://schemas.openxmlformats.org/officeDocument/2006/relationships/image" Target="media/image22.wmf"/><Relationship Id="rId55" Type="http://schemas.openxmlformats.org/officeDocument/2006/relationships/image" Target="media/image24.png"/><Relationship Id="rId76" Type="http://schemas.openxmlformats.org/officeDocument/2006/relationships/image" Target="media/image37.png"/><Relationship Id="rId97" Type="http://schemas.openxmlformats.org/officeDocument/2006/relationships/oleObject" Target="embeddings/oleObject40.bin"/><Relationship Id="rId104" Type="http://schemas.openxmlformats.org/officeDocument/2006/relationships/image" Target="media/image52.wmf"/><Relationship Id="rId120" Type="http://schemas.openxmlformats.org/officeDocument/2006/relationships/oleObject" Target="embeddings/oleObject52.bin"/><Relationship Id="rId125" Type="http://schemas.openxmlformats.org/officeDocument/2006/relationships/image" Target="media/image62.wmf"/><Relationship Id="rId141" Type="http://schemas.openxmlformats.org/officeDocument/2006/relationships/image" Target="media/image70.png"/><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image" Target="media/image46.wmf"/><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oleObject" Target="embeddings/oleObject35.bin"/><Relationship Id="rId110" Type="http://schemas.openxmlformats.org/officeDocument/2006/relationships/oleObject" Target="embeddings/oleObject47.bin"/><Relationship Id="rId115" Type="http://schemas.openxmlformats.org/officeDocument/2006/relationships/image" Target="media/image57.wmf"/><Relationship Id="rId131" Type="http://schemas.openxmlformats.org/officeDocument/2006/relationships/image" Target="media/image65.wmf"/><Relationship Id="rId136" Type="http://schemas.openxmlformats.org/officeDocument/2006/relationships/oleObject" Target="embeddings/oleObject60.bin"/><Relationship Id="rId61" Type="http://schemas.openxmlformats.org/officeDocument/2006/relationships/image" Target="media/image28.wmf"/><Relationship Id="rId82" Type="http://schemas.openxmlformats.org/officeDocument/2006/relationships/image" Target="media/image41.wmf"/><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png"/><Relationship Id="rId56" Type="http://schemas.openxmlformats.org/officeDocument/2006/relationships/image" Target="media/image25.png"/><Relationship Id="rId77" Type="http://schemas.openxmlformats.org/officeDocument/2006/relationships/image" Target="media/image38.png"/><Relationship Id="rId100" Type="http://schemas.openxmlformats.org/officeDocument/2006/relationships/image" Target="media/image50.wmf"/><Relationship Id="rId105" Type="http://schemas.openxmlformats.org/officeDocument/2006/relationships/oleObject" Target="embeddings/oleObject44.bin"/><Relationship Id="rId126" Type="http://schemas.openxmlformats.org/officeDocument/2006/relationships/oleObject" Target="embeddings/oleObject55.bin"/><Relationship Id="rId147" Type="http://schemas.openxmlformats.org/officeDocument/2006/relationships/footer" Target="footer1.xml"/><Relationship Id="rId8" Type="http://schemas.openxmlformats.org/officeDocument/2006/relationships/hyperlink" Target="mailto:CASAS.Global@berkeley.edu" TargetMode="External"/><Relationship Id="rId51" Type="http://schemas.openxmlformats.org/officeDocument/2006/relationships/oleObject" Target="embeddings/oleObject21.bin"/><Relationship Id="rId72" Type="http://schemas.openxmlformats.org/officeDocument/2006/relationships/image" Target="media/image34.png"/><Relationship Id="rId93" Type="http://schemas.openxmlformats.org/officeDocument/2006/relationships/oleObject" Target="embeddings/oleObject38.bin"/><Relationship Id="rId98" Type="http://schemas.openxmlformats.org/officeDocument/2006/relationships/image" Target="media/image49.wmf"/><Relationship Id="rId121" Type="http://schemas.openxmlformats.org/officeDocument/2006/relationships/image" Target="media/image60.wmf"/><Relationship Id="rId142" Type="http://schemas.openxmlformats.org/officeDocument/2006/relationships/image" Target="media/image7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7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C73545-6C49-4042-B723-8012AD496865}">
  <we:reference id="wa200001011" version="1.1.0.0" store="en-001"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4DF35-124E-4EFC-8EB6-81E79B0A6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45982</Words>
  <Characters>262101</Characters>
  <Application>Microsoft Office Word</Application>
  <DocSecurity>0</DocSecurity>
  <Lines>2184</Lines>
  <Paragraphs>614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307469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Ponti</dc:creator>
  <cp:keywords/>
  <dc:description/>
  <cp:lastModifiedBy>Indhumathi</cp:lastModifiedBy>
  <cp:revision>3</cp:revision>
  <cp:lastPrinted>2020-08-18T09:57:00Z</cp:lastPrinted>
  <dcterms:created xsi:type="dcterms:W3CDTF">2020-08-26T23:38:00Z</dcterms:created>
  <dcterms:modified xsi:type="dcterms:W3CDTF">2020-09-21T01:40:00Z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id="5yjpWrVw"/&gt;&lt;style id="http://www.zotero.org/styles/environmental-sciences-europe" hasBibliography="1" bibliographyStyleHasBeenSet="1"/&gt;&lt;prefs&gt;&lt;pref name="fieldType" value="Field"/&gt;&lt;pref name="aut</vt:lpwstr>
  </property>
  <property fmtid="{D5CDD505-2E9C-101B-9397-08002B2CF9AE}" pid="3" name="ZOTERO_PREF_2">
    <vt:lpwstr>omaticJournalAbbreviations" value="true"/&gt;&lt;pref name="dontAskDelayCitationUpdates" value="true"/&gt;&lt;pref name="delayCitationUpdates" value="true"/&gt;&lt;/prefs&gt;&lt;/data&gt;</vt:lpwstr>
  </property>
  <property fmtid="{D5CDD505-2E9C-101B-9397-08002B2CF9AE}" pid="4" name="grammarly_documentId">
    <vt:lpwstr>documentId_2707</vt:lpwstr>
  </property>
</Properties>
</file>