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F8098B" w14:textId="77777777" w:rsidR="005642DC" w:rsidRPr="00E17BC9" w:rsidRDefault="005642DC" w:rsidP="005642DC">
      <w:pPr>
        <w:spacing w:line="360" w:lineRule="auto"/>
        <w:rPr>
          <w:rFonts w:ascii="Times New Roman" w:hAnsi="Times New Roman"/>
          <w:b/>
          <w:sz w:val="24"/>
        </w:rPr>
      </w:pPr>
      <w:r w:rsidRPr="00E17BC9">
        <w:rPr>
          <w:rFonts w:ascii="Times New Roman" w:hAnsi="Times New Roman"/>
          <w:b/>
          <w:sz w:val="24"/>
        </w:rPr>
        <w:t>Methods</w:t>
      </w:r>
    </w:p>
    <w:p w14:paraId="363BB0BD" w14:textId="77777777" w:rsidR="005642DC" w:rsidRPr="005642DC" w:rsidRDefault="005642DC" w:rsidP="00D36F06">
      <w:pPr>
        <w:spacing w:line="360" w:lineRule="auto"/>
        <w:rPr>
          <w:rFonts w:ascii="Times New Roman" w:hAnsi="Times New Roman"/>
          <w:b/>
          <w:bCs/>
          <w:i/>
          <w:sz w:val="24"/>
        </w:rPr>
      </w:pPr>
    </w:p>
    <w:p w14:paraId="5306D6BD" w14:textId="1DE6B1B2" w:rsidR="00D36F06" w:rsidRPr="00C704A9" w:rsidRDefault="00D36F06" w:rsidP="00D36F06">
      <w:pPr>
        <w:spacing w:line="360" w:lineRule="auto"/>
        <w:rPr>
          <w:rFonts w:ascii="Times New Roman" w:hAnsi="Times New Roman"/>
          <w:i/>
          <w:sz w:val="24"/>
        </w:rPr>
      </w:pPr>
      <w:r w:rsidRPr="00C704A9">
        <w:rPr>
          <w:rFonts w:ascii="Times New Roman" w:hAnsi="Times New Roman"/>
          <w:i/>
          <w:sz w:val="24"/>
        </w:rPr>
        <w:t>Demographic Variables</w:t>
      </w:r>
    </w:p>
    <w:p w14:paraId="486901BA" w14:textId="1569CCF1" w:rsidR="00D36F06" w:rsidRDefault="00D36F06" w:rsidP="00D36F06">
      <w:pPr>
        <w:spacing w:line="360" w:lineRule="auto"/>
        <w:ind w:firstLineChars="150" w:firstLine="360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 xml:space="preserve">The NHANES demographic </w:t>
      </w:r>
      <w:r w:rsidRPr="00B94B25">
        <w:rPr>
          <w:rFonts w:ascii="Times New Roman" w:hAnsi="Times New Roman"/>
          <w:iCs/>
          <w:sz w:val="24"/>
        </w:rPr>
        <w:t xml:space="preserve">file provides </w:t>
      </w:r>
      <w:r>
        <w:rPr>
          <w:rFonts w:ascii="Times New Roman" w:hAnsi="Times New Roman"/>
          <w:iCs/>
          <w:sz w:val="24"/>
        </w:rPr>
        <w:t>individual-, family-, and household-level information. This</w:t>
      </w:r>
      <w:r w:rsidRPr="00B94B25">
        <w:rPr>
          <w:rFonts w:ascii="Times New Roman" w:hAnsi="Times New Roman"/>
          <w:iCs/>
          <w:sz w:val="24"/>
        </w:rPr>
        <w:t xml:space="preserve"> information </w:t>
      </w:r>
      <w:r>
        <w:rPr>
          <w:rFonts w:ascii="Times New Roman" w:hAnsi="Times New Roman"/>
          <w:iCs/>
          <w:sz w:val="24"/>
        </w:rPr>
        <w:t>was collected</w:t>
      </w:r>
      <w:r w:rsidRPr="00B94B25">
        <w:rPr>
          <w:rFonts w:ascii="Times New Roman" w:hAnsi="Times New Roman"/>
          <w:iCs/>
          <w:sz w:val="24"/>
        </w:rPr>
        <w:t xml:space="preserve"> at home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t>prior to</w:t>
      </w:r>
      <w:r w:rsidRPr="00B94B25">
        <w:rPr>
          <w:rFonts w:ascii="Times New Roman" w:hAnsi="Times New Roman"/>
          <w:iCs/>
          <w:sz w:val="24"/>
        </w:rPr>
        <w:t xml:space="preserve"> the health check</w:t>
      </w:r>
      <w:r>
        <w:rPr>
          <w:rFonts w:ascii="Times New Roman" w:hAnsi="Times New Roman"/>
          <w:iCs/>
          <w:sz w:val="24"/>
        </w:rPr>
        <w:t>, by trained interviewers using a</w:t>
      </w:r>
      <w:r w:rsidRPr="00B94B25">
        <w:rPr>
          <w:rFonts w:ascii="Times New Roman" w:hAnsi="Times New Roman"/>
          <w:iCs/>
          <w:sz w:val="24"/>
        </w:rPr>
        <w:t xml:space="preserve"> computer</w:t>
      </w:r>
      <w:r>
        <w:rPr>
          <w:rFonts w:ascii="Times New Roman" w:hAnsi="Times New Roman"/>
          <w:iCs/>
          <w:sz w:val="24"/>
        </w:rPr>
        <w:t>-</w:t>
      </w:r>
      <w:r w:rsidRPr="00B94B25">
        <w:rPr>
          <w:rFonts w:ascii="Times New Roman" w:hAnsi="Times New Roman"/>
          <w:iCs/>
          <w:sz w:val="24"/>
        </w:rPr>
        <w:t xml:space="preserve">assisted personal interview (CAPI) </w:t>
      </w:r>
      <w:r>
        <w:rPr>
          <w:rFonts w:ascii="Times New Roman" w:hAnsi="Times New Roman"/>
          <w:iCs/>
          <w:sz w:val="24"/>
        </w:rPr>
        <w:t>system.</w:t>
      </w:r>
      <w:r w:rsidRPr="00B94B25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t>Subjects</w:t>
      </w:r>
      <w:r w:rsidRPr="00B94B25">
        <w:rPr>
          <w:rFonts w:ascii="Times New Roman" w:hAnsi="Times New Roman"/>
          <w:iCs/>
          <w:sz w:val="24"/>
        </w:rPr>
        <w:t xml:space="preserve"> over the age of 16 </w:t>
      </w:r>
      <w:r>
        <w:rPr>
          <w:rFonts w:ascii="Times New Roman" w:hAnsi="Times New Roman"/>
          <w:iCs/>
          <w:sz w:val="24"/>
        </w:rPr>
        <w:t>were interviewed d</w:t>
      </w:r>
      <w:r w:rsidRPr="00B94B25">
        <w:rPr>
          <w:rFonts w:ascii="Times New Roman" w:hAnsi="Times New Roman"/>
          <w:iCs/>
          <w:sz w:val="24"/>
        </w:rPr>
        <w:t>irect</w:t>
      </w:r>
      <w:r>
        <w:rPr>
          <w:rFonts w:ascii="Times New Roman" w:hAnsi="Times New Roman"/>
          <w:iCs/>
          <w:sz w:val="24"/>
        </w:rPr>
        <w:t>ly.</w:t>
      </w:r>
      <w:r w:rsidRPr="00B94B25">
        <w:rPr>
          <w:rFonts w:ascii="Times New Roman" w:hAnsi="Times New Roman"/>
          <w:iCs/>
          <w:sz w:val="24"/>
        </w:rPr>
        <w:t xml:space="preserve"> Acting respondents provide</w:t>
      </w:r>
      <w:r>
        <w:rPr>
          <w:rFonts w:ascii="Times New Roman" w:hAnsi="Times New Roman"/>
          <w:iCs/>
          <w:sz w:val="24"/>
        </w:rPr>
        <w:t>d</w:t>
      </w:r>
      <w:r w:rsidRPr="00B94B25">
        <w:rPr>
          <w:rFonts w:ascii="Times New Roman" w:hAnsi="Times New Roman"/>
          <w:iCs/>
          <w:sz w:val="24"/>
        </w:rPr>
        <w:t xml:space="preserve"> information for survey participants under the age of 16 and those who </w:t>
      </w:r>
      <w:r>
        <w:rPr>
          <w:rFonts w:ascii="Times New Roman" w:hAnsi="Times New Roman"/>
          <w:iCs/>
          <w:sz w:val="24"/>
        </w:rPr>
        <w:t>were</w:t>
      </w:r>
      <w:r w:rsidRPr="00B94B25">
        <w:rPr>
          <w:rFonts w:ascii="Times New Roman" w:hAnsi="Times New Roman"/>
          <w:iCs/>
          <w:sz w:val="24"/>
        </w:rPr>
        <w:t xml:space="preserve"> unable to answer questions on their ow</w:t>
      </w:r>
      <w:r>
        <w:rPr>
          <w:rFonts w:ascii="Times New Roman" w:hAnsi="Times New Roman"/>
          <w:iCs/>
          <w:sz w:val="24"/>
        </w:rPr>
        <w:t>n</w:t>
      </w:r>
      <w:r w:rsidR="002E72B1">
        <w:rPr>
          <w:rFonts w:ascii="Times New Roman" w:hAnsi="Times New Roman"/>
          <w:iCs/>
          <w:sz w:val="24"/>
        </w:rPr>
        <w:t xml:space="preserve"> </w:t>
      </w:r>
      <w:r w:rsidR="002E72B1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&lt;EndNote&gt;&lt;Cite&gt;&lt;Year&gt;2015-2016&lt;/Year&gt;&lt;RecNum&gt;98&lt;/RecNum&gt;&lt;DisplayText&gt;(NHANES, 2015-2016b)&lt;/DisplayText&gt;&lt;record&gt;&lt;rec-number&gt;98&lt;/rec-number&gt;&lt;foreign-keys&gt;&lt;key app="EN" db-id="favevp2pte0vpqexzz0vaf2l9r5r0wf9xesv" timestamp="1602237908"&gt;98&lt;/key&gt;&lt;/foreign-keys&gt;&lt;ref-type name="Web Page"&gt;12&lt;/ref-type&gt;&lt;contributors&gt;&lt;authors&gt;&lt;author&gt;NHANES&lt;/author&gt;&lt;/authors&gt;&lt;/contributors&gt;&lt;titles&gt;&lt;title&gt;Demographic Variables&lt;/title&gt;&lt;/titles&gt;&lt;dates&gt;&lt;year&gt;2015-2016&lt;/year&gt;&lt;/dates&gt;&lt;urls&gt;&lt;related-urls&gt;&lt;url&gt;https://wwwn.cdc.gov/Nchs/Nhanes/2015-2016/DEMO_I.htm&lt;/url&gt;&lt;/related-urls&gt;&lt;/urls&gt;&lt;/record&gt;&lt;/Cite&gt;&lt;/EndNote&gt;</w:instrText>
      </w:r>
      <w:r w:rsidR="002E72B1"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2015-2016b)</w:t>
      </w:r>
      <w:r w:rsidR="002E72B1">
        <w:rPr>
          <w:rFonts w:ascii="Times New Roman" w:hAnsi="Times New Roman"/>
          <w:iCs/>
          <w:sz w:val="24"/>
        </w:rPr>
        <w:fldChar w:fldCharType="end"/>
      </w:r>
      <w:r>
        <w:rPr>
          <w:rFonts w:ascii="Times New Roman" w:hAnsi="Times New Roman"/>
          <w:iCs/>
          <w:sz w:val="24"/>
        </w:rPr>
        <w:t>.</w:t>
      </w:r>
      <w:r w:rsidRPr="00B94B25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t xml:space="preserve">Demographic </w:t>
      </w:r>
      <w:r w:rsidRPr="00B94B25">
        <w:rPr>
          <w:rFonts w:ascii="Times New Roman" w:hAnsi="Times New Roman"/>
          <w:iCs/>
          <w:sz w:val="24"/>
        </w:rPr>
        <w:t>variables</w:t>
      </w:r>
      <w:r>
        <w:rPr>
          <w:rFonts w:ascii="Times New Roman" w:hAnsi="Times New Roman"/>
          <w:iCs/>
          <w:sz w:val="24"/>
        </w:rPr>
        <w:t xml:space="preserve"> were extracted for this study included</w:t>
      </w:r>
      <w:r w:rsidRPr="00B94B25">
        <w:rPr>
          <w:rFonts w:ascii="Times New Roman" w:hAnsi="Times New Roman"/>
          <w:iCs/>
          <w:sz w:val="24"/>
        </w:rPr>
        <w:t xml:space="preserve"> gender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age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race/ethnicity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education level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t>BMI,</w:t>
      </w:r>
      <w:r w:rsidRPr="00B94B25">
        <w:rPr>
          <w:rFonts w:ascii="Times New Roman" w:hAnsi="Times New Roman"/>
          <w:iCs/>
          <w:sz w:val="24"/>
        </w:rPr>
        <w:t xml:space="preserve"> household income</w:t>
      </w:r>
      <w:r>
        <w:rPr>
          <w:rFonts w:ascii="Times New Roman" w:hAnsi="Times New Roman"/>
          <w:iCs/>
          <w:sz w:val="24"/>
        </w:rPr>
        <w:t>,</w:t>
      </w:r>
      <w:r w:rsidRPr="00B94B25">
        <w:rPr>
          <w:rFonts w:ascii="Times New Roman" w:hAnsi="Times New Roman"/>
          <w:iCs/>
          <w:sz w:val="24"/>
        </w:rPr>
        <w:t xml:space="preserve"> and </w:t>
      </w:r>
      <w:r w:rsidRPr="000443B0">
        <w:rPr>
          <w:rFonts w:ascii="Times New Roman" w:hAnsi="Times New Roman"/>
          <w:sz w:val="24"/>
        </w:rPr>
        <w:t>ratio of family income to poverty</w:t>
      </w:r>
      <w:r>
        <w:rPr>
          <w:rFonts w:ascii="Times New Roman" w:hAnsi="Times New Roman"/>
          <w:sz w:val="24"/>
        </w:rPr>
        <w:t>.</w:t>
      </w:r>
    </w:p>
    <w:p w14:paraId="0B1CED76" w14:textId="77777777" w:rsidR="00D36F06" w:rsidRPr="00D36F06" w:rsidRDefault="00D36F06" w:rsidP="003D639C">
      <w:pPr>
        <w:spacing w:line="360" w:lineRule="auto"/>
        <w:rPr>
          <w:rFonts w:ascii="Times New Roman" w:hAnsi="Times New Roman"/>
          <w:i/>
          <w:sz w:val="24"/>
        </w:rPr>
      </w:pPr>
    </w:p>
    <w:p w14:paraId="19728712" w14:textId="083FDDEF" w:rsidR="003D639C" w:rsidRPr="001E2DC0" w:rsidRDefault="003D639C" w:rsidP="003D639C">
      <w:pPr>
        <w:spacing w:line="360" w:lineRule="auto"/>
        <w:rPr>
          <w:rFonts w:ascii="Times New Roman" w:hAnsi="Times New Roman"/>
          <w:i/>
          <w:sz w:val="24"/>
        </w:rPr>
      </w:pPr>
      <w:r w:rsidRPr="001E2DC0">
        <w:rPr>
          <w:rFonts w:ascii="Times New Roman" w:hAnsi="Times New Roman"/>
          <w:i/>
          <w:sz w:val="24"/>
        </w:rPr>
        <w:t xml:space="preserve">Cotinine </w:t>
      </w:r>
    </w:p>
    <w:p w14:paraId="59B46A32" w14:textId="3E771C1B" w:rsidR="003D639C" w:rsidRDefault="003D639C" w:rsidP="003D639C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015029">
        <w:rPr>
          <w:rFonts w:ascii="Times New Roman" w:hAnsi="Times New Roman"/>
          <w:iCs/>
          <w:sz w:val="24"/>
        </w:rPr>
        <w:t xml:space="preserve">Cotinine is the main metabolite of nicotine. </w:t>
      </w:r>
      <w:r>
        <w:rPr>
          <w:rFonts w:ascii="Times New Roman" w:hAnsi="Times New Roman"/>
          <w:iCs/>
          <w:sz w:val="24"/>
        </w:rPr>
        <w:t xml:space="preserve">Cotinine is used as a biomarker for exposure to tobacco smoking including </w:t>
      </w:r>
      <w:r w:rsidRPr="00015029">
        <w:rPr>
          <w:rFonts w:ascii="Times New Roman" w:hAnsi="Times New Roman"/>
          <w:iCs/>
          <w:sz w:val="24"/>
        </w:rPr>
        <w:t xml:space="preserve">secondhand smoke exposure (SHS). </w:t>
      </w:r>
      <w:r>
        <w:rPr>
          <w:rFonts w:ascii="Times New Roman" w:hAnsi="Times New Roman"/>
          <w:iCs/>
          <w:sz w:val="24"/>
        </w:rPr>
        <w:t>Nicotine and cotinine can all be measured in blood, but cotinine is generally the preferred biomarker b</w:t>
      </w:r>
      <w:r w:rsidRPr="00015029">
        <w:rPr>
          <w:rFonts w:ascii="Times New Roman" w:hAnsi="Times New Roman"/>
          <w:iCs/>
          <w:sz w:val="24"/>
        </w:rPr>
        <w:t xml:space="preserve">ecause of its </w:t>
      </w:r>
      <w:r>
        <w:rPr>
          <w:rFonts w:ascii="Times New Roman" w:hAnsi="Times New Roman"/>
          <w:iCs/>
          <w:sz w:val="24"/>
        </w:rPr>
        <w:t>longer</w:t>
      </w:r>
      <w:r w:rsidRPr="00015029">
        <w:rPr>
          <w:rFonts w:ascii="Times New Roman" w:hAnsi="Times New Roman"/>
          <w:iCs/>
          <w:sz w:val="24"/>
        </w:rPr>
        <w:t xml:space="preserve"> half-life </w:t>
      </w:r>
      <w:r>
        <w:rPr>
          <w:rFonts w:ascii="Times New Roman" w:hAnsi="Times New Roman"/>
          <w:iCs/>
          <w:sz w:val="24"/>
        </w:rPr>
        <w:t>(</w:t>
      </w:r>
      <w:r w:rsidRPr="00015029">
        <w:rPr>
          <w:rFonts w:ascii="Times New Roman" w:hAnsi="Times New Roman"/>
          <w:iCs/>
          <w:sz w:val="24"/>
        </w:rPr>
        <w:t>about 15-20 hours</w:t>
      </w:r>
      <w:r>
        <w:rPr>
          <w:rFonts w:ascii="Times New Roman" w:hAnsi="Times New Roman"/>
          <w:iCs/>
          <w:sz w:val="24"/>
        </w:rPr>
        <w:t>)</w:t>
      </w:r>
      <w:r w:rsidRPr="00015029">
        <w:rPr>
          <w:rFonts w:ascii="Times New Roman" w:hAnsi="Times New Roman"/>
          <w:iCs/>
          <w:sz w:val="24"/>
        </w:rPr>
        <w:t>. Therefore, we use cotinine to measure the prevalence and extent of tobacco use</w:t>
      </w:r>
      <w:r w:rsidR="000D66E4">
        <w:rPr>
          <w:rFonts w:ascii="Times New Roman" w:hAnsi="Times New Roman"/>
          <w:iCs/>
          <w:sz w:val="24"/>
        </w:rPr>
        <w:t xml:space="preserve"> </w:t>
      </w:r>
      <w:r w:rsidR="00D36F06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&lt;EndNote&gt;&lt;Cite&gt;&lt;RecNum&gt;96&lt;/RecNum&gt;&lt;DisplayText&gt;(NHANES, 2015-2016a)&lt;/DisplayText&gt;&lt;record&gt;&lt;rec-number&gt;96&lt;/rec-number&gt;&lt;foreign-keys&gt;&lt;key app="EN" db-id="favevp2pte0vpqexzz0vaf2l9r5r0wf9xesv" timestamp="1594653878"&gt;96&lt;/key&gt;&lt;/foreign-keys&gt;&lt;ref-type name="Web Page"&gt;12&lt;/ref-type&gt;&lt;contributors&gt;&lt;authors&gt;&lt;author&gt;NHANES&lt;/author&gt;&lt;/authors&gt;&lt;/contributors&gt;&lt;titles&gt;&lt;title&gt;Cotinine and Hydroxycotinine&lt;/title&gt;&lt;/titles&gt;&lt;dates&gt;&lt;year&gt;2015-2016&lt;/year&gt;&lt;/dates&gt;&lt;urls&gt;&lt;related-urls&gt;&lt;url&gt;https://wwwn.cdc.gov/Nchs/Nhanes/2015-2016/COT_I.htm#LBXCOT&lt;/url&gt;&lt;/related-urls&gt;&lt;/urls&gt;&lt;/record&gt;&lt;/Cite&gt;&lt;/EndNote&gt;</w:instrText>
      </w:r>
      <w:r w:rsidR="00D36F06">
        <w:rPr>
          <w:rFonts w:ascii="Times New Roman" w:hAnsi="Times New Roman"/>
          <w:iCs/>
          <w:sz w:val="24"/>
        </w:rPr>
        <w:fldChar w:fldCharType="end"/>
      </w:r>
      <w:r w:rsidR="000D66E4">
        <w:rPr>
          <w:rFonts w:ascii="Times New Roman" w:hAnsi="Times New Roman"/>
          <w:iCs/>
          <w:sz w:val="24"/>
        </w:rPr>
        <w:t>(NHANES, 2015-2016a)</w:t>
      </w:r>
      <w:r w:rsidRPr="00015029">
        <w:rPr>
          <w:rFonts w:ascii="Times New Roman" w:hAnsi="Times New Roman"/>
          <w:iCs/>
          <w:sz w:val="24"/>
        </w:rPr>
        <w:t>.</w:t>
      </w:r>
    </w:p>
    <w:p w14:paraId="39BE40DD" w14:textId="77777777" w:rsidR="00D36F06" w:rsidRPr="000D66E4" w:rsidRDefault="00D36F06" w:rsidP="003D639C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</w:p>
    <w:p w14:paraId="56D0AB6A" w14:textId="77777777" w:rsidR="00D36F06" w:rsidRDefault="00D36F06" w:rsidP="00D36F06">
      <w:pPr>
        <w:spacing w:line="360" w:lineRule="auto"/>
        <w:jc w:val="left"/>
        <w:rPr>
          <w:rFonts w:ascii="Times New Roman" w:hAnsi="Times New Roman"/>
          <w:i/>
          <w:sz w:val="24"/>
        </w:rPr>
      </w:pPr>
      <w:r w:rsidRPr="0065077C">
        <w:rPr>
          <w:rFonts w:ascii="Times New Roman" w:hAnsi="Times New Roman"/>
          <w:i/>
          <w:sz w:val="24"/>
        </w:rPr>
        <w:t>Reproductive Health</w:t>
      </w:r>
    </w:p>
    <w:p w14:paraId="1C251CDA" w14:textId="281808FC" w:rsidR="00D36F06" w:rsidRDefault="00D36F06" w:rsidP="00D36F06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6E3F38">
        <w:rPr>
          <w:rFonts w:ascii="Times New Roman" w:hAnsi="Times New Roman"/>
          <w:iCs/>
          <w:sz w:val="24"/>
        </w:rPr>
        <w:t xml:space="preserve">Reproductive health </w:t>
      </w:r>
      <w:r>
        <w:rPr>
          <w:rFonts w:ascii="Times New Roman" w:hAnsi="Times New Roman"/>
          <w:iCs/>
          <w:sz w:val="24"/>
        </w:rPr>
        <w:t xml:space="preserve">information is available in </w:t>
      </w:r>
      <w:r w:rsidRPr="001A67F6">
        <w:rPr>
          <w:rFonts w:ascii="Times New Roman" w:hAnsi="Times New Roman"/>
          <w:iCs/>
          <w:sz w:val="24"/>
        </w:rPr>
        <w:t>NHANES databases</w:t>
      </w:r>
      <w:r w:rsidRPr="006E3F38">
        <w:rPr>
          <w:rFonts w:ascii="Times New Roman" w:hAnsi="Times New Roman"/>
          <w:iCs/>
          <w:sz w:val="24"/>
        </w:rPr>
        <w:t xml:space="preserve"> include menstrual history, pregnancy history, the use of contraceptives, and other related reproductive conditions</w:t>
      </w:r>
      <w:r w:rsidR="000D66E4">
        <w:rPr>
          <w:rFonts w:ascii="Times New Roman" w:hAnsi="Times New Roman"/>
          <w:iCs/>
          <w:sz w:val="24"/>
        </w:rPr>
        <w:t xml:space="preserve"> </w:t>
      </w:r>
      <w:r w:rsidR="007D70F5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&lt;EndNote&gt;&lt;Cite&gt;&lt;Year&gt;2015-2016&lt;/Year&gt;&lt;RecNum&gt;97&lt;/RecNum&gt;&lt;DisplayText&gt;(NHANES, 2015-2016e)&lt;/DisplayText&gt;&lt;record&gt;&lt;rec-number&gt;97&lt;/rec-number&gt;&lt;foreign-keys&gt;&lt;key app="EN" db-id="favevp2pte0vpqexzz0vaf2l9r5r0wf9xesv" timestamp="1596533007"&gt;97&lt;/key&gt;&lt;/foreign-keys&gt;&lt;ref-type name="Web Page"&gt;12&lt;/ref-type&gt;&lt;contributors&gt;&lt;authors&gt;&lt;author&gt;NHANES&lt;/author&gt;&lt;/authors&gt;&lt;/contributors&gt;&lt;titles&gt;&lt;title&gt;Reproductive Health (RHQ_J)&lt;/title&gt;&lt;/titles&gt;&lt;dates&gt;&lt;year&gt;2015-2016&lt;/year&gt;&lt;/dates&gt;&lt;urls&gt;&lt;related-urls&gt;&lt;url&gt;https://wwwn.cdc.gov/Nchs/Nhanes/2015-2016/RHQ_I.htm&lt;/url&gt;&lt;/related-urls&gt;&lt;/urls&gt;&lt;/record&gt;&lt;/Cite&gt;&lt;/EndNote&gt;</w:instrText>
      </w:r>
      <w:r w:rsidR="007D70F5"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2015-2016e)</w:t>
      </w:r>
      <w:r w:rsidR="007D70F5">
        <w:rPr>
          <w:rFonts w:ascii="Times New Roman" w:hAnsi="Times New Roman"/>
          <w:iCs/>
          <w:sz w:val="24"/>
        </w:rPr>
        <w:fldChar w:fldCharType="end"/>
      </w:r>
      <w:r>
        <w:rPr>
          <w:rFonts w:ascii="Times New Roman" w:hAnsi="Times New Roman"/>
          <w:iCs/>
          <w:sz w:val="24"/>
        </w:rPr>
        <w:t>.</w:t>
      </w:r>
    </w:p>
    <w:p w14:paraId="795AE3E4" w14:textId="29C07AE8" w:rsidR="003D639C" w:rsidRDefault="003D639C" w:rsidP="003D639C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</w:p>
    <w:p w14:paraId="70E1D686" w14:textId="77777777" w:rsidR="007D70F5" w:rsidRPr="007C6AC5" w:rsidRDefault="007D70F5" w:rsidP="007D70F5">
      <w:pPr>
        <w:spacing w:line="360" w:lineRule="auto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i/>
          <w:sz w:val="24"/>
        </w:rPr>
        <w:t>Analysis of serum PFAS concentrations</w:t>
      </w:r>
    </w:p>
    <w:p w14:paraId="5837D48C" w14:textId="57E5E2E8" w:rsidR="007D70F5" w:rsidRDefault="0004344B" w:rsidP="003D639C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>
        <w:rPr>
          <w:rFonts w:ascii="Times New Roman" w:hAnsi="Times New Roman"/>
          <w:iCs/>
          <w:sz w:val="24"/>
        </w:rPr>
        <w:t>Serum concentrations of PFAS were measured using o</w:t>
      </w:r>
      <w:r w:rsidRPr="004161CF">
        <w:rPr>
          <w:rFonts w:ascii="Times New Roman" w:hAnsi="Times New Roman"/>
          <w:iCs/>
          <w:sz w:val="24"/>
        </w:rPr>
        <w:t>nline solid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phase extraction coupled to high performance liquid chromatography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turbo</w:t>
      </w:r>
      <w:r>
        <w:rPr>
          <w:rFonts w:ascii="Times New Roman" w:hAnsi="Times New Roman"/>
          <w:iCs/>
          <w:sz w:val="24"/>
        </w:rPr>
        <w:t xml:space="preserve"> </w:t>
      </w:r>
      <w:r w:rsidRPr="004161CF">
        <w:rPr>
          <w:rFonts w:ascii="Times New Roman" w:hAnsi="Times New Roman"/>
          <w:iCs/>
          <w:sz w:val="24"/>
        </w:rPr>
        <w:t>ion</w:t>
      </w:r>
      <w:r>
        <w:rPr>
          <w:rFonts w:ascii="Times New Roman" w:hAnsi="Times New Roman"/>
          <w:iCs/>
          <w:sz w:val="24"/>
        </w:rPr>
        <w:t xml:space="preserve"> </w:t>
      </w:r>
      <w:r w:rsidRPr="004161CF">
        <w:rPr>
          <w:rFonts w:ascii="Times New Roman" w:hAnsi="Times New Roman"/>
          <w:iCs/>
          <w:sz w:val="24"/>
        </w:rPr>
        <w:t>spray ionization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tandem mass spectrometry (online SPE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HPLC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TIS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lastRenderedPageBreak/>
        <w:t>MS/MS)</w:t>
      </w:r>
      <w:r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&lt;EndNote&gt;&lt;Cite&gt;&lt;Year&gt;2015-2016&lt;/Year&gt;&lt;RecNum&gt;2&lt;/RecNum&gt;&lt;DisplayText&gt;(NHANES, 2015-2016d)&lt;/DisplayText&gt;&lt;record&gt;&lt;rec-number&gt;2&lt;/rec-number&gt;&lt;foreign-keys&gt;&lt;key app="EN" db-id="favevp2pte0vpqexzz0vaf2l9r5r0wf9xesv" timestamp="0"&gt;2&lt;/key&gt;&lt;/foreign-keys&gt;&lt;ref-type name="Web Page"&gt;12&lt;/ref-type&gt;&lt;contributors&gt;&lt;authors&gt;&lt;author&gt;NHANES&lt;/author&gt;&lt;/authors&gt;&lt;/contributors&gt;&lt;titles&gt;&lt;title&gt;Perfluoroalkyl and Polyfluoroalkyl&lt;/title&gt;&lt;/titles&gt;&lt;dates&gt;&lt;year&gt;2015-2016&lt;/year&gt;&lt;/dates&gt;&lt;urls&gt;&lt;related-urls&gt;&lt;url&gt;https://wwwn.cdc.gov/Nchs/Nhanes/2015-2016/PFAS_I.htm&lt;/url&gt;&lt;/related-urls&gt;&lt;/urls&gt;&lt;/record&gt;&lt;/Cite&gt;&lt;/EndNote&gt;</w:instrText>
      </w:r>
      <w:r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2015-2016d)</w:t>
      </w:r>
      <w:r>
        <w:rPr>
          <w:rFonts w:ascii="Times New Roman" w:hAnsi="Times New Roman"/>
          <w:iCs/>
          <w:sz w:val="24"/>
        </w:rPr>
        <w:fldChar w:fldCharType="end"/>
      </w:r>
      <w:r>
        <w:rPr>
          <w:rFonts w:ascii="Times New Roman" w:hAnsi="Times New Roman"/>
          <w:iCs/>
          <w:sz w:val="24"/>
        </w:rPr>
        <w:t xml:space="preserve">. </w:t>
      </w:r>
      <w:r w:rsidRPr="00625C25">
        <w:rPr>
          <w:rFonts w:ascii="Times New Roman" w:hAnsi="Times New Roman"/>
          <w:iCs/>
          <w:sz w:val="24"/>
        </w:rPr>
        <w:t xml:space="preserve">Briefly, </w:t>
      </w:r>
      <w:r w:rsidRPr="004161CF">
        <w:rPr>
          <w:rFonts w:ascii="Times New Roman" w:hAnsi="Times New Roman"/>
          <w:iCs/>
          <w:sz w:val="24"/>
        </w:rPr>
        <w:t>after dilution with formic acid</w:t>
      </w:r>
      <w:r>
        <w:rPr>
          <w:rFonts w:ascii="Times New Roman" w:hAnsi="Times New Roman"/>
          <w:iCs/>
          <w:sz w:val="24"/>
        </w:rPr>
        <w:t>,</w:t>
      </w:r>
      <w:r w:rsidRPr="004161CF">
        <w:rPr>
          <w:rFonts w:ascii="Times New Roman" w:hAnsi="Times New Roman"/>
          <w:iCs/>
          <w:sz w:val="24"/>
        </w:rPr>
        <w:t xml:space="preserve"> one 50</w:t>
      </w:r>
      <w:r>
        <w:rPr>
          <w:rFonts w:ascii="Times New Roman" w:hAnsi="Times New Roman"/>
          <w:iCs/>
          <w:sz w:val="24"/>
        </w:rPr>
        <w:t xml:space="preserve"> </w:t>
      </w:r>
      <w:proofErr w:type="spellStart"/>
      <w:r w:rsidRPr="004161CF">
        <w:rPr>
          <w:rFonts w:ascii="Times New Roman" w:hAnsi="Times New Roman"/>
          <w:iCs/>
          <w:sz w:val="24"/>
        </w:rPr>
        <w:t>μL</w:t>
      </w:r>
      <w:proofErr w:type="spellEnd"/>
      <w:r w:rsidRPr="004161CF">
        <w:rPr>
          <w:rFonts w:ascii="Times New Roman" w:hAnsi="Times New Roman"/>
          <w:iCs/>
          <w:sz w:val="24"/>
        </w:rPr>
        <w:t xml:space="preserve"> aliquot of serum </w:t>
      </w:r>
      <w:r>
        <w:rPr>
          <w:rFonts w:ascii="Times New Roman" w:hAnsi="Times New Roman"/>
          <w:iCs/>
          <w:sz w:val="24"/>
        </w:rPr>
        <w:t>was</w:t>
      </w:r>
      <w:r w:rsidRPr="004161CF">
        <w:rPr>
          <w:rFonts w:ascii="Times New Roman" w:hAnsi="Times New Roman"/>
          <w:iCs/>
          <w:sz w:val="24"/>
        </w:rPr>
        <w:t xml:space="preserve"> injected into a commercial column switching system allowing for concentration of the analytes on </w:t>
      </w:r>
      <w:r>
        <w:rPr>
          <w:rFonts w:ascii="Times New Roman" w:hAnsi="Times New Roman"/>
          <w:iCs/>
          <w:sz w:val="24"/>
        </w:rPr>
        <w:t xml:space="preserve">the </w:t>
      </w:r>
      <w:r w:rsidRPr="004161CF">
        <w:rPr>
          <w:rFonts w:ascii="Times New Roman" w:hAnsi="Times New Roman"/>
          <w:iCs/>
          <w:sz w:val="24"/>
        </w:rPr>
        <w:t>solid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phase extraction column</w:t>
      </w:r>
      <w:r>
        <w:rPr>
          <w:rFonts w:ascii="Times New Roman" w:hAnsi="Times New Roman"/>
          <w:iCs/>
          <w:sz w:val="24"/>
        </w:rPr>
        <w:t>.</w:t>
      </w:r>
      <w:r w:rsidRPr="004161CF">
        <w:rPr>
          <w:rFonts w:ascii="Times New Roman" w:hAnsi="Times New Roman"/>
          <w:iCs/>
          <w:sz w:val="24"/>
        </w:rPr>
        <w:t xml:space="preserve"> Separation of the analytes from each other and from other serum components is achieved with high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>performance liquid chromatography</w:t>
      </w:r>
      <w:r>
        <w:rPr>
          <w:rFonts w:ascii="Times New Roman" w:hAnsi="Times New Roman"/>
          <w:iCs/>
          <w:sz w:val="24"/>
        </w:rPr>
        <w:t>.</w:t>
      </w:r>
      <w:r w:rsidRPr="004161CF">
        <w:rPr>
          <w:rFonts w:ascii="Times New Roman" w:hAnsi="Times New Roman"/>
          <w:iCs/>
          <w:sz w:val="24"/>
        </w:rPr>
        <w:t xml:space="preserve"> Detection and quantification are done using negative</w:t>
      </w:r>
      <w:r>
        <w:rPr>
          <w:rFonts w:ascii="Times New Roman" w:hAnsi="Times New Roman"/>
          <w:iCs/>
          <w:sz w:val="24"/>
        </w:rPr>
        <w:t>-</w:t>
      </w:r>
      <w:r w:rsidRPr="004161CF">
        <w:rPr>
          <w:rFonts w:ascii="Times New Roman" w:hAnsi="Times New Roman"/>
          <w:iCs/>
          <w:sz w:val="24"/>
        </w:rPr>
        <w:t xml:space="preserve">ion </w:t>
      </w:r>
      <w:r>
        <w:rPr>
          <w:rFonts w:ascii="Times New Roman" w:hAnsi="Times New Roman"/>
          <w:iCs/>
          <w:sz w:val="24"/>
        </w:rPr>
        <w:t>t</w:t>
      </w:r>
      <w:r w:rsidRPr="004161CF">
        <w:rPr>
          <w:rFonts w:ascii="Times New Roman" w:hAnsi="Times New Roman"/>
          <w:iCs/>
          <w:sz w:val="24"/>
        </w:rPr>
        <w:t>urbo</w:t>
      </w:r>
      <w:r>
        <w:rPr>
          <w:rFonts w:ascii="Times New Roman" w:hAnsi="Times New Roman"/>
          <w:iCs/>
          <w:sz w:val="24"/>
        </w:rPr>
        <w:t xml:space="preserve"> i</w:t>
      </w:r>
      <w:r w:rsidRPr="004161CF">
        <w:rPr>
          <w:rFonts w:ascii="Times New Roman" w:hAnsi="Times New Roman"/>
          <w:iCs/>
          <w:sz w:val="24"/>
        </w:rPr>
        <w:t>on</w:t>
      </w:r>
      <w:r>
        <w:rPr>
          <w:rFonts w:ascii="Times New Roman" w:hAnsi="Times New Roman"/>
          <w:iCs/>
          <w:sz w:val="24"/>
        </w:rPr>
        <w:t xml:space="preserve"> s</w:t>
      </w:r>
      <w:r w:rsidRPr="004161CF">
        <w:rPr>
          <w:rFonts w:ascii="Times New Roman" w:hAnsi="Times New Roman"/>
          <w:iCs/>
          <w:sz w:val="24"/>
        </w:rPr>
        <w:t>pray ionization</w:t>
      </w:r>
      <w:r>
        <w:rPr>
          <w:rFonts w:ascii="Times New Roman" w:hAnsi="Times New Roman"/>
          <w:iCs/>
          <w:sz w:val="24"/>
        </w:rPr>
        <w:t xml:space="preserve"> (</w:t>
      </w:r>
      <w:r w:rsidRPr="004161CF">
        <w:rPr>
          <w:rFonts w:ascii="Times New Roman" w:hAnsi="Times New Roman"/>
          <w:iCs/>
          <w:sz w:val="24"/>
        </w:rPr>
        <w:t>a variant of electrospray ionization</w:t>
      </w:r>
      <w:r>
        <w:rPr>
          <w:rFonts w:ascii="Times New Roman" w:hAnsi="Times New Roman"/>
          <w:iCs/>
          <w:sz w:val="24"/>
        </w:rPr>
        <w:t>)-</w:t>
      </w:r>
      <w:r w:rsidRPr="004161CF">
        <w:rPr>
          <w:rFonts w:ascii="Times New Roman" w:hAnsi="Times New Roman"/>
          <w:iCs/>
          <w:sz w:val="24"/>
        </w:rPr>
        <w:t>tandem mass spectrometry</w:t>
      </w:r>
      <w:r>
        <w:rPr>
          <w:rFonts w:ascii="Times New Roman" w:hAnsi="Times New Roman"/>
          <w:iCs/>
          <w:sz w:val="24"/>
        </w:rPr>
        <w:t>.</w:t>
      </w:r>
      <w:r w:rsidRPr="004161CF">
        <w:rPr>
          <w:rFonts w:ascii="Times New Roman" w:hAnsi="Times New Roman"/>
          <w:iCs/>
          <w:sz w:val="24"/>
        </w:rPr>
        <w:t xml:space="preserve"> This method allows for rapid detection of these PFAS in human serum with limits of detection</w:t>
      </w:r>
      <w:r>
        <w:rPr>
          <w:rFonts w:ascii="Times New Roman" w:hAnsi="Times New Roman"/>
          <w:iCs/>
          <w:sz w:val="24"/>
        </w:rPr>
        <w:t xml:space="preserve"> (LOD)</w:t>
      </w:r>
      <w:r w:rsidRPr="004161CF">
        <w:rPr>
          <w:rFonts w:ascii="Times New Roman" w:hAnsi="Times New Roman"/>
          <w:iCs/>
          <w:sz w:val="24"/>
        </w:rPr>
        <w:t xml:space="preserve"> in the low parts per billion (ppb</w:t>
      </w:r>
      <w:r>
        <w:rPr>
          <w:rFonts w:ascii="Times New Roman" w:hAnsi="Times New Roman"/>
          <w:iCs/>
          <w:sz w:val="24"/>
        </w:rPr>
        <w:t>,</w:t>
      </w:r>
      <w:r w:rsidRPr="004161CF">
        <w:rPr>
          <w:rFonts w:ascii="Times New Roman" w:hAnsi="Times New Roman"/>
          <w:iCs/>
          <w:sz w:val="24"/>
        </w:rPr>
        <w:t xml:space="preserve"> or ng/mL) range</w:t>
      </w:r>
      <w:r>
        <w:rPr>
          <w:rFonts w:ascii="Times New Roman" w:hAnsi="Times New Roman"/>
          <w:iCs/>
          <w:sz w:val="24"/>
        </w:rPr>
        <w:t xml:space="preserve"> </w:t>
      </w:r>
      <w:r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&lt;EndNote&gt;&lt;Cite&gt;&lt;Year&gt;2015-2016&lt;/Year&gt;&lt;RecNum&gt;2&lt;/RecNum&gt;&lt;DisplayText&gt;(NHANES, 2015-2016d)&lt;/DisplayText&gt;&lt;record&gt;&lt;rec-number&gt;2&lt;/rec-number&gt;&lt;foreign-keys&gt;&lt;key app="EN" db-id="favevp2pte0vpqexzz0vaf2l9r5r0wf9xesv" timestamp="0"&gt;2&lt;/key&gt;&lt;/foreign-keys&gt;&lt;ref-type name="Web Page"&gt;12&lt;/ref-type&gt;&lt;contributors&gt;&lt;authors&gt;&lt;author&gt;NHANES&lt;/author&gt;&lt;/authors&gt;&lt;/contributors&gt;&lt;titles&gt;&lt;title&gt;Perfluoroalkyl and Polyfluoroalkyl&lt;/title&gt;&lt;/titles&gt;&lt;dates&gt;&lt;year&gt;2015-2016&lt;/year&gt;&lt;/dates&gt;&lt;urls&gt;&lt;related-urls&gt;&lt;url&gt;https://wwwn.cdc.gov/Nchs/Nhanes/2015-2016/PFAS_I.htm&lt;/url&gt;&lt;/related-urls&gt;&lt;/urls&gt;&lt;/record&gt;&lt;/Cite&gt;&lt;/EndNote&gt;</w:instrText>
      </w:r>
      <w:r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2015-2016d)</w:t>
      </w:r>
      <w:r>
        <w:rPr>
          <w:rFonts w:ascii="Times New Roman" w:hAnsi="Times New Roman"/>
          <w:iCs/>
          <w:sz w:val="24"/>
        </w:rPr>
        <w:fldChar w:fldCharType="end"/>
      </w:r>
      <w:r>
        <w:rPr>
          <w:rFonts w:ascii="Times New Roman" w:hAnsi="Times New Roman"/>
          <w:iCs/>
          <w:sz w:val="24"/>
        </w:rPr>
        <w:t xml:space="preserve">. For PFAS concentrations below the LOD, as recommended for the analysis of NHANES data, we used a value equal to the LOD divided by the square root of 2. </w:t>
      </w:r>
      <w:r w:rsidR="00F77014" w:rsidRPr="00D346EA">
        <w:rPr>
          <w:rFonts w:ascii="Times New Roman" w:hAnsi="Times New Roman"/>
          <w:iCs/>
          <w:sz w:val="24"/>
        </w:rPr>
        <w:t xml:space="preserve">The NHANES quality assurance and quality control (QA/QC) protocols meet the 1988 Clinical Laboratory Improvement Act mandates. Detailed QA/QC instructions are discussed in </w:t>
      </w:r>
      <w:r w:rsidR="00F77014" w:rsidRPr="004B7030">
        <w:rPr>
          <w:rFonts w:ascii="Times New Roman" w:hAnsi="Times New Roman"/>
          <w:iCs/>
          <w:sz w:val="24"/>
        </w:rPr>
        <w:t>the NHANES Laboratory Procedures Manual (LPM)</w:t>
      </w:r>
      <w:r w:rsidR="00F77014">
        <w:rPr>
          <w:rFonts w:ascii="Times New Roman" w:hAnsi="Times New Roman"/>
          <w:iCs/>
          <w:sz w:val="24"/>
        </w:rPr>
        <w:t xml:space="preserve"> </w:t>
      </w:r>
      <w:r w:rsidR="00F77014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&lt;EndNote&gt;&lt;Cite&gt;&lt;Year&gt;2015-2016&lt;/Year&gt;&lt;RecNum&gt;58&lt;/RecNum&gt;&lt;DisplayText&gt;(NHANES, 2015-2016c)&lt;/DisplayText&gt;&lt;record&gt;&lt;rec-number&gt;58&lt;/rec-number&gt;&lt;foreign-keys&gt;&lt;key app="EN" db-id="favevp2pte0vpqexzz0vaf2l9r5r0wf9xesv" timestamp="1587025735"&gt;58&lt;/key&gt;&lt;/foreign-keys&gt;&lt;ref-type name="Web Page"&gt;12&lt;/ref-type&gt;&lt;contributors&gt;&lt;authors&gt;&lt;author&gt;NHANES&lt;/author&gt;&lt;/authors&gt;&lt;/contributors&gt;&lt;titles&gt;&lt;title&gt;NHANES LPM&lt;/title&gt;&lt;/titles&gt;&lt;dates&gt;&lt;year&gt;2015-2016&lt;/year&gt;&lt;/dates&gt;&lt;urls&gt;&lt;related-urls&gt;&lt;url&gt;https://wwwn.cdc.gov/nchs/data/nhanes/2015-2016/manuals/2016_MEC_Laboratory_Procedures_Manual.pdf&lt;/url&gt;&lt;/related-urls&gt;&lt;/urls&gt;&lt;/record&gt;&lt;/Cite&gt;&lt;/EndNote&gt;</w:instrText>
      </w:r>
      <w:r w:rsidR="00F77014"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2015-2016c)</w:t>
      </w:r>
      <w:r w:rsidR="00F77014">
        <w:rPr>
          <w:rFonts w:ascii="Times New Roman" w:hAnsi="Times New Roman"/>
          <w:iCs/>
          <w:sz w:val="24"/>
        </w:rPr>
        <w:fldChar w:fldCharType="end"/>
      </w:r>
      <w:r w:rsidR="00F77014">
        <w:rPr>
          <w:rFonts w:ascii="Times New Roman" w:hAnsi="Times New Roman"/>
          <w:iCs/>
          <w:sz w:val="24"/>
        </w:rPr>
        <w:t>.</w:t>
      </w:r>
    </w:p>
    <w:p w14:paraId="22DB8226" w14:textId="5A1CABA4" w:rsidR="0009620A" w:rsidRDefault="0009620A" w:rsidP="003D639C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</w:p>
    <w:p w14:paraId="6AC0606E" w14:textId="77777777" w:rsidR="0009620A" w:rsidRPr="0009620A" w:rsidRDefault="0009620A" w:rsidP="0009620A">
      <w:pPr>
        <w:spacing w:line="360" w:lineRule="auto"/>
        <w:rPr>
          <w:rFonts w:ascii="Times New Roman" w:hAnsi="Times New Roman"/>
          <w:i/>
          <w:sz w:val="24"/>
        </w:rPr>
      </w:pPr>
      <w:r w:rsidRPr="0009620A">
        <w:rPr>
          <w:rFonts w:ascii="Times New Roman" w:hAnsi="Times New Roman"/>
          <w:i/>
          <w:sz w:val="24"/>
        </w:rPr>
        <w:t>Outcome Assessments</w:t>
      </w:r>
    </w:p>
    <w:p w14:paraId="71404BAD" w14:textId="77777777" w:rsidR="0009620A" w:rsidRPr="0009620A" w:rsidRDefault="0009620A" w:rsidP="0009620A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09620A">
        <w:rPr>
          <w:rFonts w:ascii="Times New Roman" w:hAnsi="Times New Roman"/>
          <w:iCs/>
          <w:sz w:val="24"/>
        </w:rPr>
        <w:t>Detailed instructions on specimen collection and processing are discussed in the NHANES LPM. Vials were stored under appropriate frozen (-20°C) conditions until shipment to the National Center for Environmental Health for testing.</w:t>
      </w:r>
    </w:p>
    <w:p w14:paraId="4AA42562" w14:textId="77777777" w:rsidR="0009620A" w:rsidRPr="0009620A" w:rsidRDefault="0009620A" w:rsidP="0009620A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09620A">
        <w:rPr>
          <w:rFonts w:ascii="Times New Roman" w:hAnsi="Times New Roman"/>
          <w:iCs/>
          <w:sz w:val="24"/>
        </w:rPr>
        <w:t>Testosterone that circulates in the blood binds predominantly to protein, with approximately 40% bound to the high-affinity SHBG and 60% to albumin with lower affinity. Evaluation of serum testosterone typically includes estimated TT (free plus bound) and FT (not protein-bound).</w:t>
      </w:r>
    </w:p>
    <w:p w14:paraId="163AEC0F" w14:textId="564CB055" w:rsidR="0009620A" w:rsidRPr="0009620A" w:rsidRDefault="0009620A" w:rsidP="0009620A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09620A">
        <w:rPr>
          <w:rFonts w:ascii="Times New Roman" w:hAnsi="Times New Roman"/>
          <w:iCs/>
          <w:sz w:val="24"/>
        </w:rPr>
        <w:t xml:space="preserve">The isotope dilution liquid chromatography tandem mass spectrometry (ID-LC-MS/MS) method, which employs Liquid-Liquid extraction (LLE) of serum to isolate the steroid, was used for routine quantitation of serum TT and E based on the National Institute for Standards and Technology’s (NIST) </w:t>
      </w:r>
      <w:r w:rsidRPr="0009620A">
        <w:rPr>
          <w:rFonts w:ascii="Times New Roman" w:hAnsi="Times New Roman"/>
          <w:iCs/>
          <w:sz w:val="24"/>
        </w:rPr>
        <w:lastRenderedPageBreak/>
        <w:t xml:space="preserve">reference method. Stable isotope-labeled testosterone and estradiol were used as an internal standard to correct for sample recovery during the sample preparation process. The method is standardized through CDC’s </w:t>
      </w:r>
      <w:proofErr w:type="spellStart"/>
      <w:r w:rsidRPr="0009620A">
        <w:rPr>
          <w:rFonts w:ascii="Times New Roman" w:hAnsi="Times New Roman"/>
          <w:iCs/>
          <w:sz w:val="24"/>
        </w:rPr>
        <w:t>HoSt</w:t>
      </w:r>
      <w:proofErr w:type="spellEnd"/>
      <w:r w:rsidRPr="0009620A">
        <w:rPr>
          <w:rFonts w:ascii="Times New Roman" w:hAnsi="Times New Roman"/>
          <w:iCs/>
          <w:sz w:val="24"/>
        </w:rPr>
        <w:t xml:space="preserve"> program</w:t>
      </w:r>
      <w:r w:rsidR="005642DC">
        <w:rPr>
          <w:rFonts w:ascii="Times New Roman" w:hAnsi="Times New Roman"/>
          <w:iCs/>
          <w:sz w:val="24"/>
        </w:rPr>
        <w:t xml:space="preserve"> </w:t>
      </w:r>
      <w:r w:rsidR="00EC6219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&lt;EndNote&gt;&lt;Cite&gt;&lt;Year&gt;2015-2016&lt;/Year&gt;&lt;RecNum&gt;65&lt;/RecNum&gt;&lt;DisplayText&gt;(NHANES, 2015-2016f, c)&lt;/DisplayText&gt;&lt;record&gt;&lt;rec-number&gt;65&lt;/rec-number&gt;&lt;foreign-keys&gt;&lt;key app="EN" db-id="favevp2pte0vpqexzz0vaf2l9r5r0wf9xesv" timestamp="1587454650"&gt;65&lt;/key&gt;&lt;/foreign-keys&gt;&lt;ref-type name="Web Page"&gt;12&lt;/ref-type&gt;&lt;contributors&gt;&lt;authors&gt;&lt;author&gt;NHANES&lt;/author&gt;&lt;/authors&gt;&lt;/contributors&gt;&lt;titles&gt;&lt;title&gt;Sex Steroid Hormone - Serum&lt;/title&gt;&lt;/titles&gt;&lt;dates&gt;&lt;year&gt;2015-2016&lt;/year&gt;&lt;/dates&gt;&lt;urls&gt;&lt;related-urls&gt;&lt;url&gt;https://wwwn.cdc.gov/Nchs/Nhanes/2015-2016/TST_I.htm&lt;/url&gt;&lt;/related-urls&gt;&lt;/urls&gt;&lt;/record&gt;&lt;/Cite&gt;&lt;Cite&gt;&lt;Year&gt;2015-2016&lt;/Year&gt;&lt;RecNum&gt;58&lt;/RecNum&gt;&lt;record&gt;&lt;rec-number&gt;58&lt;/rec-number&gt;&lt;foreign-keys&gt;&lt;key app="EN" db-id="favevp2pte0vpqexzz0vaf2l9r5r0wf9xesv" timestamp="1587025735"&gt;58&lt;/key&gt;&lt;/foreign-keys&gt;&lt;ref-type name="Web Page"&gt;12&lt;/ref-type&gt;&lt;contributors&gt;&lt;authors&gt;&lt;author&gt;NHANES&lt;/author&gt;&lt;/authors&gt;&lt;/contributors&gt;&lt;titles&gt;&lt;title&gt;NHANES LPM&lt;/title&gt;&lt;/titles&gt;&lt;dates&gt;&lt;year&gt;2015-2016&lt;/year&gt;&lt;/dates&gt;&lt;urls&gt;&lt;related-urls&gt;&lt;url&gt;https://wwwn.cdc.gov/nchs/data/nhanes/2015-2016/manuals/2016_MEC_Laboratory_Procedures_Manual.pdf&lt;/url&gt;&lt;/related-urls&gt;&lt;/urls&gt;&lt;/record&gt;&lt;/Cite&gt;&lt;/EndNote&gt;</w:instrText>
      </w:r>
      <w:r w:rsidR="00EC6219"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2015-2016f, c)</w:t>
      </w:r>
      <w:r w:rsidR="00EC6219">
        <w:rPr>
          <w:rFonts w:ascii="Times New Roman" w:hAnsi="Times New Roman"/>
          <w:iCs/>
          <w:sz w:val="24"/>
        </w:rPr>
        <w:fldChar w:fldCharType="end"/>
      </w:r>
      <w:r w:rsidR="005642DC">
        <w:rPr>
          <w:rFonts w:ascii="Times New Roman" w:hAnsi="Times New Roman"/>
          <w:iCs/>
          <w:sz w:val="24"/>
        </w:rPr>
        <w:t>.</w:t>
      </w:r>
    </w:p>
    <w:p w14:paraId="6D7EAB8D" w14:textId="61B20E33" w:rsidR="0009620A" w:rsidRPr="0009620A" w:rsidRDefault="0009620A" w:rsidP="0009620A">
      <w:pPr>
        <w:spacing w:line="360" w:lineRule="auto"/>
        <w:ind w:firstLineChars="200" w:firstLine="480"/>
        <w:rPr>
          <w:rFonts w:ascii="Times New Roman" w:hAnsi="Times New Roman"/>
          <w:iCs/>
          <w:sz w:val="24"/>
        </w:rPr>
      </w:pPr>
      <w:r w:rsidRPr="0009620A">
        <w:rPr>
          <w:rFonts w:ascii="Times New Roman" w:hAnsi="Times New Roman"/>
          <w:iCs/>
          <w:sz w:val="24"/>
        </w:rPr>
        <w:t>Concentrations of SHBG were determined following the reaction of SHBG with immuno-antibodies, chemo-luminescence measurements of the reaction products that occurs after two incubation periods, and subjecting to a magnetic field. The microparticles were captured on an electrode, where a chemiluminescent reaction occurred and was measured by a photomultiplier tube</w:t>
      </w:r>
      <w:r w:rsidR="005642DC">
        <w:rPr>
          <w:rFonts w:ascii="Times New Roman" w:hAnsi="Times New Roman"/>
          <w:iCs/>
          <w:sz w:val="24"/>
        </w:rPr>
        <w:t xml:space="preserve"> </w:t>
      </w:r>
      <w:r w:rsidR="00EC6219">
        <w:rPr>
          <w:rFonts w:ascii="Times New Roman" w:hAnsi="Times New Roman"/>
          <w:iCs/>
          <w:sz w:val="24"/>
        </w:rPr>
        <w:fldChar w:fldCharType="begin"/>
      </w:r>
      <w:r w:rsidR="000D66E4">
        <w:rPr>
          <w:rFonts w:ascii="Times New Roman" w:hAnsi="Times New Roman"/>
          <w:iCs/>
          <w:sz w:val="24"/>
        </w:rPr>
        <w:instrText xml:space="preserve"> ADDIN EN.CITE &lt;EndNote&gt;&lt;Cite&gt;&lt;Year&gt;2015-2016&lt;/Year&gt;&lt;RecNum&gt;65&lt;/RecNum&gt;&lt;DisplayText&gt;(NHANES, 2015-2016f)&lt;/DisplayText&gt;&lt;record&gt;&lt;rec-number&gt;65&lt;/rec-number&gt;&lt;foreign-keys&gt;&lt;key app="EN" db-id="favevp2pte0vpqexzz0vaf2l9r5r0wf9xesv" timestamp="1587454650"&gt;65&lt;/key&gt;&lt;/foreign-keys&gt;&lt;ref-type name="Web Page"&gt;12&lt;/ref-type&gt;&lt;contributors&gt;&lt;authors&gt;&lt;author&gt;NHANES&lt;/author&gt;&lt;/authors&gt;&lt;/contributors&gt;&lt;titles&gt;&lt;title&gt;Sex Steroid Hormone - Serum&lt;/title&gt;&lt;/titles&gt;&lt;dates&gt;&lt;year&gt;2015-2016&lt;/year&gt;&lt;/dates&gt;&lt;urls&gt;&lt;related-urls&gt;&lt;url&gt;https://wwwn.cdc.gov/Nchs/Nhanes/2015-2016/TST_I.htm&lt;/url&gt;&lt;/related-urls&gt;&lt;/urls&gt;&lt;/record&gt;&lt;/Cite&gt;&lt;/EndNote&gt;</w:instrText>
      </w:r>
      <w:r w:rsidR="00EC6219">
        <w:rPr>
          <w:rFonts w:ascii="Times New Roman" w:hAnsi="Times New Roman"/>
          <w:iCs/>
          <w:sz w:val="24"/>
        </w:rPr>
        <w:fldChar w:fldCharType="separate"/>
      </w:r>
      <w:r w:rsidR="000D66E4">
        <w:rPr>
          <w:rFonts w:ascii="Times New Roman" w:hAnsi="Times New Roman"/>
          <w:iCs/>
          <w:noProof/>
          <w:sz w:val="24"/>
        </w:rPr>
        <w:t>(NHANES, 2015-2016f)</w:t>
      </w:r>
      <w:r w:rsidR="00EC6219">
        <w:rPr>
          <w:rFonts w:ascii="Times New Roman" w:hAnsi="Times New Roman"/>
          <w:iCs/>
          <w:sz w:val="24"/>
        </w:rPr>
        <w:fldChar w:fldCharType="end"/>
      </w:r>
      <w:r w:rsidRPr="0009620A">
        <w:rPr>
          <w:rFonts w:ascii="Times New Roman" w:hAnsi="Times New Roman"/>
          <w:iCs/>
          <w:sz w:val="24"/>
        </w:rPr>
        <w:t>. The readings were compared to an instrument- and lot-specific calibration curve.</w:t>
      </w:r>
    </w:p>
    <w:p w14:paraId="5D445C5F" w14:textId="25A6B947" w:rsidR="003D639C" w:rsidRDefault="003D639C" w:rsidP="00BF3B68">
      <w:pPr>
        <w:spacing w:line="360" w:lineRule="auto"/>
        <w:rPr>
          <w:rFonts w:ascii="Times New Roman" w:hAnsi="Times New Roman"/>
          <w:iCs/>
          <w:sz w:val="24"/>
        </w:rPr>
      </w:pPr>
    </w:p>
    <w:p w14:paraId="36F50DBE" w14:textId="6DEE5879" w:rsidR="002E72B1" w:rsidRDefault="002E72B1">
      <w:pPr>
        <w:widowControl/>
        <w:jc w:val="left"/>
      </w:pPr>
      <w:r>
        <w:br w:type="page"/>
      </w:r>
    </w:p>
    <w:p w14:paraId="5CC7CCB3" w14:textId="525524D8" w:rsidR="00D36F06" w:rsidRPr="002E72B1" w:rsidRDefault="002E72B1">
      <w:pPr>
        <w:rPr>
          <w:rFonts w:ascii="Times New Roman" w:hAnsi="Times New Roman"/>
          <w:b/>
          <w:bCs/>
          <w:sz w:val="24"/>
        </w:rPr>
      </w:pPr>
      <w:r w:rsidRPr="002E72B1">
        <w:rPr>
          <w:rFonts w:ascii="Times New Roman" w:hAnsi="Times New Roman"/>
          <w:b/>
          <w:bCs/>
          <w:sz w:val="24"/>
        </w:rPr>
        <w:lastRenderedPageBreak/>
        <w:t>Reference</w:t>
      </w:r>
    </w:p>
    <w:p w14:paraId="7D6FED31" w14:textId="77777777" w:rsidR="000D66E4" w:rsidRPr="000D66E4" w:rsidRDefault="00D36F06" w:rsidP="000D66E4">
      <w:pPr>
        <w:pStyle w:val="EndNoteBibliography"/>
      </w:pPr>
      <w:r>
        <w:fldChar w:fldCharType="begin"/>
      </w:r>
      <w:r>
        <w:instrText xml:space="preserve"> ADDIN EN.REFLIST </w:instrText>
      </w:r>
      <w:r>
        <w:fldChar w:fldCharType="separate"/>
      </w:r>
      <w:r w:rsidR="000D66E4" w:rsidRPr="000D66E4">
        <w:t>NHANES, 2015-2016a. Cotinine and Hydroxycotinine.</w:t>
      </w:r>
    </w:p>
    <w:p w14:paraId="6552E807" w14:textId="77777777" w:rsidR="000D66E4" w:rsidRPr="000D66E4" w:rsidRDefault="000D66E4" w:rsidP="000D66E4">
      <w:pPr>
        <w:pStyle w:val="EndNoteBibliography"/>
      </w:pPr>
      <w:r w:rsidRPr="000D66E4">
        <w:t>NHANES, 2015-2016b. Demographic Variables.</w:t>
      </w:r>
    </w:p>
    <w:p w14:paraId="5BAC0BC3" w14:textId="77777777" w:rsidR="000D66E4" w:rsidRPr="000D66E4" w:rsidRDefault="000D66E4" w:rsidP="000D66E4">
      <w:pPr>
        <w:pStyle w:val="EndNoteBibliography"/>
      </w:pPr>
      <w:r w:rsidRPr="000D66E4">
        <w:t>NHANES, 2015-2016c. NHANES LPM.</w:t>
      </w:r>
    </w:p>
    <w:p w14:paraId="6DC4958F" w14:textId="77777777" w:rsidR="000D66E4" w:rsidRPr="000D66E4" w:rsidRDefault="000D66E4" w:rsidP="000D66E4">
      <w:pPr>
        <w:pStyle w:val="EndNoteBibliography"/>
      </w:pPr>
      <w:r w:rsidRPr="000D66E4">
        <w:t>NHANES, 2015-2016d. Perfluoroalkyl and Polyfluoroalkyl.</w:t>
      </w:r>
    </w:p>
    <w:p w14:paraId="0C2F005A" w14:textId="77777777" w:rsidR="000D66E4" w:rsidRPr="000D66E4" w:rsidRDefault="000D66E4" w:rsidP="000D66E4">
      <w:pPr>
        <w:pStyle w:val="EndNoteBibliography"/>
      </w:pPr>
      <w:r w:rsidRPr="000D66E4">
        <w:t>NHANES, 2015-2016e. Reproductive Health (RHQ_J).</w:t>
      </w:r>
    </w:p>
    <w:p w14:paraId="4FB1ABA3" w14:textId="77777777" w:rsidR="000D66E4" w:rsidRPr="000D66E4" w:rsidRDefault="000D66E4" w:rsidP="000D66E4">
      <w:pPr>
        <w:pStyle w:val="EndNoteBibliography"/>
      </w:pPr>
      <w:r w:rsidRPr="000D66E4">
        <w:t>NHANES, 2015-2016f. Sex Steroid Hormone - Serum.</w:t>
      </w:r>
    </w:p>
    <w:p w14:paraId="2406CC01" w14:textId="1E1611B2" w:rsidR="00E261C7" w:rsidRPr="003D639C" w:rsidRDefault="00D36F06">
      <w:r>
        <w:fldChar w:fldCharType="end"/>
      </w:r>
    </w:p>
    <w:sectPr w:rsidR="00E261C7" w:rsidRPr="003D639C" w:rsidSect="00BF3B68">
      <w:pgSz w:w="11906" w:h="16838" w:code="9"/>
      <w:pgMar w:top="1440" w:right="2835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A4FC7A3" w14:textId="77777777" w:rsidR="000D4061" w:rsidRDefault="000D4061" w:rsidP="003D639C">
      <w:r>
        <w:separator/>
      </w:r>
    </w:p>
  </w:endnote>
  <w:endnote w:type="continuationSeparator" w:id="0">
    <w:p w14:paraId="37B7B480" w14:textId="77777777" w:rsidR="000D4061" w:rsidRDefault="000D4061" w:rsidP="003D63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4DB12C" w14:textId="77777777" w:rsidR="000D4061" w:rsidRDefault="000D4061" w:rsidP="003D639C">
      <w:r>
        <w:separator/>
      </w:r>
    </w:p>
  </w:footnote>
  <w:footnote w:type="continuationSeparator" w:id="0">
    <w:p w14:paraId="2A464BAE" w14:textId="77777777" w:rsidR="000D4061" w:rsidRDefault="000D4061" w:rsidP="003D63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emosphere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avevp2pte0vpqexzz0vaf2l9r5r0wf9xesv&quot;&gt;PFOAAA&lt;record-ids&gt;&lt;item&gt;2&lt;/item&gt;&lt;item&gt;58&lt;/item&gt;&lt;item&gt;65&lt;/item&gt;&lt;item&gt;96&lt;/item&gt;&lt;item&gt;97&lt;/item&gt;&lt;item&gt;98&lt;/item&gt;&lt;/record-ids&gt;&lt;/item&gt;&lt;/Libraries&gt;"/>
  </w:docVars>
  <w:rsids>
    <w:rsidRoot w:val="00CC5C73"/>
    <w:rsid w:val="0004344B"/>
    <w:rsid w:val="00067A4F"/>
    <w:rsid w:val="0009620A"/>
    <w:rsid w:val="000D4061"/>
    <w:rsid w:val="000D66E4"/>
    <w:rsid w:val="001B520B"/>
    <w:rsid w:val="00260D18"/>
    <w:rsid w:val="002E72B1"/>
    <w:rsid w:val="003C68A7"/>
    <w:rsid w:val="003C78EA"/>
    <w:rsid w:val="003D639C"/>
    <w:rsid w:val="005642DC"/>
    <w:rsid w:val="005B395B"/>
    <w:rsid w:val="006517AF"/>
    <w:rsid w:val="007D70F5"/>
    <w:rsid w:val="00911067"/>
    <w:rsid w:val="00AC5746"/>
    <w:rsid w:val="00AC6468"/>
    <w:rsid w:val="00BF3B68"/>
    <w:rsid w:val="00C63DEC"/>
    <w:rsid w:val="00C823F6"/>
    <w:rsid w:val="00CA2D80"/>
    <w:rsid w:val="00CC5C73"/>
    <w:rsid w:val="00D36F06"/>
    <w:rsid w:val="00D67228"/>
    <w:rsid w:val="00DE1F56"/>
    <w:rsid w:val="00DE6C8B"/>
    <w:rsid w:val="00E14185"/>
    <w:rsid w:val="00E261C7"/>
    <w:rsid w:val="00EC6219"/>
    <w:rsid w:val="00F37FB3"/>
    <w:rsid w:val="00F77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DDC25"/>
  <w15:chartTrackingRefBased/>
  <w15:docId w15:val="{A71569C4-057C-4943-BE98-167F80692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D639C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39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639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639C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639C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D36F06"/>
    <w:pPr>
      <w:jc w:val="center"/>
    </w:pPr>
    <w:rPr>
      <w:rFonts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D36F06"/>
    <w:rPr>
      <w:rFonts w:ascii="Calibri" w:eastAsia="宋体" w:hAnsi="Calibri" w:cs="Calibri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D36F06"/>
    <w:rPr>
      <w:rFonts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D36F06"/>
    <w:rPr>
      <w:rFonts w:ascii="Calibri" w:eastAsia="宋体" w:hAnsi="Calibri" w:cs="Calibri"/>
      <w:noProof/>
      <w:sz w:val="20"/>
      <w:szCs w:val="24"/>
    </w:rPr>
  </w:style>
  <w:style w:type="character" w:styleId="a7">
    <w:name w:val="Hyperlink"/>
    <w:basedOn w:val="a0"/>
    <w:uiPriority w:val="99"/>
    <w:unhideWhenUsed/>
    <w:rsid w:val="00D36F06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D36F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1002EF-753D-432F-8CDD-B3F78A19A1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4</Pages>
  <Words>1482</Words>
  <Characters>8454</Characters>
  <Application>Microsoft Office Word</Application>
  <DocSecurity>0</DocSecurity>
  <Lines>70</Lines>
  <Paragraphs>19</Paragraphs>
  <ScaleCrop>false</ScaleCrop>
  <Company/>
  <LinksUpToDate>false</LinksUpToDate>
  <CharactersWithSpaces>9917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m17820531268@163.com</dc:creator>
  <cp:keywords/>
  <dc:description/>
  <cp:lastModifiedBy>m17820531268@163.com</cp:lastModifiedBy>
  <cp:revision>14</cp:revision>
  <dcterms:created xsi:type="dcterms:W3CDTF">2020-10-08T09:49:00Z</dcterms:created>
  <dcterms:modified xsi:type="dcterms:W3CDTF">2020-10-25T06:38:00Z</dcterms:modified>
</cp:coreProperties>
</file>