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89BB6A" w14:textId="2A8CB397" w:rsidR="00D64C93" w:rsidRDefault="00BB39CC" w:rsidP="00D64C93">
      <w:pPr>
        <w:spacing w:line="480" w:lineRule="auto"/>
        <w:jc w:val="both"/>
        <w:rPr>
          <w:rFonts w:ascii="Times New Roman" w:hAnsi="Times New Roman" w:cs="Times New Roman"/>
          <w:b/>
          <w:bCs/>
          <w:sz w:val="20"/>
          <w:szCs w:val="20"/>
        </w:rPr>
      </w:pPr>
      <w:r>
        <w:rPr>
          <w:rFonts w:ascii="Times New Roman" w:hAnsi="Times New Roman" w:cs="Times New Roman"/>
          <w:b/>
          <w:bCs/>
          <w:sz w:val="20"/>
          <w:szCs w:val="20"/>
        </w:rPr>
        <w:t>Additional file 1</w:t>
      </w:r>
      <w:bookmarkStart w:id="0" w:name="_GoBack"/>
      <w:bookmarkEnd w:id="0"/>
    </w:p>
    <w:p w14:paraId="5A7F5999" w14:textId="14769E19" w:rsidR="00CF5098" w:rsidRDefault="00CF5098" w:rsidP="00CF5098">
      <w:pPr>
        <w:spacing w:line="480" w:lineRule="auto"/>
        <w:ind w:left="720" w:hanging="720"/>
        <w:jc w:val="both"/>
        <w:rPr>
          <w:rFonts w:ascii="Times New Roman" w:hAnsi="Times New Roman" w:cs="Times New Roman"/>
          <w:b/>
          <w:bCs/>
          <w:sz w:val="20"/>
          <w:szCs w:val="20"/>
        </w:rPr>
      </w:pPr>
      <w:r>
        <w:rPr>
          <w:rFonts w:ascii="Times New Roman" w:hAnsi="Times New Roman" w:cs="Times New Roman"/>
          <w:b/>
          <w:bCs/>
          <w:sz w:val="20"/>
          <w:szCs w:val="20"/>
        </w:rPr>
        <w:t>Data applied in EQS derivations</w:t>
      </w:r>
    </w:p>
    <w:p w14:paraId="67E328C3" w14:textId="2299B07A" w:rsidR="00CF5098" w:rsidRDefault="00CF5098" w:rsidP="00CF5098">
      <w:pPr>
        <w:spacing w:line="480" w:lineRule="auto"/>
        <w:jc w:val="both"/>
        <w:rPr>
          <w:rFonts w:ascii="Times New Roman" w:hAnsi="Times New Roman" w:cs="Times New Roman"/>
          <w:color w:val="000000"/>
          <w:sz w:val="20"/>
          <w:szCs w:val="20"/>
        </w:rPr>
      </w:pPr>
      <w:r w:rsidRPr="00C47989">
        <w:rPr>
          <w:rFonts w:ascii="Times New Roman" w:hAnsi="Times New Roman" w:cs="Times New Roman"/>
          <w:color w:val="000000"/>
          <w:sz w:val="20"/>
          <w:szCs w:val="20"/>
        </w:rPr>
        <w:t xml:space="preserve">The chronic laboratory ecotoxicity dataset for diclofenac used </w:t>
      </w:r>
      <w:r>
        <w:rPr>
          <w:rFonts w:ascii="Times New Roman" w:hAnsi="Times New Roman" w:cs="Times New Roman"/>
          <w:color w:val="000000"/>
          <w:sz w:val="20"/>
          <w:szCs w:val="20"/>
        </w:rPr>
        <w:t xml:space="preserve">to derive the EQS in the present assessment is shown in the </w:t>
      </w:r>
      <w:r w:rsidR="00CF7382">
        <w:rPr>
          <w:rFonts w:ascii="Times New Roman" w:hAnsi="Times New Roman" w:cs="Times New Roman"/>
          <w:color w:val="000000"/>
          <w:sz w:val="20"/>
          <w:szCs w:val="20"/>
        </w:rPr>
        <w:t>T</w:t>
      </w:r>
      <w:r>
        <w:rPr>
          <w:rFonts w:ascii="Times New Roman" w:hAnsi="Times New Roman" w:cs="Times New Roman"/>
          <w:color w:val="000000"/>
          <w:sz w:val="20"/>
          <w:szCs w:val="20"/>
        </w:rPr>
        <w:t>able ‘</w:t>
      </w:r>
      <w:r w:rsidRPr="00B91BEA">
        <w:rPr>
          <w:rFonts w:ascii="Times New Roman" w:hAnsi="Times New Roman" w:cs="Times New Roman"/>
          <w:color w:val="000000"/>
          <w:sz w:val="20"/>
          <w:szCs w:val="20"/>
        </w:rPr>
        <w:t>Reliable and relevant chronic ecotoxicity dataset for diclofenac</w:t>
      </w:r>
      <w:r>
        <w:rPr>
          <w:rFonts w:ascii="Times New Roman" w:hAnsi="Times New Roman" w:cs="Times New Roman"/>
          <w:color w:val="000000"/>
          <w:sz w:val="20"/>
          <w:szCs w:val="20"/>
        </w:rPr>
        <w:t xml:space="preserve">’. The dataset used </w:t>
      </w:r>
      <w:r w:rsidRPr="00C47989">
        <w:rPr>
          <w:rFonts w:ascii="Times New Roman" w:hAnsi="Times New Roman" w:cs="Times New Roman"/>
          <w:color w:val="000000"/>
          <w:sz w:val="20"/>
          <w:szCs w:val="20"/>
        </w:rPr>
        <w:t xml:space="preserve">by </w:t>
      </w:r>
      <w:r>
        <w:rPr>
          <w:rFonts w:ascii="Times New Roman" w:hAnsi="Times New Roman" w:cs="Times New Roman"/>
          <w:color w:val="000000"/>
          <w:sz w:val="20"/>
          <w:szCs w:val="20"/>
        </w:rPr>
        <w:t>EC (2021)</w:t>
      </w:r>
      <w:r w:rsidRPr="00C47989">
        <w:rPr>
          <w:rFonts w:ascii="Times New Roman" w:hAnsi="Times New Roman" w:cs="Times New Roman"/>
          <w:color w:val="000000"/>
          <w:sz w:val="20"/>
          <w:szCs w:val="20"/>
        </w:rPr>
        <w:t xml:space="preserve"> to derive </w:t>
      </w:r>
      <w:r>
        <w:rPr>
          <w:rFonts w:ascii="Times New Roman" w:hAnsi="Times New Roman" w:cs="Times New Roman"/>
          <w:color w:val="000000"/>
          <w:sz w:val="20"/>
          <w:szCs w:val="20"/>
        </w:rPr>
        <w:t xml:space="preserve">a probabilistic </w:t>
      </w:r>
      <w:r w:rsidRPr="00C47989">
        <w:rPr>
          <w:rFonts w:ascii="Times New Roman" w:hAnsi="Times New Roman" w:cs="Times New Roman"/>
          <w:color w:val="000000"/>
          <w:sz w:val="20"/>
          <w:szCs w:val="20"/>
        </w:rPr>
        <w:t>EQS</w:t>
      </w:r>
      <w:r>
        <w:rPr>
          <w:rFonts w:ascii="Times New Roman" w:hAnsi="Times New Roman" w:cs="Times New Roman"/>
          <w:color w:val="000000"/>
          <w:sz w:val="20"/>
          <w:szCs w:val="20"/>
        </w:rPr>
        <w:t xml:space="preserve"> (subsequently rejected)</w:t>
      </w:r>
      <w:r w:rsidRPr="00C47989">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largely mirrors that shown in </w:t>
      </w:r>
      <w:r w:rsidR="00CF7382">
        <w:rPr>
          <w:rFonts w:ascii="Times New Roman" w:hAnsi="Times New Roman" w:cs="Times New Roman"/>
          <w:color w:val="000000"/>
          <w:sz w:val="20"/>
          <w:szCs w:val="20"/>
        </w:rPr>
        <w:t>this T</w:t>
      </w:r>
      <w:r w:rsidRPr="00C47989">
        <w:rPr>
          <w:rFonts w:ascii="Times New Roman" w:hAnsi="Times New Roman" w:cs="Times New Roman"/>
          <w:color w:val="000000"/>
          <w:sz w:val="20"/>
          <w:szCs w:val="20"/>
        </w:rPr>
        <w:t xml:space="preserve">able. </w:t>
      </w:r>
    </w:p>
    <w:p w14:paraId="109FA94B" w14:textId="77777777" w:rsidR="00CF5098" w:rsidRPr="00C47989" w:rsidRDefault="00CF5098" w:rsidP="00CF5098">
      <w:pPr>
        <w:spacing w:line="480" w:lineRule="auto"/>
        <w:jc w:val="both"/>
        <w:rPr>
          <w:rFonts w:ascii="Times New Roman" w:hAnsi="Times New Roman" w:cs="Times New Roman"/>
          <w:sz w:val="20"/>
          <w:szCs w:val="20"/>
        </w:rPr>
      </w:pPr>
      <w:r w:rsidRPr="00C47989">
        <w:rPr>
          <w:rFonts w:ascii="Times New Roman" w:hAnsi="Times New Roman" w:cs="Times New Roman"/>
          <w:sz w:val="20"/>
          <w:szCs w:val="20"/>
        </w:rPr>
        <w:t xml:space="preserve">The ecotoxicity data on diclofenac cover both traditional population-relevant endpoints using methods developed by organisations such as the OECD, as well as numerous studies using non-standard species and non-standard endpoints, including investigations into changes in aspects of organism behaviour or physiology. </w:t>
      </w:r>
    </w:p>
    <w:p w14:paraId="582E5DAA" w14:textId="77777777" w:rsidR="00CF5098" w:rsidRPr="00C47989" w:rsidRDefault="00CF5098" w:rsidP="00CF5098">
      <w:pPr>
        <w:spacing w:line="480" w:lineRule="auto"/>
        <w:jc w:val="both"/>
        <w:rPr>
          <w:rFonts w:ascii="Times New Roman" w:hAnsi="Times New Roman" w:cs="Times New Roman"/>
          <w:sz w:val="20"/>
          <w:szCs w:val="20"/>
        </w:rPr>
      </w:pPr>
      <w:r>
        <w:rPr>
          <w:rFonts w:ascii="Times New Roman" w:hAnsi="Times New Roman" w:cs="Times New Roman"/>
          <w:sz w:val="20"/>
          <w:szCs w:val="20"/>
        </w:rPr>
        <w:t>R</w:t>
      </w:r>
      <w:r w:rsidRPr="00C47989">
        <w:rPr>
          <w:rFonts w:ascii="Times New Roman" w:hAnsi="Times New Roman" w:cs="Times New Roman"/>
          <w:sz w:val="20"/>
          <w:szCs w:val="20"/>
        </w:rPr>
        <w:t>eliability and relevance w</w:t>
      </w:r>
      <w:r>
        <w:rPr>
          <w:rFonts w:ascii="Times New Roman" w:hAnsi="Times New Roman" w:cs="Times New Roman"/>
          <w:sz w:val="20"/>
          <w:szCs w:val="20"/>
        </w:rPr>
        <w:t>ere</w:t>
      </w:r>
      <w:r w:rsidRPr="00C47989">
        <w:rPr>
          <w:rFonts w:ascii="Times New Roman" w:hAnsi="Times New Roman" w:cs="Times New Roman"/>
          <w:sz w:val="20"/>
          <w:szCs w:val="20"/>
        </w:rPr>
        <w:t xml:space="preserve"> assessed according to the criteria for reporting and evaluating ecotoxicity data (CRED) (Moermond et al. 201</w:t>
      </w:r>
      <w:r>
        <w:rPr>
          <w:rFonts w:ascii="Times New Roman" w:hAnsi="Times New Roman" w:cs="Times New Roman"/>
          <w:sz w:val="20"/>
          <w:szCs w:val="20"/>
        </w:rPr>
        <w:t>5</w:t>
      </w:r>
      <w:r w:rsidRPr="00C47989">
        <w:rPr>
          <w:rFonts w:ascii="Times New Roman" w:hAnsi="Times New Roman" w:cs="Times New Roman"/>
          <w:sz w:val="20"/>
          <w:szCs w:val="20"/>
        </w:rPr>
        <w:t xml:space="preserve">). CRED evaluation uses a set of reliability and relevance criteria in a formalised approach for evaluating aquatic ecotoxicology studies that are to be used directly in the derivation of an EQS. However, the CRED approach is not suitable for all types of study. In particular, the reliability and relevance criteria are not directly applicable to multi-species exposure studies (i.e. mesocosm studies) </w:t>
      </w:r>
      <w:r>
        <w:rPr>
          <w:rFonts w:ascii="Times New Roman" w:hAnsi="Times New Roman" w:cs="Times New Roman"/>
          <w:sz w:val="20"/>
          <w:szCs w:val="20"/>
        </w:rPr>
        <w:t xml:space="preserve">which </w:t>
      </w:r>
      <w:r w:rsidRPr="00C47989">
        <w:rPr>
          <w:rFonts w:ascii="Times New Roman" w:hAnsi="Times New Roman" w:cs="Times New Roman"/>
          <w:sz w:val="20"/>
          <w:szCs w:val="20"/>
        </w:rPr>
        <w:t>generat</w:t>
      </w:r>
      <w:r>
        <w:rPr>
          <w:rFonts w:ascii="Times New Roman" w:hAnsi="Times New Roman" w:cs="Times New Roman"/>
          <w:sz w:val="20"/>
          <w:szCs w:val="20"/>
        </w:rPr>
        <w:t>e</w:t>
      </w:r>
      <w:r w:rsidRPr="00C47989">
        <w:rPr>
          <w:rFonts w:ascii="Times New Roman" w:hAnsi="Times New Roman" w:cs="Times New Roman"/>
          <w:sz w:val="20"/>
          <w:szCs w:val="20"/>
        </w:rPr>
        <w:t xml:space="preserve"> complex results intended to account for potential interactions between different taxonomic groups and physico-chemical parameters, nor studies incorporating endpoints based on the assessment of subtle changes in tissues or organs. </w:t>
      </w:r>
    </w:p>
    <w:p w14:paraId="275960B0" w14:textId="77777777" w:rsidR="00CF5098" w:rsidRDefault="00CF5098" w:rsidP="00CF5098">
      <w:pPr>
        <w:spacing w:line="480" w:lineRule="auto"/>
        <w:jc w:val="both"/>
        <w:rPr>
          <w:rFonts w:ascii="Times New Roman" w:hAnsi="Times New Roman" w:cs="Times New Roman"/>
          <w:sz w:val="20"/>
          <w:szCs w:val="20"/>
        </w:rPr>
      </w:pPr>
      <w:r w:rsidRPr="00C47989">
        <w:rPr>
          <w:rFonts w:ascii="Times New Roman" w:hAnsi="Times New Roman" w:cs="Times New Roman"/>
          <w:sz w:val="20"/>
          <w:szCs w:val="20"/>
        </w:rPr>
        <w:t xml:space="preserve">Therefore, a different approach was taken to assess these types of studies. In the case of the identified mesocosm study (Joachim et al. 2021), population-level and ecological relevance was accepted, and reliability was evaluated according to the criteria provided in the current guidance specifically for the assessment of this type of study (EU 2018). </w:t>
      </w:r>
    </w:p>
    <w:p w14:paraId="66EAF8B8" w14:textId="1A9D808D" w:rsidR="00CF5098" w:rsidRPr="003E10F1" w:rsidRDefault="00CF5098" w:rsidP="00CF5098">
      <w:pPr>
        <w:spacing w:line="48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The EQS</w:t>
      </w:r>
      <w:r w:rsidRPr="003E10F1">
        <w:rPr>
          <w:rFonts w:ascii="Times New Roman" w:hAnsi="Times New Roman" w:cs="Times New Roman"/>
          <w:color w:val="000000"/>
          <w:sz w:val="20"/>
          <w:szCs w:val="20"/>
        </w:rPr>
        <w:t xml:space="preserve"> guidance</w:t>
      </w:r>
      <w:r>
        <w:rPr>
          <w:rFonts w:ascii="Times New Roman" w:hAnsi="Times New Roman" w:cs="Times New Roman"/>
          <w:color w:val="000000"/>
          <w:sz w:val="20"/>
          <w:szCs w:val="20"/>
        </w:rPr>
        <w:t xml:space="preserve"> (EC 2018)</w:t>
      </w:r>
      <w:r w:rsidRPr="003E10F1">
        <w:rPr>
          <w:rFonts w:ascii="Times New Roman" w:hAnsi="Times New Roman" w:cs="Times New Roman"/>
          <w:color w:val="000000"/>
          <w:sz w:val="20"/>
          <w:szCs w:val="20"/>
        </w:rPr>
        <w:t xml:space="preserve"> makes several references to the use of mesocosm data, including specific reliability criteria that must be satisfied if such data are to be used to </w:t>
      </w:r>
      <w:r>
        <w:rPr>
          <w:rFonts w:ascii="Times New Roman" w:hAnsi="Times New Roman" w:cs="Times New Roman"/>
          <w:color w:val="000000"/>
          <w:sz w:val="20"/>
          <w:szCs w:val="20"/>
        </w:rPr>
        <w:t xml:space="preserve">directly </w:t>
      </w:r>
      <w:r w:rsidRPr="003E10F1">
        <w:rPr>
          <w:rFonts w:ascii="Times New Roman" w:hAnsi="Times New Roman" w:cs="Times New Roman"/>
          <w:color w:val="000000"/>
          <w:sz w:val="20"/>
          <w:szCs w:val="20"/>
        </w:rPr>
        <w:t>derive an EQS:</w:t>
      </w:r>
    </w:p>
    <w:p w14:paraId="5F54946B" w14:textId="77777777" w:rsidR="00CF5098" w:rsidRPr="003E10F1" w:rsidRDefault="00CF5098" w:rsidP="00CF5098">
      <w:pPr>
        <w:numPr>
          <w:ilvl w:val="0"/>
          <w:numId w:val="1"/>
        </w:numPr>
        <w:spacing w:line="480" w:lineRule="auto"/>
        <w:jc w:val="both"/>
        <w:rPr>
          <w:rFonts w:ascii="Times New Roman" w:hAnsi="Times New Roman" w:cs="Times New Roman"/>
          <w:color w:val="000000"/>
          <w:sz w:val="20"/>
          <w:szCs w:val="20"/>
        </w:rPr>
      </w:pPr>
      <w:r w:rsidRPr="003E10F1">
        <w:rPr>
          <w:rFonts w:ascii="Times New Roman" w:hAnsi="Times New Roman" w:cs="Times New Roman"/>
          <w:color w:val="000000"/>
          <w:sz w:val="20"/>
          <w:szCs w:val="20"/>
        </w:rPr>
        <w:t>The experimental set-up of the mesocosm must be adequate for assessing the effects of the test substance, and reported in an unambiguous manner;</w:t>
      </w:r>
    </w:p>
    <w:p w14:paraId="4ACEA416" w14:textId="77777777" w:rsidR="00CF5098" w:rsidRPr="003E10F1" w:rsidRDefault="00CF5098" w:rsidP="00CF5098">
      <w:pPr>
        <w:numPr>
          <w:ilvl w:val="0"/>
          <w:numId w:val="1"/>
        </w:numPr>
        <w:spacing w:line="480" w:lineRule="auto"/>
        <w:jc w:val="both"/>
        <w:rPr>
          <w:rFonts w:ascii="Times New Roman" w:hAnsi="Times New Roman" w:cs="Times New Roman"/>
          <w:color w:val="000000"/>
          <w:sz w:val="20"/>
          <w:szCs w:val="20"/>
        </w:rPr>
      </w:pPr>
      <w:r w:rsidRPr="003E10F1">
        <w:rPr>
          <w:rFonts w:ascii="Times New Roman" w:hAnsi="Times New Roman" w:cs="Times New Roman"/>
          <w:color w:val="000000"/>
          <w:sz w:val="20"/>
          <w:szCs w:val="20"/>
        </w:rPr>
        <w:t>The structure of the community of organisms exposed to the test substance in the mesocosm must be realistic, with respect to the type of community that might be exposed in the field;</w:t>
      </w:r>
    </w:p>
    <w:p w14:paraId="7479CA50" w14:textId="77777777" w:rsidR="00CF5098" w:rsidRPr="003E10F1" w:rsidRDefault="00CF5098" w:rsidP="00CF5098">
      <w:pPr>
        <w:numPr>
          <w:ilvl w:val="0"/>
          <w:numId w:val="1"/>
        </w:numPr>
        <w:spacing w:line="480" w:lineRule="auto"/>
        <w:jc w:val="both"/>
        <w:rPr>
          <w:rFonts w:ascii="Times New Roman" w:hAnsi="Times New Roman" w:cs="Times New Roman"/>
          <w:color w:val="000000"/>
          <w:sz w:val="20"/>
          <w:szCs w:val="20"/>
        </w:rPr>
      </w:pPr>
      <w:r w:rsidRPr="003E10F1">
        <w:rPr>
          <w:rFonts w:ascii="Times New Roman" w:hAnsi="Times New Roman" w:cs="Times New Roman"/>
          <w:color w:val="000000"/>
          <w:sz w:val="20"/>
          <w:szCs w:val="20"/>
        </w:rPr>
        <w:t>There must be an adequate description of the pattern of exposure to the test substance, especially in the compartment of interest (e.g. the water column);</w:t>
      </w:r>
    </w:p>
    <w:p w14:paraId="7F535598" w14:textId="77777777" w:rsidR="00CF5098" w:rsidRPr="003E10F1" w:rsidRDefault="00CF5098" w:rsidP="00CF5098">
      <w:pPr>
        <w:numPr>
          <w:ilvl w:val="0"/>
          <w:numId w:val="1"/>
        </w:numPr>
        <w:spacing w:line="480" w:lineRule="auto"/>
        <w:jc w:val="both"/>
        <w:rPr>
          <w:rFonts w:ascii="Times New Roman" w:hAnsi="Times New Roman" w:cs="Times New Roman"/>
          <w:color w:val="000000"/>
          <w:sz w:val="20"/>
          <w:szCs w:val="20"/>
        </w:rPr>
      </w:pPr>
      <w:r w:rsidRPr="003E10F1">
        <w:rPr>
          <w:rFonts w:ascii="Times New Roman" w:hAnsi="Times New Roman" w:cs="Times New Roman"/>
          <w:color w:val="000000"/>
          <w:sz w:val="20"/>
          <w:szCs w:val="20"/>
        </w:rPr>
        <w:t>The statistical evaluation of the results from the study must be scientifically sound; and</w:t>
      </w:r>
    </w:p>
    <w:p w14:paraId="3B07B635" w14:textId="77777777" w:rsidR="00CF5098" w:rsidRPr="003E10F1" w:rsidRDefault="00CF5098" w:rsidP="00CF5098">
      <w:pPr>
        <w:numPr>
          <w:ilvl w:val="0"/>
          <w:numId w:val="1"/>
        </w:numPr>
        <w:spacing w:line="480" w:lineRule="auto"/>
        <w:jc w:val="both"/>
        <w:rPr>
          <w:rFonts w:ascii="Times New Roman" w:hAnsi="Times New Roman" w:cs="Times New Roman"/>
          <w:color w:val="000000"/>
          <w:sz w:val="20"/>
          <w:szCs w:val="20"/>
        </w:rPr>
      </w:pPr>
      <w:r w:rsidRPr="003E10F1">
        <w:rPr>
          <w:rFonts w:ascii="Times New Roman" w:hAnsi="Times New Roman" w:cs="Times New Roman"/>
          <w:color w:val="000000"/>
          <w:sz w:val="20"/>
          <w:szCs w:val="20"/>
        </w:rPr>
        <w:t>The endpoints investigation must be sensitive to the test substance, and in accordance with the mode of action of the chemical.</w:t>
      </w:r>
    </w:p>
    <w:p w14:paraId="05CC1E2D" w14:textId="0C62C6C2" w:rsidR="00CF5098" w:rsidRPr="00C47989" w:rsidRDefault="00CF5098" w:rsidP="00CF5098">
      <w:pPr>
        <w:spacing w:line="480" w:lineRule="auto"/>
        <w:jc w:val="both"/>
        <w:rPr>
          <w:rFonts w:ascii="Times New Roman" w:hAnsi="Times New Roman" w:cs="Times New Roman"/>
          <w:sz w:val="20"/>
          <w:szCs w:val="20"/>
        </w:rPr>
      </w:pPr>
      <w:r w:rsidRPr="00C47989">
        <w:rPr>
          <w:rFonts w:ascii="Times New Roman" w:hAnsi="Times New Roman" w:cs="Times New Roman"/>
          <w:sz w:val="20"/>
          <w:szCs w:val="20"/>
        </w:rPr>
        <w:t xml:space="preserve">Histopathological studies on fish tissues and organs require an in-depth expert evaluation of the study findings and photomicrographs, and the results of such an assessment for diclofenac have previously been published (Wolf 2021). </w:t>
      </w:r>
    </w:p>
    <w:p w14:paraId="02AE488B" w14:textId="77777777" w:rsidR="00CF5098" w:rsidRDefault="00CF5098" w:rsidP="00CF5098">
      <w:pPr>
        <w:spacing w:line="480" w:lineRule="auto"/>
        <w:jc w:val="both"/>
        <w:rPr>
          <w:rFonts w:ascii="Times New Roman" w:hAnsi="Times New Roman" w:cs="Times New Roman"/>
          <w:sz w:val="20"/>
          <w:szCs w:val="20"/>
        </w:rPr>
      </w:pPr>
      <w:r>
        <w:rPr>
          <w:rFonts w:ascii="Times New Roman" w:hAnsi="Times New Roman" w:cs="Times New Roman"/>
          <w:sz w:val="20"/>
          <w:szCs w:val="20"/>
        </w:rPr>
        <w:t>Wolf (2021) reviewed and evaluated 14 of these histopathological studies in detail, and concluded “</w:t>
      </w:r>
      <w:r w:rsidRPr="00B244BE">
        <w:rPr>
          <w:rFonts w:ascii="Times New Roman" w:hAnsi="Times New Roman" w:cs="Times New Roman"/>
          <w:i/>
          <w:iCs/>
          <w:sz w:val="20"/>
          <w:szCs w:val="20"/>
        </w:rPr>
        <w:t>If 13 of the 14 reviewed papers were to be accepted at face value, it would seem that the experimental exposure of fish to DCF at a wide range of test concentrations (ranging from very low to many fold higher than environmentally relevant levels) is capable of causing a plethora of severe morphologic changes that involve multiple organ systems. However, the current review of these papers identified substantive shortcomings in experimental design (including failure to account for potential sampling and observer bias), diagnostic accuracy, unexplained phenomena, and in the interpretation and presentation of data, plus a high degree of interstudy inconsistency. Consequently, many reported morphologic findings were found to have questionable, dubious, or zero credibility. Taken as a whole, the results of this review suggest that chronic continuous exposure to relatively high concentrations of DCF under certain experimental conditions can cause minor proliferative changes in gill and renal hematopoietic tissue and decreased energy storage in the liver. The mechanism(s) by which these changes occur have not been established nor has the potential reversibility of such findings following discontinuation of exposure been investigated. Consequently, it is debatable whether the findings of increased renal interstitial tissue, minor gill proliferation, or decreased hepatic glycogen should necessarily be considered adverse. Meanwhile, morphologic evidence of cytotoxic damage to renal urinary tissue or hepatocytes varies from weak to non</w:t>
      </w:r>
      <w:r>
        <w:rPr>
          <w:rFonts w:ascii="Times New Roman" w:hAnsi="Times New Roman" w:cs="Times New Roman"/>
          <w:i/>
          <w:iCs/>
          <w:sz w:val="20"/>
          <w:szCs w:val="20"/>
        </w:rPr>
        <w:t>-</w:t>
      </w:r>
      <w:r w:rsidRPr="00B244BE">
        <w:rPr>
          <w:rFonts w:ascii="Times New Roman" w:hAnsi="Times New Roman" w:cs="Times New Roman"/>
          <w:i/>
          <w:iCs/>
          <w:sz w:val="20"/>
          <w:szCs w:val="20"/>
        </w:rPr>
        <w:t>existent.</w:t>
      </w:r>
      <w:r>
        <w:rPr>
          <w:rFonts w:ascii="Times New Roman" w:hAnsi="Times New Roman" w:cs="Times New Roman"/>
          <w:sz w:val="20"/>
          <w:szCs w:val="20"/>
        </w:rPr>
        <w:t>” For these reasons, the majority of these studies were considered to be unreliable, or not relevant for EQS derivation. Indeed, despite being applied in earlier versions of an EQS derivation for diclofenac (UBA</w:t>
      </w:r>
      <w:r w:rsidRPr="00641212">
        <w:rPr>
          <w:rFonts w:ascii="Times New Roman" w:hAnsi="Times New Roman" w:cs="Times New Roman"/>
          <w:sz w:val="20"/>
          <w:szCs w:val="20"/>
        </w:rPr>
        <w:t xml:space="preserve"> 2011; 2014; 2017; 2018</w:t>
      </w:r>
      <w:r>
        <w:rPr>
          <w:rFonts w:ascii="Times New Roman" w:hAnsi="Times New Roman" w:cs="Times New Roman"/>
          <w:sz w:val="20"/>
          <w:szCs w:val="20"/>
        </w:rPr>
        <w:t xml:space="preserve">), these studies were also excluded the latest assessment (EC 2021). </w:t>
      </w:r>
    </w:p>
    <w:p w14:paraId="7321A5B4" w14:textId="77777777" w:rsidR="00CF5098" w:rsidRDefault="00CF5098" w:rsidP="00CF5098">
      <w:pPr>
        <w:spacing w:line="480" w:lineRule="auto"/>
        <w:jc w:val="both"/>
        <w:rPr>
          <w:rFonts w:ascii="Times New Roman" w:hAnsi="Times New Roman" w:cs="Times New Roman"/>
          <w:color w:val="000000"/>
          <w:sz w:val="20"/>
          <w:szCs w:val="20"/>
        </w:rPr>
      </w:pPr>
      <w:r>
        <w:rPr>
          <w:rFonts w:ascii="Times New Roman" w:hAnsi="Times New Roman" w:cs="Times New Roman"/>
          <w:sz w:val="20"/>
          <w:szCs w:val="20"/>
        </w:rPr>
        <w:t xml:space="preserve">However, one of these studies (Birzle 2015) also included an assessment of ocular effects in fish. The range of different malformations of the eyes of </w:t>
      </w:r>
      <w:r w:rsidRPr="00B244BE">
        <w:rPr>
          <w:rFonts w:ascii="Times New Roman" w:hAnsi="Times New Roman" w:cs="Times New Roman"/>
          <w:i/>
          <w:iCs/>
          <w:sz w:val="20"/>
          <w:szCs w:val="20"/>
        </w:rPr>
        <w:t>Oncorhynchus mykiss</w:t>
      </w:r>
      <w:r>
        <w:rPr>
          <w:rFonts w:ascii="Times New Roman" w:hAnsi="Times New Roman" w:cs="Times New Roman"/>
          <w:sz w:val="20"/>
          <w:szCs w:val="20"/>
        </w:rPr>
        <w:t xml:space="preserve"> as a result of exposure to diclofenac as reported by Birzle (2015) were considered to be both credible and moderately severe by Wolf (2021). The EC (2021) concluded that, while such malformations affect individual fish, it is conceivable that they may have wider effects relevant to population sustainability (e.g. on mortality, growth or reproduction) if a large number of fish in a population were similarly affected. This specific endpoint from Birzle (2015) was included in the </w:t>
      </w:r>
      <w:r>
        <w:rPr>
          <w:rFonts w:ascii="Times New Roman" w:hAnsi="Times New Roman" w:cs="Times New Roman"/>
          <w:color w:val="000000"/>
          <w:sz w:val="20"/>
          <w:szCs w:val="20"/>
        </w:rPr>
        <w:t xml:space="preserve">dataset used </w:t>
      </w:r>
      <w:r w:rsidRPr="00C47989">
        <w:rPr>
          <w:rFonts w:ascii="Times New Roman" w:hAnsi="Times New Roman" w:cs="Times New Roman"/>
          <w:color w:val="000000"/>
          <w:sz w:val="20"/>
          <w:szCs w:val="20"/>
        </w:rPr>
        <w:t xml:space="preserve">by </w:t>
      </w:r>
      <w:r>
        <w:rPr>
          <w:rFonts w:ascii="Times New Roman" w:hAnsi="Times New Roman" w:cs="Times New Roman"/>
          <w:color w:val="000000"/>
          <w:sz w:val="20"/>
          <w:szCs w:val="20"/>
        </w:rPr>
        <w:t>EC (2021)</w:t>
      </w:r>
      <w:r w:rsidRPr="00C47989">
        <w:rPr>
          <w:rFonts w:ascii="Times New Roman" w:hAnsi="Times New Roman" w:cs="Times New Roman"/>
          <w:color w:val="000000"/>
          <w:sz w:val="20"/>
          <w:szCs w:val="20"/>
        </w:rPr>
        <w:t xml:space="preserve"> to derive </w:t>
      </w:r>
      <w:r>
        <w:rPr>
          <w:rFonts w:ascii="Times New Roman" w:hAnsi="Times New Roman" w:cs="Times New Roman"/>
          <w:color w:val="000000"/>
          <w:sz w:val="20"/>
          <w:szCs w:val="20"/>
        </w:rPr>
        <w:t xml:space="preserve">a probabilistic </w:t>
      </w:r>
      <w:r w:rsidRPr="00C47989">
        <w:rPr>
          <w:rFonts w:ascii="Times New Roman" w:hAnsi="Times New Roman" w:cs="Times New Roman"/>
          <w:color w:val="000000"/>
          <w:sz w:val="20"/>
          <w:szCs w:val="20"/>
        </w:rPr>
        <w:t>EQS</w:t>
      </w:r>
      <w:r>
        <w:rPr>
          <w:rFonts w:ascii="Times New Roman" w:hAnsi="Times New Roman" w:cs="Times New Roman"/>
          <w:color w:val="000000"/>
          <w:sz w:val="20"/>
          <w:szCs w:val="20"/>
        </w:rPr>
        <w:t xml:space="preserve"> (subsequently rejected)</w:t>
      </w:r>
      <w:r w:rsidRPr="00C47989">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p>
    <w:p w14:paraId="6CDEE6D9" w14:textId="77777777" w:rsidR="00CF5098" w:rsidRDefault="00CF5098" w:rsidP="00CF5098">
      <w:pPr>
        <w:spacing w:line="48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In addition, severe jaw malformations in some fish exposed to diclofenac were reported by both Yokota et al. (2018) (in </w:t>
      </w:r>
      <w:r w:rsidRPr="00C47989">
        <w:rPr>
          <w:rFonts w:ascii="Times New Roman" w:hAnsi="Times New Roman" w:cs="Times New Roman"/>
          <w:i/>
          <w:iCs/>
          <w:sz w:val="20"/>
          <w:szCs w:val="20"/>
        </w:rPr>
        <w:t>Oryzias latipes</w:t>
      </w:r>
      <w:r>
        <w:rPr>
          <w:rFonts w:ascii="Times New Roman" w:hAnsi="Times New Roman" w:cs="Times New Roman"/>
          <w:sz w:val="20"/>
          <w:szCs w:val="20"/>
        </w:rPr>
        <w:t xml:space="preserve">) and Naslund et al. (2017) (in </w:t>
      </w:r>
      <w:r w:rsidRPr="00C47989">
        <w:rPr>
          <w:rFonts w:ascii="Times New Roman" w:hAnsi="Times New Roman" w:cs="Times New Roman"/>
          <w:i/>
          <w:color w:val="000000"/>
          <w:sz w:val="20"/>
          <w:szCs w:val="20"/>
        </w:rPr>
        <w:t>Gasterosteus aculeatus</w:t>
      </w:r>
      <w:r>
        <w:rPr>
          <w:rFonts w:ascii="Times New Roman" w:hAnsi="Times New Roman" w:cs="Times New Roman"/>
          <w:iCs/>
          <w:color w:val="000000"/>
          <w:sz w:val="20"/>
          <w:szCs w:val="20"/>
        </w:rPr>
        <w:t xml:space="preserve">). The EC also considered these effects in individual fish to have potential implications for population-sustainability (e.g. mortality, growth or reproduction) and so included them </w:t>
      </w:r>
      <w:r>
        <w:rPr>
          <w:rFonts w:ascii="Times New Roman" w:hAnsi="Times New Roman" w:cs="Times New Roman"/>
          <w:sz w:val="20"/>
          <w:szCs w:val="20"/>
        </w:rPr>
        <w:t xml:space="preserve">in the </w:t>
      </w:r>
      <w:r>
        <w:rPr>
          <w:rFonts w:ascii="Times New Roman" w:hAnsi="Times New Roman" w:cs="Times New Roman"/>
          <w:color w:val="000000"/>
          <w:sz w:val="20"/>
          <w:szCs w:val="20"/>
        </w:rPr>
        <w:t xml:space="preserve">dataset used </w:t>
      </w:r>
      <w:r w:rsidRPr="00C47989">
        <w:rPr>
          <w:rFonts w:ascii="Times New Roman" w:hAnsi="Times New Roman" w:cs="Times New Roman"/>
          <w:color w:val="000000"/>
          <w:sz w:val="20"/>
          <w:szCs w:val="20"/>
        </w:rPr>
        <w:t xml:space="preserve">to derive </w:t>
      </w:r>
      <w:r>
        <w:rPr>
          <w:rFonts w:ascii="Times New Roman" w:hAnsi="Times New Roman" w:cs="Times New Roman"/>
          <w:color w:val="000000"/>
          <w:sz w:val="20"/>
          <w:szCs w:val="20"/>
        </w:rPr>
        <w:t xml:space="preserve">a probabilistic </w:t>
      </w:r>
      <w:r w:rsidRPr="00C47989">
        <w:rPr>
          <w:rFonts w:ascii="Times New Roman" w:hAnsi="Times New Roman" w:cs="Times New Roman"/>
          <w:color w:val="000000"/>
          <w:sz w:val="20"/>
          <w:szCs w:val="20"/>
        </w:rPr>
        <w:t>EQS</w:t>
      </w:r>
      <w:r>
        <w:rPr>
          <w:rFonts w:ascii="Times New Roman" w:hAnsi="Times New Roman" w:cs="Times New Roman"/>
          <w:color w:val="000000"/>
          <w:sz w:val="20"/>
          <w:szCs w:val="20"/>
        </w:rPr>
        <w:t xml:space="preserve"> (subsequently rejected)</w:t>
      </w:r>
      <w:r w:rsidRPr="00C47989">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p>
    <w:p w14:paraId="3E4AF85C" w14:textId="2B2C1E9C" w:rsidR="00CF5098" w:rsidRDefault="00CF5098" w:rsidP="00CF5098">
      <w:pPr>
        <w:spacing w:line="48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For the purposes of this comparative assessment, we have not undertaken additional evaluation of the potential for relevance to population-sustainability of the eye or jaw malformations, and have also included them in the dataset used for derivation of a probabilistic EQS (</w:t>
      </w:r>
      <w:r w:rsidR="00CF7382">
        <w:rPr>
          <w:rFonts w:ascii="Times New Roman" w:hAnsi="Times New Roman" w:cs="Times New Roman"/>
          <w:color w:val="000000"/>
          <w:sz w:val="20"/>
          <w:szCs w:val="20"/>
        </w:rPr>
        <w:t>T</w:t>
      </w:r>
      <w:r>
        <w:rPr>
          <w:rFonts w:ascii="Times New Roman" w:hAnsi="Times New Roman" w:cs="Times New Roman"/>
          <w:color w:val="000000"/>
          <w:sz w:val="20"/>
          <w:szCs w:val="20"/>
        </w:rPr>
        <w:t>able ‘</w:t>
      </w:r>
      <w:r w:rsidRPr="00B91BEA">
        <w:rPr>
          <w:rFonts w:ascii="Times New Roman" w:hAnsi="Times New Roman" w:cs="Times New Roman"/>
          <w:color w:val="000000"/>
          <w:sz w:val="20"/>
          <w:szCs w:val="20"/>
        </w:rPr>
        <w:t>Reliable and relevant chronic ecotoxicity dataset for diclofenac</w:t>
      </w:r>
      <w:r>
        <w:rPr>
          <w:rFonts w:ascii="Times New Roman" w:hAnsi="Times New Roman" w:cs="Times New Roman"/>
          <w:color w:val="000000"/>
          <w:sz w:val="20"/>
          <w:szCs w:val="20"/>
        </w:rPr>
        <w:t xml:space="preserve">’). </w:t>
      </w:r>
    </w:p>
    <w:p w14:paraId="5D26C00E" w14:textId="073C03ED" w:rsidR="00CF5098" w:rsidRPr="00C47989" w:rsidRDefault="00CF5098" w:rsidP="00CF5098">
      <w:pPr>
        <w:spacing w:line="48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EC (2021)</w:t>
      </w:r>
      <w:r w:rsidRPr="00C47989">
        <w:rPr>
          <w:rFonts w:ascii="Times New Roman" w:hAnsi="Times New Roman" w:cs="Times New Roman"/>
          <w:color w:val="000000"/>
          <w:sz w:val="20"/>
          <w:szCs w:val="20"/>
        </w:rPr>
        <w:t xml:space="preserve"> estimated a 10% effect threshold for some of the reliable studies (</w:t>
      </w:r>
      <w:r>
        <w:rPr>
          <w:rFonts w:ascii="Times New Roman" w:hAnsi="Times New Roman" w:cs="Times New Roman"/>
          <w:color w:val="000000"/>
          <w:sz w:val="20"/>
          <w:szCs w:val="20"/>
        </w:rPr>
        <w:t xml:space="preserve">as shown in </w:t>
      </w:r>
      <w:r w:rsidR="00CF7382">
        <w:rPr>
          <w:rFonts w:ascii="Times New Roman" w:hAnsi="Times New Roman" w:cs="Times New Roman"/>
          <w:color w:val="000000"/>
          <w:sz w:val="20"/>
          <w:szCs w:val="20"/>
        </w:rPr>
        <w:t>T</w:t>
      </w:r>
      <w:r w:rsidRPr="00C47989">
        <w:rPr>
          <w:rFonts w:ascii="Times New Roman" w:hAnsi="Times New Roman" w:cs="Times New Roman"/>
          <w:color w:val="000000"/>
          <w:sz w:val="20"/>
          <w:szCs w:val="20"/>
        </w:rPr>
        <w:t xml:space="preserve">able </w:t>
      </w:r>
      <w:r>
        <w:rPr>
          <w:rFonts w:ascii="Times New Roman" w:hAnsi="Times New Roman" w:cs="Times New Roman"/>
          <w:color w:val="000000"/>
          <w:sz w:val="20"/>
          <w:szCs w:val="20"/>
        </w:rPr>
        <w:t>‘</w:t>
      </w:r>
      <w:r w:rsidRPr="00B91BEA">
        <w:rPr>
          <w:rFonts w:ascii="Times New Roman" w:hAnsi="Times New Roman" w:cs="Times New Roman"/>
          <w:color w:val="000000"/>
          <w:sz w:val="20"/>
          <w:szCs w:val="20"/>
        </w:rPr>
        <w:t>Reliable and relevant chronic ecotoxicity dataset for diclofenac</w:t>
      </w:r>
      <w:r>
        <w:rPr>
          <w:rFonts w:ascii="Times New Roman" w:hAnsi="Times New Roman" w:cs="Times New Roman"/>
          <w:color w:val="000000"/>
          <w:sz w:val="20"/>
          <w:szCs w:val="20"/>
        </w:rPr>
        <w:t>’</w:t>
      </w:r>
      <w:r w:rsidRPr="00C47989">
        <w:rPr>
          <w:rFonts w:ascii="Times New Roman" w:hAnsi="Times New Roman" w:cs="Times New Roman"/>
          <w:color w:val="000000"/>
          <w:sz w:val="20"/>
          <w:szCs w:val="20"/>
        </w:rPr>
        <w:t>)</w:t>
      </w:r>
      <w:r>
        <w:rPr>
          <w:rFonts w:ascii="Times New Roman" w:hAnsi="Times New Roman" w:cs="Times New Roman"/>
          <w:color w:val="000000"/>
          <w:sz w:val="20"/>
          <w:szCs w:val="20"/>
        </w:rPr>
        <w:t>.</w:t>
      </w:r>
      <w:r w:rsidRPr="00C47989">
        <w:rPr>
          <w:rFonts w:ascii="Times New Roman" w:hAnsi="Times New Roman" w:cs="Times New Roman"/>
          <w:color w:val="000000"/>
          <w:sz w:val="20"/>
          <w:szCs w:val="20"/>
        </w:rPr>
        <w:t xml:space="preserve"> Where the authors </w:t>
      </w:r>
      <w:r>
        <w:rPr>
          <w:rFonts w:ascii="Times New Roman" w:hAnsi="Times New Roman" w:cs="Times New Roman"/>
          <w:color w:val="000000"/>
          <w:sz w:val="20"/>
          <w:szCs w:val="20"/>
        </w:rPr>
        <w:t xml:space="preserve">of studies investigating the effects of diclofenac </w:t>
      </w:r>
      <w:r w:rsidRPr="00C47989">
        <w:rPr>
          <w:rFonts w:ascii="Times New Roman" w:hAnsi="Times New Roman" w:cs="Times New Roman"/>
          <w:color w:val="000000"/>
          <w:sz w:val="20"/>
          <w:szCs w:val="20"/>
        </w:rPr>
        <w:t xml:space="preserve">reported a statistically derived EC10 this value was </w:t>
      </w:r>
      <w:r>
        <w:rPr>
          <w:rFonts w:ascii="Times New Roman" w:hAnsi="Times New Roman" w:cs="Times New Roman"/>
          <w:color w:val="000000"/>
          <w:sz w:val="20"/>
          <w:szCs w:val="20"/>
        </w:rPr>
        <w:t>used directly by EC (2021)</w:t>
      </w:r>
      <w:r w:rsidRPr="00C47989">
        <w:rPr>
          <w:rFonts w:ascii="Times New Roman" w:hAnsi="Times New Roman" w:cs="Times New Roman"/>
          <w:color w:val="000000"/>
          <w:sz w:val="20"/>
          <w:szCs w:val="20"/>
        </w:rPr>
        <w:t xml:space="preserve"> in the</w:t>
      </w:r>
      <w:r>
        <w:rPr>
          <w:rFonts w:ascii="Times New Roman" w:hAnsi="Times New Roman" w:cs="Times New Roman"/>
          <w:color w:val="000000"/>
          <w:sz w:val="20"/>
          <w:szCs w:val="20"/>
        </w:rPr>
        <w:t>ir</w:t>
      </w:r>
      <w:r w:rsidRPr="00C47989">
        <w:rPr>
          <w:rFonts w:ascii="Times New Roman" w:hAnsi="Times New Roman" w:cs="Times New Roman"/>
          <w:color w:val="000000"/>
          <w:sz w:val="20"/>
          <w:szCs w:val="20"/>
        </w:rPr>
        <w:t xml:space="preserve"> </w:t>
      </w:r>
      <w:r>
        <w:rPr>
          <w:rFonts w:ascii="Times New Roman" w:hAnsi="Times New Roman" w:cs="Times New Roman"/>
          <w:color w:val="000000"/>
          <w:sz w:val="20"/>
          <w:szCs w:val="20"/>
        </w:rPr>
        <w:t>probabilistic assessment</w:t>
      </w:r>
      <w:r w:rsidRPr="00C47989">
        <w:rPr>
          <w:rFonts w:ascii="Times New Roman" w:hAnsi="Times New Roman" w:cs="Times New Roman"/>
          <w:color w:val="000000"/>
          <w:sz w:val="20"/>
          <w:szCs w:val="20"/>
        </w:rPr>
        <w:t>. However, where only a NOEC was reported, or the toxicity threshold was beyond the tested exposure concentration range (i.e. reported as greater than the highest test concentration or less than the lowest test concentration), an estimate of the 10% effect level based on simple linear extrapolation was used in the EQS derivation</w:t>
      </w:r>
      <w:r>
        <w:rPr>
          <w:rFonts w:ascii="Times New Roman" w:hAnsi="Times New Roman" w:cs="Times New Roman"/>
          <w:color w:val="000000"/>
          <w:sz w:val="20"/>
          <w:szCs w:val="20"/>
        </w:rPr>
        <w:t xml:space="preserve"> by EC (2021)</w:t>
      </w:r>
      <w:r w:rsidRPr="00C47989">
        <w:rPr>
          <w:rFonts w:ascii="Times New Roman" w:hAnsi="Times New Roman" w:cs="Times New Roman"/>
          <w:color w:val="000000"/>
          <w:sz w:val="20"/>
          <w:szCs w:val="20"/>
        </w:rPr>
        <w:t xml:space="preserve">. The resultant estimated toxicity threshold values are in some cases greater and in others lower than the reported NOEC. </w:t>
      </w:r>
    </w:p>
    <w:p w14:paraId="2D1C0C90" w14:textId="77777777" w:rsidR="00B8333A" w:rsidRDefault="00CF5098" w:rsidP="00CF5098">
      <w:pPr>
        <w:spacing w:line="480" w:lineRule="auto"/>
        <w:jc w:val="both"/>
        <w:rPr>
          <w:rFonts w:ascii="Times New Roman" w:hAnsi="Times New Roman" w:cs="Times New Roman"/>
          <w:sz w:val="20"/>
          <w:szCs w:val="20"/>
        </w:rPr>
      </w:pPr>
      <w:r w:rsidRPr="00C47989">
        <w:rPr>
          <w:rFonts w:ascii="Times New Roman" w:hAnsi="Times New Roman" w:cs="Times New Roman"/>
          <w:color w:val="000000"/>
          <w:sz w:val="20"/>
          <w:szCs w:val="20"/>
        </w:rPr>
        <w:t>However, it must be noted that such 10% effect estimates do not represent true EC10 values, since they have not been derived statistically from the raw data generated in each study but were instead estimated from summary data or graphs as reported in the original manuscripts.</w:t>
      </w:r>
      <w:r>
        <w:rPr>
          <w:rFonts w:ascii="Times New Roman" w:hAnsi="Times New Roman" w:cs="Times New Roman"/>
          <w:sz w:val="20"/>
          <w:szCs w:val="20"/>
        </w:rPr>
        <w:t xml:space="preserve"> </w:t>
      </w:r>
      <w:r w:rsidRPr="00C47989">
        <w:rPr>
          <w:rFonts w:ascii="Times New Roman" w:hAnsi="Times New Roman" w:cs="Times New Roman"/>
          <w:sz w:val="20"/>
          <w:szCs w:val="20"/>
        </w:rPr>
        <w:t xml:space="preserve">We </w:t>
      </w:r>
      <w:r>
        <w:rPr>
          <w:rFonts w:ascii="Times New Roman" w:hAnsi="Times New Roman" w:cs="Times New Roman"/>
          <w:sz w:val="20"/>
          <w:szCs w:val="20"/>
        </w:rPr>
        <w:t>therefore</w:t>
      </w:r>
      <w:r w:rsidRPr="00C47989">
        <w:rPr>
          <w:rFonts w:ascii="Times New Roman" w:hAnsi="Times New Roman" w:cs="Times New Roman"/>
          <w:sz w:val="20"/>
          <w:szCs w:val="20"/>
        </w:rPr>
        <w:t xml:space="preserve"> re-examined all estimated 10% effect threshold values, based on the data reported by the authors of each study in their manuscript</w:t>
      </w:r>
      <w:r>
        <w:rPr>
          <w:rFonts w:ascii="Times New Roman" w:hAnsi="Times New Roman" w:cs="Times New Roman"/>
          <w:sz w:val="20"/>
          <w:szCs w:val="20"/>
        </w:rPr>
        <w:t>.</w:t>
      </w:r>
      <w:r w:rsidRPr="00C47989">
        <w:rPr>
          <w:rFonts w:ascii="Times New Roman" w:hAnsi="Times New Roman" w:cs="Times New Roman"/>
          <w:sz w:val="20"/>
          <w:szCs w:val="20"/>
        </w:rPr>
        <w:t xml:space="preserve"> </w:t>
      </w:r>
      <w:r>
        <w:rPr>
          <w:rFonts w:ascii="Times New Roman" w:hAnsi="Times New Roman" w:cs="Times New Roman"/>
          <w:sz w:val="20"/>
          <w:szCs w:val="20"/>
        </w:rPr>
        <w:t>We came</w:t>
      </w:r>
      <w:r w:rsidRPr="00C47989">
        <w:rPr>
          <w:rFonts w:ascii="Times New Roman" w:hAnsi="Times New Roman" w:cs="Times New Roman"/>
          <w:sz w:val="20"/>
          <w:szCs w:val="20"/>
        </w:rPr>
        <w:t xml:space="preserve"> to the same conclusion regarding the 10% effect estimate as </w:t>
      </w:r>
      <w:r>
        <w:rPr>
          <w:rFonts w:ascii="Times New Roman" w:hAnsi="Times New Roman" w:cs="Times New Roman"/>
          <w:sz w:val="20"/>
          <w:szCs w:val="20"/>
        </w:rPr>
        <w:t>EC (2021)</w:t>
      </w:r>
      <w:r w:rsidRPr="00C47989">
        <w:rPr>
          <w:rFonts w:ascii="Times New Roman" w:hAnsi="Times New Roman" w:cs="Times New Roman"/>
          <w:sz w:val="20"/>
          <w:szCs w:val="20"/>
        </w:rPr>
        <w:t xml:space="preserve"> in every case, with the exception of </w:t>
      </w:r>
      <w:r>
        <w:rPr>
          <w:rFonts w:ascii="Times New Roman" w:hAnsi="Times New Roman" w:cs="Times New Roman"/>
          <w:sz w:val="20"/>
          <w:szCs w:val="20"/>
        </w:rPr>
        <w:t>a</w:t>
      </w:r>
      <w:r w:rsidRPr="00C47989">
        <w:rPr>
          <w:rFonts w:ascii="Times New Roman" w:hAnsi="Times New Roman" w:cs="Times New Roman"/>
          <w:sz w:val="20"/>
          <w:szCs w:val="20"/>
        </w:rPr>
        <w:t xml:space="preserve"> </w:t>
      </w:r>
      <w:r>
        <w:rPr>
          <w:rFonts w:ascii="Times New Roman" w:hAnsi="Times New Roman" w:cs="Times New Roman"/>
          <w:sz w:val="20"/>
          <w:szCs w:val="20"/>
        </w:rPr>
        <w:t xml:space="preserve">single </w:t>
      </w:r>
      <w:r w:rsidRPr="00C47989">
        <w:rPr>
          <w:rFonts w:ascii="Times New Roman" w:hAnsi="Times New Roman" w:cs="Times New Roman"/>
          <w:sz w:val="20"/>
          <w:szCs w:val="20"/>
        </w:rPr>
        <w:t xml:space="preserve">21-day </w:t>
      </w:r>
      <w:r w:rsidRPr="00C47989">
        <w:rPr>
          <w:rFonts w:ascii="Times New Roman" w:hAnsi="Times New Roman" w:cs="Times New Roman"/>
          <w:i/>
          <w:iCs/>
          <w:sz w:val="20"/>
          <w:szCs w:val="20"/>
        </w:rPr>
        <w:t>Daphnia magna</w:t>
      </w:r>
      <w:r w:rsidRPr="00C47989">
        <w:rPr>
          <w:rFonts w:ascii="Times New Roman" w:hAnsi="Times New Roman" w:cs="Times New Roman"/>
          <w:sz w:val="20"/>
          <w:szCs w:val="20"/>
        </w:rPr>
        <w:t xml:space="preserve"> reproduction study</w:t>
      </w:r>
      <w:r w:rsidR="00CF7382">
        <w:rPr>
          <w:rFonts w:ascii="Times New Roman" w:hAnsi="Times New Roman" w:cs="Times New Roman"/>
          <w:sz w:val="20"/>
          <w:szCs w:val="20"/>
        </w:rPr>
        <w:t xml:space="preserve"> (Liu et al. 2017)</w:t>
      </w:r>
      <w:r>
        <w:rPr>
          <w:rFonts w:ascii="Times New Roman" w:hAnsi="Times New Roman" w:cs="Times New Roman"/>
          <w:sz w:val="20"/>
          <w:szCs w:val="20"/>
        </w:rPr>
        <w:t>.</w:t>
      </w:r>
      <w:r w:rsidRPr="00C47989">
        <w:rPr>
          <w:rFonts w:ascii="Times New Roman" w:hAnsi="Times New Roman" w:cs="Times New Roman"/>
          <w:sz w:val="20"/>
          <w:szCs w:val="20"/>
        </w:rPr>
        <w:t xml:space="preserve"> </w:t>
      </w:r>
    </w:p>
    <w:p w14:paraId="32A2C2BC" w14:textId="5B00146A" w:rsidR="00CF5098" w:rsidRPr="00C47989" w:rsidRDefault="00CF5098" w:rsidP="00CF5098">
      <w:pPr>
        <w:spacing w:line="480" w:lineRule="auto"/>
        <w:jc w:val="both"/>
        <w:rPr>
          <w:rFonts w:ascii="Times New Roman" w:hAnsi="Times New Roman" w:cs="Times New Roman"/>
          <w:sz w:val="20"/>
          <w:szCs w:val="20"/>
        </w:rPr>
      </w:pPr>
      <w:r w:rsidRPr="00C47989">
        <w:rPr>
          <w:rFonts w:ascii="Times New Roman" w:hAnsi="Times New Roman" w:cs="Times New Roman"/>
          <w:sz w:val="20"/>
          <w:szCs w:val="20"/>
        </w:rPr>
        <w:t xml:space="preserve">Liu et al. (2017) exposed </w:t>
      </w:r>
      <w:r w:rsidRPr="00C47989">
        <w:rPr>
          <w:rFonts w:ascii="Times New Roman" w:hAnsi="Times New Roman" w:cs="Times New Roman"/>
          <w:i/>
          <w:iCs/>
          <w:sz w:val="20"/>
          <w:szCs w:val="20"/>
        </w:rPr>
        <w:t>D.</w:t>
      </w:r>
      <w:r>
        <w:rPr>
          <w:rFonts w:ascii="Times New Roman" w:hAnsi="Times New Roman" w:cs="Times New Roman"/>
          <w:i/>
          <w:iCs/>
          <w:sz w:val="20"/>
          <w:szCs w:val="20"/>
        </w:rPr>
        <w:t xml:space="preserve"> </w:t>
      </w:r>
      <w:r w:rsidRPr="00C47989">
        <w:rPr>
          <w:rFonts w:ascii="Times New Roman" w:hAnsi="Times New Roman" w:cs="Times New Roman"/>
          <w:i/>
          <w:iCs/>
          <w:sz w:val="20"/>
          <w:szCs w:val="20"/>
        </w:rPr>
        <w:t>magna</w:t>
      </w:r>
      <w:r w:rsidRPr="00C47989">
        <w:rPr>
          <w:rFonts w:ascii="Times New Roman" w:hAnsi="Times New Roman" w:cs="Times New Roman"/>
          <w:sz w:val="20"/>
          <w:szCs w:val="20"/>
        </w:rPr>
        <w:t xml:space="preserve"> to diclofenac concentrations of 5, 50, 500. and 5000 µg</w:t>
      </w:r>
      <w:r>
        <w:rPr>
          <w:rFonts w:ascii="Times New Roman" w:hAnsi="Times New Roman" w:cs="Times New Roman"/>
          <w:sz w:val="20"/>
          <w:szCs w:val="20"/>
        </w:rPr>
        <w:t xml:space="preserve"> </w:t>
      </w:r>
      <w:r w:rsidRPr="00C47989">
        <w:rPr>
          <w:rFonts w:ascii="Times New Roman" w:hAnsi="Times New Roman" w:cs="Times New Roman"/>
          <w:sz w:val="20"/>
          <w:szCs w:val="20"/>
        </w:rPr>
        <w:t>L</w:t>
      </w:r>
      <w:r w:rsidRPr="00326BD3">
        <w:rPr>
          <w:rFonts w:ascii="Times New Roman" w:hAnsi="Times New Roman" w:cs="Times New Roman"/>
          <w:sz w:val="20"/>
          <w:szCs w:val="20"/>
          <w:vertAlign w:val="superscript"/>
        </w:rPr>
        <w:t>-1</w:t>
      </w:r>
      <w:r w:rsidRPr="00C47989">
        <w:rPr>
          <w:rFonts w:ascii="Times New Roman" w:hAnsi="Times New Roman" w:cs="Times New Roman"/>
          <w:sz w:val="20"/>
          <w:szCs w:val="20"/>
        </w:rPr>
        <w:t xml:space="preserve"> for 21 days, and assessed moulting frequency, time until the first brood was observed (presumably </w:t>
      </w:r>
      <w:r w:rsidRPr="00C47989">
        <w:rPr>
          <w:rFonts w:ascii="Times New Roman" w:hAnsi="Times New Roman" w:cs="Times New Roman"/>
          <w:i/>
          <w:iCs/>
          <w:sz w:val="20"/>
          <w:szCs w:val="20"/>
        </w:rPr>
        <w:t>within</w:t>
      </w:r>
      <w:r w:rsidRPr="00C47989">
        <w:rPr>
          <w:rFonts w:ascii="Times New Roman" w:hAnsi="Times New Roman" w:cs="Times New Roman"/>
          <w:sz w:val="20"/>
          <w:szCs w:val="20"/>
        </w:rPr>
        <w:t xml:space="preserve"> the parent daphnids), time until production of the first neonates, number of neonates produced in the first brood, total number of neonates produced, number of broods, neonate mortality and parent</w:t>
      </w:r>
      <w:r>
        <w:rPr>
          <w:rFonts w:ascii="Times New Roman" w:hAnsi="Times New Roman" w:cs="Times New Roman"/>
          <w:sz w:val="20"/>
          <w:szCs w:val="20"/>
        </w:rPr>
        <w:t>al</w:t>
      </w:r>
      <w:r w:rsidRPr="00C47989">
        <w:rPr>
          <w:rFonts w:ascii="Times New Roman" w:hAnsi="Times New Roman" w:cs="Times New Roman"/>
          <w:sz w:val="20"/>
          <w:szCs w:val="20"/>
        </w:rPr>
        <w:t xml:space="preserve"> growth. No statistically significant effects were observed for any of these endpoints, and the NOEC is therefore &gt; 5000 µg</w:t>
      </w:r>
      <w:r>
        <w:rPr>
          <w:rFonts w:ascii="Times New Roman" w:hAnsi="Times New Roman" w:cs="Times New Roman"/>
          <w:sz w:val="20"/>
          <w:szCs w:val="20"/>
        </w:rPr>
        <w:t xml:space="preserve"> </w:t>
      </w:r>
      <w:r w:rsidRPr="00C47989">
        <w:rPr>
          <w:rFonts w:ascii="Times New Roman" w:hAnsi="Times New Roman" w:cs="Times New Roman"/>
          <w:sz w:val="20"/>
          <w:szCs w:val="20"/>
        </w:rPr>
        <w:t>L</w:t>
      </w:r>
      <w:r w:rsidRPr="003C2A6D">
        <w:rPr>
          <w:rFonts w:ascii="Times New Roman" w:hAnsi="Times New Roman" w:cs="Times New Roman"/>
          <w:sz w:val="20"/>
          <w:szCs w:val="20"/>
          <w:vertAlign w:val="superscript"/>
        </w:rPr>
        <w:t>-1</w:t>
      </w:r>
      <w:r w:rsidRPr="00C47989">
        <w:rPr>
          <w:rFonts w:ascii="Times New Roman" w:hAnsi="Times New Roman" w:cs="Times New Roman"/>
          <w:sz w:val="20"/>
          <w:szCs w:val="20"/>
        </w:rPr>
        <w:t xml:space="preserve">. However, despite the lack of statistical significance, a very shallow potential dose-response can be </w:t>
      </w:r>
      <w:r>
        <w:rPr>
          <w:rFonts w:ascii="Times New Roman" w:hAnsi="Times New Roman" w:cs="Times New Roman"/>
          <w:sz w:val="20"/>
          <w:szCs w:val="20"/>
        </w:rPr>
        <w:t>observed</w:t>
      </w:r>
      <w:r w:rsidRPr="00C47989">
        <w:rPr>
          <w:rFonts w:ascii="Times New Roman" w:hAnsi="Times New Roman" w:cs="Times New Roman"/>
          <w:sz w:val="20"/>
          <w:szCs w:val="20"/>
        </w:rPr>
        <w:t xml:space="preserve"> in the mean numbers of neonates produced in the first brood. It should be highlighted that although the mean values for this endpoint do appear to decline in a dose-dependent manner, the difference between the control and highest dose (5000 </w:t>
      </w:r>
      <w:r w:rsidRPr="00D907BB">
        <w:rPr>
          <w:rFonts w:ascii="Times New Roman" w:hAnsi="Times New Roman" w:cs="Times New Roman"/>
          <w:sz w:val="20"/>
          <w:szCs w:val="20"/>
        </w:rPr>
        <w:t>µg L</w:t>
      </w:r>
      <w:r w:rsidRPr="00D907BB">
        <w:rPr>
          <w:rFonts w:ascii="Times New Roman" w:hAnsi="Times New Roman" w:cs="Times New Roman"/>
          <w:sz w:val="20"/>
          <w:szCs w:val="20"/>
          <w:vertAlign w:val="superscript"/>
        </w:rPr>
        <w:t>-1</w:t>
      </w:r>
      <w:r w:rsidRPr="00C47989">
        <w:rPr>
          <w:rFonts w:ascii="Times New Roman" w:hAnsi="Times New Roman" w:cs="Times New Roman"/>
          <w:sz w:val="20"/>
          <w:szCs w:val="20"/>
        </w:rPr>
        <w:t>) equates to a mean value of only 1.6 neonates, and the standard deviations for all test concentrations all exceed this number (2 to 2.54 neonates), while the standard deviation for the control treatment is only very slightly less than this number at 1.36 neonates. This degree of reported within-treatment variability is almost certainly why statistical significance was not achieved at any concentration for this endpoint. At the lowest exposure concentration (5 µg</w:t>
      </w:r>
      <w:r>
        <w:rPr>
          <w:rFonts w:ascii="Times New Roman" w:hAnsi="Times New Roman" w:cs="Times New Roman"/>
          <w:sz w:val="20"/>
          <w:szCs w:val="20"/>
        </w:rPr>
        <w:t xml:space="preserve"> </w:t>
      </w:r>
      <w:r w:rsidRPr="00C47989">
        <w:rPr>
          <w:rFonts w:ascii="Times New Roman" w:hAnsi="Times New Roman" w:cs="Times New Roman"/>
          <w:sz w:val="20"/>
          <w:szCs w:val="20"/>
        </w:rPr>
        <w:t>L</w:t>
      </w:r>
      <w:r w:rsidRPr="003C2A6D">
        <w:rPr>
          <w:rFonts w:ascii="Times New Roman" w:hAnsi="Times New Roman" w:cs="Times New Roman"/>
          <w:sz w:val="20"/>
          <w:szCs w:val="20"/>
          <w:vertAlign w:val="superscript"/>
        </w:rPr>
        <w:t>-1</w:t>
      </w:r>
      <w:r w:rsidRPr="00C47989">
        <w:rPr>
          <w:rFonts w:ascii="Times New Roman" w:hAnsi="Times New Roman" w:cs="Times New Roman"/>
          <w:sz w:val="20"/>
          <w:szCs w:val="20"/>
        </w:rPr>
        <w:t xml:space="preserve">), there is an approximately 10% difference from the control, but in real terms this difference is represented by 5.1 (± 1.36) neonates for the control versus 4.6 (± 2.39) neonates for the lowest concentration. The difference in means of 0.5 neonates is clearly well within the variation between replicates for both control and </w:t>
      </w:r>
      <w:r>
        <w:rPr>
          <w:rFonts w:ascii="Times New Roman" w:hAnsi="Times New Roman" w:cs="Times New Roman"/>
          <w:sz w:val="20"/>
          <w:szCs w:val="20"/>
        </w:rPr>
        <w:t xml:space="preserve">the </w:t>
      </w:r>
      <w:r w:rsidRPr="00C47989">
        <w:rPr>
          <w:rFonts w:ascii="Times New Roman" w:hAnsi="Times New Roman" w:cs="Times New Roman"/>
          <w:sz w:val="20"/>
          <w:szCs w:val="20"/>
        </w:rPr>
        <w:t>lowest concentration and therefore cannot be considered to be substance-related. Indeed, this is the case</w:t>
      </w:r>
      <w:r>
        <w:rPr>
          <w:rFonts w:ascii="Times New Roman" w:hAnsi="Times New Roman" w:cs="Times New Roman"/>
          <w:sz w:val="20"/>
          <w:szCs w:val="20"/>
        </w:rPr>
        <w:t xml:space="preserve"> at</w:t>
      </w:r>
      <w:r w:rsidRPr="00C47989">
        <w:rPr>
          <w:rFonts w:ascii="Times New Roman" w:hAnsi="Times New Roman" w:cs="Times New Roman"/>
          <w:sz w:val="20"/>
          <w:szCs w:val="20"/>
        </w:rPr>
        <w:t xml:space="preserve"> all exposure concentrations, with a mean difference of only 1.1 neonates between concentrations of 5 and 5000 µg</w:t>
      </w:r>
      <w:r>
        <w:rPr>
          <w:rFonts w:ascii="Times New Roman" w:hAnsi="Times New Roman" w:cs="Times New Roman"/>
          <w:sz w:val="20"/>
          <w:szCs w:val="20"/>
        </w:rPr>
        <w:t xml:space="preserve"> </w:t>
      </w:r>
      <w:r w:rsidRPr="00C47989">
        <w:rPr>
          <w:rFonts w:ascii="Times New Roman" w:hAnsi="Times New Roman" w:cs="Times New Roman"/>
          <w:sz w:val="20"/>
          <w:szCs w:val="20"/>
        </w:rPr>
        <w:t>L</w:t>
      </w:r>
      <w:r w:rsidRPr="003C2A6D">
        <w:rPr>
          <w:rFonts w:ascii="Times New Roman" w:hAnsi="Times New Roman" w:cs="Times New Roman"/>
          <w:sz w:val="20"/>
          <w:szCs w:val="20"/>
          <w:vertAlign w:val="superscript"/>
        </w:rPr>
        <w:t>-1</w:t>
      </w:r>
      <w:r w:rsidRPr="00C47989">
        <w:rPr>
          <w:rFonts w:ascii="Times New Roman" w:hAnsi="Times New Roman" w:cs="Times New Roman"/>
          <w:sz w:val="20"/>
          <w:szCs w:val="20"/>
        </w:rPr>
        <w:t xml:space="preserve"> (SD = ± 2.39 in both cases), and the indication of a dose-response therefore appears coincidental, especially when compared with the other study endpoints. Finally, it should clear that the numbers of neonates in the first brood (after only 8-10 days of a 21-day study) is not an endpoint relevant </w:t>
      </w:r>
      <w:r>
        <w:rPr>
          <w:rFonts w:ascii="Times New Roman" w:hAnsi="Times New Roman" w:cs="Times New Roman"/>
          <w:sz w:val="20"/>
          <w:szCs w:val="20"/>
        </w:rPr>
        <w:t>to</w:t>
      </w:r>
      <w:r w:rsidRPr="00C47989">
        <w:rPr>
          <w:rFonts w:ascii="Times New Roman" w:hAnsi="Times New Roman" w:cs="Times New Roman"/>
          <w:sz w:val="20"/>
          <w:szCs w:val="20"/>
        </w:rPr>
        <w:t xml:space="preserve"> populations of </w:t>
      </w:r>
      <w:r w:rsidRPr="00C47989">
        <w:rPr>
          <w:rFonts w:ascii="Times New Roman" w:hAnsi="Times New Roman" w:cs="Times New Roman"/>
          <w:i/>
          <w:iCs/>
          <w:sz w:val="20"/>
          <w:szCs w:val="20"/>
        </w:rPr>
        <w:t>D. magna</w:t>
      </w:r>
      <w:r w:rsidRPr="00C47989">
        <w:rPr>
          <w:rFonts w:ascii="Times New Roman" w:hAnsi="Times New Roman" w:cs="Times New Roman"/>
          <w:sz w:val="20"/>
          <w:szCs w:val="20"/>
        </w:rPr>
        <w:t xml:space="preserve"> </w:t>
      </w:r>
      <w:r>
        <w:rPr>
          <w:rFonts w:ascii="Times New Roman" w:hAnsi="Times New Roman" w:cs="Times New Roman"/>
          <w:sz w:val="20"/>
          <w:szCs w:val="20"/>
        </w:rPr>
        <w:t>when</w:t>
      </w:r>
      <w:r w:rsidRPr="00C47989">
        <w:rPr>
          <w:rFonts w:ascii="Times New Roman" w:hAnsi="Times New Roman" w:cs="Times New Roman"/>
          <w:sz w:val="20"/>
          <w:szCs w:val="20"/>
        </w:rPr>
        <w:t xml:space="preserve"> the apparent extremely slight effect is compensated for over the full 21-days </w:t>
      </w:r>
      <w:r>
        <w:rPr>
          <w:rFonts w:ascii="Times New Roman" w:hAnsi="Times New Roman" w:cs="Times New Roman"/>
          <w:sz w:val="20"/>
          <w:szCs w:val="20"/>
        </w:rPr>
        <w:t xml:space="preserve">of a study </w:t>
      </w:r>
      <w:r w:rsidRPr="00C47989">
        <w:rPr>
          <w:rFonts w:ascii="Times New Roman" w:hAnsi="Times New Roman" w:cs="Times New Roman"/>
          <w:sz w:val="20"/>
          <w:szCs w:val="20"/>
        </w:rPr>
        <w:t>(</w:t>
      </w:r>
      <w:r>
        <w:rPr>
          <w:rFonts w:ascii="Times New Roman" w:hAnsi="Times New Roman" w:cs="Times New Roman"/>
          <w:sz w:val="20"/>
          <w:szCs w:val="20"/>
        </w:rPr>
        <w:t>during</w:t>
      </w:r>
      <w:r w:rsidRPr="00C47989">
        <w:rPr>
          <w:rFonts w:ascii="Times New Roman" w:hAnsi="Times New Roman" w:cs="Times New Roman"/>
          <w:sz w:val="20"/>
          <w:szCs w:val="20"/>
        </w:rPr>
        <w:t xml:space="preserve"> which parental daphnids would be expected to produce 4-5 broods). No apparent dose-response is evident in the mean total number of neonates produced by each individual daphnid</w:t>
      </w:r>
      <w:r w:rsidRPr="00C47989">
        <w:rPr>
          <w:rStyle w:val="FootnoteReference"/>
          <w:rFonts w:ascii="Times New Roman" w:hAnsi="Times New Roman" w:cs="Times New Roman"/>
          <w:sz w:val="20"/>
          <w:szCs w:val="20"/>
        </w:rPr>
        <w:footnoteReference w:id="1"/>
      </w:r>
      <w:r w:rsidRPr="00C47989">
        <w:rPr>
          <w:rFonts w:ascii="Times New Roman" w:hAnsi="Times New Roman" w:cs="Times New Roman"/>
          <w:sz w:val="20"/>
          <w:szCs w:val="20"/>
        </w:rPr>
        <w:t xml:space="preserve">. </w:t>
      </w:r>
    </w:p>
    <w:p w14:paraId="2915847C" w14:textId="77777777" w:rsidR="00CF5098" w:rsidRPr="00C47989" w:rsidRDefault="00CF5098" w:rsidP="00CF5098">
      <w:pPr>
        <w:spacing w:line="480" w:lineRule="auto"/>
        <w:jc w:val="both"/>
        <w:rPr>
          <w:rFonts w:ascii="Times New Roman" w:hAnsi="Times New Roman" w:cs="Times New Roman"/>
          <w:sz w:val="20"/>
          <w:szCs w:val="20"/>
        </w:rPr>
      </w:pPr>
      <w:r w:rsidRPr="00C47989">
        <w:rPr>
          <w:rFonts w:ascii="Times New Roman" w:hAnsi="Times New Roman" w:cs="Times New Roman"/>
          <w:sz w:val="20"/>
          <w:szCs w:val="20"/>
        </w:rPr>
        <w:t xml:space="preserve">Therefore, the estimated 10% effect level of 18 </w:t>
      </w:r>
      <w:r w:rsidRPr="00A76810">
        <w:rPr>
          <w:rFonts w:ascii="Times New Roman" w:hAnsi="Times New Roman" w:cs="Times New Roman"/>
          <w:sz w:val="20"/>
          <w:szCs w:val="20"/>
        </w:rPr>
        <w:t>µg L</w:t>
      </w:r>
      <w:r w:rsidRPr="00A76810">
        <w:rPr>
          <w:rFonts w:ascii="Times New Roman" w:hAnsi="Times New Roman" w:cs="Times New Roman"/>
          <w:sz w:val="20"/>
          <w:szCs w:val="20"/>
          <w:vertAlign w:val="superscript"/>
        </w:rPr>
        <w:t>-1</w:t>
      </w:r>
      <w:r w:rsidRPr="00C47989">
        <w:rPr>
          <w:rFonts w:ascii="Times New Roman" w:hAnsi="Times New Roman" w:cs="Times New Roman"/>
          <w:sz w:val="20"/>
          <w:szCs w:val="20"/>
        </w:rPr>
        <w:t xml:space="preserve"> for 21-day reproduction in </w:t>
      </w:r>
      <w:r w:rsidRPr="00A76810">
        <w:rPr>
          <w:rFonts w:ascii="Times New Roman" w:hAnsi="Times New Roman" w:cs="Times New Roman"/>
          <w:i/>
          <w:iCs/>
          <w:sz w:val="20"/>
          <w:szCs w:val="20"/>
        </w:rPr>
        <w:t>D. magna</w:t>
      </w:r>
      <w:r w:rsidRPr="00C47989">
        <w:rPr>
          <w:rFonts w:ascii="Times New Roman" w:hAnsi="Times New Roman" w:cs="Times New Roman"/>
          <w:sz w:val="20"/>
          <w:szCs w:val="20"/>
        </w:rPr>
        <w:t xml:space="preserve"> from Liu et al. (2017) is considered unreliable, and as no 10% effect value can be estimated from the other (population-relevant) endpoints, this study has been excluded from </w:t>
      </w:r>
      <w:r>
        <w:rPr>
          <w:rFonts w:ascii="Times New Roman" w:hAnsi="Times New Roman" w:cs="Times New Roman"/>
          <w:sz w:val="20"/>
          <w:szCs w:val="20"/>
        </w:rPr>
        <w:t>our</w:t>
      </w:r>
      <w:r w:rsidRPr="00C47989">
        <w:rPr>
          <w:rFonts w:ascii="Times New Roman" w:hAnsi="Times New Roman" w:cs="Times New Roman"/>
          <w:sz w:val="20"/>
          <w:szCs w:val="20"/>
        </w:rPr>
        <w:t xml:space="preserve"> assessment.</w:t>
      </w:r>
    </w:p>
    <w:p w14:paraId="715A6C26" w14:textId="77777777" w:rsidR="00CF5098" w:rsidRDefault="00CF5098" w:rsidP="00CF5098">
      <w:pPr>
        <w:spacing w:line="480" w:lineRule="auto"/>
        <w:ind w:left="720" w:hanging="720"/>
        <w:jc w:val="both"/>
        <w:rPr>
          <w:rFonts w:ascii="Times New Roman" w:hAnsi="Times New Roman" w:cs="Times New Roman"/>
          <w:b/>
          <w:bCs/>
          <w:sz w:val="20"/>
          <w:szCs w:val="20"/>
        </w:rPr>
        <w:sectPr w:rsidR="00CF5098" w:rsidSect="00C07703">
          <w:pgSz w:w="11906" w:h="16838"/>
          <w:pgMar w:top="1440" w:right="1440" w:bottom="1440" w:left="1440" w:header="708" w:footer="708" w:gutter="0"/>
          <w:lnNumType w:countBy="1" w:restart="continuous"/>
          <w:cols w:space="708"/>
          <w:docGrid w:linePitch="360"/>
        </w:sectPr>
      </w:pPr>
    </w:p>
    <w:p w14:paraId="3241F47C" w14:textId="2F206493" w:rsidR="00D64C93" w:rsidRPr="005963A2" w:rsidRDefault="00CF7382" w:rsidP="00D64C93">
      <w:pPr>
        <w:spacing w:line="48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Table - </w:t>
      </w:r>
      <w:r w:rsidR="00D64C93">
        <w:rPr>
          <w:rFonts w:ascii="Times New Roman" w:hAnsi="Times New Roman" w:cs="Times New Roman"/>
          <w:b/>
          <w:bCs/>
          <w:sz w:val="20"/>
          <w:szCs w:val="20"/>
        </w:rPr>
        <w:t>Reliable and relevant chronic ecotoxicity dataset for diclofenac</w:t>
      </w:r>
    </w:p>
    <w:tbl>
      <w:tblPr>
        <w:tblW w:w="122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1620"/>
        <w:gridCol w:w="2218"/>
        <w:gridCol w:w="1686"/>
        <w:gridCol w:w="1466"/>
        <w:gridCol w:w="1662"/>
        <w:gridCol w:w="2068"/>
      </w:tblGrid>
      <w:tr w:rsidR="00D64C93" w:rsidRPr="00C47989" w14:paraId="0B52FB57" w14:textId="77777777" w:rsidTr="00914520">
        <w:trPr>
          <w:tblHeader/>
        </w:trPr>
        <w:tc>
          <w:tcPr>
            <w:tcW w:w="1512" w:type="dxa"/>
            <w:vAlign w:val="center"/>
          </w:tcPr>
          <w:p w14:paraId="274D1775" w14:textId="77777777" w:rsidR="00D64C93" w:rsidRPr="00C47989" w:rsidRDefault="00D64C93" w:rsidP="00914520">
            <w:pPr>
              <w:jc w:val="center"/>
              <w:rPr>
                <w:rFonts w:ascii="Times New Roman" w:hAnsi="Times New Roman" w:cs="Times New Roman"/>
                <w:b/>
                <w:bCs/>
                <w:color w:val="000000" w:themeColor="text1"/>
                <w:spacing w:val="1"/>
                <w:sz w:val="20"/>
                <w:szCs w:val="20"/>
              </w:rPr>
            </w:pPr>
            <w:r w:rsidRPr="00C47989">
              <w:rPr>
                <w:rFonts w:ascii="Times New Roman" w:hAnsi="Times New Roman" w:cs="Times New Roman"/>
                <w:b/>
                <w:bCs/>
                <w:color w:val="000000" w:themeColor="text1"/>
                <w:spacing w:val="1"/>
                <w:sz w:val="20"/>
                <w:szCs w:val="20"/>
              </w:rPr>
              <w:t>Taxonomic Group</w:t>
            </w:r>
          </w:p>
        </w:tc>
        <w:tc>
          <w:tcPr>
            <w:tcW w:w="1620" w:type="dxa"/>
            <w:vAlign w:val="center"/>
          </w:tcPr>
          <w:p w14:paraId="5389B83F" w14:textId="77777777" w:rsidR="00D64C93" w:rsidRPr="00C47989" w:rsidRDefault="00D64C93" w:rsidP="00914520">
            <w:pPr>
              <w:jc w:val="center"/>
              <w:rPr>
                <w:rFonts w:ascii="Times New Roman" w:hAnsi="Times New Roman" w:cs="Times New Roman"/>
                <w:b/>
                <w:bCs/>
                <w:color w:val="000000" w:themeColor="text1"/>
                <w:spacing w:val="1"/>
                <w:sz w:val="20"/>
                <w:szCs w:val="20"/>
              </w:rPr>
            </w:pPr>
            <w:r w:rsidRPr="00C47989">
              <w:rPr>
                <w:rFonts w:ascii="Times New Roman" w:hAnsi="Times New Roman" w:cs="Times New Roman"/>
                <w:b/>
                <w:bCs/>
                <w:color w:val="000000" w:themeColor="text1"/>
                <w:spacing w:val="1"/>
                <w:sz w:val="20"/>
                <w:szCs w:val="20"/>
              </w:rPr>
              <w:t>Organism</w:t>
            </w:r>
          </w:p>
        </w:tc>
        <w:tc>
          <w:tcPr>
            <w:tcW w:w="2218" w:type="dxa"/>
            <w:vAlign w:val="center"/>
          </w:tcPr>
          <w:p w14:paraId="656E336F" w14:textId="77777777" w:rsidR="00D64C93" w:rsidRPr="00C47989" w:rsidRDefault="00D64C93" w:rsidP="00914520">
            <w:pPr>
              <w:jc w:val="center"/>
              <w:rPr>
                <w:rFonts w:ascii="Times New Roman" w:hAnsi="Times New Roman" w:cs="Times New Roman"/>
                <w:b/>
                <w:bCs/>
                <w:color w:val="000000" w:themeColor="text1"/>
                <w:spacing w:val="1"/>
                <w:sz w:val="20"/>
                <w:szCs w:val="20"/>
              </w:rPr>
            </w:pPr>
            <w:r w:rsidRPr="00C47989">
              <w:rPr>
                <w:rFonts w:ascii="Times New Roman" w:hAnsi="Times New Roman" w:cs="Times New Roman"/>
                <w:b/>
                <w:bCs/>
                <w:color w:val="000000" w:themeColor="text1"/>
                <w:spacing w:val="1"/>
                <w:sz w:val="20"/>
                <w:szCs w:val="20"/>
              </w:rPr>
              <w:t>Endpoint</w:t>
            </w:r>
          </w:p>
        </w:tc>
        <w:tc>
          <w:tcPr>
            <w:tcW w:w="1686" w:type="dxa"/>
            <w:vAlign w:val="center"/>
          </w:tcPr>
          <w:p w14:paraId="4FB80E67" w14:textId="77777777" w:rsidR="00D64C93" w:rsidRPr="00C47989" w:rsidRDefault="00D64C93" w:rsidP="00914520">
            <w:pPr>
              <w:jc w:val="center"/>
              <w:rPr>
                <w:rFonts w:ascii="Times New Roman" w:hAnsi="Times New Roman" w:cs="Times New Roman"/>
                <w:b/>
                <w:bCs/>
                <w:color w:val="000000" w:themeColor="text1"/>
                <w:spacing w:val="1"/>
                <w:sz w:val="20"/>
                <w:szCs w:val="20"/>
              </w:rPr>
            </w:pPr>
            <w:r w:rsidRPr="00C47989">
              <w:rPr>
                <w:rFonts w:ascii="Times New Roman" w:hAnsi="Times New Roman" w:cs="Times New Roman"/>
                <w:b/>
                <w:bCs/>
                <w:color w:val="000000" w:themeColor="text1"/>
                <w:spacing w:val="1"/>
                <w:sz w:val="20"/>
                <w:szCs w:val="20"/>
              </w:rPr>
              <w:t>Duration</w:t>
            </w:r>
          </w:p>
        </w:tc>
        <w:tc>
          <w:tcPr>
            <w:tcW w:w="1466" w:type="dxa"/>
            <w:vAlign w:val="center"/>
          </w:tcPr>
          <w:p w14:paraId="630D6087" w14:textId="77777777" w:rsidR="00D64C93" w:rsidRPr="00C47989" w:rsidRDefault="00D64C93" w:rsidP="00914520">
            <w:pPr>
              <w:jc w:val="center"/>
              <w:rPr>
                <w:rFonts w:ascii="Times New Roman" w:hAnsi="Times New Roman" w:cs="Times New Roman"/>
                <w:b/>
                <w:bCs/>
                <w:color w:val="000000" w:themeColor="text1"/>
                <w:spacing w:val="1"/>
                <w:sz w:val="20"/>
                <w:szCs w:val="20"/>
              </w:rPr>
            </w:pPr>
            <w:r w:rsidRPr="00C47989">
              <w:rPr>
                <w:rFonts w:ascii="Times New Roman" w:hAnsi="Times New Roman" w:cs="Times New Roman"/>
                <w:b/>
                <w:bCs/>
                <w:color w:val="000000" w:themeColor="text1"/>
                <w:spacing w:val="1"/>
                <w:sz w:val="20"/>
                <w:szCs w:val="20"/>
              </w:rPr>
              <w:t>Reported NOEC/ EC10 (µg/L)</w:t>
            </w:r>
          </w:p>
        </w:tc>
        <w:tc>
          <w:tcPr>
            <w:tcW w:w="1662" w:type="dxa"/>
            <w:vAlign w:val="center"/>
          </w:tcPr>
          <w:p w14:paraId="133D1674" w14:textId="77777777" w:rsidR="00D64C93" w:rsidRPr="00C47989" w:rsidRDefault="00D64C93" w:rsidP="00914520">
            <w:pPr>
              <w:jc w:val="center"/>
              <w:rPr>
                <w:rFonts w:ascii="Times New Roman" w:hAnsi="Times New Roman" w:cs="Times New Roman"/>
                <w:b/>
                <w:bCs/>
                <w:color w:val="000000" w:themeColor="text1"/>
                <w:spacing w:val="1"/>
                <w:sz w:val="20"/>
                <w:szCs w:val="20"/>
              </w:rPr>
            </w:pPr>
            <w:r w:rsidRPr="00C47989">
              <w:rPr>
                <w:rFonts w:ascii="Times New Roman" w:hAnsi="Times New Roman" w:cs="Times New Roman"/>
                <w:b/>
                <w:bCs/>
                <w:color w:val="000000" w:themeColor="text1"/>
                <w:spacing w:val="1"/>
                <w:sz w:val="20"/>
                <w:szCs w:val="20"/>
              </w:rPr>
              <w:t>Estimated 10% effect level* (µg/L)</w:t>
            </w:r>
          </w:p>
        </w:tc>
        <w:tc>
          <w:tcPr>
            <w:tcW w:w="2068" w:type="dxa"/>
            <w:vAlign w:val="center"/>
          </w:tcPr>
          <w:p w14:paraId="299319D6" w14:textId="77777777" w:rsidR="00D64C93" w:rsidRPr="00C47989" w:rsidRDefault="00D64C93" w:rsidP="00914520">
            <w:pPr>
              <w:jc w:val="center"/>
              <w:rPr>
                <w:rFonts w:ascii="Times New Roman" w:hAnsi="Times New Roman" w:cs="Times New Roman"/>
                <w:b/>
                <w:bCs/>
                <w:color w:val="000000" w:themeColor="text1"/>
                <w:spacing w:val="1"/>
                <w:sz w:val="20"/>
                <w:szCs w:val="20"/>
              </w:rPr>
            </w:pPr>
            <w:r w:rsidRPr="00C47989">
              <w:rPr>
                <w:rFonts w:ascii="Times New Roman" w:hAnsi="Times New Roman" w:cs="Times New Roman"/>
                <w:b/>
                <w:bCs/>
                <w:color w:val="000000" w:themeColor="text1"/>
                <w:spacing w:val="1"/>
                <w:sz w:val="20"/>
                <w:szCs w:val="20"/>
              </w:rPr>
              <w:t>Reference</w:t>
            </w:r>
          </w:p>
        </w:tc>
      </w:tr>
      <w:tr w:rsidR="00D64C93" w:rsidRPr="00C47989" w14:paraId="2E6E547D" w14:textId="77777777" w:rsidTr="00914520">
        <w:tc>
          <w:tcPr>
            <w:tcW w:w="1512" w:type="dxa"/>
            <w:vAlign w:val="center"/>
          </w:tcPr>
          <w:p w14:paraId="0980EEDB"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Algae</w:t>
            </w:r>
          </w:p>
        </w:tc>
        <w:tc>
          <w:tcPr>
            <w:tcW w:w="1620" w:type="dxa"/>
            <w:vAlign w:val="center"/>
          </w:tcPr>
          <w:p w14:paraId="32580E84" w14:textId="77777777" w:rsidR="00D64C93" w:rsidRPr="00C47989" w:rsidRDefault="00D64C93" w:rsidP="00914520">
            <w:pPr>
              <w:jc w:val="center"/>
              <w:rPr>
                <w:rFonts w:ascii="Times New Roman" w:hAnsi="Times New Roman" w:cs="Times New Roman"/>
                <w:i/>
                <w:color w:val="000000" w:themeColor="text1"/>
                <w:spacing w:val="1"/>
                <w:sz w:val="20"/>
                <w:szCs w:val="20"/>
              </w:rPr>
            </w:pPr>
            <w:r w:rsidRPr="00C47989">
              <w:rPr>
                <w:rFonts w:ascii="Times New Roman" w:hAnsi="Times New Roman" w:cs="Times New Roman"/>
                <w:i/>
                <w:iCs/>
                <w:sz w:val="20"/>
                <w:szCs w:val="20"/>
              </w:rPr>
              <w:t>Desmodesmus subspicatus</w:t>
            </w:r>
          </w:p>
        </w:tc>
        <w:tc>
          <w:tcPr>
            <w:tcW w:w="2218" w:type="dxa"/>
            <w:vAlign w:val="center"/>
          </w:tcPr>
          <w:p w14:paraId="7731B850"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Population growth</w:t>
            </w:r>
          </w:p>
        </w:tc>
        <w:tc>
          <w:tcPr>
            <w:tcW w:w="1686" w:type="dxa"/>
            <w:vAlign w:val="center"/>
          </w:tcPr>
          <w:p w14:paraId="4978D783"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3 days</w:t>
            </w:r>
          </w:p>
        </w:tc>
        <w:tc>
          <w:tcPr>
            <w:tcW w:w="1466" w:type="dxa"/>
            <w:vAlign w:val="center"/>
          </w:tcPr>
          <w:p w14:paraId="3BF09F92"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spacing w:val="1"/>
                <w:sz w:val="20"/>
                <w:szCs w:val="20"/>
              </w:rPr>
              <w:t>52600</w:t>
            </w:r>
          </w:p>
        </w:tc>
        <w:tc>
          <w:tcPr>
            <w:tcW w:w="1662" w:type="dxa"/>
            <w:vAlign w:val="center"/>
          </w:tcPr>
          <w:p w14:paraId="19267BDC"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52600</w:t>
            </w:r>
          </w:p>
        </w:tc>
        <w:tc>
          <w:tcPr>
            <w:tcW w:w="2068" w:type="dxa"/>
            <w:vAlign w:val="center"/>
          </w:tcPr>
          <w:p w14:paraId="746A55E6"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sz w:val="20"/>
                <w:szCs w:val="20"/>
              </w:rPr>
              <w:t>Meden-Kunkel and Maletzki 2010</w:t>
            </w:r>
          </w:p>
        </w:tc>
      </w:tr>
      <w:tr w:rsidR="00D64C93" w:rsidRPr="00C47989" w14:paraId="3F3675CD" w14:textId="77777777" w:rsidTr="00914520">
        <w:tc>
          <w:tcPr>
            <w:tcW w:w="1512" w:type="dxa"/>
            <w:vAlign w:val="center"/>
          </w:tcPr>
          <w:p w14:paraId="59AC03AB"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Algae</w:t>
            </w:r>
          </w:p>
        </w:tc>
        <w:tc>
          <w:tcPr>
            <w:tcW w:w="1620" w:type="dxa"/>
            <w:vAlign w:val="center"/>
          </w:tcPr>
          <w:p w14:paraId="3715A32B" w14:textId="77777777" w:rsidR="00D64C93" w:rsidRPr="00C47989" w:rsidRDefault="00D64C93" w:rsidP="00914520">
            <w:pPr>
              <w:jc w:val="center"/>
              <w:rPr>
                <w:rFonts w:ascii="Times New Roman" w:hAnsi="Times New Roman" w:cs="Times New Roman"/>
                <w:i/>
                <w:iCs/>
                <w:sz w:val="20"/>
                <w:szCs w:val="20"/>
              </w:rPr>
            </w:pPr>
            <w:r w:rsidRPr="00C47989">
              <w:rPr>
                <w:rFonts w:ascii="Times New Roman" w:hAnsi="Times New Roman" w:cs="Times New Roman"/>
                <w:i/>
                <w:iCs/>
                <w:sz w:val="20"/>
                <w:szCs w:val="20"/>
              </w:rPr>
              <w:t>Desmodesmus subspicatus</w:t>
            </w:r>
          </w:p>
        </w:tc>
        <w:tc>
          <w:tcPr>
            <w:tcW w:w="2218" w:type="dxa"/>
            <w:vAlign w:val="center"/>
          </w:tcPr>
          <w:p w14:paraId="54217F9D"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Population growth</w:t>
            </w:r>
          </w:p>
        </w:tc>
        <w:tc>
          <w:tcPr>
            <w:tcW w:w="1686" w:type="dxa"/>
            <w:vAlign w:val="center"/>
          </w:tcPr>
          <w:p w14:paraId="24297F75"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3 days</w:t>
            </w:r>
          </w:p>
        </w:tc>
        <w:tc>
          <w:tcPr>
            <w:tcW w:w="1466" w:type="dxa"/>
            <w:vAlign w:val="center"/>
          </w:tcPr>
          <w:p w14:paraId="670B61AD"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15540</w:t>
            </w:r>
          </w:p>
        </w:tc>
        <w:tc>
          <w:tcPr>
            <w:tcW w:w="1662" w:type="dxa"/>
            <w:vAlign w:val="center"/>
          </w:tcPr>
          <w:p w14:paraId="3AAF1033" w14:textId="77777777" w:rsidR="00D64C93" w:rsidRPr="00AA6109" w:rsidRDefault="00D64C93" w:rsidP="00914520">
            <w:pPr>
              <w:jc w:val="center"/>
              <w:rPr>
                <w:rFonts w:ascii="Times New Roman" w:hAnsi="Times New Roman" w:cs="Times New Roman"/>
                <w:b/>
                <w:bCs/>
                <w:color w:val="000000" w:themeColor="text1"/>
                <w:spacing w:val="1"/>
                <w:sz w:val="20"/>
                <w:szCs w:val="20"/>
              </w:rPr>
            </w:pPr>
            <w:r w:rsidRPr="00AA6109">
              <w:rPr>
                <w:rFonts w:ascii="Times New Roman" w:hAnsi="Times New Roman" w:cs="Times New Roman"/>
                <w:b/>
                <w:bCs/>
                <w:color w:val="000000" w:themeColor="text1"/>
                <w:spacing w:val="1"/>
                <w:sz w:val="20"/>
                <w:szCs w:val="20"/>
              </w:rPr>
              <w:t>15540</w:t>
            </w:r>
          </w:p>
        </w:tc>
        <w:tc>
          <w:tcPr>
            <w:tcW w:w="2068" w:type="dxa"/>
            <w:vAlign w:val="center"/>
          </w:tcPr>
          <w:p w14:paraId="690D5302"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Weissmannova et al. 2018</w:t>
            </w:r>
          </w:p>
        </w:tc>
      </w:tr>
      <w:tr w:rsidR="00D64C93" w:rsidRPr="00C47989" w14:paraId="21EAEE20" w14:textId="77777777" w:rsidTr="00914520">
        <w:tc>
          <w:tcPr>
            <w:tcW w:w="1512" w:type="dxa"/>
            <w:vAlign w:val="center"/>
          </w:tcPr>
          <w:p w14:paraId="27521FE7" w14:textId="77777777" w:rsidR="00D64C93" w:rsidRPr="00C47989" w:rsidRDefault="00D64C93" w:rsidP="00914520">
            <w:pPr>
              <w:jc w:val="center"/>
              <w:rPr>
                <w:rFonts w:ascii="Times New Roman" w:hAnsi="Times New Roman" w:cs="Times New Roman"/>
                <w:spacing w:val="1"/>
                <w:sz w:val="20"/>
                <w:szCs w:val="20"/>
              </w:rPr>
            </w:pPr>
            <w:r w:rsidRPr="00C47989">
              <w:rPr>
                <w:rFonts w:ascii="Times New Roman" w:hAnsi="Times New Roman" w:cs="Times New Roman"/>
                <w:spacing w:val="1"/>
                <w:sz w:val="20"/>
                <w:szCs w:val="20"/>
              </w:rPr>
              <w:t>Algae</w:t>
            </w:r>
          </w:p>
        </w:tc>
        <w:tc>
          <w:tcPr>
            <w:tcW w:w="1620" w:type="dxa"/>
            <w:vAlign w:val="center"/>
          </w:tcPr>
          <w:p w14:paraId="149EA003" w14:textId="77777777" w:rsidR="00D64C93" w:rsidRPr="00C47989" w:rsidRDefault="00D64C93" w:rsidP="00914520">
            <w:pPr>
              <w:jc w:val="center"/>
              <w:rPr>
                <w:rFonts w:ascii="Times New Roman" w:hAnsi="Times New Roman" w:cs="Times New Roman"/>
                <w:i/>
                <w:iCs/>
                <w:sz w:val="20"/>
                <w:szCs w:val="20"/>
              </w:rPr>
            </w:pPr>
            <w:r w:rsidRPr="00C47989">
              <w:rPr>
                <w:rFonts w:ascii="Times New Roman" w:hAnsi="Times New Roman" w:cs="Times New Roman"/>
                <w:i/>
                <w:iCs/>
                <w:sz w:val="20"/>
                <w:szCs w:val="20"/>
              </w:rPr>
              <w:t>Dunaliella tertiolecta</w:t>
            </w:r>
          </w:p>
        </w:tc>
        <w:tc>
          <w:tcPr>
            <w:tcW w:w="2218" w:type="dxa"/>
            <w:vAlign w:val="center"/>
          </w:tcPr>
          <w:p w14:paraId="246D4452" w14:textId="77777777" w:rsidR="00D64C93" w:rsidRPr="00C47989" w:rsidRDefault="00D64C93" w:rsidP="00914520">
            <w:pPr>
              <w:jc w:val="center"/>
              <w:rPr>
                <w:rFonts w:ascii="Times New Roman" w:hAnsi="Times New Roman" w:cs="Times New Roman"/>
                <w:spacing w:val="1"/>
                <w:sz w:val="20"/>
                <w:szCs w:val="20"/>
              </w:rPr>
            </w:pPr>
            <w:r w:rsidRPr="00C47989">
              <w:rPr>
                <w:rFonts w:ascii="Times New Roman" w:hAnsi="Times New Roman" w:cs="Times New Roman"/>
                <w:spacing w:val="1"/>
                <w:sz w:val="20"/>
                <w:szCs w:val="20"/>
              </w:rPr>
              <w:t>Population growth</w:t>
            </w:r>
          </w:p>
        </w:tc>
        <w:tc>
          <w:tcPr>
            <w:tcW w:w="1686" w:type="dxa"/>
            <w:vAlign w:val="center"/>
          </w:tcPr>
          <w:p w14:paraId="0EE2BE3B" w14:textId="77777777" w:rsidR="00D64C93" w:rsidRPr="00C47989" w:rsidRDefault="00D64C93" w:rsidP="00914520">
            <w:pPr>
              <w:jc w:val="center"/>
              <w:rPr>
                <w:rFonts w:ascii="Times New Roman" w:hAnsi="Times New Roman" w:cs="Times New Roman"/>
                <w:spacing w:val="1"/>
                <w:sz w:val="20"/>
                <w:szCs w:val="20"/>
              </w:rPr>
            </w:pPr>
            <w:r w:rsidRPr="00C47989">
              <w:rPr>
                <w:rFonts w:ascii="Times New Roman" w:hAnsi="Times New Roman" w:cs="Times New Roman"/>
                <w:spacing w:val="1"/>
                <w:sz w:val="20"/>
                <w:szCs w:val="20"/>
              </w:rPr>
              <w:t>4 days</w:t>
            </w:r>
          </w:p>
        </w:tc>
        <w:tc>
          <w:tcPr>
            <w:tcW w:w="1466" w:type="dxa"/>
            <w:vAlign w:val="center"/>
          </w:tcPr>
          <w:p w14:paraId="2BA89901" w14:textId="77777777" w:rsidR="00D64C93" w:rsidRPr="00C47989" w:rsidRDefault="00D64C93" w:rsidP="00914520">
            <w:pPr>
              <w:jc w:val="center"/>
              <w:rPr>
                <w:rFonts w:ascii="Times New Roman" w:hAnsi="Times New Roman" w:cs="Times New Roman"/>
                <w:spacing w:val="1"/>
                <w:sz w:val="20"/>
                <w:szCs w:val="20"/>
              </w:rPr>
            </w:pPr>
            <w:r w:rsidRPr="00C47989">
              <w:rPr>
                <w:rFonts w:ascii="Times New Roman" w:hAnsi="Times New Roman" w:cs="Times New Roman"/>
                <w:spacing w:val="1"/>
                <w:sz w:val="20"/>
                <w:szCs w:val="20"/>
              </w:rPr>
              <w:t>&lt;25000</w:t>
            </w:r>
          </w:p>
        </w:tc>
        <w:tc>
          <w:tcPr>
            <w:tcW w:w="1662" w:type="dxa"/>
            <w:vAlign w:val="center"/>
          </w:tcPr>
          <w:p w14:paraId="7E027E59" w14:textId="77777777" w:rsidR="00D64C93" w:rsidRPr="00AA6109" w:rsidRDefault="00D64C93" w:rsidP="00914520">
            <w:pPr>
              <w:jc w:val="center"/>
              <w:rPr>
                <w:rFonts w:ascii="Times New Roman" w:hAnsi="Times New Roman" w:cs="Times New Roman"/>
                <w:b/>
                <w:bCs/>
                <w:spacing w:val="1"/>
                <w:sz w:val="20"/>
                <w:szCs w:val="20"/>
              </w:rPr>
            </w:pPr>
            <w:r w:rsidRPr="00AA6109">
              <w:rPr>
                <w:rFonts w:ascii="Times New Roman" w:hAnsi="Times New Roman" w:cs="Times New Roman"/>
                <w:b/>
                <w:bCs/>
                <w:spacing w:val="1"/>
                <w:sz w:val="20"/>
                <w:szCs w:val="20"/>
              </w:rPr>
              <w:t>25000</w:t>
            </w:r>
          </w:p>
        </w:tc>
        <w:tc>
          <w:tcPr>
            <w:tcW w:w="2068" w:type="dxa"/>
            <w:vAlign w:val="center"/>
          </w:tcPr>
          <w:p w14:paraId="40B60502"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DeLorenzo and Fleming 2008</w:t>
            </w:r>
          </w:p>
        </w:tc>
      </w:tr>
      <w:tr w:rsidR="00D64C93" w:rsidRPr="00C47989" w14:paraId="2662B43E" w14:textId="77777777" w:rsidTr="00914520">
        <w:tc>
          <w:tcPr>
            <w:tcW w:w="1512" w:type="dxa"/>
            <w:vAlign w:val="center"/>
          </w:tcPr>
          <w:p w14:paraId="4CBE17A4"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Aquatic plant</w:t>
            </w:r>
          </w:p>
        </w:tc>
        <w:tc>
          <w:tcPr>
            <w:tcW w:w="1620" w:type="dxa"/>
            <w:vAlign w:val="center"/>
          </w:tcPr>
          <w:p w14:paraId="339DDC80" w14:textId="77777777" w:rsidR="00D64C93" w:rsidRPr="00C47989" w:rsidRDefault="00D64C93" w:rsidP="00914520">
            <w:pPr>
              <w:jc w:val="center"/>
              <w:rPr>
                <w:rFonts w:ascii="Times New Roman" w:hAnsi="Times New Roman" w:cs="Times New Roman"/>
                <w:i/>
                <w:iCs/>
                <w:sz w:val="20"/>
                <w:szCs w:val="20"/>
              </w:rPr>
            </w:pPr>
            <w:r w:rsidRPr="00C47989">
              <w:rPr>
                <w:rFonts w:ascii="Times New Roman" w:hAnsi="Times New Roman" w:cs="Times New Roman"/>
                <w:i/>
                <w:color w:val="000000"/>
                <w:sz w:val="20"/>
                <w:szCs w:val="20"/>
              </w:rPr>
              <w:t>Lemna minor</w:t>
            </w:r>
          </w:p>
        </w:tc>
        <w:tc>
          <w:tcPr>
            <w:tcW w:w="2218" w:type="dxa"/>
            <w:vAlign w:val="center"/>
          </w:tcPr>
          <w:p w14:paraId="4A20DFE2"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Growth</w:t>
            </w:r>
          </w:p>
        </w:tc>
        <w:tc>
          <w:tcPr>
            <w:tcW w:w="1686" w:type="dxa"/>
            <w:vAlign w:val="center"/>
          </w:tcPr>
          <w:p w14:paraId="6A39C295"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10 days</w:t>
            </w:r>
          </w:p>
        </w:tc>
        <w:tc>
          <w:tcPr>
            <w:tcW w:w="1466" w:type="dxa"/>
            <w:vAlign w:val="center"/>
          </w:tcPr>
          <w:p w14:paraId="44EAB408"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10</w:t>
            </w:r>
          </w:p>
        </w:tc>
        <w:tc>
          <w:tcPr>
            <w:tcW w:w="1662" w:type="dxa"/>
            <w:vAlign w:val="center"/>
          </w:tcPr>
          <w:p w14:paraId="7B0971F1" w14:textId="77777777" w:rsidR="00D64C93" w:rsidRPr="00AA6109" w:rsidRDefault="00D64C93" w:rsidP="00914520">
            <w:pPr>
              <w:jc w:val="center"/>
              <w:rPr>
                <w:rFonts w:ascii="Times New Roman" w:hAnsi="Times New Roman" w:cs="Times New Roman"/>
                <w:b/>
                <w:bCs/>
                <w:i/>
                <w:iCs/>
                <w:sz w:val="20"/>
                <w:szCs w:val="20"/>
              </w:rPr>
            </w:pPr>
            <w:r w:rsidRPr="00AA6109">
              <w:rPr>
                <w:rFonts w:ascii="Times New Roman" w:hAnsi="Times New Roman" w:cs="Times New Roman"/>
                <w:b/>
                <w:bCs/>
                <w:i/>
                <w:iCs/>
                <w:sz w:val="20"/>
                <w:szCs w:val="20"/>
              </w:rPr>
              <w:t>1.7</w:t>
            </w:r>
          </w:p>
        </w:tc>
        <w:tc>
          <w:tcPr>
            <w:tcW w:w="2068" w:type="dxa"/>
            <w:vAlign w:val="center"/>
          </w:tcPr>
          <w:p w14:paraId="34651EFE"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color w:val="000000"/>
                <w:sz w:val="20"/>
                <w:szCs w:val="20"/>
              </w:rPr>
              <w:t>Kummerova et al. 2016</w:t>
            </w:r>
          </w:p>
        </w:tc>
      </w:tr>
      <w:tr w:rsidR="00D64C93" w:rsidRPr="00C47989" w14:paraId="67DF31DE" w14:textId="77777777" w:rsidTr="00914520">
        <w:tc>
          <w:tcPr>
            <w:tcW w:w="1512" w:type="dxa"/>
            <w:vAlign w:val="center"/>
          </w:tcPr>
          <w:p w14:paraId="33A96A51"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Aquatic plant</w:t>
            </w:r>
          </w:p>
        </w:tc>
        <w:tc>
          <w:tcPr>
            <w:tcW w:w="1620" w:type="dxa"/>
            <w:vAlign w:val="center"/>
          </w:tcPr>
          <w:p w14:paraId="05607D52" w14:textId="77777777" w:rsidR="00D64C93" w:rsidRPr="00C47989" w:rsidRDefault="00D64C93" w:rsidP="00914520">
            <w:pPr>
              <w:jc w:val="center"/>
              <w:rPr>
                <w:rFonts w:ascii="Times New Roman" w:hAnsi="Times New Roman" w:cs="Times New Roman"/>
                <w:i/>
                <w:sz w:val="20"/>
                <w:szCs w:val="20"/>
                <w:lang w:eastAsia="en-GB"/>
              </w:rPr>
            </w:pPr>
            <w:r w:rsidRPr="00C47989">
              <w:rPr>
                <w:rFonts w:ascii="Times New Roman" w:hAnsi="Times New Roman" w:cs="Times New Roman"/>
                <w:i/>
                <w:sz w:val="20"/>
                <w:szCs w:val="20"/>
                <w:lang w:eastAsia="en-GB"/>
              </w:rPr>
              <w:t>Lemna minor</w:t>
            </w:r>
          </w:p>
        </w:tc>
        <w:tc>
          <w:tcPr>
            <w:tcW w:w="2218" w:type="dxa"/>
            <w:vAlign w:val="center"/>
          </w:tcPr>
          <w:p w14:paraId="61B468BC"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Growth</w:t>
            </w:r>
          </w:p>
        </w:tc>
        <w:tc>
          <w:tcPr>
            <w:tcW w:w="1686" w:type="dxa"/>
            <w:vAlign w:val="center"/>
          </w:tcPr>
          <w:p w14:paraId="6122EC1B"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7 days</w:t>
            </w:r>
          </w:p>
        </w:tc>
        <w:tc>
          <w:tcPr>
            <w:tcW w:w="1466" w:type="dxa"/>
            <w:vAlign w:val="center"/>
          </w:tcPr>
          <w:p w14:paraId="13C8B2A9"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6280**</w:t>
            </w:r>
          </w:p>
        </w:tc>
        <w:tc>
          <w:tcPr>
            <w:tcW w:w="1662" w:type="dxa"/>
            <w:vAlign w:val="center"/>
          </w:tcPr>
          <w:p w14:paraId="157AB19F"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3140</w:t>
            </w:r>
          </w:p>
        </w:tc>
        <w:tc>
          <w:tcPr>
            <w:tcW w:w="2068" w:type="dxa"/>
            <w:vAlign w:val="center"/>
          </w:tcPr>
          <w:p w14:paraId="1EFCEB65" w14:textId="77777777" w:rsidR="00D64C93" w:rsidRPr="00C47989" w:rsidRDefault="00D64C93" w:rsidP="00914520">
            <w:pPr>
              <w:jc w:val="center"/>
              <w:rPr>
                <w:rFonts w:ascii="Times New Roman" w:hAnsi="Times New Roman" w:cs="Times New Roman"/>
                <w:sz w:val="20"/>
                <w:szCs w:val="20"/>
                <w:lang w:eastAsia="en-GB"/>
              </w:rPr>
            </w:pPr>
            <w:r w:rsidRPr="00C47989">
              <w:rPr>
                <w:rFonts w:ascii="Times New Roman" w:hAnsi="Times New Roman" w:cs="Times New Roman"/>
                <w:sz w:val="20"/>
                <w:szCs w:val="20"/>
                <w:lang w:eastAsia="en-GB"/>
              </w:rPr>
              <w:t>Markovic et al. 2021</w:t>
            </w:r>
          </w:p>
        </w:tc>
      </w:tr>
      <w:tr w:rsidR="00D64C93" w:rsidRPr="00C47989" w14:paraId="5FAF0015" w14:textId="77777777" w:rsidTr="00914520">
        <w:tc>
          <w:tcPr>
            <w:tcW w:w="1512" w:type="dxa"/>
            <w:vAlign w:val="center"/>
          </w:tcPr>
          <w:p w14:paraId="788909FB"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Aquatic plant</w:t>
            </w:r>
          </w:p>
        </w:tc>
        <w:tc>
          <w:tcPr>
            <w:tcW w:w="1620" w:type="dxa"/>
            <w:vAlign w:val="center"/>
          </w:tcPr>
          <w:p w14:paraId="3C50D772" w14:textId="77777777" w:rsidR="00D64C93" w:rsidRPr="00C47989" w:rsidRDefault="00D64C93" w:rsidP="00914520">
            <w:pPr>
              <w:jc w:val="center"/>
              <w:rPr>
                <w:rFonts w:ascii="Times New Roman" w:hAnsi="Times New Roman" w:cs="Times New Roman"/>
                <w:i/>
                <w:color w:val="000000"/>
                <w:sz w:val="20"/>
                <w:szCs w:val="20"/>
              </w:rPr>
            </w:pPr>
            <w:r w:rsidRPr="00C47989">
              <w:rPr>
                <w:rFonts w:ascii="Times New Roman" w:hAnsi="Times New Roman" w:cs="Times New Roman"/>
                <w:i/>
                <w:color w:val="000000"/>
                <w:sz w:val="20"/>
                <w:szCs w:val="20"/>
              </w:rPr>
              <w:t>Azolla filiculoides</w:t>
            </w:r>
          </w:p>
        </w:tc>
        <w:tc>
          <w:tcPr>
            <w:tcW w:w="2218" w:type="dxa"/>
            <w:vAlign w:val="center"/>
          </w:tcPr>
          <w:p w14:paraId="04661499"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Growth</w:t>
            </w:r>
          </w:p>
        </w:tc>
        <w:tc>
          <w:tcPr>
            <w:tcW w:w="1686" w:type="dxa"/>
            <w:vAlign w:val="center"/>
          </w:tcPr>
          <w:p w14:paraId="5B30DF70"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10 days</w:t>
            </w:r>
          </w:p>
        </w:tc>
        <w:tc>
          <w:tcPr>
            <w:tcW w:w="1466" w:type="dxa"/>
            <w:vAlign w:val="center"/>
          </w:tcPr>
          <w:p w14:paraId="7CF8ABD1"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10000</w:t>
            </w:r>
          </w:p>
        </w:tc>
        <w:tc>
          <w:tcPr>
            <w:tcW w:w="1662" w:type="dxa"/>
            <w:vAlign w:val="center"/>
          </w:tcPr>
          <w:p w14:paraId="6AE472D9" w14:textId="77777777" w:rsidR="00D64C93" w:rsidRPr="00AA6109" w:rsidRDefault="00D64C93" w:rsidP="00914520">
            <w:pPr>
              <w:jc w:val="center"/>
              <w:rPr>
                <w:rFonts w:ascii="Times New Roman" w:hAnsi="Times New Roman" w:cs="Times New Roman"/>
                <w:b/>
                <w:bCs/>
                <w:sz w:val="20"/>
                <w:szCs w:val="20"/>
              </w:rPr>
            </w:pPr>
            <w:r w:rsidRPr="00AA6109">
              <w:rPr>
                <w:rFonts w:ascii="Times New Roman" w:hAnsi="Times New Roman" w:cs="Times New Roman"/>
                <w:b/>
                <w:bCs/>
                <w:sz w:val="20"/>
                <w:szCs w:val="20"/>
              </w:rPr>
              <w:t>24000</w:t>
            </w:r>
          </w:p>
        </w:tc>
        <w:tc>
          <w:tcPr>
            <w:tcW w:w="2068" w:type="dxa"/>
            <w:vAlign w:val="center"/>
          </w:tcPr>
          <w:p w14:paraId="5916EDD6" w14:textId="77777777" w:rsidR="00D64C93" w:rsidRPr="00C47989" w:rsidRDefault="00D64C93" w:rsidP="00914520">
            <w:pPr>
              <w:jc w:val="center"/>
              <w:rPr>
                <w:rFonts w:ascii="Times New Roman" w:hAnsi="Times New Roman" w:cs="Times New Roman"/>
                <w:color w:val="000000"/>
                <w:sz w:val="20"/>
                <w:szCs w:val="20"/>
              </w:rPr>
            </w:pPr>
            <w:r w:rsidRPr="00C47989">
              <w:rPr>
                <w:rFonts w:ascii="Times New Roman" w:hAnsi="Times New Roman" w:cs="Times New Roman"/>
                <w:color w:val="000000"/>
                <w:sz w:val="20"/>
                <w:szCs w:val="20"/>
                <w:lang w:eastAsia="en-GB"/>
              </w:rPr>
              <w:t>Vannini et al. 2018</w:t>
            </w:r>
          </w:p>
        </w:tc>
      </w:tr>
      <w:tr w:rsidR="00D64C93" w:rsidRPr="00C47989" w14:paraId="25971C4D" w14:textId="77777777" w:rsidTr="00914520">
        <w:tc>
          <w:tcPr>
            <w:tcW w:w="1512" w:type="dxa"/>
            <w:vAlign w:val="center"/>
          </w:tcPr>
          <w:p w14:paraId="57A3218F"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Rotifer</w:t>
            </w:r>
          </w:p>
        </w:tc>
        <w:tc>
          <w:tcPr>
            <w:tcW w:w="1620" w:type="dxa"/>
            <w:vAlign w:val="center"/>
          </w:tcPr>
          <w:p w14:paraId="284B556D" w14:textId="77777777" w:rsidR="00D64C93" w:rsidRPr="00C47989" w:rsidRDefault="00D64C93" w:rsidP="00914520">
            <w:pPr>
              <w:jc w:val="center"/>
              <w:rPr>
                <w:rFonts w:ascii="Times New Roman" w:hAnsi="Times New Roman" w:cs="Times New Roman"/>
                <w:i/>
                <w:iCs/>
                <w:sz w:val="20"/>
                <w:szCs w:val="20"/>
              </w:rPr>
            </w:pPr>
            <w:r w:rsidRPr="00C47989">
              <w:rPr>
                <w:rFonts w:ascii="Times New Roman" w:hAnsi="Times New Roman" w:cs="Times New Roman"/>
                <w:i/>
                <w:color w:val="000000"/>
                <w:sz w:val="20"/>
                <w:szCs w:val="20"/>
              </w:rPr>
              <w:t>Plationus patulus</w:t>
            </w:r>
          </w:p>
        </w:tc>
        <w:tc>
          <w:tcPr>
            <w:tcW w:w="2218" w:type="dxa"/>
            <w:vAlign w:val="center"/>
          </w:tcPr>
          <w:p w14:paraId="6D18EE58"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Population growth</w:t>
            </w:r>
          </w:p>
        </w:tc>
        <w:tc>
          <w:tcPr>
            <w:tcW w:w="1686" w:type="dxa"/>
            <w:vAlign w:val="center"/>
          </w:tcPr>
          <w:p w14:paraId="707C8533"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25 days</w:t>
            </w:r>
          </w:p>
        </w:tc>
        <w:tc>
          <w:tcPr>
            <w:tcW w:w="1466" w:type="dxa"/>
            <w:vAlign w:val="center"/>
          </w:tcPr>
          <w:p w14:paraId="740EF0A2"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6250</w:t>
            </w:r>
          </w:p>
        </w:tc>
        <w:tc>
          <w:tcPr>
            <w:tcW w:w="1662" w:type="dxa"/>
            <w:vAlign w:val="center"/>
          </w:tcPr>
          <w:p w14:paraId="7C326179" w14:textId="77777777" w:rsidR="00D64C93" w:rsidRPr="00AA6109" w:rsidRDefault="00D64C93" w:rsidP="00914520">
            <w:pPr>
              <w:jc w:val="center"/>
              <w:rPr>
                <w:rFonts w:ascii="Times New Roman" w:hAnsi="Times New Roman" w:cs="Times New Roman"/>
                <w:b/>
                <w:bCs/>
                <w:sz w:val="20"/>
                <w:szCs w:val="20"/>
              </w:rPr>
            </w:pPr>
            <w:r w:rsidRPr="00AA6109">
              <w:rPr>
                <w:rFonts w:ascii="Times New Roman" w:hAnsi="Times New Roman" w:cs="Times New Roman"/>
                <w:b/>
                <w:bCs/>
                <w:sz w:val="20"/>
                <w:szCs w:val="20"/>
              </w:rPr>
              <w:t>1400</w:t>
            </w:r>
          </w:p>
        </w:tc>
        <w:tc>
          <w:tcPr>
            <w:tcW w:w="2068" w:type="dxa"/>
            <w:vAlign w:val="center"/>
          </w:tcPr>
          <w:p w14:paraId="33D24B14"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color w:val="000000"/>
                <w:sz w:val="20"/>
                <w:szCs w:val="20"/>
              </w:rPr>
              <w:t>Sarma et al. 2014</w:t>
            </w:r>
          </w:p>
        </w:tc>
      </w:tr>
      <w:tr w:rsidR="00D64C93" w:rsidRPr="00C47989" w14:paraId="0C694A4A" w14:textId="77777777" w:rsidTr="00914520">
        <w:tc>
          <w:tcPr>
            <w:tcW w:w="1512" w:type="dxa"/>
            <w:vAlign w:val="center"/>
          </w:tcPr>
          <w:p w14:paraId="31258E3D"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Rotifer</w:t>
            </w:r>
          </w:p>
        </w:tc>
        <w:tc>
          <w:tcPr>
            <w:tcW w:w="1620" w:type="dxa"/>
            <w:vAlign w:val="center"/>
          </w:tcPr>
          <w:p w14:paraId="08CE92F4" w14:textId="77777777" w:rsidR="00D64C93" w:rsidRPr="00C47989" w:rsidRDefault="00D64C93" w:rsidP="00914520">
            <w:pPr>
              <w:jc w:val="center"/>
              <w:rPr>
                <w:rFonts w:ascii="Times New Roman" w:hAnsi="Times New Roman" w:cs="Times New Roman"/>
                <w:i/>
                <w:sz w:val="20"/>
                <w:szCs w:val="20"/>
                <w:lang w:eastAsia="en-GB"/>
              </w:rPr>
            </w:pPr>
            <w:r w:rsidRPr="00C47989">
              <w:rPr>
                <w:rFonts w:ascii="Times New Roman" w:hAnsi="Times New Roman" w:cs="Times New Roman"/>
                <w:i/>
                <w:sz w:val="20"/>
                <w:szCs w:val="20"/>
                <w:lang w:eastAsia="en-GB"/>
              </w:rPr>
              <w:t>Lecane papuana</w:t>
            </w:r>
          </w:p>
        </w:tc>
        <w:tc>
          <w:tcPr>
            <w:tcW w:w="2218" w:type="dxa"/>
            <w:vAlign w:val="center"/>
          </w:tcPr>
          <w:p w14:paraId="77E8577B"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Hatching</w:t>
            </w:r>
          </w:p>
        </w:tc>
        <w:tc>
          <w:tcPr>
            <w:tcW w:w="1686" w:type="dxa"/>
            <w:vAlign w:val="center"/>
          </w:tcPr>
          <w:p w14:paraId="2770F668"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5 days</w:t>
            </w:r>
          </w:p>
        </w:tc>
        <w:tc>
          <w:tcPr>
            <w:tcW w:w="1466" w:type="dxa"/>
            <w:vAlign w:val="center"/>
          </w:tcPr>
          <w:p w14:paraId="33A9BCD6" w14:textId="77777777" w:rsidR="00D64C93" w:rsidRPr="00C47989" w:rsidDel="002757F7"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590</w:t>
            </w:r>
          </w:p>
        </w:tc>
        <w:tc>
          <w:tcPr>
            <w:tcW w:w="1662" w:type="dxa"/>
            <w:vAlign w:val="center"/>
          </w:tcPr>
          <w:p w14:paraId="11BE3B68" w14:textId="77777777" w:rsidR="00D64C93" w:rsidRPr="00AA6109" w:rsidRDefault="00D64C93" w:rsidP="00914520">
            <w:pPr>
              <w:jc w:val="center"/>
              <w:rPr>
                <w:rFonts w:ascii="Times New Roman" w:hAnsi="Times New Roman" w:cs="Times New Roman"/>
                <w:b/>
                <w:bCs/>
                <w:sz w:val="20"/>
                <w:szCs w:val="20"/>
              </w:rPr>
            </w:pPr>
            <w:r w:rsidRPr="00AA6109">
              <w:rPr>
                <w:rFonts w:ascii="Times New Roman" w:hAnsi="Times New Roman" w:cs="Times New Roman"/>
                <w:b/>
                <w:bCs/>
                <w:sz w:val="20"/>
                <w:szCs w:val="20"/>
              </w:rPr>
              <w:t>590</w:t>
            </w:r>
          </w:p>
        </w:tc>
        <w:tc>
          <w:tcPr>
            <w:tcW w:w="2068" w:type="dxa"/>
            <w:vAlign w:val="center"/>
          </w:tcPr>
          <w:p w14:paraId="49F9BA34" w14:textId="77777777" w:rsidR="00D64C93" w:rsidRPr="00C47989" w:rsidRDefault="00D64C93" w:rsidP="00914520">
            <w:pPr>
              <w:jc w:val="center"/>
              <w:rPr>
                <w:rFonts w:ascii="Times New Roman" w:hAnsi="Times New Roman" w:cs="Times New Roman"/>
                <w:sz w:val="20"/>
                <w:szCs w:val="20"/>
                <w:lang w:eastAsia="en-GB"/>
              </w:rPr>
            </w:pPr>
            <w:r w:rsidRPr="00C47989">
              <w:rPr>
                <w:rFonts w:ascii="Times New Roman" w:hAnsi="Times New Roman" w:cs="Times New Roman"/>
                <w:sz w:val="20"/>
                <w:szCs w:val="20"/>
                <w:lang w:eastAsia="en-GB"/>
              </w:rPr>
              <w:t>Tovar-Agullar 2019</w:t>
            </w:r>
          </w:p>
        </w:tc>
      </w:tr>
      <w:tr w:rsidR="00D64C93" w:rsidRPr="00C47989" w14:paraId="051D4144" w14:textId="77777777" w:rsidTr="00914520">
        <w:tc>
          <w:tcPr>
            <w:tcW w:w="1512" w:type="dxa"/>
            <w:vAlign w:val="center"/>
          </w:tcPr>
          <w:p w14:paraId="3E53B3DA"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Crustacean</w:t>
            </w:r>
          </w:p>
        </w:tc>
        <w:tc>
          <w:tcPr>
            <w:tcW w:w="1620" w:type="dxa"/>
            <w:vAlign w:val="center"/>
          </w:tcPr>
          <w:p w14:paraId="2C278A2A" w14:textId="77777777" w:rsidR="00D64C93" w:rsidRPr="00C47989" w:rsidRDefault="00D64C93" w:rsidP="00914520">
            <w:pPr>
              <w:jc w:val="center"/>
              <w:rPr>
                <w:rFonts w:ascii="Times New Roman" w:hAnsi="Times New Roman" w:cs="Times New Roman"/>
                <w:i/>
                <w:color w:val="000000" w:themeColor="text1"/>
                <w:spacing w:val="1"/>
                <w:sz w:val="20"/>
                <w:szCs w:val="20"/>
              </w:rPr>
            </w:pPr>
            <w:r w:rsidRPr="00C47989">
              <w:rPr>
                <w:rFonts w:ascii="Times New Roman" w:hAnsi="Times New Roman" w:cs="Times New Roman"/>
                <w:i/>
                <w:color w:val="000000"/>
                <w:sz w:val="20"/>
                <w:szCs w:val="20"/>
              </w:rPr>
              <w:t>Moina macrocopa</w:t>
            </w:r>
          </w:p>
        </w:tc>
        <w:tc>
          <w:tcPr>
            <w:tcW w:w="2218" w:type="dxa"/>
            <w:vAlign w:val="center"/>
          </w:tcPr>
          <w:p w14:paraId="03EC2A2E"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sz w:val="20"/>
                <w:szCs w:val="20"/>
              </w:rPr>
              <w:t>Population growth</w:t>
            </w:r>
          </w:p>
        </w:tc>
        <w:tc>
          <w:tcPr>
            <w:tcW w:w="1686" w:type="dxa"/>
            <w:vAlign w:val="center"/>
          </w:tcPr>
          <w:p w14:paraId="161ACDAD"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10 days</w:t>
            </w:r>
          </w:p>
        </w:tc>
        <w:tc>
          <w:tcPr>
            <w:tcW w:w="1466" w:type="dxa"/>
            <w:vAlign w:val="center"/>
          </w:tcPr>
          <w:p w14:paraId="1D512AB6"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spacing w:val="1"/>
                <w:sz w:val="20"/>
                <w:szCs w:val="20"/>
              </w:rPr>
              <w:t>12500</w:t>
            </w:r>
          </w:p>
        </w:tc>
        <w:tc>
          <w:tcPr>
            <w:tcW w:w="1662" w:type="dxa"/>
            <w:vAlign w:val="center"/>
          </w:tcPr>
          <w:p w14:paraId="4DE038D2" w14:textId="77777777" w:rsidR="00D64C93" w:rsidRPr="00AA6109" w:rsidRDefault="00D64C93" w:rsidP="00914520">
            <w:pPr>
              <w:jc w:val="center"/>
              <w:rPr>
                <w:rFonts w:ascii="Times New Roman" w:hAnsi="Times New Roman" w:cs="Times New Roman"/>
                <w:b/>
                <w:bCs/>
                <w:color w:val="000000" w:themeColor="text1"/>
                <w:spacing w:val="1"/>
                <w:sz w:val="20"/>
                <w:szCs w:val="20"/>
              </w:rPr>
            </w:pPr>
            <w:r w:rsidRPr="00AA6109">
              <w:rPr>
                <w:rFonts w:ascii="Times New Roman" w:hAnsi="Times New Roman" w:cs="Times New Roman"/>
                <w:b/>
                <w:bCs/>
                <w:color w:val="000000" w:themeColor="text1"/>
                <w:spacing w:val="1"/>
                <w:sz w:val="20"/>
                <w:szCs w:val="20"/>
              </w:rPr>
              <w:t>788</w:t>
            </w:r>
          </w:p>
        </w:tc>
        <w:tc>
          <w:tcPr>
            <w:tcW w:w="2068" w:type="dxa"/>
            <w:vAlign w:val="center"/>
          </w:tcPr>
          <w:p w14:paraId="2DF0ACAD"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sz w:val="20"/>
                <w:szCs w:val="20"/>
              </w:rPr>
              <w:t>Sarma et al. 2014</w:t>
            </w:r>
          </w:p>
        </w:tc>
      </w:tr>
      <w:tr w:rsidR="00D64C93" w:rsidRPr="00C47989" w14:paraId="0CA1FE53" w14:textId="77777777" w:rsidTr="00914520">
        <w:tc>
          <w:tcPr>
            <w:tcW w:w="1512" w:type="dxa"/>
            <w:vAlign w:val="center"/>
          </w:tcPr>
          <w:p w14:paraId="4E5D8E11"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Crustacean</w:t>
            </w:r>
          </w:p>
        </w:tc>
        <w:tc>
          <w:tcPr>
            <w:tcW w:w="1620" w:type="dxa"/>
            <w:vAlign w:val="center"/>
          </w:tcPr>
          <w:p w14:paraId="761FFD23" w14:textId="77777777" w:rsidR="00D64C93" w:rsidRPr="00C47989" w:rsidRDefault="00D64C93" w:rsidP="00914520">
            <w:pPr>
              <w:jc w:val="center"/>
              <w:rPr>
                <w:rFonts w:ascii="Times New Roman" w:hAnsi="Times New Roman" w:cs="Times New Roman"/>
                <w:i/>
                <w:color w:val="000000"/>
                <w:sz w:val="20"/>
                <w:szCs w:val="20"/>
              </w:rPr>
            </w:pPr>
            <w:r w:rsidRPr="00C47989">
              <w:rPr>
                <w:rFonts w:ascii="Times New Roman" w:hAnsi="Times New Roman" w:cs="Times New Roman"/>
                <w:i/>
                <w:color w:val="000000"/>
                <w:sz w:val="20"/>
                <w:szCs w:val="20"/>
              </w:rPr>
              <w:t>Moina macrocopa</w:t>
            </w:r>
          </w:p>
        </w:tc>
        <w:tc>
          <w:tcPr>
            <w:tcW w:w="2218" w:type="dxa"/>
            <w:vAlign w:val="center"/>
          </w:tcPr>
          <w:p w14:paraId="443F152F"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Reproduction</w:t>
            </w:r>
          </w:p>
        </w:tc>
        <w:tc>
          <w:tcPr>
            <w:tcW w:w="1686" w:type="dxa"/>
            <w:vAlign w:val="center"/>
          </w:tcPr>
          <w:p w14:paraId="431C9473"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7 days</w:t>
            </w:r>
          </w:p>
        </w:tc>
        <w:tc>
          <w:tcPr>
            <w:tcW w:w="1466" w:type="dxa"/>
            <w:vAlign w:val="center"/>
          </w:tcPr>
          <w:p w14:paraId="3A77DA97"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spacing w:val="1"/>
                <w:sz w:val="20"/>
                <w:szCs w:val="20"/>
              </w:rPr>
              <w:t>16750</w:t>
            </w:r>
          </w:p>
        </w:tc>
        <w:tc>
          <w:tcPr>
            <w:tcW w:w="1662" w:type="dxa"/>
            <w:vAlign w:val="center"/>
          </w:tcPr>
          <w:p w14:paraId="2309B264"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19122</w:t>
            </w:r>
          </w:p>
        </w:tc>
        <w:tc>
          <w:tcPr>
            <w:tcW w:w="2068" w:type="dxa"/>
            <w:vAlign w:val="center"/>
          </w:tcPr>
          <w:p w14:paraId="460D7082" w14:textId="77777777" w:rsidR="00D64C93" w:rsidRPr="00C47989" w:rsidRDefault="00D64C93" w:rsidP="00914520">
            <w:pPr>
              <w:jc w:val="center"/>
              <w:rPr>
                <w:rFonts w:ascii="Times New Roman" w:hAnsi="Times New Roman" w:cs="Times New Roman"/>
                <w:color w:val="000000"/>
                <w:sz w:val="20"/>
                <w:szCs w:val="20"/>
              </w:rPr>
            </w:pPr>
            <w:r w:rsidRPr="00C47989">
              <w:rPr>
                <w:rFonts w:ascii="Times New Roman" w:hAnsi="Times New Roman" w:cs="Times New Roman"/>
                <w:color w:val="000000"/>
                <w:sz w:val="20"/>
                <w:szCs w:val="20"/>
              </w:rPr>
              <w:t>Lee et al. 2011</w:t>
            </w:r>
          </w:p>
        </w:tc>
      </w:tr>
      <w:tr w:rsidR="00D64C93" w:rsidRPr="00C47989" w14:paraId="58C2D296" w14:textId="77777777" w:rsidTr="00914520">
        <w:tc>
          <w:tcPr>
            <w:tcW w:w="1512" w:type="dxa"/>
            <w:vAlign w:val="center"/>
          </w:tcPr>
          <w:p w14:paraId="3DA67A7D"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color w:val="000000" w:themeColor="text1"/>
                <w:spacing w:val="1"/>
                <w:sz w:val="20"/>
                <w:szCs w:val="20"/>
              </w:rPr>
              <w:t>Crustacean</w:t>
            </w:r>
          </w:p>
        </w:tc>
        <w:tc>
          <w:tcPr>
            <w:tcW w:w="1620" w:type="dxa"/>
            <w:vAlign w:val="center"/>
          </w:tcPr>
          <w:p w14:paraId="36B5DA10" w14:textId="77777777" w:rsidR="00D64C93" w:rsidRPr="00C47989" w:rsidRDefault="00D64C93" w:rsidP="00914520">
            <w:pPr>
              <w:jc w:val="center"/>
              <w:rPr>
                <w:rFonts w:ascii="Times New Roman" w:hAnsi="Times New Roman" w:cs="Times New Roman"/>
                <w:i/>
                <w:iCs/>
                <w:sz w:val="20"/>
                <w:szCs w:val="20"/>
              </w:rPr>
            </w:pPr>
            <w:r w:rsidRPr="00C47989">
              <w:rPr>
                <w:rFonts w:ascii="Times New Roman" w:hAnsi="Times New Roman" w:cs="Times New Roman"/>
                <w:i/>
                <w:iCs/>
                <w:sz w:val="20"/>
                <w:szCs w:val="20"/>
              </w:rPr>
              <w:t>Daphnia magna</w:t>
            </w:r>
          </w:p>
        </w:tc>
        <w:tc>
          <w:tcPr>
            <w:tcW w:w="2218" w:type="dxa"/>
            <w:vAlign w:val="center"/>
          </w:tcPr>
          <w:p w14:paraId="797B6AAE"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Reproduction</w:t>
            </w:r>
          </w:p>
        </w:tc>
        <w:tc>
          <w:tcPr>
            <w:tcW w:w="1686" w:type="dxa"/>
            <w:vAlign w:val="center"/>
          </w:tcPr>
          <w:p w14:paraId="0EB8915F"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21 days</w:t>
            </w:r>
          </w:p>
        </w:tc>
        <w:tc>
          <w:tcPr>
            <w:tcW w:w="1466" w:type="dxa"/>
            <w:vAlign w:val="center"/>
          </w:tcPr>
          <w:p w14:paraId="59AD9C3D"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120</w:t>
            </w:r>
          </w:p>
        </w:tc>
        <w:tc>
          <w:tcPr>
            <w:tcW w:w="1662" w:type="dxa"/>
            <w:vAlign w:val="center"/>
          </w:tcPr>
          <w:p w14:paraId="744FA8DF" w14:textId="77777777" w:rsidR="00D64C93" w:rsidRPr="00AA6109" w:rsidRDefault="00D64C93" w:rsidP="00914520">
            <w:pPr>
              <w:jc w:val="center"/>
              <w:rPr>
                <w:rFonts w:ascii="Times New Roman" w:hAnsi="Times New Roman" w:cs="Times New Roman"/>
                <w:b/>
                <w:bCs/>
                <w:i/>
                <w:iCs/>
                <w:sz w:val="20"/>
                <w:szCs w:val="20"/>
              </w:rPr>
            </w:pPr>
            <w:r w:rsidRPr="00AA6109">
              <w:rPr>
                <w:rFonts w:ascii="Times New Roman" w:hAnsi="Times New Roman" w:cs="Times New Roman"/>
                <w:b/>
                <w:bCs/>
                <w:i/>
                <w:iCs/>
                <w:sz w:val="20"/>
                <w:szCs w:val="20"/>
              </w:rPr>
              <w:t>120</w:t>
            </w:r>
          </w:p>
        </w:tc>
        <w:tc>
          <w:tcPr>
            <w:tcW w:w="2068" w:type="dxa"/>
            <w:vAlign w:val="center"/>
          </w:tcPr>
          <w:p w14:paraId="2F0E759D"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Du et al. 2016</w:t>
            </w:r>
          </w:p>
        </w:tc>
      </w:tr>
      <w:tr w:rsidR="00D64C93" w:rsidRPr="00C47989" w14:paraId="6C08B38A" w14:textId="77777777" w:rsidTr="00914520">
        <w:tc>
          <w:tcPr>
            <w:tcW w:w="1512" w:type="dxa"/>
            <w:vAlign w:val="center"/>
          </w:tcPr>
          <w:p w14:paraId="4515BA6E"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Crustacean</w:t>
            </w:r>
          </w:p>
        </w:tc>
        <w:tc>
          <w:tcPr>
            <w:tcW w:w="1620" w:type="dxa"/>
            <w:vAlign w:val="center"/>
          </w:tcPr>
          <w:p w14:paraId="6D9DE40D" w14:textId="77777777" w:rsidR="00D64C93" w:rsidRPr="00C47989" w:rsidRDefault="00D64C93" w:rsidP="00914520">
            <w:pPr>
              <w:jc w:val="center"/>
              <w:rPr>
                <w:rFonts w:ascii="Times New Roman" w:hAnsi="Times New Roman" w:cs="Times New Roman"/>
                <w:i/>
                <w:iCs/>
                <w:sz w:val="20"/>
                <w:szCs w:val="20"/>
              </w:rPr>
            </w:pPr>
            <w:r w:rsidRPr="00C47989">
              <w:rPr>
                <w:rFonts w:ascii="Times New Roman" w:hAnsi="Times New Roman" w:cs="Times New Roman"/>
                <w:i/>
                <w:color w:val="000000"/>
                <w:sz w:val="20"/>
                <w:szCs w:val="20"/>
              </w:rPr>
              <w:t>Daphnia magna</w:t>
            </w:r>
          </w:p>
        </w:tc>
        <w:tc>
          <w:tcPr>
            <w:tcW w:w="2218" w:type="dxa"/>
            <w:vAlign w:val="center"/>
          </w:tcPr>
          <w:p w14:paraId="5D42BB9C"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Reproduction</w:t>
            </w:r>
          </w:p>
        </w:tc>
        <w:tc>
          <w:tcPr>
            <w:tcW w:w="1686" w:type="dxa"/>
            <w:vAlign w:val="center"/>
          </w:tcPr>
          <w:p w14:paraId="6424374C"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21 days</w:t>
            </w:r>
          </w:p>
        </w:tc>
        <w:tc>
          <w:tcPr>
            <w:tcW w:w="1466" w:type="dxa"/>
            <w:vAlign w:val="center"/>
          </w:tcPr>
          <w:p w14:paraId="5C6A4077"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1900</w:t>
            </w:r>
          </w:p>
        </w:tc>
        <w:tc>
          <w:tcPr>
            <w:tcW w:w="1662" w:type="dxa"/>
            <w:vAlign w:val="center"/>
          </w:tcPr>
          <w:p w14:paraId="7337F79C"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1900</w:t>
            </w:r>
          </w:p>
        </w:tc>
        <w:tc>
          <w:tcPr>
            <w:tcW w:w="2068" w:type="dxa"/>
            <w:vAlign w:val="center"/>
          </w:tcPr>
          <w:p w14:paraId="45230878"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color w:val="000000"/>
                <w:sz w:val="20"/>
                <w:szCs w:val="20"/>
              </w:rPr>
              <w:t>Triebskorn et al. 2017</w:t>
            </w:r>
          </w:p>
        </w:tc>
      </w:tr>
      <w:tr w:rsidR="00D64C93" w:rsidRPr="00C47989" w14:paraId="723C7219" w14:textId="77777777" w:rsidTr="00914520">
        <w:tc>
          <w:tcPr>
            <w:tcW w:w="1512" w:type="dxa"/>
            <w:vAlign w:val="center"/>
          </w:tcPr>
          <w:p w14:paraId="24DCAE12"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Crustacean</w:t>
            </w:r>
          </w:p>
        </w:tc>
        <w:tc>
          <w:tcPr>
            <w:tcW w:w="1620" w:type="dxa"/>
            <w:vAlign w:val="center"/>
          </w:tcPr>
          <w:p w14:paraId="410EA29C" w14:textId="77777777" w:rsidR="00D64C93" w:rsidRPr="00C47989" w:rsidRDefault="00D64C93" w:rsidP="00914520">
            <w:pPr>
              <w:jc w:val="center"/>
              <w:rPr>
                <w:rFonts w:ascii="Times New Roman" w:hAnsi="Times New Roman" w:cs="Times New Roman"/>
                <w:i/>
                <w:color w:val="000000"/>
                <w:sz w:val="20"/>
                <w:szCs w:val="20"/>
              </w:rPr>
            </w:pPr>
            <w:r w:rsidRPr="00C47989">
              <w:rPr>
                <w:rFonts w:ascii="Times New Roman" w:hAnsi="Times New Roman" w:cs="Times New Roman"/>
                <w:i/>
                <w:color w:val="000000"/>
                <w:sz w:val="20"/>
                <w:szCs w:val="20"/>
              </w:rPr>
              <w:t>Daphnia magna</w:t>
            </w:r>
          </w:p>
        </w:tc>
        <w:tc>
          <w:tcPr>
            <w:tcW w:w="2218" w:type="dxa"/>
            <w:vAlign w:val="center"/>
          </w:tcPr>
          <w:p w14:paraId="69810BBE"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Reproduction</w:t>
            </w:r>
          </w:p>
        </w:tc>
        <w:tc>
          <w:tcPr>
            <w:tcW w:w="1686" w:type="dxa"/>
            <w:vAlign w:val="center"/>
          </w:tcPr>
          <w:p w14:paraId="16AC6665"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21 days</w:t>
            </w:r>
          </w:p>
        </w:tc>
        <w:tc>
          <w:tcPr>
            <w:tcW w:w="1466" w:type="dxa"/>
            <w:vAlign w:val="center"/>
          </w:tcPr>
          <w:p w14:paraId="6EE0F985"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8300</w:t>
            </w:r>
          </w:p>
        </w:tc>
        <w:tc>
          <w:tcPr>
            <w:tcW w:w="1662" w:type="dxa"/>
            <w:vAlign w:val="center"/>
          </w:tcPr>
          <w:p w14:paraId="47D1526F"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2408</w:t>
            </w:r>
          </w:p>
        </w:tc>
        <w:tc>
          <w:tcPr>
            <w:tcW w:w="2068" w:type="dxa"/>
            <w:vAlign w:val="center"/>
          </w:tcPr>
          <w:p w14:paraId="4454548D" w14:textId="77777777" w:rsidR="00D64C93" w:rsidRPr="00C47989" w:rsidRDefault="00D64C93" w:rsidP="00914520">
            <w:pPr>
              <w:jc w:val="center"/>
              <w:rPr>
                <w:rFonts w:ascii="Times New Roman" w:hAnsi="Times New Roman" w:cs="Times New Roman"/>
                <w:color w:val="000000"/>
                <w:sz w:val="20"/>
                <w:szCs w:val="20"/>
              </w:rPr>
            </w:pPr>
            <w:r w:rsidRPr="00C47989">
              <w:rPr>
                <w:rFonts w:ascii="Times New Roman" w:hAnsi="Times New Roman" w:cs="Times New Roman"/>
                <w:color w:val="000000"/>
                <w:sz w:val="20"/>
                <w:szCs w:val="20"/>
              </w:rPr>
              <w:t>Lee et al. 2011</w:t>
            </w:r>
          </w:p>
        </w:tc>
      </w:tr>
      <w:tr w:rsidR="00D64C93" w:rsidRPr="00C47989" w14:paraId="7229A29D" w14:textId="77777777" w:rsidTr="00914520">
        <w:tc>
          <w:tcPr>
            <w:tcW w:w="1512" w:type="dxa"/>
            <w:vAlign w:val="center"/>
          </w:tcPr>
          <w:p w14:paraId="13F210DC"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Crustacean</w:t>
            </w:r>
          </w:p>
        </w:tc>
        <w:tc>
          <w:tcPr>
            <w:tcW w:w="1620" w:type="dxa"/>
            <w:vAlign w:val="center"/>
          </w:tcPr>
          <w:p w14:paraId="487D916D" w14:textId="77777777" w:rsidR="00D64C93" w:rsidRPr="00C47989" w:rsidRDefault="00D64C93" w:rsidP="00914520">
            <w:pPr>
              <w:jc w:val="center"/>
              <w:rPr>
                <w:rFonts w:ascii="Times New Roman" w:hAnsi="Times New Roman" w:cs="Times New Roman"/>
                <w:i/>
                <w:color w:val="000000"/>
                <w:sz w:val="20"/>
                <w:szCs w:val="20"/>
              </w:rPr>
            </w:pPr>
            <w:r w:rsidRPr="00C47989">
              <w:rPr>
                <w:rFonts w:ascii="Times New Roman" w:hAnsi="Times New Roman" w:cs="Times New Roman"/>
                <w:i/>
                <w:color w:val="000000"/>
                <w:sz w:val="20"/>
                <w:szCs w:val="20"/>
              </w:rPr>
              <w:t>Daphnia magna</w:t>
            </w:r>
          </w:p>
        </w:tc>
        <w:tc>
          <w:tcPr>
            <w:tcW w:w="2218" w:type="dxa"/>
            <w:vAlign w:val="center"/>
          </w:tcPr>
          <w:p w14:paraId="1440E3B5"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Reproduction</w:t>
            </w:r>
          </w:p>
        </w:tc>
        <w:tc>
          <w:tcPr>
            <w:tcW w:w="1686" w:type="dxa"/>
            <w:vAlign w:val="center"/>
          </w:tcPr>
          <w:p w14:paraId="186C59D1"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21 days</w:t>
            </w:r>
          </w:p>
        </w:tc>
        <w:tc>
          <w:tcPr>
            <w:tcW w:w="1466" w:type="dxa"/>
            <w:vAlign w:val="center"/>
          </w:tcPr>
          <w:p w14:paraId="0FBE7035"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&gt;72000</w:t>
            </w:r>
          </w:p>
        </w:tc>
        <w:tc>
          <w:tcPr>
            <w:tcW w:w="1662" w:type="dxa"/>
            <w:vAlign w:val="center"/>
          </w:tcPr>
          <w:p w14:paraId="17E36D75"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72000</w:t>
            </w:r>
          </w:p>
        </w:tc>
        <w:tc>
          <w:tcPr>
            <w:tcW w:w="2068" w:type="dxa"/>
            <w:vAlign w:val="center"/>
          </w:tcPr>
          <w:p w14:paraId="0AEAF0EE" w14:textId="77777777" w:rsidR="00D64C93" w:rsidRPr="00C47989" w:rsidRDefault="00D64C93" w:rsidP="00914520">
            <w:pPr>
              <w:jc w:val="center"/>
              <w:rPr>
                <w:rFonts w:ascii="Times New Roman" w:hAnsi="Times New Roman" w:cs="Times New Roman"/>
                <w:color w:val="000000"/>
                <w:sz w:val="20"/>
                <w:szCs w:val="20"/>
              </w:rPr>
            </w:pPr>
            <w:r w:rsidRPr="00C47989">
              <w:rPr>
                <w:rFonts w:ascii="Times New Roman" w:hAnsi="Times New Roman" w:cs="Times New Roman"/>
                <w:color w:val="000000"/>
                <w:sz w:val="20"/>
                <w:szCs w:val="20"/>
              </w:rPr>
              <w:t xml:space="preserve">de Oliveira et al. </w:t>
            </w:r>
            <w:r w:rsidRPr="00C47989">
              <w:rPr>
                <w:rFonts w:ascii="Times New Roman" w:hAnsi="Times New Roman" w:cs="Times New Roman"/>
                <w:sz w:val="20"/>
                <w:szCs w:val="20"/>
                <w:lang w:eastAsia="en-GB"/>
              </w:rPr>
              <w:t>201</w:t>
            </w:r>
            <w:r>
              <w:rPr>
                <w:rFonts w:ascii="Times New Roman" w:hAnsi="Times New Roman" w:cs="Times New Roman"/>
                <w:sz w:val="20"/>
                <w:szCs w:val="20"/>
                <w:lang w:eastAsia="en-GB"/>
              </w:rPr>
              <w:t>6</w:t>
            </w:r>
          </w:p>
        </w:tc>
      </w:tr>
      <w:tr w:rsidR="00D64C93" w:rsidRPr="00C47989" w14:paraId="0A900038" w14:textId="77777777" w:rsidTr="00914520">
        <w:tc>
          <w:tcPr>
            <w:tcW w:w="1512" w:type="dxa"/>
            <w:vAlign w:val="center"/>
          </w:tcPr>
          <w:p w14:paraId="5516EFFF"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color w:val="000000" w:themeColor="text1"/>
                <w:spacing w:val="1"/>
                <w:sz w:val="20"/>
                <w:szCs w:val="20"/>
              </w:rPr>
              <w:t>Crustacean</w:t>
            </w:r>
          </w:p>
        </w:tc>
        <w:tc>
          <w:tcPr>
            <w:tcW w:w="1620" w:type="dxa"/>
            <w:vAlign w:val="center"/>
          </w:tcPr>
          <w:p w14:paraId="6C01F382" w14:textId="77777777" w:rsidR="00D64C93" w:rsidRPr="00C47989" w:rsidRDefault="00D64C93" w:rsidP="00914520">
            <w:pPr>
              <w:jc w:val="center"/>
              <w:rPr>
                <w:rFonts w:ascii="Times New Roman" w:hAnsi="Times New Roman" w:cs="Times New Roman"/>
                <w:i/>
                <w:iCs/>
                <w:sz w:val="20"/>
                <w:szCs w:val="20"/>
              </w:rPr>
            </w:pPr>
            <w:r w:rsidRPr="00C47989">
              <w:rPr>
                <w:rFonts w:ascii="Times New Roman" w:hAnsi="Times New Roman" w:cs="Times New Roman"/>
                <w:i/>
                <w:color w:val="000000"/>
                <w:sz w:val="20"/>
                <w:szCs w:val="20"/>
              </w:rPr>
              <w:t>Ceriodaphnia silvestrii</w:t>
            </w:r>
          </w:p>
        </w:tc>
        <w:tc>
          <w:tcPr>
            <w:tcW w:w="2218" w:type="dxa"/>
            <w:vAlign w:val="center"/>
          </w:tcPr>
          <w:p w14:paraId="21E7B552"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Reproduction</w:t>
            </w:r>
          </w:p>
        </w:tc>
        <w:tc>
          <w:tcPr>
            <w:tcW w:w="1686" w:type="dxa"/>
            <w:vAlign w:val="center"/>
          </w:tcPr>
          <w:p w14:paraId="5123BE44"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8 days</w:t>
            </w:r>
          </w:p>
        </w:tc>
        <w:tc>
          <w:tcPr>
            <w:tcW w:w="1466" w:type="dxa"/>
            <w:vAlign w:val="center"/>
          </w:tcPr>
          <w:p w14:paraId="63470860"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&gt;2000</w:t>
            </w:r>
          </w:p>
        </w:tc>
        <w:tc>
          <w:tcPr>
            <w:tcW w:w="1662" w:type="dxa"/>
            <w:vAlign w:val="center"/>
          </w:tcPr>
          <w:p w14:paraId="37192444" w14:textId="77777777" w:rsidR="00D64C93" w:rsidRPr="00AA6109" w:rsidRDefault="00D64C93" w:rsidP="00914520">
            <w:pPr>
              <w:jc w:val="center"/>
              <w:rPr>
                <w:rFonts w:ascii="Times New Roman" w:hAnsi="Times New Roman" w:cs="Times New Roman"/>
                <w:b/>
                <w:bCs/>
                <w:sz w:val="20"/>
                <w:szCs w:val="20"/>
              </w:rPr>
            </w:pPr>
            <w:r w:rsidRPr="00AA6109">
              <w:rPr>
                <w:rFonts w:ascii="Times New Roman" w:hAnsi="Times New Roman" w:cs="Times New Roman"/>
                <w:b/>
                <w:bCs/>
                <w:sz w:val="20"/>
                <w:szCs w:val="20"/>
              </w:rPr>
              <w:t>1000</w:t>
            </w:r>
          </w:p>
        </w:tc>
        <w:tc>
          <w:tcPr>
            <w:tcW w:w="2068" w:type="dxa"/>
            <w:vAlign w:val="center"/>
          </w:tcPr>
          <w:p w14:paraId="5A9112ED"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color w:val="000000"/>
                <w:sz w:val="20"/>
                <w:szCs w:val="20"/>
              </w:rPr>
              <w:t>de Oliveira et al. 2018</w:t>
            </w:r>
          </w:p>
        </w:tc>
      </w:tr>
      <w:tr w:rsidR="00D64C93" w:rsidRPr="00C47989" w14:paraId="62CDCCA3" w14:textId="77777777" w:rsidTr="00914520">
        <w:tc>
          <w:tcPr>
            <w:tcW w:w="1512" w:type="dxa"/>
            <w:vAlign w:val="center"/>
          </w:tcPr>
          <w:p w14:paraId="516509F5"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color w:val="000000" w:themeColor="text1"/>
                <w:spacing w:val="1"/>
                <w:sz w:val="20"/>
                <w:szCs w:val="20"/>
              </w:rPr>
              <w:t>Crustacean</w:t>
            </w:r>
          </w:p>
        </w:tc>
        <w:tc>
          <w:tcPr>
            <w:tcW w:w="1620" w:type="dxa"/>
            <w:vAlign w:val="center"/>
          </w:tcPr>
          <w:p w14:paraId="2C3BDCE3" w14:textId="77777777" w:rsidR="00D64C93" w:rsidRPr="00C47989" w:rsidRDefault="00D64C93" w:rsidP="00914520">
            <w:pPr>
              <w:jc w:val="center"/>
              <w:rPr>
                <w:rFonts w:ascii="Times New Roman" w:hAnsi="Times New Roman" w:cs="Times New Roman"/>
                <w:i/>
                <w:color w:val="000000"/>
                <w:sz w:val="20"/>
                <w:szCs w:val="20"/>
              </w:rPr>
            </w:pPr>
            <w:r w:rsidRPr="00C47989">
              <w:rPr>
                <w:rFonts w:ascii="Times New Roman" w:hAnsi="Times New Roman" w:cs="Times New Roman"/>
                <w:i/>
                <w:color w:val="000000"/>
                <w:sz w:val="20"/>
                <w:szCs w:val="20"/>
              </w:rPr>
              <w:t>Gammarus fossarum</w:t>
            </w:r>
          </w:p>
        </w:tc>
        <w:tc>
          <w:tcPr>
            <w:tcW w:w="2218" w:type="dxa"/>
            <w:vAlign w:val="center"/>
          </w:tcPr>
          <w:p w14:paraId="0F95C4FD"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Reproduction</w:t>
            </w:r>
          </w:p>
        </w:tc>
        <w:tc>
          <w:tcPr>
            <w:tcW w:w="1686" w:type="dxa"/>
            <w:vAlign w:val="center"/>
          </w:tcPr>
          <w:p w14:paraId="7FB2CD30"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35 days</w:t>
            </w:r>
          </w:p>
        </w:tc>
        <w:tc>
          <w:tcPr>
            <w:tcW w:w="1466" w:type="dxa"/>
            <w:vAlign w:val="center"/>
          </w:tcPr>
          <w:p w14:paraId="09769BE2"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790</w:t>
            </w:r>
          </w:p>
        </w:tc>
        <w:tc>
          <w:tcPr>
            <w:tcW w:w="1662" w:type="dxa"/>
            <w:vAlign w:val="center"/>
          </w:tcPr>
          <w:p w14:paraId="2646E0E1" w14:textId="77777777" w:rsidR="00D64C93" w:rsidRPr="00AA6109" w:rsidRDefault="00D64C93" w:rsidP="00914520">
            <w:pPr>
              <w:jc w:val="center"/>
              <w:rPr>
                <w:rFonts w:ascii="Times New Roman" w:hAnsi="Times New Roman" w:cs="Times New Roman"/>
                <w:b/>
                <w:bCs/>
                <w:sz w:val="20"/>
                <w:szCs w:val="20"/>
              </w:rPr>
            </w:pPr>
            <w:r w:rsidRPr="00AA6109">
              <w:rPr>
                <w:rFonts w:ascii="Times New Roman" w:hAnsi="Times New Roman" w:cs="Times New Roman"/>
                <w:b/>
                <w:bCs/>
                <w:sz w:val="20"/>
                <w:szCs w:val="20"/>
              </w:rPr>
              <w:t>790</w:t>
            </w:r>
          </w:p>
        </w:tc>
        <w:tc>
          <w:tcPr>
            <w:tcW w:w="2068" w:type="dxa"/>
            <w:vAlign w:val="center"/>
          </w:tcPr>
          <w:p w14:paraId="082DDEED" w14:textId="77777777" w:rsidR="00D64C93" w:rsidRPr="00C47989" w:rsidRDefault="00D64C93" w:rsidP="00914520">
            <w:pPr>
              <w:jc w:val="center"/>
              <w:rPr>
                <w:rFonts w:ascii="Times New Roman" w:hAnsi="Times New Roman" w:cs="Times New Roman"/>
                <w:color w:val="000000"/>
                <w:sz w:val="20"/>
                <w:szCs w:val="20"/>
              </w:rPr>
            </w:pPr>
            <w:r w:rsidRPr="00C47989">
              <w:rPr>
                <w:rFonts w:ascii="Times New Roman" w:hAnsi="Times New Roman" w:cs="Times New Roman"/>
                <w:color w:val="000000"/>
                <w:sz w:val="20"/>
                <w:szCs w:val="20"/>
              </w:rPr>
              <w:t>Triebskorn et al. 2017</w:t>
            </w:r>
          </w:p>
        </w:tc>
      </w:tr>
      <w:tr w:rsidR="00D64C93" w:rsidRPr="00C47989" w14:paraId="178F4791" w14:textId="77777777" w:rsidTr="00914520">
        <w:tc>
          <w:tcPr>
            <w:tcW w:w="1512" w:type="dxa"/>
            <w:vAlign w:val="center"/>
          </w:tcPr>
          <w:p w14:paraId="0C307F4E" w14:textId="77777777" w:rsidR="00D64C93" w:rsidRPr="00C47989" w:rsidRDefault="00D64C93" w:rsidP="00914520">
            <w:pPr>
              <w:jc w:val="center"/>
              <w:rPr>
                <w:rFonts w:ascii="Times New Roman" w:hAnsi="Times New Roman" w:cs="Times New Roman"/>
                <w:spacing w:val="1"/>
                <w:sz w:val="20"/>
                <w:szCs w:val="20"/>
              </w:rPr>
            </w:pPr>
            <w:r w:rsidRPr="00C47989">
              <w:rPr>
                <w:rFonts w:ascii="Times New Roman" w:hAnsi="Times New Roman" w:cs="Times New Roman"/>
                <w:spacing w:val="1"/>
                <w:sz w:val="20"/>
                <w:szCs w:val="20"/>
              </w:rPr>
              <w:t>Crustacean</w:t>
            </w:r>
          </w:p>
        </w:tc>
        <w:tc>
          <w:tcPr>
            <w:tcW w:w="1620" w:type="dxa"/>
            <w:vAlign w:val="center"/>
          </w:tcPr>
          <w:p w14:paraId="3B909101" w14:textId="77777777" w:rsidR="00D64C93" w:rsidRPr="00C47989" w:rsidRDefault="00D64C93" w:rsidP="00914520">
            <w:pPr>
              <w:jc w:val="center"/>
              <w:rPr>
                <w:rFonts w:ascii="Times New Roman" w:hAnsi="Times New Roman" w:cs="Times New Roman"/>
                <w:i/>
                <w:sz w:val="20"/>
                <w:szCs w:val="20"/>
                <w:lang w:eastAsia="en-GB"/>
              </w:rPr>
            </w:pPr>
            <w:r w:rsidRPr="00C47989">
              <w:rPr>
                <w:rFonts w:ascii="Times New Roman" w:hAnsi="Times New Roman" w:cs="Times New Roman"/>
                <w:i/>
                <w:sz w:val="20"/>
                <w:szCs w:val="20"/>
                <w:lang w:eastAsia="en-GB"/>
              </w:rPr>
              <w:t>Palaemon longirostris</w:t>
            </w:r>
          </w:p>
        </w:tc>
        <w:tc>
          <w:tcPr>
            <w:tcW w:w="2218" w:type="dxa"/>
            <w:vAlign w:val="center"/>
          </w:tcPr>
          <w:p w14:paraId="341799A6"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Development</w:t>
            </w:r>
          </w:p>
        </w:tc>
        <w:tc>
          <w:tcPr>
            <w:tcW w:w="1686" w:type="dxa"/>
            <w:vAlign w:val="center"/>
          </w:tcPr>
          <w:p w14:paraId="086E3752"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25-47 days</w:t>
            </w:r>
          </w:p>
        </w:tc>
        <w:tc>
          <w:tcPr>
            <w:tcW w:w="1466" w:type="dxa"/>
            <w:vAlign w:val="center"/>
          </w:tcPr>
          <w:p w14:paraId="074CF93E"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&gt;750</w:t>
            </w:r>
          </w:p>
        </w:tc>
        <w:tc>
          <w:tcPr>
            <w:tcW w:w="1662" w:type="dxa"/>
            <w:vAlign w:val="center"/>
          </w:tcPr>
          <w:p w14:paraId="2F0278B2" w14:textId="77777777" w:rsidR="00D64C93" w:rsidRPr="00AA6109" w:rsidRDefault="00D64C93" w:rsidP="00914520">
            <w:pPr>
              <w:jc w:val="center"/>
              <w:rPr>
                <w:rFonts w:ascii="Times New Roman" w:hAnsi="Times New Roman" w:cs="Times New Roman"/>
                <w:b/>
                <w:bCs/>
                <w:i/>
                <w:iCs/>
                <w:sz w:val="20"/>
                <w:szCs w:val="20"/>
              </w:rPr>
            </w:pPr>
            <w:r w:rsidRPr="00AA6109">
              <w:rPr>
                <w:rFonts w:ascii="Times New Roman" w:hAnsi="Times New Roman" w:cs="Times New Roman"/>
                <w:b/>
                <w:bCs/>
                <w:i/>
                <w:iCs/>
                <w:sz w:val="20"/>
                <w:szCs w:val="20"/>
              </w:rPr>
              <w:t>40</w:t>
            </w:r>
          </w:p>
        </w:tc>
        <w:tc>
          <w:tcPr>
            <w:tcW w:w="2068" w:type="dxa"/>
            <w:vAlign w:val="center"/>
          </w:tcPr>
          <w:p w14:paraId="0CDD0ED9" w14:textId="77777777" w:rsidR="00D64C93" w:rsidRPr="00C47989" w:rsidRDefault="00D64C93" w:rsidP="00914520">
            <w:pPr>
              <w:jc w:val="center"/>
              <w:rPr>
                <w:rFonts w:ascii="Times New Roman" w:hAnsi="Times New Roman" w:cs="Times New Roman"/>
                <w:sz w:val="20"/>
                <w:szCs w:val="20"/>
                <w:lang w:eastAsia="en-GB"/>
              </w:rPr>
            </w:pPr>
            <w:r w:rsidRPr="00C47989">
              <w:rPr>
                <w:rFonts w:ascii="Times New Roman" w:hAnsi="Times New Roman" w:cs="Times New Roman"/>
                <w:sz w:val="20"/>
                <w:szCs w:val="20"/>
                <w:lang w:eastAsia="en-GB"/>
              </w:rPr>
              <w:t>Gonzalez-Ortegon et al. 2015</w:t>
            </w:r>
          </w:p>
        </w:tc>
      </w:tr>
      <w:tr w:rsidR="00D64C93" w:rsidRPr="00C47989" w14:paraId="2B722536" w14:textId="77777777" w:rsidTr="00914520">
        <w:tc>
          <w:tcPr>
            <w:tcW w:w="1512" w:type="dxa"/>
            <w:shd w:val="clear" w:color="auto" w:fill="auto"/>
            <w:vAlign w:val="center"/>
          </w:tcPr>
          <w:p w14:paraId="6EB94A02"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Gastropod Mollusc</w:t>
            </w:r>
          </w:p>
        </w:tc>
        <w:tc>
          <w:tcPr>
            <w:tcW w:w="1620" w:type="dxa"/>
            <w:shd w:val="clear" w:color="auto" w:fill="auto"/>
            <w:vAlign w:val="center"/>
          </w:tcPr>
          <w:p w14:paraId="555921BE" w14:textId="77777777" w:rsidR="00D64C93" w:rsidRPr="00C47989" w:rsidRDefault="00D64C93" w:rsidP="00914520">
            <w:pPr>
              <w:jc w:val="center"/>
              <w:rPr>
                <w:rFonts w:ascii="Times New Roman" w:hAnsi="Times New Roman" w:cs="Times New Roman"/>
                <w:i/>
                <w:color w:val="000000"/>
                <w:sz w:val="20"/>
                <w:szCs w:val="20"/>
              </w:rPr>
            </w:pPr>
            <w:r w:rsidRPr="00C47989">
              <w:rPr>
                <w:rFonts w:ascii="Times New Roman" w:hAnsi="Times New Roman" w:cs="Times New Roman"/>
                <w:i/>
                <w:color w:val="000000"/>
                <w:sz w:val="20"/>
                <w:szCs w:val="20"/>
              </w:rPr>
              <w:t>Lymnaea stagnalis</w:t>
            </w:r>
          </w:p>
        </w:tc>
        <w:tc>
          <w:tcPr>
            <w:tcW w:w="2218" w:type="dxa"/>
            <w:shd w:val="clear" w:color="auto" w:fill="auto"/>
            <w:vAlign w:val="center"/>
          </w:tcPr>
          <w:p w14:paraId="577048F8"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Reproduction</w:t>
            </w:r>
          </w:p>
        </w:tc>
        <w:tc>
          <w:tcPr>
            <w:tcW w:w="1686" w:type="dxa"/>
            <w:shd w:val="clear" w:color="auto" w:fill="auto"/>
            <w:vAlign w:val="center"/>
          </w:tcPr>
          <w:p w14:paraId="09AC2EDC"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28 days</w:t>
            </w:r>
          </w:p>
        </w:tc>
        <w:tc>
          <w:tcPr>
            <w:tcW w:w="1466" w:type="dxa"/>
            <w:shd w:val="clear" w:color="auto" w:fill="auto"/>
            <w:vAlign w:val="center"/>
          </w:tcPr>
          <w:p w14:paraId="2D8E5C74"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&gt;1540</w:t>
            </w:r>
          </w:p>
        </w:tc>
        <w:tc>
          <w:tcPr>
            <w:tcW w:w="1662" w:type="dxa"/>
            <w:shd w:val="clear" w:color="auto" w:fill="auto"/>
            <w:vAlign w:val="center"/>
          </w:tcPr>
          <w:p w14:paraId="497DA043" w14:textId="77777777" w:rsidR="00D64C93" w:rsidRPr="00AA6109" w:rsidRDefault="00D64C93" w:rsidP="00914520">
            <w:pPr>
              <w:jc w:val="center"/>
              <w:rPr>
                <w:rFonts w:ascii="Times New Roman" w:hAnsi="Times New Roman" w:cs="Times New Roman"/>
                <w:b/>
                <w:bCs/>
                <w:sz w:val="20"/>
                <w:szCs w:val="20"/>
              </w:rPr>
            </w:pPr>
            <w:r w:rsidRPr="00AA6109">
              <w:rPr>
                <w:rFonts w:ascii="Times New Roman" w:hAnsi="Times New Roman" w:cs="Times New Roman"/>
                <w:b/>
                <w:bCs/>
                <w:sz w:val="20"/>
                <w:szCs w:val="20"/>
              </w:rPr>
              <w:t>1540</w:t>
            </w:r>
          </w:p>
        </w:tc>
        <w:tc>
          <w:tcPr>
            <w:tcW w:w="2068" w:type="dxa"/>
            <w:shd w:val="clear" w:color="auto" w:fill="auto"/>
            <w:vAlign w:val="center"/>
          </w:tcPr>
          <w:p w14:paraId="737A072C" w14:textId="77777777" w:rsidR="00D64C93" w:rsidRPr="00C47989" w:rsidRDefault="00D64C93" w:rsidP="00914520">
            <w:pPr>
              <w:jc w:val="center"/>
              <w:rPr>
                <w:rFonts w:ascii="Times New Roman" w:hAnsi="Times New Roman" w:cs="Times New Roman"/>
                <w:color w:val="000000"/>
                <w:sz w:val="20"/>
                <w:szCs w:val="20"/>
              </w:rPr>
            </w:pPr>
            <w:r w:rsidRPr="00C47989">
              <w:rPr>
                <w:rFonts w:ascii="Times New Roman" w:hAnsi="Times New Roman" w:cs="Times New Roman"/>
                <w:color w:val="000000"/>
                <w:sz w:val="20"/>
                <w:szCs w:val="20"/>
              </w:rPr>
              <w:t>Scymaris 2020a</w:t>
            </w:r>
          </w:p>
        </w:tc>
      </w:tr>
      <w:tr w:rsidR="00D64C93" w:rsidRPr="00C47989" w14:paraId="421EFC00" w14:textId="77777777" w:rsidTr="00914520">
        <w:tc>
          <w:tcPr>
            <w:tcW w:w="1512" w:type="dxa"/>
            <w:shd w:val="clear" w:color="auto" w:fill="auto"/>
            <w:vAlign w:val="center"/>
          </w:tcPr>
          <w:p w14:paraId="550A56C4" w14:textId="77777777" w:rsidR="00D64C93" w:rsidRPr="00C47989" w:rsidRDefault="00D64C93" w:rsidP="00914520">
            <w:pPr>
              <w:jc w:val="center"/>
              <w:rPr>
                <w:rFonts w:ascii="Times New Roman" w:hAnsi="Times New Roman" w:cs="Times New Roman"/>
                <w:spacing w:val="1"/>
                <w:sz w:val="20"/>
                <w:szCs w:val="20"/>
              </w:rPr>
            </w:pPr>
            <w:r w:rsidRPr="00C47989">
              <w:rPr>
                <w:rFonts w:ascii="Times New Roman" w:hAnsi="Times New Roman" w:cs="Times New Roman"/>
                <w:spacing w:val="1"/>
                <w:sz w:val="20"/>
                <w:szCs w:val="20"/>
              </w:rPr>
              <w:t>Bivalve Mollusc</w:t>
            </w:r>
          </w:p>
        </w:tc>
        <w:tc>
          <w:tcPr>
            <w:tcW w:w="1620" w:type="dxa"/>
            <w:shd w:val="clear" w:color="auto" w:fill="auto"/>
            <w:vAlign w:val="center"/>
          </w:tcPr>
          <w:p w14:paraId="08AF885B" w14:textId="77777777" w:rsidR="00D64C93" w:rsidRPr="00C47989" w:rsidRDefault="00D64C93" w:rsidP="00914520">
            <w:pPr>
              <w:jc w:val="center"/>
              <w:rPr>
                <w:rFonts w:ascii="Times New Roman" w:hAnsi="Times New Roman" w:cs="Times New Roman"/>
                <w:i/>
                <w:sz w:val="20"/>
                <w:szCs w:val="20"/>
                <w:lang w:eastAsia="en-GB"/>
              </w:rPr>
            </w:pPr>
            <w:r w:rsidRPr="00C47989">
              <w:rPr>
                <w:rFonts w:ascii="Times New Roman" w:hAnsi="Times New Roman" w:cs="Times New Roman"/>
                <w:i/>
                <w:sz w:val="20"/>
                <w:szCs w:val="20"/>
                <w:lang w:eastAsia="en-GB"/>
              </w:rPr>
              <w:t>Mytilus edulis trossulus</w:t>
            </w:r>
          </w:p>
        </w:tc>
        <w:tc>
          <w:tcPr>
            <w:tcW w:w="2218" w:type="dxa"/>
            <w:shd w:val="clear" w:color="auto" w:fill="auto"/>
            <w:vAlign w:val="center"/>
          </w:tcPr>
          <w:p w14:paraId="510EB4CB"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Byssus strength</w:t>
            </w:r>
          </w:p>
        </w:tc>
        <w:tc>
          <w:tcPr>
            <w:tcW w:w="1686" w:type="dxa"/>
            <w:shd w:val="clear" w:color="auto" w:fill="auto"/>
            <w:vAlign w:val="center"/>
          </w:tcPr>
          <w:p w14:paraId="3C3AB041"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21 days</w:t>
            </w:r>
          </w:p>
        </w:tc>
        <w:tc>
          <w:tcPr>
            <w:tcW w:w="1466" w:type="dxa"/>
            <w:shd w:val="clear" w:color="auto" w:fill="auto"/>
            <w:vAlign w:val="center"/>
          </w:tcPr>
          <w:p w14:paraId="328885A8"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100</w:t>
            </w:r>
          </w:p>
        </w:tc>
        <w:tc>
          <w:tcPr>
            <w:tcW w:w="1662" w:type="dxa"/>
            <w:shd w:val="clear" w:color="auto" w:fill="auto"/>
            <w:vAlign w:val="center"/>
          </w:tcPr>
          <w:p w14:paraId="3A7C41EB" w14:textId="77777777" w:rsidR="00D64C93" w:rsidRPr="00AA6109" w:rsidRDefault="00D64C93" w:rsidP="00914520">
            <w:pPr>
              <w:jc w:val="center"/>
              <w:rPr>
                <w:rFonts w:ascii="Times New Roman" w:hAnsi="Times New Roman" w:cs="Times New Roman"/>
                <w:b/>
                <w:bCs/>
                <w:i/>
                <w:iCs/>
                <w:sz w:val="20"/>
                <w:szCs w:val="20"/>
              </w:rPr>
            </w:pPr>
            <w:r w:rsidRPr="00AA6109">
              <w:rPr>
                <w:rFonts w:ascii="Times New Roman" w:hAnsi="Times New Roman" w:cs="Times New Roman"/>
                <w:b/>
                <w:bCs/>
                <w:i/>
                <w:iCs/>
                <w:sz w:val="20"/>
                <w:szCs w:val="20"/>
              </w:rPr>
              <w:t>3.2</w:t>
            </w:r>
          </w:p>
        </w:tc>
        <w:tc>
          <w:tcPr>
            <w:tcW w:w="2068" w:type="dxa"/>
            <w:shd w:val="clear" w:color="auto" w:fill="auto"/>
            <w:vAlign w:val="center"/>
          </w:tcPr>
          <w:p w14:paraId="4BF99D93" w14:textId="77777777" w:rsidR="00D64C93" w:rsidRPr="00C47989" w:rsidRDefault="00D64C93" w:rsidP="00914520">
            <w:pPr>
              <w:jc w:val="center"/>
              <w:rPr>
                <w:rFonts w:ascii="Times New Roman" w:hAnsi="Times New Roman" w:cs="Times New Roman"/>
                <w:sz w:val="20"/>
                <w:szCs w:val="20"/>
                <w:lang w:eastAsia="en-GB"/>
              </w:rPr>
            </w:pPr>
            <w:r w:rsidRPr="00C47989">
              <w:rPr>
                <w:rFonts w:ascii="Times New Roman" w:hAnsi="Times New Roman" w:cs="Times New Roman"/>
                <w:sz w:val="20"/>
                <w:szCs w:val="20"/>
                <w:lang w:eastAsia="en-GB"/>
              </w:rPr>
              <w:t>Ericson et al. 2010</w:t>
            </w:r>
          </w:p>
        </w:tc>
      </w:tr>
      <w:tr w:rsidR="00D64C93" w:rsidRPr="00C47989" w14:paraId="18AF2381" w14:textId="77777777" w:rsidTr="00914520">
        <w:tc>
          <w:tcPr>
            <w:tcW w:w="1512" w:type="dxa"/>
            <w:shd w:val="clear" w:color="auto" w:fill="auto"/>
            <w:vAlign w:val="center"/>
          </w:tcPr>
          <w:p w14:paraId="39B65F8C" w14:textId="77777777" w:rsidR="00D64C93" w:rsidRPr="00C47989" w:rsidRDefault="00D64C93" w:rsidP="00914520">
            <w:pPr>
              <w:jc w:val="center"/>
              <w:rPr>
                <w:rFonts w:ascii="Times New Roman" w:hAnsi="Times New Roman" w:cs="Times New Roman"/>
                <w:spacing w:val="1"/>
                <w:sz w:val="20"/>
                <w:szCs w:val="20"/>
              </w:rPr>
            </w:pPr>
            <w:r w:rsidRPr="00C47989">
              <w:rPr>
                <w:rFonts w:ascii="Times New Roman" w:hAnsi="Times New Roman" w:cs="Times New Roman"/>
                <w:spacing w:val="1"/>
                <w:sz w:val="20"/>
                <w:szCs w:val="20"/>
              </w:rPr>
              <w:t>Echinoderm</w:t>
            </w:r>
          </w:p>
        </w:tc>
        <w:tc>
          <w:tcPr>
            <w:tcW w:w="1620" w:type="dxa"/>
            <w:shd w:val="clear" w:color="auto" w:fill="auto"/>
            <w:vAlign w:val="center"/>
          </w:tcPr>
          <w:p w14:paraId="247C45A5" w14:textId="77777777" w:rsidR="00D64C93" w:rsidRPr="00C47989" w:rsidRDefault="00D64C93" w:rsidP="00914520">
            <w:pPr>
              <w:jc w:val="center"/>
              <w:rPr>
                <w:rFonts w:ascii="Times New Roman" w:hAnsi="Times New Roman" w:cs="Times New Roman"/>
                <w:i/>
                <w:sz w:val="20"/>
                <w:szCs w:val="20"/>
                <w:lang w:eastAsia="en-GB"/>
              </w:rPr>
            </w:pPr>
            <w:r w:rsidRPr="00C47989">
              <w:rPr>
                <w:rFonts w:ascii="Times New Roman" w:hAnsi="Times New Roman" w:cs="Times New Roman"/>
                <w:i/>
                <w:sz w:val="20"/>
                <w:szCs w:val="20"/>
                <w:lang w:eastAsia="en-GB"/>
              </w:rPr>
              <w:t>Paracentrotus lividus</w:t>
            </w:r>
          </w:p>
        </w:tc>
        <w:tc>
          <w:tcPr>
            <w:tcW w:w="2218" w:type="dxa"/>
            <w:shd w:val="clear" w:color="auto" w:fill="auto"/>
            <w:vAlign w:val="center"/>
          </w:tcPr>
          <w:p w14:paraId="4E887EDE"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Larval length</w:t>
            </w:r>
          </w:p>
        </w:tc>
        <w:tc>
          <w:tcPr>
            <w:tcW w:w="1686" w:type="dxa"/>
            <w:shd w:val="clear" w:color="auto" w:fill="auto"/>
            <w:vAlign w:val="center"/>
          </w:tcPr>
          <w:p w14:paraId="6577DFC4"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2 days</w:t>
            </w:r>
          </w:p>
        </w:tc>
        <w:tc>
          <w:tcPr>
            <w:tcW w:w="1466" w:type="dxa"/>
            <w:shd w:val="clear" w:color="auto" w:fill="auto"/>
            <w:vAlign w:val="center"/>
          </w:tcPr>
          <w:p w14:paraId="42D0493B"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5</w:t>
            </w:r>
          </w:p>
        </w:tc>
        <w:tc>
          <w:tcPr>
            <w:tcW w:w="1662" w:type="dxa"/>
            <w:shd w:val="clear" w:color="auto" w:fill="auto"/>
            <w:vAlign w:val="center"/>
          </w:tcPr>
          <w:p w14:paraId="4B962CE8" w14:textId="77777777" w:rsidR="00D64C93" w:rsidRPr="00AA6109" w:rsidRDefault="00D64C93" w:rsidP="00914520">
            <w:pPr>
              <w:jc w:val="center"/>
              <w:rPr>
                <w:rFonts w:ascii="Times New Roman" w:hAnsi="Times New Roman" w:cs="Times New Roman"/>
                <w:b/>
                <w:bCs/>
                <w:i/>
                <w:iCs/>
                <w:sz w:val="20"/>
                <w:szCs w:val="20"/>
              </w:rPr>
            </w:pPr>
            <w:r w:rsidRPr="00AA6109">
              <w:rPr>
                <w:rFonts w:ascii="Times New Roman" w:hAnsi="Times New Roman" w:cs="Times New Roman"/>
                <w:b/>
                <w:bCs/>
                <w:i/>
                <w:iCs/>
                <w:sz w:val="20"/>
                <w:szCs w:val="20"/>
              </w:rPr>
              <w:t>5.2</w:t>
            </w:r>
          </w:p>
        </w:tc>
        <w:tc>
          <w:tcPr>
            <w:tcW w:w="2068" w:type="dxa"/>
            <w:shd w:val="clear" w:color="auto" w:fill="auto"/>
            <w:vAlign w:val="center"/>
          </w:tcPr>
          <w:p w14:paraId="5B459D44" w14:textId="77777777" w:rsidR="00D64C93" w:rsidRPr="00C47989" w:rsidRDefault="00D64C93" w:rsidP="00914520">
            <w:pPr>
              <w:jc w:val="center"/>
              <w:rPr>
                <w:rFonts w:ascii="Times New Roman" w:hAnsi="Times New Roman" w:cs="Times New Roman"/>
                <w:sz w:val="20"/>
                <w:szCs w:val="20"/>
                <w:lang w:eastAsia="en-GB"/>
              </w:rPr>
            </w:pPr>
            <w:r w:rsidRPr="00C47989">
              <w:rPr>
                <w:rFonts w:ascii="Times New Roman" w:hAnsi="Times New Roman" w:cs="Times New Roman"/>
                <w:sz w:val="20"/>
                <w:szCs w:val="20"/>
                <w:lang w:eastAsia="en-GB"/>
              </w:rPr>
              <w:t>Ribeiro et al. 2015</w:t>
            </w:r>
          </w:p>
        </w:tc>
      </w:tr>
      <w:tr w:rsidR="00D64C93" w:rsidRPr="00C47989" w14:paraId="0087F3AD" w14:textId="77777777" w:rsidTr="00914520">
        <w:tc>
          <w:tcPr>
            <w:tcW w:w="1512" w:type="dxa"/>
            <w:shd w:val="clear" w:color="auto" w:fill="auto"/>
            <w:vAlign w:val="center"/>
          </w:tcPr>
          <w:p w14:paraId="11F1D1A0" w14:textId="77777777" w:rsidR="00D64C93" w:rsidRPr="00C47989" w:rsidRDefault="00D64C93" w:rsidP="00914520">
            <w:pPr>
              <w:jc w:val="center"/>
              <w:rPr>
                <w:rFonts w:ascii="Times New Roman" w:hAnsi="Times New Roman" w:cs="Times New Roman"/>
                <w:spacing w:val="1"/>
                <w:sz w:val="20"/>
                <w:szCs w:val="20"/>
              </w:rPr>
            </w:pPr>
            <w:r w:rsidRPr="00C47989">
              <w:rPr>
                <w:rFonts w:ascii="Times New Roman" w:hAnsi="Times New Roman" w:cs="Times New Roman"/>
                <w:spacing w:val="1"/>
                <w:sz w:val="20"/>
                <w:szCs w:val="20"/>
              </w:rPr>
              <w:t>Echinoderm</w:t>
            </w:r>
          </w:p>
        </w:tc>
        <w:tc>
          <w:tcPr>
            <w:tcW w:w="1620" w:type="dxa"/>
            <w:shd w:val="clear" w:color="auto" w:fill="auto"/>
            <w:vAlign w:val="center"/>
          </w:tcPr>
          <w:p w14:paraId="05039EBA" w14:textId="77777777" w:rsidR="00D64C93" w:rsidRPr="00C47989" w:rsidRDefault="00D64C93" w:rsidP="00914520">
            <w:pPr>
              <w:jc w:val="center"/>
              <w:rPr>
                <w:rFonts w:ascii="Times New Roman" w:hAnsi="Times New Roman" w:cs="Times New Roman"/>
                <w:i/>
                <w:sz w:val="20"/>
                <w:szCs w:val="20"/>
                <w:lang w:eastAsia="en-GB"/>
              </w:rPr>
            </w:pPr>
            <w:r w:rsidRPr="00C47989">
              <w:rPr>
                <w:rFonts w:ascii="Times New Roman" w:hAnsi="Times New Roman" w:cs="Times New Roman"/>
                <w:i/>
                <w:sz w:val="20"/>
                <w:szCs w:val="20"/>
                <w:lang w:eastAsia="en-GB"/>
              </w:rPr>
              <w:t>Paracentrotus lividus</w:t>
            </w:r>
          </w:p>
        </w:tc>
        <w:tc>
          <w:tcPr>
            <w:tcW w:w="2218" w:type="dxa"/>
            <w:shd w:val="clear" w:color="auto" w:fill="auto"/>
            <w:vAlign w:val="center"/>
          </w:tcPr>
          <w:p w14:paraId="76ECF080"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Fertilisation and Embryo Development</w:t>
            </w:r>
          </w:p>
        </w:tc>
        <w:tc>
          <w:tcPr>
            <w:tcW w:w="1686" w:type="dxa"/>
            <w:shd w:val="clear" w:color="auto" w:fill="auto"/>
            <w:vAlign w:val="center"/>
          </w:tcPr>
          <w:p w14:paraId="7AD361C5"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4 days (adult),</w:t>
            </w:r>
            <w:r w:rsidRPr="00C47989">
              <w:rPr>
                <w:rFonts w:ascii="Times New Roman" w:hAnsi="Times New Roman" w:cs="Times New Roman"/>
                <w:sz w:val="20"/>
                <w:szCs w:val="20"/>
              </w:rPr>
              <w:br/>
              <w:t xml:space="preserve">4 hours (fertilisation) </w:t>
            </w:r>
            <w:r w:rsidRPr="00C47989">
              <w:rPr>
                <w:rFonts w:ascii="Times New Roman" w:hAnsi="Times New Roman" w:cs="Times New Roman"/>
                <w:sz w:val="20"/>
                <w:szCs w:val="20"/>
              </w:rPr>
              <w:br/>
              <w:t>48 hours (embryo development)</w:t>
            </w:r>
          </w:p>
        </w:tc>
        <w:tc>
          <w:tcPr>
            <w:tcW w:w="1466" w:type="dxa"/>
            <w:shd w:val="clear" w:color="auto" w:fill="auto"/>
            <w:vAlign w:val="center"/>
          </w:tcPr>
          <w:p w14:paraId="1A5ACBC3"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&gt;1840</w:t>
            </w:r>
          </w:p>
        </w:tc>
        <w:tc>
          <w:tcPr>
            <w:tcW w:w="1662" w:type="dxa"/>
            <w:shd w:val="clear" w:color="auto" w:fill="auto"/>
            <w:vAlign w:val="center"/>
          </w:tcPr>
          <w:p w14:paraId="2847C1CC"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None</w:t>
            </w:r>
          </w:p>
        </w:tc>
        <w:tc>
          <w:tcPr>
            <w:tcW w:w="2068" w:type="dxa"/>
            <w:shd w:val="clear" w:color="auto" w:fill="auto"/>
            <w:vAlign w:val="center"/>
          </w:tcPr>
          <w:p w14:paraId="63E26D4C" w14:textId="77777777" w:rsidR="00D64C93" w:rsidRPr="00C47989" w:rsidRDefault="00D64C93" w:rsidP="00914520">
            <w:pPr>
              <w:jc w:val="center"/>
              <w:rPr>
                <w:rFonts w:ascii="Times New Roman" w:hAnsi="Times New Roman" w:cs="Times New Roman"/>
                <w:sz w:val="20"/>
                <w:szCs w:val="20"/>
                <w:lang w:eastAsia="en-GB"/>
              </w:rPr>
            </w:pPr>
            <w:r w:rsidRPr="00C47989">
              <w:rPr>
                <w:rFonts w:ascii="Times New Roman" w:hAnsi="Times New Roman" w:cs="Times New Roman"/>
                <w:sz w:val="20"/>
                <w:szCs w:val="20"/>
                <w:lang w:eastAsia="en-GB"/>
              </w:rPr>
              <w:t>Scymaris 2020b</w:t>
            </w:r>
          </w:p>
        </w:tc>
      </w:tr>
      <w:tr w:rsidR="00D64C93" w:rsidRPr="00C47989" w14:paraId="4ED54266" w14:textId="77777777" w:rsidTr="00914520">
        <w:tc>
          <w:tcPr>
            <w:tcW w:w="1512" w:type="dxa"/>
            <w:shd w:val="clear" w:color="auto" w:fill="auto"/>
            <w:vAlign w:val="center"/>
          </w:tcPr>
          <w:p w14:paraId="7A9BD902"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sz w:val="20"/>
                <w:szCs w:val="20"/>
              </w:rPr>
              <w:t>Fish</w:t>
            </w:r>
          </w:p>
        </w:tc>
        <w:tc>
          <w:tcPr>
            <w:tcW w:w="1620" w:type="dxa"/>
            <w:shd w:val="clear" w:color="auto" w:fill="auto"/>
            <w:vAlign w:val="center"/>
          </w:tcPr>
          <w:p w14:paraId="47E12587" w14:textId="77777777" w:rsidR="00D64C93" w:rsidRPr="00C47989" w:rsidRDefault="00D64C93" w:rsidP="00914520">
            <w:pPr>
              <w:jc w:val="center"/>
              <w:rPr>
                <w:rFonts w:ascii="Times New Roman" w:hAnsi="Times New Roman" w:cs="Times New Roman"/>
                <w:i/>
                <w:color w:val="000000"/>
                <w:sz w:val="20"/>
                <w:szCs w:val="20"/>
              </w:rPr>
            </w:pPr>
            <w:r w:rsidRPr="00C47989">
              <w:rPr>
                <w:rFonts w:ascii="Times New Roman" w:hAnsi="Times New Roman" w:cs="Times New Roman"/>
                <w:i/>
                <w:iCs/>
                <w:sz w:val="20"/>
                <w:szCs w:val="20"/>
              </w:rPr>
              <w:t>Oryzias latipes</w:t>
            </w:r>
          </w:p>
        </w:tc>
        <w:tc>
          <w:tcPr>
            <w:tcW w:w="2218" w:type="dxa"/>
            <w:shd w:val="clear" w:color="auto" w:fill="auto"/>
            <w:vAlign w:val="center"/>
          </w:tcPr>
          <w:p w14:paraId="23697E8B"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Reproduction</w:t>
            </w:r>
          </w:p>
        </w:tc>
        <w:tc>
          <w:tcPr>
            <w:tcW w:w="1686" w:type="dxa"/>
            <w:shd w:val="clear" w:color="auto" w:fill="auto"/>
            <w:vAlign w:val="center"/>
          </w:tcPr>
          <w:p w14:paraId="21284D73"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14 days</w:t>
            </w:r>
          </w:p>
        </w:tc>
        <w:tc>
          <w:tcPr>
            <w:tcW w:w="1466" w:type="dxa"/>
            <w:shd w:val="clear" w:color="auto" w:fill="auto"/>
            <w:vAlign w:val="center"/>
          </w:tcPr>
          <w:p w14:paraId="222FFC09"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25</w:t>
            </w:r>
          </w:p>
        </w:tc>
        <w:tc>
          <w:tcPr>
            <w:tcW w:w="1662" w:type="dxa"/>
            <w:shd w:val="clear" w:color="auto" w:fill="auto"/>
            <w:vAlign w:val="center"/>
          </w:tcPr>
          <w:p w14:paraId="25E4B525"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25</w:t>
            </w:r>
          </w:p>
        </w:tc>
        <w:tc>
          <w:tcPr>
            <w:tcW w:w="2068" w:type="dxa"/>
            <w:shd w:val="clear" w:color="auto" w:fill="auto"/>
            <w:vAlign w:val="center"/>
          </w:tcPr>
          <w:p w14:paraId="5206180B" w14:textId="77777777" w:rsidR="00D64C93" w:rsidRPr="00C47989" w:rsidRDefault="00D64C93" w:rsidP="00914520">
            <w:pPr>
              <w:jc w:val="center"/>
              <w:rPr>
                <w:rFonts w:ascii="Times New Roman" w:hAnsi="Times New Roman" w:cs="Times New Roman"/>
                <w:b/>
                <w:color w:val="000000"/>
                <w:sz w:val="20"/>
                <w:szCs w:val="20"/>
                <w:u w:val="single"/>
              </w:rPr>
            </w:pPr>
            <w:r w:rsidRPr="00C47989">
              <w:rPr>
                <w:rFonts w:ascii="Times New Roman" w:hAnsi="Times New Roman" w:cs="Times New Roman"/>
                <w:color w:val="000000"/>
                <w:sz w:val="20"/>
                <w:szCs w:val="20"/>
              </w:rPr>
              <w:t>Yokota et al. 2016</w:t>
            </w:r>
          </w:p>
        </w:tc>
      </w:tr>
      <w:tr w:rsidR="00D64C93" w:rsidRPr="00C47989" w14:paraId="27D00395" w14:textId="77777777" w:rsidTr="00914520">
        <w:tc>
          <w:tcPr>
            <w:tcW w:w="1512" w:type="dxa"/>
            <w:shd w:val="clear" w:color="auto" w:fill="auto"/>
            <w:vAlign w:val="center"/>
          </w:tcPr>
          <w:p w14:paraId="66612C2D"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Fish</w:t>
            </w:r>
          </w:p>
        </w:tc>
        <w:tc>
          <w:tcPr>
            <w:tcW w:w="1620" w:type="dxa"/>
            <w:shd w:val="clear" w:color="auto" w:fill="auto"/>
            <w:vAlign w:val="center"/>
          </w:tcPr>
          <w:p w14:paraId="38E8B47B" w14:textId="77777777" w:rsidR="00D64C93" w:rsidRPr="00C47989" w:rsidRDefault="00D64C93" w:rsidP="00914520">
            <w:pPr>
              <w:jc w:val="center"/>
              <w:rPr>
                <w:rFonts w:ascii="Times New Roman" w:hAnsi="Times New Roman" w:cs="Times New Roman"/>
                <w:i/>
                <w:iCs/>
                <w:sz w:val="20"/>
                <w:szCs w:val="20"/>
              </w:rPr>
            </w:pPr>
            <w:r w:rsidRPr="00C47989">
              <w:rPr>
                <w:rFonts w:ascii="Times New Roman" w:hAnsi="Times New Roman" w:cs="Times New Roman"/>
                <w:i/>
                <w:iCs/>
                <w:sz w:val="20"/>
                <w:szCs w:val="20"/>
              </w:rPr>
              <w:t>Oryzias latipes</w:t>
            </w:r>
          </w:p>
        </w:tc>
        <w:tc>
          <w:tcPr>
            <w:tcW w:w="2218" w:type="dxa"/>
            <w:shd w:val="clear" w:color="auto" w:fill="auto"/>
            <w:vAlign w:val="center"/>
          </w:tcPr>
          <w:p w14:paraId="5260AF5E"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Reproduction</w:t>
            </w:r>
          </w:p>
        </w:tc>
        <w:tc>
          <w:tcPr>
            <w:tcW w:w="1686" w:type="dxa"/>
            <w:shd w:val="clear" w:color="auto" w:fill="auto"/>
            <w:vAlign w:val="center"/>
          </w:tcPr>
          <w:p w14:paraId="62349D6F"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14 days</w:t>
            </w:r>
          </w:p>
        </w:tc>
        <w:tc>
          <w:tcPr>
            <w:tcW w:w="1466" w:type="dxa"/>
            <w:shd w:val="clear" w:color="auto" w:fill="auto"/>
            <w:vAlign w:val="center"/>
          </w:tcPr>
          <w:p w14:paraId="1788A7EF"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7.1</w:t>
            </w:r>
          </w:p>
        </w:tc>
        <w:tc>
          <w:tcPr>
            <w:tcW w:w="1662" w:type="dxa"/>
            <w:shd w:val="clear" w:color="auto" w:fill="auto"/>
            <w:vAlign w:val="center"/>
          </w:tcPr>
          <w:p w14:paraId="709F31EB" w14:textId="77777777" w:rsidR="00D64C93" w:rsidRPr="00AA6109" w:rsidRDefault="00D64C93" w:rsidP="00914520">
            <w:pPr>
              <w:jc w:val="center"/>
              <w:rPr>
                <w:rFonts w:ascii="Times New Roman" w:hAnsi="Times New Roman" w:cs="Times New Roman"/>
                <w:b/>
                <w:bCs/>
                <w:i/>
                <w:iCs/>
                <w:sz w:val="20"/>
                <w:szCs w:val="20"/>
              </w:rPr>
            </w:pPr>
            <w:r w:rsidRPr="00AA6109">
              <w:rPr>
                <w:rFonts w:ascii="Times New Roman" w:hAnsi="Times New Roman" w:cs="Times New Roman"/>
                <w:b/>
                <w:bCs/>
                <w:i/>
                <w:iCs/>
                <w:sz w:val="20"/>
                <w:szCs w:val="20"/>
              </w:rPr>
              <w:t>7.8</w:t>
            </w:r>
          </w:p>
        </w:tc>
        <w:tc>
          <w:tcPr>
            <w:tcW w:w="2068" w:type="dxa"/>
            <w:shd w:val="clear" w:color="auto" w:fill="auto"/>
            <w:vAlign w:val="center"/>
          </w:tcPr>
          <w:p w14:paraId="264B0A1F" w14:textId="77777777" w:rsidR="00D64C93" w:rsidRPr="00C47989" w:rsidRDefault="00D64C93" w:rsidP="00914520">
            <w:pPr>
              <w:jc w:val="center"/>
              <w:rPr>
                <w:rFonts w:ascii="Times New Roman" w:hAnsi="Times New Roman" w:cs="Times New Roman"/>
                <w:color w:val="000000"/>
                <w:sz w:val="20"/>
                <w:szCs w:val="20"/>
              </w:rPr>
            </w:pPr>
            <w:r w:rsidRPr="00C47989">
              <w:rPr>
                <w:rFonts w:ascii="Times New Roman" w:hAnsi="Times New Roman" w:cs="Times New Roman"/>
                <w:color w:val="000000"/>
                <w:sz w:val="20"/>
                <w:szCs w:val="20"/>
              </w:rPr>
              <w:t>Yokota et al. 2017</w:t>
            </w:r>
          </w:p>
        </w:tc>
      </w:tr>
      <w:tr w:rsidR="00D64C93" w:rsidRPr="00C47989" w14:paraId="05541C57" w14:textId="77777777" w:rsidTr="00914520">
        <w:tc>
          <w:tcPr>
            <w:tcW w:w="1512" w:type="dxa"/>
            <w:vAlign w:val="center"/>
          </w:tcPr>
          <w:p w14:paraId="72262712"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Fish</w:t>
            </w:r>
          </w:p>
        </w:tc>
        <w:tc>
          <w:tcPr>
            <w:tcW w:w="1620" w:type="dxa"/>
            <w:vAlign w:val="center"/>
          </w:tcPr>
          <w:p w14:paraId="3CB5C35E" w14:textId="77777777" w:rsidR="00D64C93" w:rsidRPr="00C47989" w:rsidRDefault="00D64C93" w:rsidP="00914520">
            <w:pPr>
              <w:jc w:val="center"/>
              <w:rPr>
                <w:rFonts w:ascii="Times New Roman" w:hAnsi="Times New Roman" w:cs="Times New Roman"/>
                <w:i/>
                <w:iCs/>
                <w:sz w:val="20"/>
                <w:szCs w:val="20"/>
              </w:rPr>
            </w:pPr>
            <w:r w:rsidRPr="00C47989">
              <w:rPr>
                <w:rFonts w:ascii="Times New Roman" w:hAnsi="Times New Roman" w:cs="Times New Roman"/>
                <w:i/>
                <w:iCs/>
                <w:sz w:val="20"/>
                <w:szCs w:val="20"/>
              </w:rPr>
              <w:t>Oryzias latipes</w:t>
            </w:r>
          </w:p>
        </w:tc>
        <w:tc>
          <w:tcPr>
            <w:tcW w:w="2218" w:type="dxa"/>
            <w:vAlign w:val="center"/>
          </w:tcPr>
          <w:p w14:paraId="2414C14C"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Jaw malformation</w:t>
            </w:r>
          </w:p>
        </w:tc>
        <w:tc>
          <w:tcPr>
            <w:tcW w:w="1686" w:type="dxa"/>
            <w:vAlign w:val="center"/>
          </w:tcPr>
          <w:p w14:paraId="4B483369"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90 days</w:t>
            </w:r>
          </w:p>
        </w:tc>
        <w:tc>
          <w:tcPr>
            <w:tcW w:w="1466" w:type="dxa"/>
            <w:vAlign w:val="center"/>
          </w:tcPr>
          <w:p w14:paraId="2BE922D4"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7.3</w:t>
            </w:r>
          </w:p>
        </w:tc>
        <w:tc>
          <w:tcPr>
            <w:tcW w:w="1662" w:type="dxa"/>
            <w:vAlign w:val="center"/>
          </w:tcPr>
          <w:p w14:paraId="29E9F722"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12.6</w:t>
            </w:r>
          </w:p>
        </w:tc>
        <w:tc>
          <w:tcPr>
            <w:tcW w:w="2068" w:type="dxa"/>
            <w:vAlign w:val="center"/>
          </w:tcPr>
          <w:p w14:paraId="0FBA9E35"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color w:val="000000"/>
                <w:sz w:val="20"/>
                <w:szCs w:val="20"/>
              </w:rPr>
              <w:t>Yokota et al. 2018</w:t>
            </w:r>
          </w:p>
        </w:tc>
      </w:tr>
      <w:tr w:rsidR="00D64C93" w:rsidRPr="00C47989" w14:paraId="74DE15E3" w14:textId="77777777" w:rsidTr="00914520">
        <w:tc>
          <w:tcPr>
            <w:tcW w:w="1512" w:type="dxa"/>
            <w:vAlign w:val="center"/>
          </w:tcPr>
          <w:p w14:paraId="06CFFB38"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Fish</w:t>
            </w:r>
          </w:p>
        </w:tc>
        <w:tc>
          <w:tcPr>
            <w:tcW w:w="1620" w:type="dxa"/>
            <w:vAlign w:val="center"/>
          </w:tcPr>
          <w:p w14:paraId="73E53D00" w14:textId="77777777" w:rsidR="00D64C93" w:rsidRPr="00C47989" w:rsidRDefault="00D64C93" w:rsidP="00914520">
            <w:pPr>
              <w:jc w:val="center"/>
              <w:rPr>
                <w:rFonts w:ascii="Times New Roman" w:hAnsi="Times New Roman" w:cs="Times New Roman"/>
                <w:i/>
                <w:iCs/>
                <w:sz w:val="20"/>
                <w:szCs w:val="20"/>
              </w:rPr>
            </w:pPr>
            <w:r w:rsidRPr="00C47989">
              <w:rPr>
                <w:rFonts w:ascii="Times New Roman" w:hAnsi="Times New Roman" w:cs="Times New Roman"/>
                <w:i/>
                <w:iCs/>
                <w:sz w:val="20"/>
                <w:szCs w:val="20"/>
              </w:rPr>
              <w:t>Oryzias latipes</w:t>
            </w:r>
          </w:p>
        </w:tc>
        <w:tc>
          <w:tcPr>
            <w:tcW w:w="2218" w:type="dxa"/>
            <w:vAlign w:val="center"/>
          </w:tcPr>
          <w:p w14:paraId="3C6228E7"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2</w:t>
            </w:r>
            <w:r w:rsidRPr="00C47989">
              <w:rPr>
                <w:rFonts w:ascii="Times New Roman" w:hAnsi="Times New Roman" w:cs="Times New Roman"/>
                <w:sz w:val="20"/>
                <w:szCs w:val="20"/>
                <w:vertAlign w:val="superscript"/>
              </w:rPr>
              <w:t>nd</w:t>
            </w:r>
            <w:r w:rsidRPr="00C47989">
              <w:rPr>
                <w:rFonts w:ascii="Times New Roman" w:hAnsi="Times New Roman" w:cs="Times New Roman"/>
                <w:sz w:val="20"/>
                <w:szCs w:val="20"/>
              </w:rPr>
              <w:t xml:space="preserve"> generation hatching</w:t>
            </w:r>
          </w:p>
        </w:tc>
        <w:tc>
          <w:tcPr>
            <w:tcW w:w="1686" w:type="dxa"/>
            <w:vAlign w:val="center"/>
          </w:tcPr>
          <w:p w14:paraId="1CC80228"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3 months</w:t>
            </w:r>
          </w:p>
        </w:tc>
        <w:tc>
          <w:tcPr>
            <w:tcW w:w="1466" w:type="dxa"/>
            <w:vAlign w:val="center"/>
          </w:tcPr>
          <w:p w14:paraId="40078303"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1000</w:t>
            </w:r>
          </w:p>
        </w:tc>
        <w:tc>
          <w:tcPr>
            <w:tcW w:w="1662" w:type="dxa"/>
            <w:vAlign w:val="center"/>
          </w:tcPr>
          <w:p w14:paraId="7B39D2B1"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7100</w:t>
            </w:r>
          </w:p>
        </w:tc>
        <w:tc>
          <w:tcPr>
            <w:tcW w:w="2068" w:type="dxa"/>
            <w:vAlign w:val="center"/>
          </w:tcPr>
          <w:p w14:paraId="7454D0E0" w14:textId="77777777" w:rsidR="00D64C93" w:rsidRPr="00C47989" w:rsidRDefault="00D64C93" w:rsidP="00914520">
            <w:pPr>
              <w:jc w:val="center"/>
              <w:rPr>
                <w:rFonts w:ascii="Times New Roman" w:hAnsi="Times New Roman" w:cs="Times New Roman"/>
                <w:color w:val="000000"/>
                <w:sz w:val="20"/>
                <w:szCs w:val="20"/>
              </w:rPr>
            </w:pPr>
            <w:r w:rsidRPr="00C47989">
              <w:rPr>
                <w:rFonts w:ascii="Times New Roman" w:hAnsi="Times New Roman" w:cs="Times New Roman"/>
                <w:color w:val="000000"/>
                <w:sz w:val="20"/>
                <w:szCs w:val="20"/>
              </w:rPr>
              <w:t>Lee et al. 2011</w:t>
            </w:r>
          </w:p>
        </w:tc>
      </w:tr>
      <w:tr w:rsidR="00D64C93" w:rsidRPr="00C47989" w14:paraId="600F3E1F" w14:textId="77777777" w:rsidTr="00914520">
        <w:tc>
          <w:tcPr>
            <w:tcW w:w="1512" w:type="dxa"/>
            <w:vAlign w:val="center"/>
          </w:tcPr>
          <w:p w14:paraId="06FA90B1"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Fish</w:t>
            </w:r>
          </w:p>
        </w:tc>
        <w:tc>
          <w:tcPr>
            <w:tcW w:w="1620" w:type="dxa"/>
            <w:vAlign w:val="center"/>
          </w:tcPr>
          <w:p w14:paraId="558D8714" w14:textId="77777777" w:rsidR="00D64C93" w:rsidRPr="00C47989" w:rsidRDefault="00D64C93" w:rsidP="00914520">
            <w:pPr>
              <w:jc w:val="center"/>
              <w:rPr>
                <w:rFonts w:ascii="Times New Roman" w:hAnsi="Times New Roman" w:cs="Times New Roman"/>
                <w:i/>
                <w:iCs/>
                <w:sz w:val="20"/>
                <w:szCs w:val="20"/>
              </w:rPr>
            </w:pPr>
            <w:r w:rsidRPr="00C47989">
              <w:rPr>
                <w:rFonts w:ascii="Times New Roman" w:hAnsi="Times New Roman" w:cs="Times New Roman"/>
                <w:i/>
                <w:iCs/>
                <w:sz w:val="20"/>
                <w:szCs w:val="20"/>
              </w:rPr>
              <w:t>Salmo trutta</w:t>
            </w:r>
          </w:p>
        </w:tc>
        <w:tc>
          <w:tcPr>
            <w:tcW w:w="2218" w:type="dxa"/>
            <w:vAlign w:val="center"/>
          </w:tcPr>
          <w:p w14:paraId="3183ED9F"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Mortality</w:t>
            </w:r>
          </w:p>
        </w:tc>
        <w:tc>
          <w:tcPr>
            <w:tcW w:w="1686" w:type="dxa"/>
            <w:vAlign w:val="center"/>
          </w:tcPr>
          <w:p w14:paraId="2D3FC10F"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127 days</w:t>
            </w:r>
          </w:p>
        </w:tc>
        <w:tc>
          <w:tcPr>
            <w:tcW w:w="1466" w:type="dxa"/>
            <w:vAlign w:val="center"/>
          </w:tcPr>
          <w:p w14:paraId="01DE1D31"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10</w:t>
            </w:r>
          </w:p>
        </w:tc>
        <w:tc>
          <w:tcPr>
            <w:tcW w:w="1662" w:type="dxa"/>
            <w:vAlign w:val="center"/>
          </w:tcPr>
          <w:p w14:paraId="411291E1" w14:textId="77777777" w:rsidR="00D64C93" w:rsidRPr="00AA6109" w:rsidRDefault="00D64C93" w:rsidP="00914520">
            <w:pPr>
              <w:jc w:val="center"/>
              <w:rPr>
                <w:rFonts w:ascii="Times New Roman" w:hAnsi="Times New Roman" w:cs="Times New Roman"/>
                <w:b/>
                <w:bCs/>
                <w:i/>
                <w:iCs/>
                <w:sz w:val="20"/>
                <w:szCs w:val="20"/>
              </w:rPr>
            </w:pPr>
            <w:r w:rsidRPr="00AA6109">
              <w:rPr>
                <w:rFonts w:ascii="Times New Roman" w:hAnsi="Times New Roman" w:cs="Times New Roman"/>
                <w:b/>
                <w:bCs/>
                <w:i/>
                <w:iCs/>
                <w:sz w:val="20"/>
                <w:szCs w:val="20"/>
              </w:rPr>
              <w:t>3.5</w:t>
            </w:r>
          </w:p>
        </w:tc>
        <w:tc>
          <w:tcPr>
            <w:tcW w:w="2068" w:type="dxa"/>
            <w:vAlign w:val="center"/>
          </w:tcPr>
          <w:p w14:paraId="00733D9C"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color w:val="000000"/>
                <w:sz w:val="20"/>
                <w:szCs w:val="20"/>
              </w:rPr>
              <w:t>Schwarz et al. 2017</w:t>
            </w:r>
          </w:p>
        </w:tc>
      </w:tr>
      <w:tr w:rsidR="00D64C93" w:rsidRPr="00C47989" w14:paraId="6C1ACB44" w14:textId="77777777" w:rsidTr="00914520">
        <w:tc>
          <w:tcPr>
            <w:tcW w:w="1512" w:type="dxa"/>
            <w:vAlign w:val="center"/>
          </w:tcPr>
          <w:p w14:paraId="43CF0ACC"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Fish</w:t>
            </w:r>
          </w:p>
        </w:tc>
        <w:tc>
          <w:tcPr>
            <w:tcW w:w="1620" w:type="dxa"/>
            <w:vAlign w:val="center"/>
          </w:tcPr>
          <w:p w14:paraId="78DE09C0" w14:textId="77777777" w:rsidR="00D64C93" w:rsidRPr="00C47989" w:rsidRDefault="00D64C93" w:rsidP="00914520">
            <w:pPr>
              <w:jc w:val="center"/>
              <w:rPr>
                <w:rFonts w:ascii="Times New Roman" w:hAnsi="Times New Roman" w:cs="Times New Roman"/>
                <w:i/>
                <w:iCs/>
                <w:sz w:val="20"/>
                <w:szCs w:val="20"/>
              </w:rPr>
            </w:pPr>
            <w:r w:rsidRPr="00C47989">
              <w:rPr>
                <w:rFonts w:ascii="Times New Roman" w:hAnsi="Times New Roman" w:cs="Times New Roman"/>
                <w:i/>
                <w:color w:val="000000"/>
                <w:sz w:val="20"/>
                <w:szCs w:val="20"/>
              </w:rPr>
              <w:t>Gasterosteus aculeatus</w:t>
            </w:r>
          </w:p>
        </w:tc>
        <w:tc>
          <w:tcPr>
            <w:tcW w:w="2218" w:type="dxa"/>
            <w:vAlign w:val="center"/>
          </w:tcPr>
          <w:p w14:paraId="7928FC30"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Jaw malformation</w:t>
            </w:r>
          </w:p>
        </w:tc>
        <w:tc>
          <w:tcPr>
            <w:tcW w:w="1686" w:type="dxa"/>
            <w:vAlign w:val="center"/>
          </w:tcPr>
          <w:p w14:paraId="345FBDF1"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21-28 days</w:t>
            </w:r>
          </w:p>
        </w:tc>
        <w:tc>
          <w:tcPr>
            <w:tcW w:w="1466" w:type="dxa"/>
            <w:vAlign w:val="center"/>
          </w:tcPr>
          <w:p w14:paraId="58068DCE"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4.6</w:t>
            </w:r>
          </w:p>
        </w:tc>
        <w:tc>
          <w:tcPr>
            <w:tcW w:w="1662" w:type="dxa"/>
            <w:vAlign w:val="center"/>
          </w:tcPr>
          <w:p w14:paraId="0E7B0E13" w14:textId="77777777" w:rsidR="00D64C93" w:rsidRPr="00AA6109" w:rsidRDefault="00D64C93" w:rsidP="00914520">
            <w:pPr>
              <w:jc w:val="center"/>
              <w:rPr>
                <w:rFonts w:ascii="Times New Roman" w:hAnsi="Times New Roman" w:cs="Times New Roman"/>
                <w:b/>
                <w:bCs/>
                <w:i/>
                <w:iCs/>
                <w:sz w:val="20"/>
                <w:szCs w:val="20"/>
              </w:rPr>
            </w:pPr>
            <w:r w:rsidRPr="00AA6109">
              <w:rPr>
                <w:rFonts w:ascii="Times New Roman" w:hAnsi="Times New Roman" w:cs="Times New Roman"/>
                <w:b/>
                <w:bCs/>
                <w:i/>
                <w:iCs/>
                <w:sz w:val="20"/>
                <w:szCs w:val="20"/>
              </w:rPr>
              <w:t>7.2</w:t>
            </w:r>
          </w:p>
        </w:tc>
        <w:tc>
          <w:tcPr>
            <w:tcW w:w="2068" w:type="dxa"/>
            <w:vAlign w:val="center"/>
          </w:tcPr>
          <w:p w14:paraId="21D7BA82"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color w:val="000000"/>
                <w:sz w:val="20"/>
                <w:szCs w:val="20"/>
              </w:rPr>
              <w:t>Naslund et al. 2017</w:t>
            </w:r>
          </w:p>
        </w:tc>
      </w:tr>
      <w:tr w:rsidR="00D64C93" w:rsidRPr="00C47989" w14:paraId="3ED72638" w14:textId="77777777" w:rsidTr="00914520">
        <w:tc>
          <w:tcPr>
            <w:tcW w:w="1512" w:type="dxa"/>
            <w:vAlign w:val="center"/>
          </w:tcPr>
          <w:p w14:paraId="5AF4D8D4"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Fish</w:t>
            </w:r>
          </w:p>
        </w:tc>
        <w:tc>
          <w:tcPr>
            <w:tcW w:w="1620" w:type="dxa"/>
            <w:vAlign w:val="center"/>
          </w:tcPr>
          <w:p w14:paraId="7E2F10DB" w14:textId="77777777" w:rsidR="00D64C93" w:rsidRPr="00C47989" w:rsidRDefault="00D64C93" w:rsidP="00914520">
            <w:pPr>
              <w:jc w:val="center"/>
              <w:rPr>
                <w:rFonts w:ascii="Times New Roman" w:hAnsi="Times New Roman" w:cs="Times New Roman"/>
                <w:i/>
                <w:iCs/>
                <w:sz w:val="20"/>
                <w:szCs w:val="20"/>
              </w:rPr>
            </w:pPr>
            <w:r w:rsidRPr="00C47989">
              <w:rPr>
                <w:rFonts w:ascii="Times New Roman" w:hAnsi="Times New Roman" w:cs="Times New Roman"/>
                <w:i/>
                <w:color w:val="000000"/>
                <w:sz w:val="20"/>
                <w:szCs w:val="20"/>
              </w:rPr>
              <w:t>Oncorhynchus mykiss</w:t>
            </w:r>
          </w:p>
        </w:tc>
        <w:tc>
          <w:tcPr>
            <w:tcW w:w="2218" w:type="dxa"/>
            <w:vAlign w:val="center"/>
          </w:tcPr>
          <w:p w14:paraId="6EA6AB93"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color w:val="000000"/>
                <w:sz w:val="20"/>
                <w:szCs w:val="20"/>
              </w:rPr>
              <w:t>Hatching, larval development, mortality, growth</w:t>
            </w:r>
          </w:p>
        </w:tc>
        <w:tc>
          <w:tcPr>
            <w:tcW w:w="1686" w:type="dxa"/>
            <w:vAlign w:val="center"/>
          </w:tcPr>
          <w:p w14:paraId="0B1116B9"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60 days</w:t>
            </w:r>
          </w:p>
        </w:tc>
        <w:tc>
          <w:tcPr>
            <w:tcW w:w="1466" w:type="dxa"/>
            <w:vAlign w:val="center"/>
          </w:tcPr>
          <w:p w14:paraId="29A17579"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&gt;1084</w:t>
            </w:r>
          </w:p>
        </w:tc>
        <w:tc>
          <w:tcPr>
            <w:tcW w:w="1662" w:type="dxa"/>
            <w:vAlign w:val="center"/>
          </w:tcPr>
          <w:p w14:paraId="32247AA0"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None</w:t>
            </w:r>
          </w:p>
        </w:tc>
        <w:tc>
          <w:tcPr>
            <w:tcW w:w="2068" w:type="dxa"/>
            <w:vAlign w:val="center"/>
          </w:tcPr>
          <w:p w14:paraId="3C811388"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color w:val="000000"/>
                <w:sz w:val="20"/>
                <w:szCs w:val="20"/>
              </w:rPr>
              <w:t>Memmert et al. 2013</w:t>
            </w:r>
          </w:p>
        </w:tc>
      </w:tr>
      <w:tr w:rsidR="00D64C93" w:rsidRPr="00C47989" w14:paraId="0C5F0955" w14:textId="77777777" w:rsidTr="00914520">
        <w:tc>
          <w:tcPr>
            <w:tcW w:w="1512" w:type="dxa"/>
            <w:vAlign w:val="center"/>
          </w:tcPr>
          <w:p w14:paraId="5EE1F5B4"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Fish</w:t>
            </w:r>
          </w:p>
        </w:tc>
        <w:tc>
          <w:tcPr>
            <w:tcW w:w="1620" w:type="dxa"/>
            <w:vAlign w:val="center"/>
          </w:tcPr>
          <w:p w14:paraId="1D9BDF8C" w14:textId="77777777" w:rsidR="00D64C93" w:rsidRPr="00C47989" w:rsidRDefault="00D64C93" w:rsidP="00914520">
            <w:pPr>
              <w:jc w:val="center"/>
              <w:rPr>
                <w:rFonts w:ascii="Times New Roman" w:hAnsi="Times New Roman" w:cs="Times New Roman"/>
                <w:i/>
                <w:sz w:val="20"/>
                <w:szCs w:val="20"/>
                <w:lang w:eastAsia="en-GB"/>
              </w:rPr>
            </w:pPr>
            <w:r w:rsidRPr="00C47989">
              <w:rPr>
                <w:rFonts w:ascii="Times New Roman" w:hAnsi="Times New Roman" w:cs="Times New Roman"/>
                <w:i/>
                <w:sz w:val="20"/>
                <w:szCs w:val="20"/>
                <w:lang w:eastAsia="en-GB"/>
              </w:rPr>
              <w:t>Oncorhynchus mykiss</w:t>
            </w:r>
          </w:p>
        </w:tc>
        <w:tc>
          <w:tcPr>
            <w:tcW w:w="2218" w:type="dxa"/>
            <w:vAlign w:val="center"/>
          </w:tcPr>
          <w:p w14:paraId="7FDBB993" w14:textId="77777777" w:rsidR="00D64C93" w:rsidRPr="00C47989" w:rsidRDefault="00D64C93" w:rsidP="00914520">
            <w:pPr>
              <w:jc w:val="center"/>
              <w:rPr>
                <w:rFonts w:ascii="Times New Roman" w:hAnsi="Times New Roman" w:cs="Times New Roman"/>
                <w:sz w:val="20"/>
                <w:szCs w:val="20"/>
                <w:lang w:eastAsia="en-GB"/>
              </w:rPr>
            </w:pPr>
            <w:r w:rsidRPr="00C47989">
              <w:rPr>
                <w:rFonts w:ascii="Times New Roman" w:hAnsi="Times New Roman" w:cs="Times New Roman"/>
                <w:sz w:val="20"/>
                <w:szCs w:val="20"/>
                <w:lang w:eastAsia="en-GB"/>
              </w:rPr>
              <w:t>Eye malformation</w:t>
            </w:r>
          </w:p>
        </w:tc>
        <w:tc>
          <w:tcPr>
            <w:tcW w:w="1686" w:type="dxa"/>
            <w:vAlign w:val="center"/>
          </w:tcPr>
          <w:p w14:paraId="2B6B33B1"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28 days</w:t>
            </w:r>
          </w:p>
        </w:tc>
        <w:tc>
          <w:tcPr>
            <w:tcW w:w="1466" w:type="dxa"/>
            <w:vAlign w:val="center"/>
          </w:tcPr>
          <w:p w14:paraId="4AAAC75F"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5</w:t>
            </w:r>
          </w:p>
        </w:tc>
        <w:tc>
          <w:tcPr>
            <w:tcW w:w="1662" w:type="dxa"/>
            <w:vAlign w:val="center"/>
          </w:tcPr>
          <w:p w14:paraId="14AF5896" w14:textId="77777777" w:rsidR="00D64C93" w:rsidRPr="00AA6109" w:rsidRDefault="00D64C93" w:rsidP="00914520">
            <w:pPr>
              <w:jc w:val="center"/>
              <w:rPr>
                <w:rFonts w:ascii="Times New Roman" w:hAnsi="Times New Roman" w:cs="Times New Roman"/>
                <w:b/>
                <w:bCs/>
                <w:i/>
                <w:iCs/>
                <w:sz w:val="20"/>
                <w:szCs w:val="20"/>
              </w:rPr>
            </w:pPr>
            <w:r w:rsidRPr="00AA6109">
              <w:rPr>
                <w:rFonts w:ascii="Times New Roman" w:hAnsi="Times New Roman" w:cs="Times New Roman"/>
                <w:b/>
                <w:bCs/>
                <w:i/>
                <w:iCs/>
                <w:sz w:val="20"/>
                <w:szCs w:val="20"/>
              </w:rPr>
              <w:t>5</w:t>
            </w:r>
          </w:p>
        </w:tc>
        <w:tc>
          <w:tcPr>
            <w:tcW w:w="2068" w:type="dxa"/>
            <w:vAlign w:val="center"/>
          </w:tcPr>
          <w:p w14:paraId="25E63A80" w14:textId="77777777" w:rsidR="00D64C93" w:rsidRPr="00C47989" w:rsidRDefault="00D64C93" w:rsidP="00914520">
            <w:pPr>
              <w:jc w:val="center"/>
              <w:rPr>
                <w:rFonts w:ascii="Times New Roman" w:hAnsi="Times New Roman" w:cs="Times New Roman"/>
                <w:sz w:val="20"/>
                <w:szCs w:val="20"/>
                <w:lang w:eastAsia="en-GB"/>
              </w:rPr>
            </w:pPr>
            <w:r w:rsidRPr="00C47989">
              <w:rPr>
                <w:rFonts w:ascii="Times New Roman" w:hAnsi="Times New Roman" w:cs="Times New Roman"/>
                <w:sz w:val="20"/>
                <w:szCs w:val="20"/>
                <w:lang w:eastAsia="en-GB"/>
              </w:rPr>
              <w:t>Birzle 2015</w:t>
            </w:r>
          </w:p>
        </w:tc>
      </w:tr>
      <w:tr w:rsidR="00D64C93" w:rsidRPr="00C47989" w14:paraId="0AF8B8C7" w14:textId="77777777" w:rsidTr="00914520">
        <w:tc>
          <w:tcPr>
            <w:tcW w:w="1512" w:type="dxa"/>
            <w:vAlign w:val="center"/>
          </w:tcPr>
          <w:p w14:paraId="34F5CAA3"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Fish</w:t>
            </w:r>
          </w:p>
        </w:tc>
        <w:tc>
          <w:tcPr>
            <w:tcW w:w="1620" w:type="dxa"/>
            <w:vAlign w:val="center"/>
          </w:tcPr>
          <w:p w14:paraId="546B9100" w14:textId="77777777" w:rsidR="00D64C93" w:rsidRPr="00C47989" w:rsidRDefault="00D64C93" w:rsidP="00914520">
            <w:pPr>
              <w:jc w:val="center"/>
              <w:rPr>
                <w:rFonts w:ascii="Times New Roman" w:hAnsi="Times New Roman" w:cs="Times New Roman"/>
                <w:i/>
                <w:color w:val="000000" w:themeColor="text1"/>
                <w:spacing w:val="1"/>
                <w:sz w:val="20"/>
                <w:szCs w:val="20"/>
              </w:rPr>
            </w:pPr>
            <w:r w:rsidRPr="00C47989">
              <w:rPr>
                <w:rFonts w:ascii="Times New Roman" w:hAnsi="Times New Roman" w:cs="Times New Roman"/>
                <w:i/>
                <w:color w:val="000000" w:themeColor="text1"/>
                <w:spacing w:val="1"/>
                <w:sz w:val="20"/>
                <w:szCs w:val="20"/>
              </w:rPr>
              <w:t>Danio rerio</w:t>
            </w:r>
          </w:p>
        </w:tc>
        <w:tc>
          <w:tcPr>
            <w:tcW w:w="2218" w:type="dxa"/>
            <w:vAlign w:val="center"/>
          </w:tcPr>
          <w:p w14:paraId="3DA69946"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Growth</w:t>
            </w:r>
          </w:p>
        </w:tc>
        <w:tc>
          <w:tcPr>
            <w:tcW w:w="1686" w:type="dxa"/>
            <w:vAlign w:val="center"/>
          </w:tcPr>
          <w:p w14:paraId="3B52D7F7"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30 days</w:t>
            </w:r>
          </w:p>
        </w:tc>
        <w:tc>
          <w:tcPr>
            <w:tcW w:w="1466" w:type="dxa"/>
            <w:vAlign w:val="center"/>
          </w:tcPr>
          <w:p w14:paraId="7433E7C8"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spacing w:val="1"/>
                <w:sz w:val="20"/>
                <w:szCs w:val="20"/>
              </w:rPr>
              <w:t>11.1</w:t>
            </w:r>
          </w:p>
        </w:tc>
        <w:tc>
          <w:tcPr>
            <w:tcW w:w="1662" w:type="dxa"/>
            <w:vAlign w:val="center"/>
          </w:tcPr>
          <w:p w14:paraId="064FE7AF" w14:textId="77777777" w:rsidR="00D64C93" w:rsidRPr="00AA6109" w:rsidRDefault="00D64C93" w:rsidP="00914520">
            <w:pPr>
              <w:jc w:val="center"/>
              <w:rPr>
                <w:rFonts w:ascii="Times New Roman" w:hAnsi="Times New Roman" w:cs="Times New Roman"/>
                <w:b/>
                <w:bCs/>
                <w:i/>
                <w:iCs/>
                <w:color w:val="000000" w:themeColor="text1"/>
                <w:spacing w:val="1"/>
                <w:sz w:val="20"/>
                <w:szCs w:val="20"/>
              </w:rPr>
            </w:pPr>
            <w:r w:rsidRPr="00AA6109">
              <w:rPr>
                <w:rFonts w:ascii="Times New Roman" w:hAnsi="Times New Roman" w:cs="Times New Roman"/>
                <w:b/>
                <w:bCs/>
                <w:i/>
                <w:iCs/>
                <w:color w:val="000000" w:themeColor="text1"/>
                <w:spacing w:val="1"/>
                <w:sz w:val="20"/>
                <w:szCs w:val="20"/>
              </w:rPr>
              <w:t>8.6</w:t>
            </w:r>
          </w:p>
        </w:tc>
        <w:tc>
          <w:tcPr>
            <w:tcW w:w="2068" w:type="dxa"/>
            <w:vAlign w:val="center"/>
          </w:tcPr>
          <w:p w14:paraId="4277DA26"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sz w:val="20"/>
                <w:szCs w:val="20"/>
              </w:rPr>
              <w:t>Memmert et al. 2013</w:t>
            </w:r>
          </w:p>
        </w:tc>
      </w:tr>
      <w:tr w:rsidR="00D64C93" w:rsidRPr="00C47989" w14:paraId="61262E9D" w14:textId="77777777" w:rsidTr="00914520">
        <w:tc>
          <w:tcPr>
            <w:tcW w:w="1512" w:type="dxa"/>
            <w:vAlign w:val="center"/>
          </w:tcPr>
          <w:p w14:paraId="02D55D06"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Fish</w:t>
            </w:r>
          </w:p>
        </w:tc>
        <w:tc>
          <w:tcPr>
            <w:tcW w:w="1620" w:type="dxa"/>
            <w:vAlign w:val="center"/>
          </w:tcPr>
          <w:p w14:paraId="4E5E6188" w14:textId="77777777" w:rsidR="00D64C93" w:rsidRPr="00C47989" w:rsidRDefault="00D64C93" w:rsidP="00914520">
            <w:pPr>
              <w:jc w:val="center"/>
              <w:rPr>
                <w:rFonts w:ascii="Times New Roman" w:hAnsi="Times New Roman" w:cs="Times New Roman"/>
                <w:i/>
                <w:color w:val="000000" w:themeColor="text1"/>
                <w:spacing w:val="1"/>
                <w:sz w:val="20"/>
                <w:szCs w:val="20"/>
              </w:rPr>
            </w:pPr>
            <w:r w:rsidRPr="00C47989">
              <w:rPr>
                <w:rFonts w:ascii="Times New Roman" w:hAnsi="Times New Roman" w:cs="Times New Roman"/>
                <w:i/>
                <w:color w:val="000000" w:themeColor="text1"/>
                <w:spacing w:val="1"/>
                <w:sz w:val="20"/>
                <w:szCs w:val="20"/>
              </w:rPr>
              <w:t>Danio rerio</w:t>
            </w:r>
          </w:p>
        </w:tc>
        <w:tc>
          <w:tcPr>
            <w:tcW w:w="2218" w:type="dxa"/>
            <w:vAlign w:val="center"/>
          </w:tcPr>
          <w:p w14:paraId="15D07AA6"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Growth</w:t>
            </w:r>
          </w:p>
        </w:tc>
        <w:tc>
          <w:tcPr>
            <w:tcW w:w="1686" w:type="dxa"/>
            <w:vAlign w:val="center"/>
          </w:tcPr>
          <w:p w14:paraId="79FDED6B"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28 days</w:t>
            </w:r>
          </w:p>
        </w:tc>
        <w:tc>
          <w:tcPr>
            <w:tcW w:w="1466" w:type="dxa"/>
            <w:vAlign w:val="center"/>
          </w:tcPr>
          <w:p w14:paraId="1D8A2E24"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5000</w:t>
            </w:r>
          </w:p>
        </w:tc>
        <w:tc>
          <w:tcPr>
            <w:tcW w:w="1662" w:type="dxa"/>
            <w:vAlign w:val="center"/>
          </w:tcPr>
          <w:p w14:paraId="5918CFC0"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5000</w:t>
            </w:r>
          </w:p>
        </w:tc>
        <w:tc>
          <w:tcPr>
            <w:tcW w:w="2068" w:type="dxa"/>
            <w:vAlign w:val="center"/>
          </w:tcPr>
          <w:p w14:paraId="27E6ED31" w14:textId="77777777" w:rsidR="00D64C93" w:rsidRPr="00C47989" w:rsidRDefault="00D64C93" w:rsidP="00914520">
            <w:pPr>
              <w:jc w:val="center"/>
              <w:rPr>
                <w:rFonts w:ascii="Times New Roman" w:hAnsi="Times New Roman" w:cs="Times New Roman"/>
                <w:color w:val="000000"/>
                <w:sz w:val="20"/>
                <w:szCs w:val="20"/>
              </w:rPr>
            </w:pPr>
            <w:r w:rsidRPr="00C47989">
              <w:rPr>
                <w:rFonts w:ascii="Times New Roman" w:hAnsi="Times New Roman" w:cs="Times New Roman"/>
                <w:color w:val="000000"/>
                <w:sz w:val="20"/>
                <w:szCs w:val="20"/>
              </w:rPr>
              <w:t>Praskova et al. 2014</w:t>
            </w:r>
          </w:p>
        </w:tc>
      </w:tr>
      <w:tr w:rsidR="00D64C93" w:rsidRPr="00C47989" w14:paraId="0D665D55" w14:textId="77777777" w:rsidTr="00914520">
        <w:tc>
          <w:tcPr>
            <w:tcW w:w="1512" w:type="dxa"/>
            <w:vAlign w:val="center"/>
          </w:tcPr>
          <w:p w14:paraId="10D7379F"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Fish</w:t>
            </w:r>
          </w:p>
        </w:tc>
        <w:tc>
          <w:tcPr>
            <w:tcW w:w="1620" w:type="dxa"/>
            <w:vAlign w:val="center"/>
          </w:tcPr>
          <w:p w14:paraId="2B7D8888" w14:textId="77777777" w:rsidR="00D64C93" w:rsidRPr="00C47989" w:rsidRDefault="00D64C93" w:rsidP="00914520">
            <w:pPr>
              <w:jc w:val="center"/>
              <w:rPr>
                <w:rFonts w:ascii="Times New Roman" w:hAnsi="Times New Roman" w:cs="Times New Roman"/>
                <w:i/>
                <w:color w:val="000000" w:themeColor="text1"/>
                <w:spacing w:val="1"/>
                <w:sz w:val="20"/>
                <w:szCs w:val="20"/>
              </w:rPr>
            </w:pPr>
            <w:r w:rsidRPr="00C47989">
              <w:rPr>
                <w:rFonts w:ascii="Times New Roman" w:hAnsi="Times New Roman" w:cs="Times New Roman"/>
                <w:i/>
                <w:color w:val="000000" w:themeColor="text1"/>
                <w:spacing w:val="1"/>
                <w:sz w:val="20"/>
                <w:szCs w:val="20"/>
              </w:rPr>
              <w:t>Danio rerio</w:t>
            </w:r>
          </w:p>
        </w:tc>
        <w:tc>
          <w:tcPr>
            <w:tcW w:w="2218" w:type="dxa"/>
            <w:vAlign w:val="center"/>
          </w:tcPr>
          <w:p w14:paraId="09EBA4F9"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Hatching</w:t>
            </w:r>
          </w:p>
        </w:tc>
        <w:tc>
          <w:tcPr>
            <w:tcW w:w="1686" w:type="dxa"/>
            <w:vAlign w:val="center"/>
          </w:tcPr>
          <w:p w14:paraId="30249696"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80 hours</w:t>
            </w:r>
          </w:p>
        </w:tc>
        <w:tc>
          <w:tcPr>
            <w:tcW w:w="1466" w:type="dxa"/>
            <w:vAlign w:val="center"/>
          </w:tcPr>
          <w:p w14:paraId="06B1BFD4"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1250</w:t>
            </w:r>
          </w:p>
        </w:tc>
        <w:tc>
          <w:tcPr>
            <w:tcW w:w="1662" w:type="dxa"/>
            <w:vAlign w:val="center"/>
          </w:tcPr>
          <w:p w14:paraId="6C18D87E" w14:textId="77777777" w:rsidR="00D64C93" w:rsidRPr="00C47989" w:rsidRDefault="00D64C93" w:rsidP="00914520">
            <w:pPr>
              <w:jc w:val="center"/>
              <w:rPr>
                <w:rFonts w:ascii="Times New Roman" w:hAnsi="Times New Roman" w:cs="Times New Roman"/>
                <w:color w:val="000000" w:themeColor="text1"/>
                <w:spacing w:val="1"/>
                <w:sz w:val="20"/>
                <w:szCs w:val="20"/>
              </w:rPr>
            </w:pPr>
            <w:r w:rsidRPr="00C47989">
              <w:rPr>
                <w:rFonts w:ascii="Times New Roman" w:hAnsi="Times New Roman" w:cs="Times New Roman"/>
                <w:color w:val="000000" w:themeColor="text1"/>
                <w:spacing w:val="1"/>
                <w:sz w:val="20"/>
                <w:szCs w:val="20"/>
              </w:rPr>
              <w:t>1250</w:t>
            </w:r>
          </w:p>
        </w:tc>
        <w:tc>
          <w:tcPr>
            <w:tcW w:w="2068" w:type="dxa"/>
            <w:vAlign w:val="center"/>
          </w:tcPr>
          <w:p w14:paraId="1036479F" w14:textId="77777777" w:rsidR="00D64C93" w:rsidRPr="00C47989" w:rsidRDefault="00D64C93" w:rsidP="00914520">
            <w:pPr>
              <w:jc w:val="center"/>
              <w:rPr>
                <w:rFonts w:ascii="Times New Roman" w:hAnsi="Times New Roman" w:cs="Times New Roman"/>
                <w:color w:val="000000"/>
                <w:sz w:val="20"/>
                <w:szCs w:val="20"/>
              </w:rPr>
            </w:pPr>
            <w:r w:rsidRPr="00C47989">
              <w:rPr>
                <w:rFonts w:ascii="Times New Roman" w:hAnsi="Times New Roman" w:cs="Times New Roman"/>
                <w:color w:val="000000"/>
                <w:sz w:val="20"/>
                <w:szCs w:val="20"/>
              </w:rPr>
              <w:t>Ribeiro et al. 2015</w:t>
            </w:r>
          </w:p>
        </w:tc>
      </w:tr>
      <w:tr w:rsidR="00D64C93" w:rsidRPr="00C47989" w14:paraId="40B1CEDE" w14:textId="77777777" w:rsidTr="00914520">
        <w:tc>
          <w:tcPr>
            <w:tcW w:w="1512" w:type="dxa"/>
            <w:vAlign w:val="center"/>
          </w:tcPr>
          <w:p w14:paraId="2B172CB2"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Fish</w:t>
            </w:r>
          </w:p>
        </w:tc>
        <w:tc>
          <w:tcPr>
            <w:tcW w:w="1620" w:type="dxa"/>
            <w:vAlign w:val="center"/>
          </w:tcPr>
          <w:p w14:paraId="331A5F96" w14:textId="77777777" w:rsidR="00D64C93" w:rsidRPr="00C47989" w:rsidRDefault="00D64C93" w:rsidP="00914520">
            <w:pPr>
              <w:jc w:val="center"/>
              <w:rPr>
                <w:rFonts w:ascii="Times New Roman" w:hAnsi="Times New Roman" w:cs="Times New Roman"/>
                <w:i/>
                <w:iCs/>
                <w:sz w:val="20"/>
                <w:szCs w:val="20"/>
              </w:rPr>
            </w:pPr>
            <w:r w:rsidRPr="00C47989">
              <w:rPr>
                <w:rFonts w:ascii="Times New Roman" w:hAnsi="Times New Roman" w:cs="Times New Roman"/>
                <w:i/>
                <w:iCs/>
                <w:sz w:val="20"/>
                <w:szCs w:val="20"/>
              </w:rPr>
              <w:t>Cyprinus carpio</w:t>
            </w:r>
          </w:p>
        </w:tc>
        <w:tc>
          <w:tcPr>
            <w:tcW w:w="2218" w:type="dxa"/>
            <w:vAlign w:val="center"/>
          </w:tcPr>
          <w:p w14:paraId="15D1DCCE"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Larval mortality</w:t>
            </w:r>
          </w:p>
        </w:tc>
        <w:tc>
          <w:tcPr>
            <w:tcW w:w="1686" w:type="dxa"/>
            <w:vAlign w:val="center"/>
          </w:tcPr>
          <w:p w14:paraId="2F10801C"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30 days</w:t>
            </w:r>
          </w:p>
        </w:tc>
        <w:tc>
          <w:tcPr>
            <w:tcW w:w="1466" w:type="dxa"/>
            <w:vAlign w:val="center"/>
          </w:tcPr>
          <w:p w14:paraId="270F91A2"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1000</w:t>
            </w:r>
          </w:p>
        </w:tc>
        <w:tc>
          <w:tcPr>
            <w:tcW w:w="1662" w:type="dxa"/>
            <w:vAlign w:val="center"/>
          </w:tcPr>
          <w:p w14:paraId="1B52B711" w14:textId="77777777" w:rsidR="00D64C93" w:rsidRPr="00AA6109" w:rsidRDefault="00D64C93" w:rsidP="00914520">
            <w:pPr>
              <w:jc w:val="center"/>
              <w:rPr>
                <w:rFonts w:ascii="Times New Roman" w:hAnsi="Times New Roman" w:cs="Times New Roman"/>
                <w:b/>
                <w:bCs/>
                <w:sz w:val="20"/>
                <w:szCs w:val="20"/>
              </w:rPr>
            </w:pPr>
            <w:r w:rsidRPr="00AA6109">
              <w:rPr>
                <w:rFonts w:ascii="Times New Roman" w:hAnsi="Times New Roman" w:cs="Times New Roman"/>
                <w:b/>
                <w:bCs/>
                <w:sz w:val="20"/>
                <w:szCs w:val="20"/>
              </w:rPr>
              <w:t>674</w:t>
            </w:r>
          </w:p>
        </w:tc>
        <w:tc>
          <w:tcPr>
            <w:tcW w:w="2068" w:type="dxa"/>
            <w:vAlign w:val="center"/>
          </w:tcPr>
          <w:p w14:paraId="4F45B807" w14:textId="77777777" w:rsidR="00D64C93" w:rsidRPr="00C47989" w:rsidRDefault="00D64C93" w:rsidP="00914520">
            <w:pPr>
              <w:jc w:val="center"/>
              <w:rPr>
                <w:rFonts w:ascii="Times New Roman" w:hAnsi="Times New Roman" w:cs="Times New Roman"/>
                <w:sz w:val="20"/>
                <w:szCs w:val="20"/>
              </w:rPr>
            </w:pPr>
            <w:r w:rsidRPr="00C47989">
              <w:rPr>
                <w:rFonts w:ascii="Times New Roman" w:hAnsi="Times New Roman" w:cs="Times New Roman"/>
                <w:sz w:val="20"/>
                <w:szCs w:val="20"/>
              </w:rPr>
              <w:t>Stepanova et al. 2013</w:t>
            </w:r>
          </w:p>
        </w:tc>
      </w:tr>
    </w:tbl>
    <w:p w14:paraId="0059EAD3" w14:textId="77777777" w:rsidR="00D64C93" w:rsidRPr="00C47989" w:rsidRDefault="00D64C93" w:rsidP="00D64C93">
      <w:pPr>
        <w:spacing w:after="0" w:line="240" w:lineRule="auto"/>
        <w:contextualSpacing/>
        <w:jc w:val="both"/>
        <w:rPr>
          <w:rFonts w:ascii="Times New Roman" w:hAnsi="Times New Roman" w:cs="Times New Roman"/>
          <w:sz w:val="20"/>
          <w:szCs w:val="20"/>
        </w:rPr>
      </w:pPr>
      <w:r w:rsidRPr="00C47989">
        <w:rPr>
          <w:rFonts w:ascii="Times New Roman" w:hAnsi="Times New Roman" w:cs="Times New Roman"/>
          <w:sz w:val="20"/>
          <w:szCs w:val="20"/>
        </w:rPr>
        <w:t xml:space="preserve">* The European Commission assessed the reported NOEC/EC10 values for each study. Where a NOEC/EC10 was not reported, an estimate was made of an approximate 10% effect level. This was also undertaken where a NOEC was reported, but this did not represent a 10% effect level. </w:t>
      </w:r>
    </w:p>
    <w:p w14:paraId="149261C5" w14:textId="77777777" w:rsidR="00D64C93" w:rsidRDefault="00D64C93" w:rsidP="00D64C93">
      <w:pPr>
        <w:spacing w:after="0" w:line="240" w:lineRule="auto"/>
        <w:contextualSpacing/>
        <w:jc w:val="both"/>
        <w:rPr>
          <w:rFonts w:ascii="Times New Roman" w:hAnsi="Times New Roman" w:cs="Times New Roman"/>
          <w:sz w:val="20"/>
          <w:szCs w:val="20"/>
        </w:rPr>
      </w:pPr>
      <w:r w:rsidRPr="00C47989">
        <w:rPr>
          <w:rFonts w:ascii="Times New Roman" w:hAnsi="Times New Roman" w:cs="Times New Roman"/>
          <w:sz w:val="20"/>
          <w:szCs w:val="20"/>
        </w:rPr>
        <w:t>** Reported EC20 value.</w:t>
      </w:r>
    </w:p>
    <w:p w14:paraId="54834E40" w14:textId="77777777" w:rsidR="00D64C93" w:rsidRDefault="00D64C93" w:rsidP="00D64C93">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Values in </w:t>
      </w:r>
      <w:r w:rsidRPr="00AA6109">
        <w:rPr>
          <w:rFonts w:ascii="Times New Roman" w:hAnsi="Times New Roman" w:cs="Times New Roman"/>
          <w:b/>
          <w:bCs/>
          <w:sz w:val="20"/>
          <w:szCs w:val="20"/>
        </w:rPr>
        <w:t>bold</w:t>
      </w:r>
      <w:r>
        <w:rPr>
          <w:rFonts w:ascii="Times New Roman" w:hAnsi="Times New Roman" w:cs="Times New Roman"/>
          <w:sz w:val="20"/>
          <w:szCs w:val="20"/>
        </w:rPr>
        <w:t xml:space="preserve"> applied in SSD in Figures 1 and 2 in main manuscript.</w:t>
      </w:r>
    </w:p>
    <w:p w14:paraId="555A083C" w14:textId="02E66875" w:rsidR="00D64C93" w:rsidRDefault="00D64C93" w:rsidP="004F685F">
      <w:pPr>
        <w:widowControl w:val="0"/>
        <w:spacing w:after="0" w:line="240" w:lineRule="auto"/>
        <w:contextualSpacing/>
        <w:jc w:val="both"/>
      </w:pPr>
      <w:r>
        <w:rPr>
          <w:rFonts w:ascii="Times New Roman" w:hAnsi="Times New Roman" w:cs="Times New Roman"/>
          <w:sz w:val="20"/>
          <w:szCs w:val="20"/>
        </w:rPr>
        <w:t xml:space="preserve">Values in </w:t>
      </w:r>
      <w:r w:rsidRPr="00AA6109">
        <w:rPr>
          <w:rFonts w:ascii="Times New Roman" w:hAnsi="Times New Roman" w:cs="Times New Roman"/>
          <w:i/>
          <w:iCs/>
          <w:sz w:val="20"/>
          <w:szCs w:val="20"/>
        </w:rPr>
        <w:t>italics</w:t>
      </w:r>
      <w:r>
        <w:rPr>
          <w:rFonts w:ascii="Times New Roman" w:hAnsi="Times New Roman" w:cs="Times New Roman"/>
          <w:sz w:val="20"/>
          <w:szCs w:val="20"/>
        </w:rPr>
        <w:t xml:space="preserve"> applied in SSD in Figure 3 in main manuscript.</w:t>
      </w:r>
    </w:p>
    <w:sectPr w:rsidR="00D64C93" w:rsidSect="004F685F">
      <w:pgSz w:w="16838" w:h="11906" w:orient="landscape"/>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38DA21" w14:textId="77777777" w:rsidR="00941848" w:rsidRDefault="00941848" w:rsidP="00D64C93">
      <w:pPr>
        <w:spacing w:after="0" w:line="240" w:lineRule="auto"/>
      </w:pPr>
      <w:r>
        <w:separator/>
      </w:r>
    </w:p>
  </w:endnote>
  <w:endnote w:type="continuationSeparator" w:id="0">
    <w:p w14:paraId="22DEE540" w14:textId="77777777" w:rsidR="00941848" w:rsidRDefault="00941848" w:rsidP="00D64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6E6993" w14:textId="77777777" w:rsidR="00941848" w:rsidRDefault="00941848" w:rsidP="00D64C93">
      <w:pPr>
        <w:spacing w:after="0" w:line="240" w:lineRule="auto"/>
      </w:pPr>
      <w:r>
        <w:separator/>
      </w:r>
    </w:p>
  </w:footnote>
  <w:footnote w:type="continuationSeparator" w:id="0">
    <w:p w14:paraId="5EC85373" w14:textId="77777777" w:rsidR="00941848" w:rsidRDefault="00941848" w:rsidP="00D64C93">
      <w:pPr>
        <w:spacing w:after="0" w:line="240" w:lineRule="auto"/>
      </w:pPr>
      <w:r>
        <w:continuationSeparator/>
      </w:r>
    </w:p>
  </w:footnote>
  <w:footnote w:id="1">
    <w:p w14:paraId="398848E3" w14:textId="77777777" w:rsidR="00CF5098" w:rsidRPr="0051783E" w:rsidRDefault="00CF5098" w:rsidP="00CF5098">
      <w:pPr>
        <w:pStyle w:val="FootnoteText"/>
        <w:jc w:val="both"/>
        <w:rPr>
          <w:rFonts w:ascii="Times New Roman" w:hAnsi="Times New Roman" w:cs="Times New Roman"/>
        </w:rPr>
      </w:pPr>
      <w:r w:rsidRPr="0051783E">
        <w:rPr>
          <w:rStyle w:val="FootnoteReference"/>
          <w:rFonts w:ascii="Times New Roman" w:hAnsi="Times New Roman" w:cs="Times New Roman"/>
        </w:rPr>
        <w:footnoteRef/>
      </w:r>
      <w:r w:rsidRPr="0051783E">
        <w:rPr>
          <w:rFonts w:ascii="Times New Roman" w:hAnsi="Times New Roman" w:cs="Times New Roman"/>
        </w:rPr>
        <w:t xml:space="preserve"> </w:t>
      </w:r>
      <w:r>
        <w:rPr>
          <w:rFonts w:ascii="Times New Roman" w:hAnsi="Times New Roman" w:cs="Times New Roman"/>
        </w:rPr>
        <w:t>We</w:t>
      </w:r>
      <w:r w:rsidRPr="0051783E">
        <w:rPr>
          <w:rFonts w:ascii="Times New Roman" w:hAnsi="Times New Roman" w:cs="Times New Roman"/>
        </w:rPr>
        <w:t xml:space="preserve"> suspect that the columns titled ‘Total egg production number per individual (n)’ and ‘Total number of broods per individual (n)’ have been inadvertently switched in the final manuscript, since it is highly unlikely that </w:t>
      </w:r>
      <w:r w:rsidRPr="0051783E">
        <w:rPr>
          <w:rFonts w:ascii="Times New Roman" w:hAnsi="Times New Roman" w:cs="Times New Roman"/>
          <w:i/>
          <w:iCs/>
        </w:rPr>
        <w:t>D. magna</w:t>
      </w:r>
      <w:r w:rsidRPr="0051783E">
        <w:rPr>
          <w:rFonts w:ascii="Times New Roman" w:hAnsi="Times New Roman" w:cs="Times New Roman"/>
        </w:rPr>
        <w:t xml:space="preserve"> would produce 20+ broods in a </w:t>
      </w:r>
      <w:r>
        <w:rPr>
          <w:rFonts w:ascii="Times New Roman" w:hAnsi="Times New Roman" w:cs="Times New Roman"/>
        </w:rPr>
        <w:t>2</w:t>
      </w:r>
      <w:r w:rsidRPr="0051783E">
        <w:rPr>
          <w:rFonts w:ascii="Times New Roman" w:hAnsi="Times New Roman" w:cs="Times New Roman"/>
        </w:rPr>
        <w:t xml:space="preserve">1-day study.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2A55CB"/>
    <w:multiLevelType w:val="hybridMultilevel"/>
    <w:tmpl w:val="1AFEE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C93"/>
    <w:rsid w:val="00036433"/>
    <w:rsid w:val="001A5538"/>
    <w:rsid w:val="001B202F"/>
    <w:rsid w:val="001D0B53"/>
    <w:rsid w:val="0025307C"/>
    <w:rsid w:val="00323CF3"/>
    <w:rsid w:val="004F685F"/>
    <w:rsid w:val="0057548A"/>
    <w:rsid w:val="00641212"/>
    <w:rsid w:val="00677787"/>
    <w:rsid w:val="0088434E"/>
    <w:rsid w:val="00941848"/>
    <w:rsid w:val="009E1233"/>
    <w:rsid w:val="00B74657"/>
    <w:rsid w:val="00B8333A"/>
    <w:rsid w:val="00B91BEA"/>
    <w:rsid w:val="00BB39CC"/>
    <w:rsid w:val="00C07703"/>
    <w:rsid w:val="00C22107"/>
    <w:rsid w:val="00C72D86"/>
    <w:rsid w:val="00C843F0"/>
    <w:rsid w:val="00CF5098"/>
    <w:rsid w:val="00CF7382"/>
    <w:rsid w:val="00D33341"/>
    <w:rsid w:val="00D3411F"/>
    <w:rsid w:val="00D64C93"/>
    <w:rsid w:val="00E152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09147"/>
  <w15:chartTrackingRefBased/>
  <w15:docId w15:val="{6FD15284-D57A-4A82-B7F9-8E3A5C3A7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4C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64C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4C93"/>
    <w:rPr>
      <w:sz w:val="20"/>
      <w:szCs w:val="20"/>
    </w:rPr>
  </w:style>
  <w:style w:type="character" w:styleId="FootnoteReference">
    <w:name w:val="footnote reference"/>
    <w:basedOn w:val="DefaultParagraphFont"/>
    <w:uiPriority w:val="99"/>
    <w:semiHidden/>
    <w:unhideWhenUsed/>
    <w:rsid w:val="00D64C93"/>
    <w:rPr>
      <w:vertAlign w:val="superscript"/>
    </w:rPr>
  </w:style>
  <w:style w:type="character" w:styleId="LineNumber">
    <w:name w:val="line number"/>
    <w:basedOn w:val="DefaultParagraphFont"/>
    <w:uiPriority w:val="99"/>
    <w:semiHidden/>
    <w:unhideWhenUsed/>
    <w:rsid w:val="00D64C93"/>
  </w:style>
  <w:style w:type="paragraph" w:styleId="Revision">
    <w:name w:val="Revision"/>
    <w:hidden/>
    <w:uiPriority w:val="99"/>
    <w:semiHidden/>
    <w:rsid w:val="00C72D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2092</Words>
  <Characters>11928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Merrington</dc:creator>
  <cp:keywords/>
  <dc:description/>
  <cp:lastModifiedBy>Poornimathiruvudaiselvi S.</cp:lastModifiedBy>
  <cp:revision>19</cp:revision>
  <dcterms:created xsi:type="dcterms:W3CDTF">2021-09-17T08:46:00Z</dcterms:created>
  <dcterms:modified xsi:type="dcterms:W3CDTF">2021-11-26T11:01:00Z</dcterms:modified>
</cp:coreProperties>
</file>