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0E1" w:rsidRPr="00B531C6" w:rsidRDefault="008110E1" w:rsidP="008110E1">
      <w:pPr>
        <w:spacing w:line="240" w:lineRule="auto"/>
        <w:contextualSpacing/>
        <w:mirrorIndents/>
        <w:jc w:val="both"/>
        <w:rPr>
          <w:color w:val="000000"/>
          <w:sz w:val="20"/>
          <w:szCs w:val="20"/>
        </w:rPr>
      </w:pPr>
      <w:r w:rsidRPr="00B531C6">
        <w:rPr>
          <w:color w:val="000000"/>
          <w:sz w:val="20"/>
          <w:szCs w:val="20"/>
        </w:rPr>
        <w:t xml:space="preserve">Table </w:t>
      </w:r>
      <w:r w:rsidR="003B6402">
        <w:rPr>
          <w:color w:val="000000"/>
          <w:sz w:val="20"/>
          <w:szCs w:val="20"/>
        </w:rPr>
        <w:t>S</w:t>
      </w:r>
      <w:bookmarkStart w:id="0" w:name="_GoBack"/>
      <w:bookmarkEnd w:id="0"/>
      <w:r>
        <w:rPr>
          <w:color w:val="000000"/>
          <w:sz w:val="20"/>
          <w:szCs w:val="20"/>
        </w:rPr>
        <w:t>1</w:t>
      </w:r>
      <w:r w:rsidRPr="00B531C6">
        <w:rPr>
          <w:color w:val="000000"/>
          <w:sz w:val="20"/>
          <w:szCs w:val="20"/>
        </w:rPr>
        <w:t xml:space="preserve">. </w:t>
      </w:r>
      <w:r w:rsidR="00C374D0">
        <w:rPr>
          <w:color w:val="000000"/>
          <w:sz w:val="20"/>
          <w:szCs w:val="20"/>
        </w:rPr>
        <w:t>S</w:t>
      </w:r>
      <w:r w:rsidRPr="008110E1">
        <w:rPr>
          <w:color w:val="000000"/>
          <w:sz w:val="20"/>
          <w:szCs w:val="20"/>
        </w:rPr>
        <w:t>ystematic analysis of 11 individual case studies to triangulate the holistic analysis</w:t>
      </w:r>
    </w:p>
    <w:p w:rsidR="008110E1" w:rsidRDefault="008110E1" w:rsidP="008110E1">
      <w:pPr>
        <w:snapToGrid w:val="0"/>
        <w:spacing w:line="240" w:lineRule="auto"/>
        <w:contextualSpacing/>
        <w:mirrorIndents/>
        <w:jc w:val="both"/>
        <w:rPr>
          <w:bCs/>
          <w:i/>
          <w:sz w:val="20"/>
          <w:szCs w:val="20"/>
        </w:rPr>
      </w:pPr>
    </w:p>
    <w:p w:rsidR="008110E1" w:rsidRDefault="008110E1" w:rsidP="008110E1">
      <w:pPr>
        <w:snapToGrid w:val="0"/>
        <w:spacing w:line="240" w:lineRule="auto"/>
        <w:contextualSpacing/>
        <w:mirrorIndents/>
        <w:jc w:val="both"/>
        <w:rPr>
          <w:bCs/>
          <w:i/>
          <w:sz w:val="20"/>
          <w:szCs w:val="20"/>
        </w:rPr>
      </w:pPr>
    </w:p>
    <w:tbl>
      <w:tblPr>
        <w:tblStyle w:val="TableGrid"/>
        <w:tblW w:w="0" w:type="auto"/>
        <w:tblLook w:val="04A0" w:firstRow="1" w:lastRow="0" w:firstColumn="1" w:lastColumn="0" w:noHBand="0" w:noVBand="1"/>
      </w:tblPr>
      <w:tblGrid>
        <w:gridCol w:w="8644"/>
      </w:tblGrid>
      <w:tr w:rsidR="008110E1" w:rsidRPr="008110E1" w:rsidTr="00842CBF">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1. Infrastructural challenges (associated with legislation and other requirements) in implementing SDGs in the food chain.</w:t>
            </w:r>
          </w:p>
        </w:tc>
      </w:tr>
      <w:tr w:rsidR="008110E1" w:rsidRPr="008110E1" w:rsidTr="00842CBF">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Since the adoption of the UN SDGs in 2015, policy makers and governments adopt legislative requirements to achieve sustainable development (SDG 17) at different paces. One of the initiatives is the upcoming Food Systems Summit that will be convened by UN Secretary-General </w:t>
            </w:r>
            <w:proofErr w:type="spellStart"/>
            <w:r w:rsidRPr="008110E1">
              <w:rPr>
                <w:bCs/>
                <w:sz w:val="20"/>
                <w:szCs w:val="20"/>
              </w:rPr>
              <w:t>António</w:t>
            </w:r>
            <w:proofErr w:type="spellEnd"/>
            <w:r w:rsidRPr="008110E1">
              <w:rPr>
                <w:bCs/>
                <w:sz w:val="20"/>
                <w:szCs w:val="20"/>
              </w:rPr>
              <w:t xml:space="preserve"> </w:t>
            </w:r>
            <w:proofErr w:type="spellStart"/>
            <w:r w:rsidRPr="008110E1">
              <w:rPr>
                <w:bCs/>
                <w:sz w:val="20"/>
                <w:szCs w:val="20"/>
              </w:rPr>
              <w:t>Guterres</w:t>
            </w:r>
            <w:proofErr w:type="spellEnd"/>
            <w:r w:rsidRPr="008110E1">
              <w:rPr>
                <w:bCs/>
                <w:sz w:val="20"/>
                <w:szCs w:val="20"/>
              </w:rPr>
              <w:t xml:space="preserve">, where it is expected that various actions related to all 17 SDGs will be launched and associated with healthier and more sustainable food systems </w:t>
            </w:r>
            <w:r w:rsidRPr="008110E1">
              <w:rPr>
                <w:bCs/>
                <w:sz w:val="20"/>
                <w:szCs w:val="20"/>
              </w:rPr>
              <w:fldChar w:fldCharType="begin" w:fldLock="1"/>
            </w:r>
            <w:r w:rsidRPr="008110E1">
              <w:rPr>
                <w:bCs/>
                <w:sz w:val="20"/>
                <w:szCs w:val="20"/>
              </w:rPr>
              <w:instrText>ADDIN CSL_CITATION {"citationItems":[{"id":"ITEM-1","itemData":{"URL":"https://www.un.org/en/food-systems-summit/about","accessed":{"date-parts":[["2021","4","26"]]},"author":[{"dropping-particle":"","family":"United Nations","given":"","non-dropping-particle":"","parse-names":false,"suffix":""}],"id":"ITEM-1","issued":{"date-parts":[["2021"]]},"title":"About the Summit. iWhat is the Food Systems Summit?","type":"webpage"},"uris":["http://www.mendeley.com/documents/?uuid=e5a1807a-94f8-4ccf-bd2a-8e48e04126b2"]}],"mendeley":{"formattedCitation":"[66]","plainTextFormattedCitation":"[66]","previouslyFormattedCitation":"(United Nations 2021)"},"properties":{"noteIndex":0},"schema":"https://github.com/citation-style-language/schema/raw/master/csl-citation.json"}</w:instrText>
            </w:r>
            <w:r w:rsidRPr="008110E1">
              <w:rPr>
                <w:bCs/>
                <w:sz w:val="20"/>
                <w:szCs w:val="20"/>
              </w:rPr>
              <w:fldChar w:fldCharType="separate"/>
            </w:r>
            <w:r w:rsidRPr="008110E1">
              <w:rPr>
                <w:bCs/>
                <w:noProof/>
                <w:sz w:val="20"/>
                <w:szCs w:val="20"/>
              </w:rPr>
              <w:t>[66]</w:t>
            </w:r>
            <w:r w:rsidRPr="008110E1">
              <w:rPr>
                <w:bCs/>
                <w:sz w:val="20"/>
                <w:szCs w:val="20"/>
              </w:rPr>
              <w:fldChar w:fldCharType="end"/>
            </w:r>
            <w:r w:rsidRPr="008110E1">
              <w:rPr>
                <w:bCs/>
                <w:sz w:val="20"/>
                <w:szCs w:val="20"/>
              </w:rPr>
              <w:t xml:space="preserve">. Regarding food systems, infrastructure in terms of legislation and standards is necessary for all types of conformity assessments, such as testing, inspection, validation, verification, certification, and accreditation </w:t>
            </w:r>
            <w:r w:rsidRPr="008110E1">
              <w:rPr>
                <w:bCs/>
                <w:sz w:val="20"/>
                <w:szCs w:val="20"/>
              </w:rPr>
              <w:fldChar w:fldCharType="begin" w:fldLock="1"/>
            </w:r>
            <w:r w:rsidRPr="008110E1">
              <w:rPr>
                <w:bCs/>
                <w:sz w:val="20"/>
                <w:szCs w:val="20"/>
              </w:rPr>
              <w:instrText>ADDIN CSL_CITATION {"citationItems":[{"id":"ITEM-1","itemData":{"author":[{"dropping-particle":"","family":"ISO","given":"","non-dropping-particle":"","parse-names":false,"suffix":""}],"id":"ITEM-1","issued":{"date-parts":[["2020"]]},"publisher":"International Organization for Standardization","publisher-place":"Geneva, Switzerland","title":"SO/IEC 17000:2020 Conformity assessment — Vocabulary and general principles","type":"book"},"uris":["http://www.mendeley.com/documents/?uuid=327daca4-46b6-4d0e-90c4-a15eeb5fed96"]}],"mendeley":{"formattedCitation":"[67]","plainTextFormattedCitation":"[67]","previouslyFormattedCitation":"(ISO 2020)"},"properties":{"noteIndex":0},"schema":"https://github.com/citation-style-language/schema/raw/master/csl-citation.json"}</w:instrText>
            </w:r>
            <w:r w:rsidRPr="008110E1">
              <w:rPr>
                <w:bCs/>
                <w:sz w:val="20"/>
                <w:szCs w:val="20"/>
              </w:rPr>
              <w:fldChar w:fldCharType="separate"/>
            </w:r>
            <w:r w:rsidRPr="008110E1">
              <w:rPr>
                <w:bCs/>
                <w:noProof/>
                <w:sz w:val="20"/>
                <w:szCs w:val="20"/>
              </w:rPr>
              <w:t>[67]</w:t>
            </w:r>
            <w:r w:rsidRPr="008110E1">
              <w:rPr>
                <w:bCs/>
                <w:sz w:val="20"/>
                <w:szCs w:val="20"/>
              </w:rPr>
              <w:fldChar w:fldCharType="end"/>
            </w:r>
            <w:r w:rsidRPr="008110E1">
              <w:rPr>
                <w:bCs/>
                <w:sz w:val="20"/>
                <w:szCs w:val="20"/>
              </w:rPr>
              <w:t xml:space="preserve"> related to UN SDGs. These assessments should ensure sustainable connections between people and the planet during growth (SDGs 1, 2, 3, 13), processing (SDGs 2, 6, 7, 12, 13), transportation and storage (SDGs 7, 11, 12, 13), trade (SDGs 2, 3, 12) and consumption of food (SDGs 2, 3, 12) </w:t>
            </w:r>
            <w:r w:rsidRPr="008110E1">
              <w:rPr>
                <w:bCs/>
                <w:sz w:val="20"/>
                <w:szCs w:val="20"/>
              </w:rPr>
              <w:fldChar w:fldCharType="begin" w:fldLock="1"/>
            </w:r>
            <w:r w:rsidRPr="008110E1">
              <w:rPr>
                <w:bCs/>
                <w:sz w:val="20"/>
                <w:szCs w:val="20"/>
              </w:rPr>
              <w:instrText>ADDIN CSL_CITATION {"citationItems":[{"id":"ITEM-1","itemData":{"author":[{"dropping-particle":"","family":"Food and Agriculture Organization of the United Nations","given":"","non-dropping-particle":"","parse-names":false,"suffix":""}],"id":"ITEM-1","issued":{"date-parts":[["2015"]]},"publisher":"Food and Agriculture Organization of the United Nations &amp; World Health Organization","publisher-place":"Rome, Italy","title":"FAO and the 17 Sustainable Development Goals","type":"book"},"uris":["http://www.mendeley.com/documents/?uuid=728de0a7-81c6-4020-ae81-896b77d7ea8c"]}],"mendeley":{"formattedCitation":"[68]","plainTextFormattedCitation":"[68]","previouslyFormattedCitation":"(Food and Agriculture Organization of the United Nations 2015)"},"properties":{"noteIndex":0},"schema":"https://github.com/citation-style-language/schema/raw/master/csl-citation.json"}</w:instrText>
            </w:r>
            <w:r w:rsidRPr="008110E1">
              <w:rPr>
                <w:bCs/>
                <w:sz w:val="20"/>
                <w:szCs w:val="20"/>
              </w:rPr>
              <w:fldChar w:fldCharType="separate"/>
            </w:r>
            <w:r w:rsidRPr="008110E1">
              <w:rPr>
                <w:bCs/>
                <w:noProof/>
                <w:sz w:val="20"/>
                <w:szCs w:val="20"/>
              </w:rPr>
              <w:t>[68]</w:t>
            </w:r>
            <w:r w:rsidRPr="008110E1">
              <w:rPr>
                <w:bCs/>
                <w:sz w:val="20"/>
                <w:szCs w:val="20"/>
              </w:rPr>
              <w:fldChar w:fldCharType="end"/>
            </w:r>
            <w:r w:rsidRPr="008110E1">
              <w:rPr>
                <w:bCs/>
                <w:sz w:val="20"/>
                <w:szCs w:val="20"/>
              </w:rPr>
              <w:t xml:space="preserve">.The International Organization for Standardization also promotes their commitment to sustainable development with the connection of published standards and UN SDGs. The technical committee ISO/TC 34 'Food products', which is in charge of developing and publishing food related standards </w:t>
            </w:r>
            <w:r w:rsidRPr="008110E1">
              <w:rPr>
                <w:bCs/>
                <w:sz w:val="20"/>
                <w:szCs w:val="20"/>
              </w:rPr>
              <w:fldChar w:fldCharType="begin" w:fldLock="1"/>
            </w:r>
            <w:r w:rsidRPr="008110E1">
              <w:rPr>
                <w:bCs/>
                <w:sz w:val="20"/>
                <w:szCs w:val="20"/>
              </w:rPr>
              <w:instrText>ADDIN CSL_CITATION {"citationItems":[{"id":"ITEM-1","itemData":{"author":[{"dropping-particle":"","family":"ISO","given":"","non-dropping-particle":"","parse-names":false,"suffix":""}],"id":"ITEM-1","issued":{"date-parts":[["2021"]]},"publisher":"International Organization for Standardization","publisher-place":"Geneva, Switzerland","title":"ISO/TC 34 Food products","type":"book"},"uris":["http://www.mendeley.com/documents/?uuid=09f30af4-8ba8-47cc-836d-6c5fea238ada"]}],"mendeley":{"formattedCitation":"[69]","plainTextFormattedCitation":"[69]","previouslyFormattedCitation":"(ISO 2021)"},"properties":{"noteIndex":0},"schema":"https://github.com/citation-style-language/schema/raw/master/csl-citation.json"}</w:instrText>
            </w:r>
            <w:r w:rsidRPr="008110E1">
              <w:rPr>
                <w:bCs/>
                <w:sz w:val="20"/>
                <w:szCs w:val="20"/>
              </w:rPr>
              <w:fldChar w:fldCharType="separate"/>
            </w:r>
            <w:r w:rsidRPr="008110E1">
              <w:rPr>
                <w:bCs/>
                <w:noProof/>
                <w:sz w:val="20"/>
                <w:szCs w:val="20"/>
              </w:rPr>
              <w:t>[69]</w:t>
            </w:r>
            <w:r w:rsidRPr="008110E1">
              <w:rPr>
                <w:bCs/>
                <w:sz w:val="20"/>
                <w:szCs w:val="20"/>
              </w:rPr>
              <w:fldChar w:fldCharType="end"/>
            </w:r>
            <w:r w:rsidRPr="008110E1">
              <w:rPr>
                <w:bCs/>
                <w:sz w:val="20"/>
                <w:szCs w:val="20"/>
              </w:rPr>
              <w:t xml:space="preserve">, declares contributions to the following SDGs: 1, 2, 3, 5, 8, 10, 11, 12, 13, 15 and 16. Another approach to expressing commitment towards sustainability is by reporting corporate social responsibility practices </w:t>
            </w:r>
            <w:r w:rsidRPr="008110E1">
              <w:rPr>
                <w:bCs/>
                <w:sz w:val="20"/>
                <w:szCs w:val="20"/>
              </w:rPr>
              <w:fldChar w:fldCharType="begin" w:fldLock="1"/>
            </w:r>
            <w:r w:rsidRPr="008110E1">
              <w:rPr>
                <w:bCs/>
                <w:sz w:val="20"/>
                <w:szCs w:val="20"/>
              </w:rPr>
              <w:instrText>ADDIN CSL_CITATION {"citationItems":[{"id":"ITEM-1","itemData":{"DOI":"10.1002/csr.1860","ISSN":"15353966","abstract":"Interest in sustainability from the corporate sector is evidenced by over 13,000 companies in 160 countries that have signed the United Nations Global Compact. In this context, a number of tools, initiatives, and approaches (TIAs), e.g., circular economy, corporate social responsibility, eco-efficiency, life cycle assessment, and sustainability reporting have been developed by and for corporations to engage and promote sustainability within their systems. Each of the TIAs has advantages when addressing sustainability issues and the company system's elements, but it has disadvantages in dealing with their complexities and interactions. Relying only on one TIA results in a limited contribution to sustainability, whereas using too many TIAs wastes resources and energy. The Corporate and Industrial Voluntary Initiatives for Sustainability (CIVIS) has been proposed to better combine the TIAs. A survey was developed to investigate the use of 24 TIAs. The survey was sent to a database of 5,299 organisations (of which 3,603 were companies), from which 202 responses were obtained. The responses were analysed using ratio analysis, principal component analysis, and cluster analysis. The responses show that some TIAs are well known and provide good results when used, for example, corporate social responsibility, corporate sustainability, and Global Reporting Initiative reports. The analyses show a number of groups of the TIAs that can help to better combine them. The paper updates the CIVIS framework in order to provide clearer guidance on how to combine the TIAs. A combination of between four and six initiatives appears to be most effective way to promote sustainability. The TIAs can help to promote sustainability in corporations, but they need to be combined correctly in order to address holistically the four dimensions of sustainability, the system elements, and stakeholders, while avoiding duplication of tasks and wasting resources.","author":[{"dropping-particle":"","family":"Lozano","given":"Rodrigo","non-dropping-particle":"","parse-names":false,"suffix":""}],"container-title":"Corporate Social Responsibility and Environmental Management","id":"ITEM-1","issue":"2","issued":{"date-parts":[["2020"]]},"page":"982-998","title":"Analysing the use of tools, initiatives, and approaches to promote sustainability in corporations","type":"article-journal","volume":"27"},"uris":["http://www.mendeley.com/documents/?uuid=bccc29bd-b01b-4a2e-b41a-d0bb0c8cae90"]}],"mendeley":{"formattedCitation":"[70]","plainTextFormattedCitation":"[70]","previouslyFormattedCitation":"(Lozano 2020)"},"properties":{"noteIndex":0},"schema":"https://github.com/citation-style-language/schema/raw/master/csl-citation.json"}</w:instrText>
            </w:r>
            <w:r w:rsidRPr="008110E1">
              <w:rPr>
                <w:bCs/>
                <w:sz w:val="20"/>
                <w:szCs w:val="20"/>
              </w:rPr>
              <w:fldChar w:fldCharType="separate"/>
            </w:r>
            <w:r w:rsidRPr="008110E1">
              <w:rPr>
                <w:bCs/>
                <w:noProof/>
                <w:sz w:val="20"/>
                <w:szCs w:val="20"/>
              </w:rPr>
              <w:t>[70]</w:t>
            </w:r>
            <w:r w:rsidRPr="008110E1">
              <w:rPr>
                <w:bCs/>
                <w:sz w:val="20"/>
                <w:szCs w:val="20"/>
              </w:rPr>
              <w:fldChar w:fldCharType="end"/>
            </w:r>
            <w:r w:rsidRPr="008110E1">
              <w:rPr>
                <w:bCs/>
                <w:sz w:val="20"/>
                <w:szCs w:val="20"/>
              </w:rPr>
              <w:t xml:space="preserve">. Currently, such examples may be seen only with multinational food companies that communicate their connection with the UN SDGs in their CRS reports, such as Nestle </w:t>
            </w:r>
            <w:r w:rsidRPr="008110E1">
              <w:rPr>
                <w:bCs/>
                <w:sz w:val="20"/>
                <w:szCs w:val="20"/>
              </w:rPr>
              <w:fldChar w:fldCharType="begin" w:fldLock="1"/>
            </w:r>
            <w:r w:rsidRPr="008110E1">
              <w:rPr>
                <w:bCs/>
                <w:sz w:val="20"/>
                <w:szCs w:val="20"/>
              </w:rPr>
              <w:instrText>ADDIN CSL_CITATION {"citationItems":[{"id":"ITEM-1","itemData":{"author":[{"dropping-particle":"","family":"Nestle","given":"","non-dropping-particle":"","parse-names":false,"suffix":""}],"id":"ITEM-1","issued":{"date-parts":[["2021"]]},"publisher":"Nestec S.A","publisher-place":"Vevey, Switzerland","title":"Nestlé in society. Creating Shared Value and meeting our commitments 2020. in Nestlé. Enhancing quality of life and contributing to a healthier future","type":"book"},"suppress-author":1,"uris":["http://www.mendeley.com/documents/?uuid=17bf16ed-60fc-4bbf-b777-52ac09553db6"]}],"mendeley":{"formattedCitation":"[71]","plainTextFormattedCitation":"[71]","previouslyFormattedCitation":"(2021)"},"properties":{"noteIndex":0},"schema":"https://github.com/citation-style-language/schema/raw/master/csl-citation.json"}</w:instrText>
            </w:r>
            <w:r w:rsidRPr="008110E1">
              <w:rPr>
                <w:bCs/>
                <w:sz w:val="20"/>
                <w:szCs w:val="20"/>
              </w:rPr>
              <w:fldChar w:fldCharType="separate"/>
            </w:r>
            <w:r w:rsidRPr="008110E1">
              <w:rPr>
                <w:bCs/>
                <w:noProof/>
                <w:sz w:val="20"/>
                <w:szCs w:val="20"/>
              </w:rPr>
              <w:t>[71]</w:t>
            </w:r>
            <w:r w:rsidRPr="008110E1">
              <w:rPr>
                <w:bCs/>
                <w:sz w:val="20"/>
                <w:szCs w:val="20"/>
              </w:rPr>
              <w:fldChar w:fldCharType="end"/>
            </w:r>
            <w:r w:rsidRPr="008110E1">
              <w:rPr>
                <w:bCs/>
                <w:sz w:val="20"/>
                <w:szCs w:val="20"/>
              </w:rPr>
              <w:t xml:space="preserve">, Ferrero </w:t>
            </w:r>
            <w:r w:rsidRPr="008110E1">
              <w:rPr>
                <w:bCs/>
                <w:sz w:val="20"/>
                <w:szCs w:val="20"/>
              </w:rPr>
              <w:fldChar w:fldCharType="begin" w:fldLock="1"/>
            </w:r>
            <w:r w:rsidRPr="008110E1">
              <w:rPr>
                <w:bCs/>
                <w:sz w:val="20"/>
                <w:szCs w:val="20"/>
              </w:rPr>
              <w:instrText>ADDIN CSL_CITATION {"citationItems":[{"id":"ITEM-1","itemData":{"author":[{"dropping-particle":"","family":"Ferrero","given":"","non-dropping-particle":"","parse-names":false,"suffix":""}],"id":"ITEM-1","issued":{"date-parts":[["2019"]]},"publisher":"Ferrero Group","publisher-place":"London, UK","title":"Ferrero For the better - Sustainable Report 2019","type":"book"},"suppress-author":1,"uris":["http://www.mendeley.com/documents/?uuid=804fbc01-60dc-4791-a275-ea71e18ed31d"]}],"mendeley":{"formattedCitation":"[72]","plainTextFormattedCitation":"[72]","previouslyFormattedCitation":"(2019)"},"properties":{"noteIndex":0},"schema":"https://github.com/citation-style-language/schema/raw/master/csl-citation.json"}</w:instrText>
            </w:r>
            <w:r w:rsidRPr="008110E1">
              <w:rPr>
                <w:bCs/>
                <w:sz w:val="20"/>
                <w:szCs w:val="20"/>
              </w:rPr>
              <w:fldChar w:fldCharType="separate"/>
            </w:r>
            <w:r w:rsidRPr="008110E1">
              <w:rPr>
                <w:bCs/>
                <w:noProof/>
                <w:sz w:val="20"/>
                <w:szCs w:val="20"/>
              </w:rPr>
              <w:t>[72]</w:t>
            </w:r>
            <w:r w:rsidRPr="008110E1">
              <w:rPr>
                <w:bCs/>
                <w:sz w:val="20"/>
                <w:szCs w:val="20"/>
              </w:rPr>
              <w:fldChar w:fldCharType="end"/>
            </w:r>
            <w:r w:rsidRPr="008110E1">
              <w:rPr>
                <w:bCs/>
                <w:sz w:val="20"/>
                <w:szCs w:val="20"/>
              </w:rPr>
              <w:t xml:space="preserve"> or Danone </w:t>
            </w:r>
            <w:r w:rsidRPr="008110E1">
              <w:rPr>
                <w:bCs/>
                <w:sz w:val="20"/>
                <w:szCs w:val="20"/>
              </w:rPr>
              <w:fldChar w:fldCharType="begin" w:fldLock="1"/>
            </w:r>
            <w:r w:rsidRPr="008110E1">
              <w:rPr>
                <w:bCs/>
                <w:sz w:val="20"/>
                <w:szCs w:val="20"/>
              </w:rPr>
              <w:instrText>ADDIN CSL_CITATION {"citationItems":[{"id":"ITEM-1","itemData":{"author":[{"dropping-particle":"","family":"Danone","given":"","non-dropping-particle":"","parse-names":false,"suffix":""}],"id":"ITEM-1","issued":{"date-parts":[["2020"]]},"publisher":"Danone","publisher-place":"Paris, France","title":"Danone Annual Report 2019. in Accelerating the FOOD revolution TOGETHER","type":"book"},"suppress-author":1,"uris":["http://www.mendeley.com/documents/?uuid=222ad5bb-d747-4750-8e3e-a408b182d78f"]}],"mendeley":{"formattedCitation":"[73]","plainTextFormattedCitation":"[73]","previouslyFormattedCitation":"(2020)"},"properties":{"noteIndex":0},"schema":"https://github.com/citation-style-language/schema/raw/master/csl-citation.json"}</w:instrText>
            </w:r>
            <w:r w:rsidRPr="008110E1">
              <w:rPr>
                <w:bCs/>
                <w:sz w:val="20"/>
                <w:szCs w:val="20"/>
              </w:rPr>
              <w:fldChar w:fldCharType="separate"/>
            </w:r>
            <w:r w:rsidRPr="008110E1">
              <w:rPr>
                <w:bCs/>
                <w:noProof/>
                <w:sz w:val="20"/>
                <w:szCs w:val="20"/>
              </w:rPr>
              <w:t>[73]</w:t>
            </w:r>
            <w:r w:rsidRPr="008110E1">
              <w:rPr>
                <w:bCs/>
                <w:sz w:val="20"/>
                <w:szCs w:val="20"/>
              </w:rPr>
              <w:fldChar w:fldCharType="end"/>
            </w:r>
            <w:r w:rsidRPr="008110E1">
              <w:rPr>
                <w:bCs/>
                <w:sz w:val="20"/>
                <w:szCs w:val="20"/>
              </w:rPr>
              <w:t>.</w:t>
            </w:r>
          </w:p>
        </w:tc>
      </w:tr>
      <w:tr w:rsidR="008110E1" w:rsidRPr="008110E1" w:rsidTr="00842CBF">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2. Role of food consumers in achieving SDGs as the last link in the food chain continuum pipeline</w:t>
            </w:r>
          </w:p>
        </w:tc>
      </w:tr>
      <w:tr w:rsidR="008110E1" w:rsidRPr="008110E1" w:rsidTr="00842CBF">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Sustainable dietary patterns correlate with zero hunger (SDG 2), contribute to health (SDG 3) and climate change (SDG 13) and achieve sustainable consumption (SDG 12). Main dietary patterns are confronted between plant-based and animal-origin based diets as two extremes </w:t>
            </w:r>
            <w:r w:rsidRPr="008110E1">
              <w:rPr>
                <w:bCs/>
                <w:sz w:val="20"/>
                <w:szCs w:val="20"/>
              </w:rPr>
              <w:fldChar w:fldCharType="begin" w:fldLock="1"/>
            </w:r>
            <w:r w:rsidRPr="008110E1">
              <w:rPr>
                <w:bCs/>
                <w:sz w:val="20"/>
                <w:szCs w:val="20"/>
              </w:rPr>
              <w:instrText>ADDIN CSL_CITATION {"citationItems":[{"id":"ITEM-1","itemData":{"DOI":"10.1111/j.1753-4887.1997.tb01593.x","ISSN":"00296643","PMID":"9155216","abstract":"Analyses of economic and food availability data for 1962-1994 reveal a major shift in the structure of the global diet marked by an uncoupling of the classic relationship between incomes and fat intakes. Global availability of cheap vegetable oils and fats has resulted in greatly increased fat consumption among low-income nations. Consequently, the nutrition transition now occurs at lower levels of the gross national product than previously, and is accelerated further by high urbanization rates. Data from Asian nations, where diet structure is rapidly changing, suggest that diets higher in fats and sweeteners are also more diverse and more varied. Given that preferences for palatable diets are a universal human trait, fat consumption may be governed not by physiological mechanisms but by the amount of fat available in the food supply. Whereas economic development has led to improved food security and better health, adverse health effects of the nutrition transition include growing rates of childhood obesity. The implications of these trends are explored.","author":[{"dropping-particle":"","family":"Drewnowski","given":"Adam","non-dropping-particle":"","parse-names":false,"suffix":""},{"dropping-particle":"","family":"Popkin","given":"Barry M.","non-dropping-particle":"","parse-names":false,"suffix":""}],"container-title":"Nutrition Reviews","id":"ITEM-1","issue":"2","issued":{"date-parts":[["1997"]]},"page":"31-43","title":"The nutrition transition: New trends in the global diet","type":"article-journal","volume":"55"},"uris":["http://www.mendeley.com/documents/?uuid=63c9c8aa-575f-4ba0-a1d0-22e803af4025"]}],"mendeley":{"formattedCitation":"[74]","plainTextFormattedCitation":"[74]","previouslyFormattedCitation":"(Drewnowski and Popkin 1997)"},"properties":{"noteIndex":0},"schema":"https://github.com/citation-style-language/schema/raw/master/csl-citation.json"}</w:instrText>
            </w:r>
            <w:r w:rsidRPr="008110E1">
              <w:rPr>
                <w:bCs/>
                <w:sz w:val="20"/>
                <w:szCs w:val="20"/>
              </w:rPr>
              <w:fldChar w:fldCharType="separate"/>
            </w:r>
            <w:r w:rsidRPr="008110E1">
              <w:rPr>
                <w:bCs/>
                <w:noProof/>
                <w:sz w:val="20"/>
                <w:szCs w:val="20"/>
              </w:rPr>
              <w:t>[74]</w:t>
            </w:r>
            <w:r w:rsidRPr="008110E1">
              <w:rPr>
                <w:bCs/>
                <w:sz w:val="20"/>
                <w:szCs w:val="20"/>
              </w:rPr>
              <w:fldChar w:fldCharType="end"/>
            </w:r>
            <w:r w:rsidRPr="008110E1">
              <w:rPr>
                <w:bCs/>
                <w:sz w:val="20"/>
                <w:szCs w:val="20"/>
              </w:rPr>
              <w:t xml:space="preserve">, with a variety of eating regimes in between (raw </w:t>
            </w:r>
            <w:proofErr w:type="spellStart"/>
            <w:r w:rsidRPr="008110E1">
              <w:rPr>
                <w:bCs/>
                <w:sz w:val="20"/>
                <w:szCs w:val="20"/>
              </w:rPr>
              <w:t>foodism</w:t>
            </w:r>
            <w:proofErr w:type="spellEnd"/>
            <w:r w:rsidRPr="008110E1">
              <w:rPr>
                <w:bCs/>
                <w:sz w:val="20"/>
                <w:szCs w:val="20"/>
              </w:rPr>
              <w:t xml:space="preserve">, </w:t>
            </w:r>
            <w:proofErr w:type="spellStart"/>
            <w:r w:rsidRPr="008110E1">
              <w:rPr>
                <w:bCs/>
                <w:sz w:val="20"/>
                <w:szCs w:val="20"/>
              </w:rPr>
              <w:t>fruitarianism</w:t>
            </w:r>
            <w:proofErr w:type="spellEnd"/>
            <w:r w:rsidRPr="008110E1">
              <w:rPr>
                <w:bCs/>
                <w:sz w:val="20"/>
                <w:szCs w:val="20"/>
              </w:rPr>
              <w:t xml:space="preserve">, vegetarianism, veganism and/or </w:t>
            </w:r>
            <w:proofErr w:type="spellStart"/>
            <w:r w:rsidRPr="008110E1">
              <w:rPr>
                <w:bCs/>
                <w:sz w:val="20"/>
                <w:szCs w:val="20"/>
              </w:rPr>
              <w:t>flexitarianism</w:t>
            </w:r>
            <w:proofErr w:type="spellEnd"/>
            <w:r w:rsidRPr="008110E1">
              <w:rPr>
                <w:bCs/>
                <w:sz w:val="20"/>
                <w:szCs w:val="20"/>
              </w:rPr>
              <w:t xml:space="preserve">). In addition, there are also 'territorial' diets, with some pronounced as 'the healthiest’, like the Mediterranean cuisine </w:t>
            </w:r>
            <w:r w:rsidRPr="008110E1">
              <w:rPr>
                <w:bCs/>
                <w:sz w:val="20"/>
                <w:szCs w:val="20"/>
              </w:rPr>
              <w:fldChar w:fldCharType="begin" w:fldLock="1"/>
            </w:r>
            <w:r w:rsidRPr="008110E1">
              <w:rPr>
                <w:bCs/>
                <w:sz w:val="20"/>
                <w:szCs w:val="20"/>
              </w:rPr>
              <w:instrText>ADDIN CSL_CITATION {"citationItems":[{"id":"ITEM-1","itemData":{"author":[{"dropping-particle":"","family":"Hachem","given":"F.","non-dropping-particle":"","parse-names":false,"suffix":""},{"dropping-particle":"","family":"Vanham","given":"D.","non-dropping-particle":"","parse-names":false,"suffix":""},{"dropping-particle":"","family":"Moreno","given":"L.","non-dropping-particle":"","parse-names":false,"suffix":""}],"id":"ITEM-1","issued":{"date-parts":[["2019"]]},"publisher":"Food and Agriculture Organization of the United Nations &amp; World Health Organization","publisher-place":"Rome, Italy","title":"Territorial diets. in Sustainable healthy diets - Guding principles","type":"book"},"uris":["http://www.mendeley.com/documents/?uuid=a8799637-7559-46f2-996b-e0423227ffeb"]}],"mendeley":{"formattedCitation":"[75]","plainTextFormattedCitation":"[75]","previouslyFormattedCitation":"(Hachem et al. 2019)"},"properties":{"noteIndex":0},"schema":"https://github.com/citation-style-language/schema/raw/master/csl-citation.json"}</w:instrText>
            </w:r>
            <w:r w:rsidRPr="008110E1">
              <w:rPr>
                <w:bCs/>
                <w:sz w:val="20"/>
                <w:szCs w:val="20"/>
              </w:rPr>
              <w:fldChar w:fldCharType="separate"/>
            </w:r>
            <w:r w:rsidRPr="008110E1">
              <w:rPr>
                <w:bCs/>
                <w:noProof/>
                <w:sz w:val="20"/>
                <w:szCs w:val="20"/>
              </w:rPr>
              <w:t>[75]</w:t>
            </w:r>
            <w:r w:rsidRPr="008110E1">
              <w:rPr>
                <w:bCs/>
                <w:sz w:val="20"/>
                <w:szCs w:val="20"/>
              </w:rPr>
              <w:fldChar w:fldCharType="end"/>
            </w:r>
            <w:r w:rsidRPr="008110E1">
              <w:rPr>
                <w:bCs/>
                <w:sz w:val="20"/>
                <w:szCs w:val="20"/>
              </w:rPr>
              <w:t xml:space="preserve">, or religious schemes (fasting in Christianity, Halal in Islamic communities or Kosher linked with Judaism) with their requirements regarding food production </w:t>
            </w:r>
            <w:r w:rsidRPr="008110E1">
              <w:rPr>
                <w:bCs/>
                <w:sz w:val="20"/>
                <w:szCs w:val="20"/>
              </w:rPr>
              <w:fldChar w:fldCharType="begin" w:fldLock="1"/>
            </w:r>
            <w:r w:rsidRPr="008110E1">
              <w:rPr>
                <w:bCs/>
                <w:sz w:val="20"/>
                <w:szCs w:val="20"/>
              </w:rPr>
              <w:instrText>ADDIN CSL_CITATION {"citationItems":[{"id":"ITEM-1","itemData":{"DOI":"10.1007/978-3-319-69626-3_121-1","author":[{"dropping-particle":"","family":"Djekic","given":"Ilija","non-dropping-particle":"","parse-names":false,"suffix":""},{"dropping-particle":"","family":"Tomasevic","given":"Igor","non-dropping-particle":"","parse-names":false,"suffix":""}],"container-title":"Zero Hunger. Encyclopedia of the UN Sustainable Development Goals","editor":[{"dropping-particle":"","family":"Leal Filho","given":"W.","non-dropping-particle":"","parse-names":false,"suffix":""},{"dropping-particle":"","family":"Azul","given":"A.M.","non-dropping-particle":"","parse-names":false,"suffix":""},{"dropping-particle":"","family":"Brandli","given":"L.","non-dropping-particle":"","parse-names":false,"suffix":""},{"dropping-particle":"","family":"Özuyar","given":"P.G.","non-dropping-particle":"","parse-names":false,"suffix":""},{"dropping-particle":"","family":"Wall","given":"T","non-dropping-particle":"","parse-names":false,"suffix":""}],"id":"ITEM-1","issued":{"date-parts":[["2020"]]},"page":"1-10","publisher":"Springer","publisher-place":"Cham, Germany","title":"Role of Sustainable Quality in the Food Chain","type":"chapter"},"uris":["http://www.mendeley.com/documents/?uuid=f7b5b95e-4fd1-4a8c-9000-dee3729cb5ee"]}],"mendeley":{"formattedCitation":"[76]","plainTextFormattedCitation":"[76]","previouslyFormattedCitation":"(Djekic and Tomasevic 2020)"},"properties":{"noteIndex":0},"schema":"https://github.com/citation-style-language/schema/raw/master/csl-citation.json"}</w:instrText>
            </w:r>
            <w:r w:rsidRPr="008110E1">
              <w:rPr>
                <w:bCs/>
                <w:sz w:val="20"/>
                <w:szCs w:val="20"/>
              </w:rPr>
              <w:fldChar w:fldCharType="separate"/>
            </w:r>
            <w:r w:rsidRPr="008110E1">
              <w:rPr>
                <w:bCs/>
                <w:noProof/>
                <w:sz w:val="20"/>
                <w:szCs w:val="20"/>
              </w:rPr>
              <w:t>[76]</w:t>
            </w:r>
            <w:r w:rsidRPr="008110E1">
              <w:rPr>
                <w:bCs/>
                <w:sz w:val="20"/>
                <w:szCs w:val="20"/>
              </w:rPr>
              <w:fldChar w:fldCharType="end"/>
            </w:r>
            <w:r w:rsidRPr="008110E1">
              <w:rPr>
                <w:bCs/>
                <w:sz w:val="20"/>
                <w:szCs w:val="20"/>
              </w:rPr>
              <w:t xml:space="preserve">. However, pressure on changing eating habits towards sustainable diets is associated with environmental footprints and is more explored in scientific models than observed in everyday life </w:t>
            </w:r>
            <w:r w:rsidRPr="008110E1">
              <w:rPr>
                <w:bCs/>
                <w:sz w:val="20"/>
                <w:szCs w:val="20"/>
              </w:rPr>
              <w:fldChar w:fldCharType="begin" w:fldLock="1"/>
            </w:r>
            <w:r w:rsidRPr="008110E1">
              <w:rPr>
                <w:bCs/>
                <w:sz w:val="20"/>
                <w:szCs w:val="20"/>
              </w:rPr>
              <w:instrText>ADDIN CSL_CITATION {"citationItems":[{"id":"ITEM-1","itemData":{"DOI":"10.1007/978-3-030-22759-3_20-1","author":[{"dropping-particle":"","family":"Djekic","given":"Ilija","non-dropping-particle":"","parse-names":false,"suffix":""},{"dropping-particle":"","family":"Tomasevic","given":"Igor","non-dropping-particle":"","parse-names":false,"suffix":""}],"container-title":"Handbook of Climate Change Management","id":"ITEM-1","issued":{"date-parts":[["2021"]]},"page":"1-16","title":"Impact of Animal Origin Food Production on Climate Change and Vice Versa: Analysis from a Meat and Dairy Products Perspective","type":"chapter"},"uris":["http://www.mendeley.com/documents/?uuid=ac3cbe22-50ee-4889-b894-de8503e82c97"]}],"mendeley":{"formattedCitation":"[77]","plainTextFormattedCitation":"[77]","previouslyFormattedCitation":"(Djekic and Tomasevic 2021)"},"properties":{"noteIndex":0},"schema":"https://github.com/citation-style-language/schema/raw/master/csl-citation.json"}</w:instrText>
            </w:r>
            <w:r w:rsidRPr="008110E1">
              <w:rPr>
                <w:bCs/>
                <w:sz w:val="20"/>
                <w:szCs w:val="20"/>
              </w:rPr>
              <w:fldChar w:fldCharType="separate"/>
            </w:r>
            <w:r w:rsidRPr="008110E1">
              <w:rPr>
                <w:bCs/>
                <w:noProof/>
                <w:sz w:val="20"/>
                <w:szCs w:val="20"/>
              </w:rPr>
              <w:t>[77]</w:t>
            </w:r>
            <w:r w:rsidRPr="008110E1">
              <w:rPr>
                <w:bCs/>
                <w:sz w:val="20"/>
                <w:szCs w:val="20"/>
              </w:rPr>
              <w:fldChar w:fldCharType="end"/>
            </w:r>
            <w:r w:rsidRPr="008110E1">
              <w:rPr>
                <w:bCs/>
                <w:sz w:val="20"/>
                <w:szCs w:val="20"/>
              </w:rPr>
              <w:t>.</w:t>
            </w:r>
            <w:r>
              <w:rPr>
                <w:bCs/>
                <w:sz w:val="20"/>
                <w:szCs w:val="20"/>
              </w:rPr>
              <w:t xml:space="preserve"> </w:t>
            </w:r>
            <w:r w:rsidRPr="008110E1">
              <w:rPr>
                <w:bCs/>
                <w:sz w:val="20"/>
                <w:szCs w:val="20"/>
              </w:rPr>
              <w:t xml:space="preserve">Besides food consumption, food waste is also associated with this part of the food supply chain. The life-cycle approach of food systems usually points out food waste as an element that occurs in all food systems where households are recognised as significant contributors </w:t>
            </w:r>
            <w:r w:rsidRPr="008110E1">
              <w:rPr>
                <w:bCs/>
                <w:sz w:val="20"/>
                <w:szCs w:val="20"/>
              </w:rPr>
              <w:fldChar w:fldCharType="begin" w:fldLock="1"/>
            </w:r>
            <w:r w:rsidRPr="008110E1">
              <w:rPr>
                <w:bCs/>
                <w:sz w:val="20"/>
                <w:szCs w:val="20"/>
              </w:rPr>
              <w:instrText>ADDIN CSL_CITATION {"citationItems":[{"id":"ITEM-1","itemData":{"DOI":"10.1177/0734242X19873709","ISSN":"10963669","PMID":"31512984","abstract":"The objectives of this research were to identify the quantities and global warming, acidification and eutrophication potentials associated with household food waste in Bosnia and Herzegovina. In parallel, this study investigated perceptions related to food waste and using the quality function deployment for environment model, correlated reasons for discarding food waste and beliefs associated with food waste. Based on this study, it is estimated that around 2.8 kg of food waste is disposed of by the average household every week. Global warming, acidification and eutrophication potentials associated with household food waste are, on average, 3.49 kg CO2e/week, 2.42 g SO2e/week and 8.70 g PO4e/week, respectively. Also, Bosnian households discard over 80 different pieces of food packaging waste weekly, where plastic packaging is the most dominant packing type. The highest ranked reason for discarding food is linked to plate leftovers. In general, Bosnian citizens feel guilty when they waste food.","author":[{"dropping-particle":"","family":"Djekic","given":"Ilija","non-dropping-particle":"","parse-names":false,"suffix":""},{"dropping-particle":"","family":"Operta","given":"Sabina","non-dropping-particle":"","parse-names":false,"suffix":""},{"dropping-particle":"","family":"Djulancic","given":"Nermina","non-dropping-particle":"","parse-names":false,"suffix":""},{"dropping-particle":"","family":"Lorenzo","given":"Jose M.","non-dropping-particle":"","parse-names":false,"suffix":""},{"dropping-particle":"","family":"Barba","given":"Francisco J.","non-dropping-particle":"","parse-names":false,"suffix":""},{"dropping-particle":"","family":"Djordjević","given":"Vesna","non-dropping-particle":"","parse-names":false,"suffix":""},{"dropping-particle":"","family":"Tomasevic","given":"Igor","non-dropping-particle":"","parse-names":false,"suffix":""}],"container-title":"Waste Management and Research","id":"ITEM-1","issue":"12","issued":{"date-parts":[["2019"]]},"page":"1250-1260","title":"Quantities, environmental footprints and beliefs associated with household food waste in Bosnia and Herzegovina","type":"article-journal","volume":"37"},"uris":["http://www.mendeley.com/documents/?uuid=126bb524-cbfa-4de1-9b63-ece9f3a3fac6"]},{"id":"ITEM-2","itemData":{"DOI":"10.1016/j.resconrec.2016.03.004","ISSN":"18790658","abstract":"The reduction of food waste is seen as an important lever for ensuring food security and diminishing environmental burdens. In context of the forthcoming revision of the European Waste Directive the EC is planning to commit its Member States to reduce their food waste by 30% until 2025. To reach this ambitious objective effective prevention measures have to be implemented. This requires detailed knowledge on drivers and reasons for food waste generation along the food supply chain and the 'hotspots of wastage'. The paper provides information on these two topics. Main drivers for food waste generation are process- and market-based standards, non-compliance with food safety requirements, exceeding of expiry dates, marketing standards or logistic constraints, but also consumer preferences and societal trends like growing prosperity, declining food prices, rising number of single households and increasing employment of women. As surveys and calculations indicate, the highest waste rates in Europe occur at the first stage (primary production) and the last stage (household sector) of the supply chain. The paper further presents a set of policy options on European and national level which are considered most promising to prevent food waste. The selection is based on a thorough literature review, reflecting also the results of a stakeholder workshop held in November 2014. The analysis reveals that most of the prevention measures implemented in the EU Member States up to now are soft instruments like awareness campaigns, round tables, networks and information platforms. In addition to this soft instruments, the paper advocates for the introduction of more rigorous approaches like the abolishment of subsidies on food, amendments to EU regulations and economic incentives. Further research is required to assess the impacts and efficacy of economic and regulatory instruments.","author":[{"dropping-particle":"","family":"Priefer","given":"Carmen","non-dropping-particle":"","parse-names":false,"suffix":""},{"dropping-particle":"","family":"Jörissen","given":"Juliane","non-dropping-particle":"","parse-names":false,"suffix":""},{"dropping-particle":"","family":"Bräutigam","given":"Klaus Rainer","non-dropping-particle":"","parse-names":false,"suffix":""}],"container-title":"Resources, Conservation and Recycling","id":"ITEM-2","issued":{"date-parts":[["2016"]]},"page":"155-165","title":"Food waste prevention in Europe - A cause-driven approach to identify the most relevant leverage points for action","type":"article-journal","volume":"109"},"uris":["http://www.mendeley.com/documents/?uuid=2bf11aab-e256-4f56-ad3a-2d5bf5c2ca56"]}],"mendeley":{"formattedCitation":"[78, 79]","plainTextFormattedCitation":"[78, 79]","previouslyFormattedCitation":"(Djekic, Operta, et al. 2019; Priefer et al. 2016)"},"properties":{"noteIndex":0},"schema":"https://github.com/citation-style-language/schema/raw/master/csl-citation.json"}</w:instrText>
            </w:r>
            <w:r w:rsidRPr="008110E1">
              <w:rPr>
                <w:bCs/>
                <w:sz w:val="20"/>
                <w:szCs w:val="20"/>
              </w:rPr>
              <w:fldChar w:fldCharType="separate"/>
            </w:r>
            <w:r w:rsidRPr="008110E1">
              <w:rPr>
                <w:bCs/>
                <w:noProof/>
                <w:sz w:val="20"/>
                <w:szCs w:val="20"/>
              </w:rPr>
              <w:t>[78, 79]</w:t>
            </w:r>
            <w:r w:rsidRPr="008110E1">
              <w:rPr>
                <w:bCs/>
                <w:sz w:val="20"/>
                <w:szCs w:val="20"/>
              </w:rPr>
              <w:fldChar w:fldCharType="end"/>
            </w:r>
            <w:r w:rsidRPr="008110E1">
              <w:rPr>
                <w:bCs/>
                <w:sz w:val="20"/>
                <w:szCs w:val="20"/>
              </w:rPr>
              <w:t xml:space="preserve">. This additionally stresses the need for achieving SDGs 12 and 13, as food waste has a pronounced carbon footprint. Therefore, it is necessary to analyse social and cultural habits from food purchasing to food preparation to waste disposal and to raise awareness among household members about food waste, mainly because discarding food waste is correlated with expiration dates, plate leftovers and spoiled food </w:t>
            </w:r>
            <w:r w:rsidRPr="008110E1">
              <w:rPr>
                <w:bCs/>
                <w:sz w:val="20"/>
                <w:szCs w:val="20"/>
              </w:rPr>
              <w:fldChar w:fldCharType="begin" w:fldLock="1"/>
            </w:r>
            <w:r w:rsidRPr="008110E1">
              <w:rPr>
                <w:bCs/>
                <w:sz w:val="20"/>
                <w:szCs w:val="20"/>
              </w:rPr>
              <w:instrText>ADDIN CSL_CITATION {"citationItems":[{"id":"ITEM-1","itemData":{"DOI":"10.1016/j.jclepro.2019.04.400","ISSN":"09596526","abstract":"The aim of this study was to investigate respondent's attitudes and reasons related to food waste and to estimate the weekly amounts of discarded food waste and food packaging waste in Serbia. A total of 494 citizens of Belgrade, capital of Serbia, were interviewed. They had the option to rate their degree of agreement related to 28 food waste statements as well as to recall the quantities of discarded food waste and food packaging waste. In parallel, a Monte Carlo simulation was performed to estimate CO2 emission of food waste and food packaging waste. Our research revealed that citizens of Serbia feel guilty and have a bad conscience when they waste food. The main two reasons for throwing away food comes from food with expired dates and observed rotten smells and tastes. Bread and bakery products are types of food mostly discarded in Serbia while plastic bags are types of food packaging mostly discarded. Regarding food waste quantities, it is estimated that households dispose around 1.54 kg of food waste every week and about 65 different pieces of food packaging. The global warming impact of food waste and food packaging waste was quantified around 3.46 kg CO2e/household a week and 0.16 kg CO2e/household a week, respectively. Learning from this and previous studies, we believe our research contributes to the overall perspective of food waste in Europe as its based on collecting data on food waste and food packaging waste joint with comparing statements of interviewees on food waste.","author":[{"dropping-particle":"","family":"Djekic","given":"Ilija","non-dropping-particle":"","parse-names":false,"suffix":""},{"dropping-particle":"","family":"Miloradovic","given":"Zorana","non-dropping-particle":"","parse-names":false,"suffix":""},{"dropping-particle":"","family":"Djekic","given":"Sofija","non-dropping-particle":"","parse-names":false,"suffix":""},{"dropping-particle":"","family":"Tomasevic","given":"Igor","non-dropping-particle":"","parse-names":false,"suffix":""}],"container-title":"Journal of Cleaner Production","id":"ITEM-1","issued":{"date-parts":[["2019"]]},"page":"44-52","title":"Household food waste in Serbia – Attitudes, quantities and global warming potential","type":"article-journal","volume":"229"},"uris":["http://www.mendeley.com/documents/?uuid=4e7c9938-9d20-4ee6-a1c6-2a07dca965c5"]}],"mendeley":{"formattedCitation":"[80]","plainTextFormattedCitation":"[80]","previouslyFormattedCitation":"(Djekic, Miloradovic, et al. 2019)"},"properties":{"noteIndex":0},"schema":"https://github.com/citation-style-language/schema/raw/master/csl-citation.json"}</w:instrText>
            </w:r>
            <w:r w:rsidRPr="008110E1">
              <w:rPr>
                <w:bCs/>
                <w:sz w:val="20"/>
                <w:szCs w:val="20"/>
              </w:rPr>
              <w:fldChar w:fldCharType="separate"/>
            </w:r>
            <w:r w:rsidRPr="008110E1">
              <w:rPr>
                <w:bCs/>
                <w:noProof/>
                <w:sz w:val="20"/>
                <w:szCs w:val="20"/>
              </w:rPr>
              <w:t>[80]</w:t>
            </w:r>
            <w:r w:rsidRPr="008110E1">
              <w:rPr>
                <w:bCs/>
                <w:sz w:val="20"/>
                <w:szCs w:val="20"/>
              </w:rPr>
              <w:fldChar w:fldCharType="end"/>
            </w:r>
            <w:r w:rsidRPr="008110E1">
              <w:rPr>
                <w:bCs/>
                <w:sz w:val="20"/>
                <w:szCs w:val="20"/>
              </w:rPr>
              <w:t xml:space="preserve">. Therefore, achieving zero hunger (SDG 2, 3) and decreasing food waste (SDG 12, 13) should be understood as two different sides to a coin, and solving these issues will promote food sustainability </w:t>
            </w:r>
            <w:r w:rsidRPr="008110E1">
              <w:rPr>
                <w:bCs/>
                <w:sz w:val="20"/>
                <w:szCs w:val="20"/>
              </w:rPr>
              <w:fldChar w:fldCharType="begin" w:fldLock="1"/>
            </w:r>
            <w:r w:rsidRPr="008110E1">
              <w:rPr>
                <w:bCs/>
                <w:sz w:val="20"/>
                <w:szCs w:val="20"/>
              </w:rPr>
              <w:instrText>ADDIN CSL_CITATION {"citationItems":[{"id":"ITEM-1","itemData":{"DOI":"10.1007/978-3-319-69626-3_121-1","author":[{"dropping-particle":"","family":"Djekic","given":"Ilija","non-dropping-particle":"","parse-names":false,"suffix":""},{"dropping-particle":"","family":"Tomasevic","given":"Igor","non-dropping-particle":"","parse-names":false,"suffix":""}],"container-title":"Zero Hunger. Encyclopedia of the UN Sustainable Development Goals","editor":[{"dropping-particle":"","family":"Leal Filho","given":"W.","non-dropping-particle":"","parse-names":false,"suffix":""},{"dropping-particle":"","family":"Azul","given":"A.M.","non-dropping-particle":"","parse-names":false,"suffix":""},{"dropping-particle":"","family":"Brandli","given":"L.","non-dropping-particle":"","parse-names":false,"suffix":""},{"dropping-particle":"","family":"Özuyar","given":"P.G.","non-dropping-particle":"","parse-names":false,"suffix":""},{"dropping-particle":"","family":"Wall","given":"T","non-dropping-particle":"","parse-names":false,"suffix":""}],"id":"ITEM-1","issued":{"date-parts":[["2020"]]},"page":"1-10","publisher":"Springer","publisher-place":"Cham, Germany","title":"Role of Sustainable Quality in the Food Chain","type":"chapter"},"uris":["http://www.mendeley.com/documents/?uuid=f7b5b95e-4fd1-4a8c-9000-dee3729cb5ee"]}],"mendeley":{"formattedCitation":"[76]","plainTextFormattedCitation":"[76]","previouslyFormattedCitation":"(Djekic and Tomasevic 2020)"},"properties":{"noteIndex":0},"schema":"https://github.com/citation-style-language/schema/raw/master/csl-citation.json"}</w:instrText>
            </w:r>
            <w:r w:rsidRPr="008110E1">
              <w:rPr>
                <w:bCs/>
                <w:sz w:val="20"/>
                <w:szCs w:val="20"/>
              </w:rPr>
              <w:fldChar w:fldCharType="separate"/>
            </w:r>
            <w:r w:rsidRPr="008110E1">
              <w:rPr>
                <w:bCs/>
                <w:noProof/>
                <w:sz w:val="20"/>
                <w:szCs w:val="20"/>
              </w:rPr>
              <w:t>[76]</w:t>
            </w:r>
            <w:r w:rsidRPr="008110E1">
              <w:rPr>
                <w:bCs/>
                <w:sz w:val="20"/>
                <w:szCs w:val="20"/>
              </w:rPr>
              <w:fldChar w:fldCharType="end"/>
            </w:r>
            <w:r w:rsidRPr="008110E1">
              <w:rPr>
                <w:bCs/>
                <w:sz w:val="20"/>
                <w:szCs w:val="20"/>
              </w:rPr>
              <w:t>.</w:t>
            </w:r>
          </w:p>
        </w:tc>
      </w:tr>
      <w:tr w:rsidR="008110E1" w:rsidRPr="008110E1" w:rsidTr="00842CBF">
        <w:tc>
          <w:tcPr>
            <w:tcW w:w="8644" w:type="dxa"/>
          </w:tcPr>
          <w:p w:rsidR="008110E1" w:rsidRPr="008110E1" w:rsidRDefault="008110E1" w:rsidP="008110E1">
            <w:pPr>
              <w:snapToGrid w:val="0"/>
              <w:spacing w:line="240" w:lineRule="auto"/>
              <w:contextualSpacing/>
              <w:mirrorIndents/>
              <w:jc w:val="both"/>
              <w:rPr>
                <w:bCs/>
                <w:sz w:val="20"/>
                <w:szCs w:val="20"/>
              </w:rPr>
            </w:pPr>
          </w:p>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3. Technological challenges of implementing new non-thermal food processing technologies to achieve the SDGs</w:t>
            </w:r>
          </w:p>
        </w:tc>
      </w:tr>
      <w:tr w:rsidR="008110E1" w:rsidRPr="008110E1" w:rsidTr="00842CBF">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Non-thermal food processing technologies are currently being studied in various domains of food application, such as food product stabilisation, extraction, or alternative preservation, and display several benefits: shortened treatment time; prevention of negative heat effects on nutritional characteristics; and satisfactory levels of food safety with maintained food quality attributes </w:t>
            </w:r>
            <w:r w:rsidRPr="008110E1">
              <w:rPr>
                <w:bCs/>
                <w:sz w:val="20"/>
                <w:szCs w:val="20"/>
              </w:rPr>
              <w:fldChar w:fldCharType="begin" w:fldLock="1"/>
            </w:r>
            <w:r w:rsidRPr="008110E1">
              <w:rPr>
                <w:bCs/>
                <w:sz w:val="20"/>
                <w:szCs w:val="20"/>
              </w:rPr>
              <w:instrText>ADDIN CSL_CITATION {"citationItems":[{"id":"ITEM-1","itemData":{"DOI":"10.1155/2018/8619707","ISSN":"17454557","abstract":"This review gives an overview of the impact of novel nonthermal food technologies on food safety, on quality, and on the environment. It confirms that research in this field is mainly focused on analyzing microbial and/or chemical aspects of food safety. However, recent research shows that in spite of various food safety benefits, some negative (quality oriented) features occur. Finally, this paper shows the necessity of analyzing the environmental dimension of using these technologies.","author":[{"dropping-particle":"","family":"Režek Jambrak","given":"Anet","non-dropping-particle":"","parse-names":false,"suffix":""},{"dropping-particle":"","family":"Vukušić","given":"Tomislava","non-dropping-particle":"","parse-names":false,"suffix":""},{"dropping-particle":"","family":"Donsi","given":"Francesco","non-dropping-particle":"","parse-names":false,"suffix":""},{"dropping-particle":"","family":"Paniwnyk","given":"Larysa","non-dropping-particle":"","parse-names":false,"suffix":""},{"dropping-particle":"","family":"Djekic","given":"Ilija","non-dropping-particle":"","parse-names":false,"suffix":""}],"container-title":"Journal of Food Quality","id":"ITEM-1","issued":{"date-parts":[["2018"]]},"title":"Three Pillars of Novel Nonthermal Food Technologies: Food Safety, Quality, and Environment","type":"article-journal","volume":"2018"},"uris":["http://www.mendeley.com/documents/?uuid=869a892e-e114-4867-8ae2-689b70d50415"]}],"mendeley":{"formattedCitation":"[81]","plainTextFormattedCitation":"[81]","previouslyFormattedCitation":"(Režek Jambrak et al. 2018)"},"properties":{"noteIndex":0},"schema":"https://github.com/citation-style-language/schema/raw/master/csl-citation.json"}</w:instrText>
            </w:r>
            <w:r w:rsidRPr="008110E1">
              <w:rPr>
                <w:bCs/>
                <w:sz w:val="20"/>
                <w:szCs w:val="20"/>
              </w:rPr>
              <w:fldChar w:fldCharType="separate"/>
            </w:r>
            <w:r w:rsidRPr="008110E1">
              <w:rPr>
                <w:bCs/>
                <w:noProof/>
                <w:sz w:val="20"/>
                <w:szCs w:val="20"/>
              </w:rPr>
              <w:t>[81]</w:t>
            </w:r>
            <w:r w:rsidRPr="008110E1">
              <w:rPr>
                <w:bCs/>
                <w:sz w:val="20"/>
                <w:szCs w:val="20"/>
              </w:rPr>
              <w:fldChar w:fldCharType="end"/>
            </w:r>
            <w:r w:rsidRPr="008110E1">
              <w:rPr>
                <w:bCs/>
                <w:sz w:val="20"/>
                <w:szCs w:val="20"/>
              </w:rPr>
              <w:t>.</w:t>
            </w:r>
            <w:r w:rsidRPr="008110E1">
              <w:rPr>
                <w:bCs/>
                <w:sz w:val="20"/>
                <w:szCs w:val="20"/>
              </w:rPr>
              <w:tab/>
              <w:t xml:space="preserve">Within the food industry, different technologies have been used depending on their mode of action and energy source such as technologies based on mechanical action (hydrodynamic effects, ultrasound and irradiation); electro-magnetic fields (pulsed fields/ultraviolet light, cold plasma, oscillating magnetic fields) and pressure (high-pressure processing or supercritical fluid drying). However, the main challenge in applying these technologies within the food supply chain is their technology readiness level, as most of them are still at lab-scale with levels between 3-5 based on the EU scale </w:t>
            </w:r>
            <w:r w:rsidRPr="008110E1">
              <w:rPr>
                <w:bCs/>
                <w:sz w:val="20"/>
                <w:szCs w:val="20"/>
              </w:rPr>
              <w:fldChar w:fldCharType="begin" w:fldLock="1"/>
            </w:r>
            <w:r w:rsidRPr="008110E1">
              <w:rPr>
                <w:bCs/>
                <w:sz w:val="20"/>
                <w:szCs w:val="20"/>
              </w:rPr>
              <w:instrText>ADDIN CSL_CITATION {"citationItems":[{"id":"ITEM-1","itemData":{"author":[{"dropping-particle":"","family":"European Comission","given":"","non-dropping-particle":"","parse-names":false,"suffix":""}],"id":"ITEM-1","issued":{"date-parts":[["2014"]]},"publisher":"European Commission","publisher-place":"Brussels, Belgium","title":"Technology readiness levels (TRL). in HORIZON 2020 – WORK PROGRAMME 2014-2015 General Annexes, Extract from Part 19 - Commission Decision","type":"book"},"uris":["http://www.mendeley.com/documents/?uuid=0d95d8a9-8d12-407f-b3ef-a3b4ed1e003f"]}],"mendeley":{"formattedCitation":"[82]","plainTextFormattedCitation":"[82]","previouslyFormattedCitation":"(European Comission 2014)"},"properties":{"noteIndex":0},"schema":"https://github.com/citation-style-language/schema/raw/master/csl-citation.json"}</w:instrText>
            </w:r>
            <w:r w:rsidRPr="008110E1">
              <w:rPr>
                <w:bCs/>
                <w:sz w:val="20"/>
                <w:szCs w:val="20"/>
              </w:rPr>
              <w:fldChar w:fldCharType="separate"/>
            </w:r>
            <w:r w:rsidRPr="008110E1">
              <w:rPr>
                <w:bCs/>
                <w:noProof/>
                <w:sz w:val="20"/>
                <w:szCs w:val="20"/>
              </w:rPr>
              <w:t>[82]</w:t>
            </w:r>
            <w:r w:rsidRPr="008110E1">
              <w:rPr>
                <w:bCs/>
                <w:sz w:val="20"/>
                <w:szCs w:val="20"/>
              </w:rPr>
              <w:fldChar w:fldCharType="end"/>
            </w:r>
            <w:r w:rsidRPr="008110E1">
              <w:rPr>
                <w:bCs/>
                <w:sz w:val="20"/>
                <w:szCs w:val="20"/>
              </w:rPr>
              <w:t xml:space="preserve">. Therefore, it is necessary to upscale the lab-scale food processing technology to an operating level (for benchmarking with conventional food processing technologies) and further upscale it to analyse the entire food supply chain. This is one of the reasons for the limited number of research papers with measurable sustainable parameters </w:t>
            </w:r>
            <w:r w:rsidRPr="008110E1">
              <w:rPr>
                <w:bCs/>
                <w:sz w:val="20"/>
                <w:szCs w:val="20"/>
              </w:rPr>
              <w:fldChar w:fldCharType="begin" w:fldLock="1"/>
            </w:r>
            <w:r w:rsidRPr="008110E1">
              <w:rPr>
                <w:bCs/>
                <w:sz w:val="20"/>
                <w:szCs w:val="20"/>
              </w:rPr>
              <w:instrText>ADDIN CSL_CITATION {"citationItems":[{"id":"ITEM-1","itemData":{"DOI":"10.1016/j.jclepro.2015.01.062","ISSN":"09596526","abstract":"The emissions of airborne contaminants from various industrial processes are an important source of air pollution and presents problems for human health and the environment in general. The removal of gaseous pollutants, such of nitrogen and sulphur oxides (NOx and SOx), from exhaust gases, or volatile organic compounds (VOC) emitted from various industrial processes is of continuous challenge in the environmental engineering. Plasma-based pollutant decomposition methods emerge as promising techniques, but little is known about their overall environmental performance. We compared two plasma based technologies (Electron Beam Flue Gas Treatment (EBFGT) and Dielectric Barrier Discharge (DBD) against the conventional methods (Wet Flue Gas Desulphurization with Selective Catalytic Reduction, WFGD+SCR, biofiltration and adsorption) using life cycle analysis (LCA), which took into account the usage of materials, waste generation and energy consumption. Five main categories (Global Warming, Ozone Layer Depletion, Acidification, Euthrophication and Human Toxicity, based on the CML2001 method) were used for the environmental impact evaluation. Based on CML2001 IKP Experts weighting, WFGD+SCR technology is marginally more environmentally friendly in comparison to EBFGT (59.25 to 73.74 CML2001 IKP Experts score). The generation of byproducts (in this case gypsum waste) is the main disadvantage of the WFGD+SCR. At the same time, EBFGT enables formation of useful byproducts, which are suitable to be utilized as fertilizers in the agriculture sector. On the other hand, DBD was six times more favorable to the environment than the adsorbtion and more than two times more environmentally friendly than the biofiltration technology (4.23, 27.78 and 9.29 relative units, respectively). With respect to the adsorption/thermal incineration of VOCs, both the electricity and the material consumption, as well as the management of byproducts caused the highest impact. In case of biofiltration, the management of remaining filter material waste (in this case, landfilling) was the most significant. Relatively high electrical energy demand causes lower positioning of plasma based technologies in cases where no other materials are utilized and major waste is formed. In turn, many traditional end-of pipe technologies are associated with high amounts of process waste, which provides plasma technologies with an opportunity to establish them in the market as more efficient and in many occasio…","author":[{"dropping-particle":"","family":"Stasiulaitiene","given":"Inga","non-dropping-particle":"","parse-names":false,"suffix":""},{"dropping-particle":"","family":"Martuzevicius","given":"Dainius","non-dropping-particle":"","parse-names":false,"suffix":""},{"dropping-particle":"","family":"Abromaitis","given":"Vytautas","non-dropping-particle":"","parse-names":false,"suffix":""},{"dropping-particle":"","family":"Tichonovas","given":"Martynas","non-dropping-particle":"","parse-names":false,"suffix":""},{"dropping-particle":"","family":"Baltrusaitis","given":"Jonas","non-dropping-particle":"","parse-names":false,"suffix":""},{"dropping-particle":"","family":"Brandenburg","given":"Ronny","non-dropping-particle":"","parse-names":false,"suffix":""},{"dropping-particle":"","family":"Pawelec","given":"Andrzej","non-dropping-particle":"","parse-names":false,"suffix":""},{"dropping-particle":"","family":"Schwock","given":"Alexander","non-dropping-particle":"","parse-names":false,"suffix":""}],"container-title":"Journal of Cleaner Production","id":"ITEM-1","issued":{"date-parts":[["2016"]]},"page":"1804-1812","title":"Comparative life cycle assessment of plasma-based and traditional exhaust gas treatment technologies","type":"article-journal","volume":"112"},"uris":["http://www.mendeley.com/documents/?uuid=f12ee7e3-7783-4155-b759-f69fe92afdaf"]},{"id":"ITEM-2","itemData":{"DOI":"10.3390/foods8080301","ISSN":"23048158","abstract":"This paper gives an overview of scientific challenges that occur when performing life-cycle assessment (LCA) in the food supply chain. In order to evaluate these risks, the Failure Mode and Effect Analysis tool has been used. Challenges related to setting the goal and scope of LCA revealed four hot spots: system boundaries of LCA; used functional units; type and quality of data categories, and main assumptions and limitations of the study. Within the inventory analysis, challenging issues are associated with allocation of material and energy flows and waste streams released to the environment. Impact assessment brings uncertainties in choosing appropriate environmental impacts. Finally, in order to interpret results, a scientifically sound sensitivity analysis should be performed to check how stable calculations and results are. Identified challenges pave the way for improving LCA of food supply chains in order to enable comparison of results.","author":[{"dropping-particle":"","family":"Djekic","given":"Ilija","non-dropping-particle":"","parse-names":false,"suffix":""},{"dropping-particle":"","family":"Pojić","given":"Milica","non-dropping-particle":"","parse-names":false,"suffix":""},{"dropping-particle":"","family":"Tonda","given":"Alberto","non-dropping-particle":"","parse-names":false,"suffix":""},{"dropping-particle":"","family":"Putnik","given":"Predrag","non-dropping-particle":"","parse-names":false,"suffix":""},{"dropping-particle":"","family":"Kovačević","given":"Danijela Bursać","non-dropping-particle":"","parse-names":false,"suffix":""},{"dropping-particle":"","family":"Režek-Jambrak","given":"Anet","non-dropping-particle":"","parse-names":false,"suffix":""},{"dropping-particle":"","family":"Tomasevic","given":"Igor","non-dropping-particle":"","parse-names":false,"suffix":""}],"container-title":"Foods","id":"ITEM-2","issue":"8","issued":{"date-parts":[["2019"]]},"title":"Scientific challenges in performing life-cycle assessment in the food supply chain","type":"article-journal","volume":"8"},"uris":["http://www.mendeley.com/documents/?uuid=cd54444c-9fec-4ea2-9129-6cf982fd116c"]},{"id":"ITEM-3","itemData":{"DOI":"10.3389/fnut.2018.00130","ISSN":"2296861X","abstract":"In the whole food production chain, from the farm to the fork, food manufacturing steps have a large environmental impact. Despite significant efforts made to optimize heat recovery or water consumption, conventional food processing remains poorly efficient in terms of energy requirements and waste management. Therefore, in the few last decades, much research has focused on the development of alternative non-thermal technologies. Some of them, such as membrane separation processes, hydrostatic or dynamic high pressure, dense phase or high-pressure carbon dioxide, and pulsed electric fields (PEFs) have been extensively studied for cold pasteurization, concentration, extraction, or food functionalization. However, it is still difficult to evaluate the actual advantages or limits of these innovative processing technologies to replace conventional processes. Thus, the overall aim of this paper is to present an overview of the most relevant studies dealing with the potentialities and limits of these non-thermal technologies to improve sustainability of food processing. After a brief presentation of the physical principles of these technologies, the paper illustrates how these technologies could play a decisive role for sustainable food preservation or valorization of raw materials and by-products.","author":[{"dropping-particle":"","family":"Picart-Palmade","given":"Laetitia","non-dropping-particle":"","parse-names":false,"suffix":""},{"dropping-particle":"","family":"Cunault","given":"Charles","non-dropping-particle":"","parse-names":false,"suffix":""},{"dropping-particle":"","family":"Chevalier-Lucia","given":"Dominique","non-dropping-particle":"","parse-names":false,"suffix":""},{"dropping-particle":"","family":"Belleville","given":"Marie Pierre","non-dropping-particle":"","parse-names":false,"suffix":""},{"dropping-particle":"","family":"Marchesseau","given":"Sylvie","non-dropping-particle":"","parse-names":false,"suffix":""}],"container-title":"Frontiers in Nutrition","id":"ITEM-3","issued":{"date-parts":[["2019"]]},"title":"Potentialities and limits of some non-thermal technologies to improve sustainability of food processing","type":"article-journal","volume":"5"},"uris":["http://www.mendeley.com/documents/?uuid=43e3b8dc-f622-466d-be11-002253903763"]}],"mendeley":{"formattedCitation":"[83–85]","plainTextFormattedCitation":"[83–85]","previouslyFormattedCitation":"(Djekic, Pojić, et al. 2019; Picart-Palmade et al. 2019; Stasiulaitiene et al. 2016)"},"properties":{"noteIndex":0},"schema":"https://github.com/citation-style-language/schema/raw/master/csl-citation.json"}</w:instrText>
            </w:r>
            <w:r w:rsidRPr="008110E1">
              <w:rPr>
                <w:bCs/>
                <w:sz w:val="20"/>
                <w:szCs w:val="20"/>
              </w:rPr>
              <w:fldChar w:fldCharType="separate"/>
            </w:r>
            <w:r w:rsidRPr="008110E1">
              <w:rPr>
                <w:bCs/>
                <w:noProof/>
                <w:sz w:val="20"/>
                <w:szCs w:val="20"/>
                <w:lang w:val="en-US"/>
              </w:rPr>
              <w:t>[83–85]</w:t>
            </w:r>
            <w:r w:rsidRPr="008110E1">
              <w:rPr>
                <w:bCs/>
                <w:sz w:val="20"/>
                <w:szCs w:val="20"/>
              </w:rPr>
              <w:fldChar w:fldCharType="end"/>
            </w:r>
            <w:r w:rsidRPr="008110E1">
              <w:rPr>
                <w:bCs/>
                <w:sz w:val="20"/>
                <w:szCs w:val="20"/>
                <w:lang w:val="en-US"/>
              </w:rPr>
              <w:t xml:space="preserve">. </w:t>
            </w:r>
            <w:r w:rsidRPr="008110E1">
              <w:rPr>
                <w:bCs/>
                <w:sz w:val="20"/>
                <w:szCs w:val="20"/>
              </w:rPr>
              <w:t xml:space="preserve">However, current knowledge confirms that these new technologies minimally process food and have a lower total sustainability impact, such as on water and energy consumption (associated with SDGs 6 and 7), achieving an overall lower carbon footprint (SDG 13) and striving toward sustainable production </w:t>
            </w:r>
            <w:r w:rsidRPr="008110E1">
              <w:rPr>
                <w:bCs/>
                <w:sz w:val="20"/>
                <w:szCs w:val="20"/>
              </w:rPr>
              <w:lastRenderedPageBreak/>
              <w:t xml:space="preserve">(SDG 12) </w:t>
            </w:r>
            <w:r w:rsidRPr="008110E1">
              <w:rPr>
                <w:bCs/>
                <w:sz w:val="20"/>
                <w:szCs w:val="20"/>
              </w:rPr>
              <w:fldChar w:fldCharType="begin" w:fldLock="1"/>
            </w:r>
            <w:r w:rsidRPr="008110E1">
              <w:rPr>
                <w:bCs/>
                <w:sz w:val="20"/>
                <w:szCs w:val="20"/>
              </w:rPr>
              <w:instrText>ADDIN CSL_CITATION {"citationItems":[{"id":"ITEM-1","itemData":{"DOI":"10.3390/app11020686","ISSN":"20763417","abstract":"With the introduction of Industry 4.0, and smart factories accordingly, there are new opportunities to implement elements of industry 4.0 in nonthermal processing. Moreover, with application of Internet of things (IoT), smart control of the process, big data optimization, as well as sustainable production and monitoring, there is a new era of Internet of nonthermal food processing technologies (IoNTP). Nonthermal technologies include high power ultrasound, pulsed electric fields, high voltage electrical discharge, high pressure processing, UV-LED, pulsed light, e-beam, and advanced thermal food processing techniques include microwave processing, ohmic heating and high-pressure homogenization. The aim of this review was to bring in front necessity to evaluate possibilities of implementing smart sensors, artificial intelligence (AI), big data, additive technologies with nonthermal technologies, with the possibility to create smart factories together with strong emphasis on sustainability. This paper brings an overview on digitalization, IoT, additive technologies (3D printing), cloud data storage and smart sensors including two SWOT analysis associated with IoNTPs and sustainability. It is of high importance to perform life cycle assessment (LCA), to quantify (En)—environmental dimension; (So)—social dimension and (Ec)—economic dimension. SWOT analysis showed: potential for energy saving during food processing; optimized overall environmental performance; lower manufacturing cost; development of eco-friendly products; higher level of health and safety during food processing and better work condition for workers. Nonthermal and advanced thermal technologies can be applied also as sustainable techniques working in line with the sustainable development goals (SDGs) and Agenda 2030 issued by United Nations (UN).","author":[{"dropping-particle":"","family":"Jambrak","given":"Anet Režek","non-dropping-particle":"","parse-names":false,"suffix":""},{"dropping-particle":"","family":"Nutrizio","given":"Marinela","non-dropping-particle":"","parse-names":false,"suffix":""},{"dropping-particle":"","family":"Djekić","given":"Ilija","non-dropping-particle":"","parse-names":false,"suffix":""},{"dropping-particle":"","family":"Pleslić","given":"Sanda","non-dropping-particle":"","parse-names":false,"suffix":""},{"dropping-particle":"","family":"Chemat","given":"Farid","non-dropping-particle":"","parse-names":false,"suffix":""}],"container-title":"Applied Sciences (Switzerland)","id":"ITEM-1","issue":"2","issued":{"date-parts":[["2021"]]},"page":"1-20","title":"Internet of nonthermal food processing technologies (Iontp): Food industry 4.0 and sustainability","type":"article-journal","volume":"11"},"uris":["http://www.mendeley.com/documents/?uuid=6cd65796-8ec4-4eff-9fba-681d8fcdc2f1"]}],"mendeley":{"formattedCitation":"[86]","plainTextFormattedCitation":"[86]","previouslyFormattedCitation":"(Jambrak et al. 2021)"},"properties":{"noteIndex":0},"schema":"https://github.com/citation-style-language/schema/raw/master/csl-citation.json"}</w:instrText>
            </w:r>
            <w:r w:rsidRPr="008110E1">
              <w:rPr>
                <w:bCs/>
                <w:sz w:val="20"/>
                <w:szCs w:val="20"/>
              </w:rPr>
              <w:fldChar w:fldCharType="separate"/>
            </w:r>
            <w:r w:rsidRPr="008110E1">
              <w:rPr>
                <w:bCs/>
                <w:noProof/>
                <w:sz w:val="20"/>
                <w:szCs w:val="20"/>
              </w:rPr>
              <w:t>[86]</w:t>
            </w:r>
            <w:r w:rsidRPr="008110E1">
              <w:rPr>
                <w:bCs/>
                <w:sz w:val="20"/>
                <w:szCs w:val="20"/>
              </w:rPr>
              <w:fldChar w:fldCharType="end"/>
            </w:r>
            <w:r w:rsidRPr="008110E1">
              <w:rPr>
                <w:bCs/>
                <w:sz w:val="20"/>
                <w:szCs w:val="20"/>
              </w:rPr>
              <w:t xml:space="preserve">. Based on their beneficial nutritional characteristics (SDG 3), such products have the potential of combatting malnutrition and food insecurity (SDG 2) as Zero Hunger is identified as the key SDG associated with the food supply chain </w:t>
            </w:r>
            <w:r w:rsidRPr="008110E1">
              <w:rPr>
                <w:bCs/>
                <w:sz w:val="20"/>
                <w:szCs w:val="20"/>
              </w:rPr>
              <w:fldChar w:fldCharType="begin" w:fldLock="1"/>
            </w:r>
            <w:r w:rsidRPr="008110E1">
              <w:rPr>
                <w:bCs/>
                <w:sz w:val="20"/>
                <w:szCs w:val="20"/>
              </w:rPr>
              <w:instrText>ADDIN CSL_CITATION {"citationItems":[{"id":"ITEM-1","itemData":{"author":[{"dropping-particle":"","family":"Food and Agriculture Organization of the United Nations","given":"","non-dropping-particle":"","parse-names":false,"suffix":""}],"id":"ITEM-1","issued":{"date-parts":[["2015"]]},"publisher":"Food and Agriculture Organization of the United Nations &amp; World Health Organization","publisher-place":"Rome, Italy","title":"FAO and the 17 Sustainable Development Goals","type":"book"},"uris":["http://www.mendeley.com/documents/?uuid=728de0a7-81c6-4020-ae81-896b77d7ea8c"]}],"mendeley":{"formattedCitation":"[68]","plainTextFormattedCitation":"[68]","previouslyFormattedCitation":"(Food and Agriculture Organization of the United Nations 2015)"},"properties":{"noteIndex":0},"schema":"https://github.com/citation-style-language/schema/raw/master/csl-citation.json"}</w:instrText>
            </w:r>
            <w:r w:rsidRPr="008110E1">
              <w:rPr>
                <w:bCs/>
                <w:sz w:val="20"/>
                <w:szCs w:val="20"/>
              </w:rPr>
              <w:fldChar w:fldCharType="separate"/>
            </w:r>
            <w:r w:rsidRPr="008110E1">
              <w:rPr>
                <w:bCs/>
                <w:noProof/>
                <w:sz w:val="20"/>
                <w:szCs w:val="20"/>
              </w:rPr>
              <w:t>[68]</w:t>
            </w:r>
            <w:r w:rsidRPr="008110E1">
              <w:rPr>
                <w:bCs/>
                <w:sz w:val="20"/>
                <w:szCs w:val="20"/>
              </w:rPr>
              <w:fldChar w:fldCharType="end"/>
            </w:r>
            <w:r w:rsidRPr="008110E1">
              <w:rPr>
                <w:bCs/>
                <w:sz w:val="20"/>
                <w:szCs w:val="20"/>
              </w:rPr>
              <w:t>. In order to achieve these goals, it is important to educate a new generation of sustainable food experts (SDG 4).</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lastRenderedPageBreak/>
              <w:t>Case 4: Offshore wind development needs technology investments, new policy frameworks, and improved institutional capacities</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Renewable energy (RE) has been recognised as a key factor in reducing global GHG emissions and climate change mitigation (SDG13). RE capacity continues to grow; more than 80% of all new electricity capacity added in 2020 was renewable, with solar and wind accounting for 91% of new renewables </w:t>
            </w:r>
            <w:r w:rsidRPr="008110E1">
              <w:rPr>
                <w:bCs/>
                <w:sz w:val="20"/>
                <w:szCs w:val="20"/>
              </w:rPr>
              <w:fldChar w:fldCharType="begin" w:fldLock="1"/>
            </w:r>
            <w:r w:rsidRPr="008110E1">
              <w:rPr>
                <w:bCs/>
                <w:sz w:val="20"/>
                <w:szCs w:val="20"/>
              </w:rPr>
              <w:instrText>ADDIN CSL_CITATION {"citationItems":[{"id":"ITEM-1","itemData":{"URL":"https://irena.org/newsroom/pressreleases/2021/Apr/World-Adds-Record-New-Renewable-Energy-Capacity-in-2020","accessed":{"date-parts":[["2021","4","21"]]},"author":[{"dropping-particle":"","family":"IRENA","given":"","non-dropping-particle":"","parse-names":false,"suffix":""}],"id":"ITEM-1","issued":{"date-parts":[["2021"]]},"title":"World Adds Record New Renewable Energy Capacity in 2020","type":"webpage"},"uris":["http://www.mendeley.com/documents/?uuid=b336c12e-269f-4a70-99c3-14c6114740ad"]}],"mendeley":{"formattedCitation":"[87]","plainTextFormattedCitation":"[87]","previouslyFormattedCitation":"(IRENA 2021)"},"properties":{"noteIndex":0},"schema":"https://github.com/citation-style-language/schema/raw/master/csl-citation.json"}</w:instrText>
            </w:r>
            <w:r w:rsidRPr="008110E1">
              <w:rPr>
                <w:bCs/>
                <w:sz w:val="20"/>
                <w:szCs w:val="20"/>
              </w:rPr>
              <w:fldChar w:fldCharType="separate"/>
            </w:r>
            <w:r w:rsidRPr="008110E1">
              <w:rPr>
                <w:bCs/>
                <w:noProof/>
                <w:sz w:val="20"/>
                <w:szCs w:val="20"/>
              </w:rPr>
              <w:t>[87]</w:t>
            </w:r>
            <w:r w:rsidRPr="008110E1">
              <w:rPr>
                <w:bCs/>
                <w:sz w:val="20"/>
                <w:szCs w:val="20"/>
              </w:rPr>
              <w:fldChar w:fldCharType="end"/>
            </w:r>
            <w:r w:rsidRPr="008110E1">
              <w:rPr>
                <w:bCs/>
                <w:sz w:val="20"/>
                <w:szCs w:val="20"/>
              </w:rPr>
              <w:t xml:space="preserve">. Offshore wind is a major contributor to renewable installations, especially in Europe. The European Union plans to have 300 GW of installed offshore wind by 2050—an ambitious target when compared to the existing capacity of 25GW. Such large-scale deployment of RE technologies requires multibillion dollar investments, expert knowledge, and skills development. In that respect, in 2020 alone the European offshore wind sector attracted over 26 billion euros ($31.7 billion) of investment—a record amount. Moreover, such RE developments require new policy frameworks and inter-agency coordination, especially when siting spans across borders. Recently, the European Union adopted its Offshore Renewable Energy Strategy, which envisions future offshore wind market developments in Central and Eastern Europe. The dynamics of this market development have been accelerating significantly. Poland’s first Offshore Wind Act was enacted on February 17, 2021, paving the way for the country to develop the largest market for offshore wind in the Baltic Sea. Romania is drafting its first Offshore Wind Law, offering support schemes for investors and tapping into the potential of the Black Sea, while Bulgaria is planning to add 16 GW of new offshore wind capacity by 2050 and to reform the country’s regulatory framework to accommodate the flow of investments. It is now more important than ever that investors recognise new opportunities to speed up the adoption of offshore wind projects </w:t>
            </w:r>
            <w:r w:rsidRPr="008110E1">
              <w:rPr>
                <w:bCs/>
                <w:sz w:val="20"/>
                <w:szCs w:val="20"/>
              </w:rPr>
              <w:fldChar w:fldCharType="begin" w:fldLock="1"/>
            </w:r>
            <w:r w:rsidRPr="008110E1">
              <w:rPr>
                <w:bCs/>
                <w:sz w:val="20"/>
                <w:szCs w:val="20"/>
              </w:rPr>
              <w:instrText>ADDIN CSL_CITATION {"citationItems":[{"id":"ITEM-1","itemData":{"URL":"https://www.cnbc.com/2021/02/08/europes-offshore-wind-sector-saw-31-billion-of-investment-in-2020-.html","accessed":{"date-parts":[["2021","4","21"]]},"author":[{"dropping-particle":"","family":"Frangoul","given":"Anmar","non-dropping-particle":"","parse-names":false,"suffix":""}],"container-title":"cnbc.com Sustainable energy","id":"ITEM-1","issued":{"date-parts":[["2021"]]},"title":"Europe’s offshore wind sector saw a record $31 billion of investment in 2020","type":"webpage"},"uris":["http://www.mendeley.com/documents/?uuid=51904276-88ed-4667-8703-a770a654f54d"]},{"id":"ITEM-2","itemData":{"URL":"https://irena.org/newsroom/pressreleases/2021/Apr/World-Adds-Record-New-Renewable-Energy-Capacity-in-2020","accessed":{"date-parts":[["2021","4","21"]]},"author":[{"dropping-particle":"","family":"IRENA","given":"","non-dropping-particle":"","parse-names":false,"suffix":""}],"id":"ITEM-2","issued":{"date-parts":[["2021"]]},"title":"World Adds Record New Renewable Energy Capacity in 2020","type":"webpage"},"uris":["http://www.mendeley.com/documents/?uuid=b336c12e-269f-4a70-99c3-14c6114740ad"]},{"id":"ITEM-3","itemData":{"URL":"https://windeurope.org/newsroom/press-releases/industry-ready-to-deliver-on-eus-plan-for-25-fold-increase-in-offshore-wind/","accessed":{"date-parts":[["2021","4","21"]]},"author":[{"dropping-particle":"","family":"Wind Europe","given":"","non-dropping-particle":"","parse-names":false,"suffix":""}],"id":"ITEM-3","issued":{"date-parts":[["2020"]]},"title":"Industry ready to deliver on EU’s plan for 25-fold increase in offshore wind","type":"webpage"},"uris":["http://www.mendeley.com/documents/?uuid=3751b7f0-5f8c-4d1e-a908-46f9c1b30b45"]},{"id":"ITEM-4","itemData":{"URL":"https://windeurope.org/intelligence-platform/product/offshore-wind-in-europe-key-trends-and-statistics-2020/","accessed":{"date-parts":[["2021","4","21"]]},"author":[{"dropping-particle":"","family":"Wind Europe","given":"","non-dropping-particle":"","parse-names":false,"suffix":""}],"id":"ITEM-4","issued":{"date-parts":[["2021"]]},"title":"Offshore wind in Europe – key trends and statistics 2020","type":"webpage"},"uris":["http://www.mendeley.com/documents/?uuid=d447a1a5-db17-4b15-864b-6ab3a72ab84f"]},{"id":"ITEM-5","itemData":{"DOI":"10.5751/ES-07143-200101","ISSN":"17083087","author":[{"dropping-particle":"","family":"Mee","given":"Laurence","non-dropping-particle":"","parse-names":false,"suffix":""},{"dropping-particle":"","family":"Cooper","given":"Philip","non-dropping-particle":"","parse-names":false,"suffix":""},{"dropping-particle":"","family":"Kannen","given":"Andreas","non-dropping-particle":"","parse-names":false,"suffix":""},{"dropping-particle":"","family":"Gilbert","given":"Alison J.","non-dropping-particle":"","parse-names":false,"suffix":""},{"dropping-particle":"","family":"O’Higgins","given":"Tim","non-dropping-particle":"","parse-names":false,"suffix":""}],"container-title":"Ecology and Society","id":"ITEM-5","issue":"1","issued":{"date-parts":[["2015"]]},"title":"Sustaining Europe’s seas as coupled social-ecological systems","type":"article-journal","volume":"20"},"uris":["http://www.mendeley.com/documents/?uuid=881ffaa4-b35d-4c29-9356-46ecf15d7e49"]}],"mendeley":{"formattedCitation":"[87–91]","plainTextFormattedCitation":"[87–91]","previouslyFormattedCitation":"(Frangoul 2021; IRENA 2021; Mee et al. 2015; Wind Europe 2020, 2021)"},"properties":{"noteIndex":0},"schema":"https://github.com/citation-style-language/schema/raw/master/csl-citation.json"}</w:instrText>
            </w:r>
            <w:r w:rsidRPr="008110E1">
              <w:rPr>
                <w:bCs/>
                <w:sz w:val="20"/>
                <w:szCs w:val="20"/>
              </w:rPr>
              <w:fldChar w:fldCharType="separate"/>
            </w:r>
            <w:r w:rsidRPr="008110E1">
              <w:rPr>
                <w:bCs/>
                <w:noProof/>
                <w:sz w:val="20"/>
                <w:szCs w:val="20"/>
              </w:rPr>
              <w:t>[87–91]</w:t>
            </w:r>
            <w:r w:rsidRPr="008110E1">
              <w:rPr>
                <w:bCs/>
                <w:sz w:val="20"/>
                <w:szCs w:val="20"/>
              </w:rPr>
              <w:fldChar w:fldCharType="end"/>
            </w:r>
            <w:r w:rsidRPr="008110E1">
              <w:rPr>
                <w:bCs/>
                <w:sz w:val="20"/>
                <w:szCs w:val="20"/>
              </w:rPr>
              <w:t xml:space="preserve">. </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5: Besides investments in technology, RE deployment requires a research agenda that ensures that climate goals and SDGs are mutually reinforcing</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Scenarios that incorporate the SDGs in their calculations for keeping global average temperatures below 1.5</w:t>
            </w:r>
            <w:r w:rsidRPr="008110E1">
              <w:rPr>
                <w:bCs/>
                <w:sz w:val="20"/>
                <w:szCs w:val="20"/>
                <w:vertAlign w:val="superscript"/>
              </w:rPr>
              <w:t>o</w:t>
            </w:r>
            <w:r w:rsidRPr="008110E1">
              <w:rPr>
                <w:bCs/>
                <w:sz w:val="20"/>
                <w:szCs w:val="20"/>
              </w:rPr>
              <w:t xml:space="preserve">C above the preindustrial levels show the need for annual investments in renewable energy to reach $635 billion per year between 2025 and 2030. For comparison, the annual renewable energy investment for the period 2015-2020 was $308 billion per year (2019 equivalent dollars) </w:t>
            </w:r>
            <w:r w:rsidRPr="008110E1">
              <w:rPr>
                <w:bCs/>
                <w:sz w:val="20"/>
                <w:szCs w:val="20"/>
              </w:rPr>
              <w:fldChar w:fldCharType="begin" w:fldLock="1"/>
            </w:r>
            <w:r w:rsidRPr="008110E1">
              <w:rPr>
                <w:bCs/>
                <w:sz w:val="20"/>
                <w:szCs w:val="20"/>
              </w:rPr>
              <w:instrText>ADDIN CSL_CITATION {"citationItems":[{"id":"ITEM-1","itemData":{"URL":"https://www.iea.org/reports/world-energy-model/sustainable-development-scenario","accessed":{"date-parts":[["2021","4","26"]]},"author":[{"dropping-particle":"","family":"IEA","given":"","non-dropping-particle":"","parse-names":false,"suffix":""}],"container-title":"International Energy Agency","id":"ITEM-1","issued":{"date-parts":[["2020"]]},"title":"Sustainable Development Scenario: World Energy Outlook","type":"webpage"},"uris":["http://www.mendeley.com/documents/?uuid=069b6000-8fd1-49ec-a3af-c03fcafd3330"]}],"mendeley":{"formattedCitation":"[92]","plainTextFormattedCitation":"[92]","previouslyFormattedCitation":"(IEA 2020)"},"properties":{"noteIndex":0},"schema":"https://github.com/citation-style-language/schema/raw/master/csl-citation.json"}</w:instrText>
            </w:r>
            <w:r w:rsidRPr="008110E1">
              <w:rPr>
                <w:bCs/>
                <w:sz w:val="20"/>
                <w:szCs w:val="20"/>
              </w:rPr>
              <w:fldChar w:fldCharType="separate"/>
            </w:r>
            <w:r w:rsidRPr="008110E1">
              <w:rPr>
                <w:bCs/>
                <w:noProof/>
                <w:sz w:val="20"/>
                <w:szCs w:val="20"/>
              </w:rPr>
              <w:t>[92]</w:t>
            </w:r>
            <w:r w:rsidRPr="008110E1">
              <w:rPr>
                <w:bCs/>
                <w:sz w:val="20"/>
                <w:szCs w:val="20"/>
              </w:rPr>
              <w:fldChar w:fldCharType="end"/>
            </w:r>
            <w:r w:rsidRPr="008110E1">
              <w:rPr>
                <w:bCs/>
                <w:sz w:val="20"/>
                <w:szCs w:val="20"/>
              </w:rPr>
              <w:t xml:space="preserve">. This doubling of investment is needed for the production of new solar panels and wind turbines in order to increase energy access and affordability (SDG7) and to improve social and economic development (SDG1). Moreover, because of the interconnectedness of the SDGs, it is also needed for reducing renewable energy’s negative impact on the environment (SDGs 14 and 15) and on human health (SDG3). Research shows, however, that investments in renewable energies most often provide funding for just the technology’s research, development, demonstration, and deployment (RD3), but they do not provide funding for examining the environmental impacts of those technologies. Some issues related to the deployment of RE technologies, which are difficult to quantify, are the negative impacts on wildlife and on human health (noise caused by wind turbines and glare by solar panels), biodiversity loss, soil contamination, mountain top removal, or siting issues related to environmental justice. Such issues are common to the traditionally used fossil fuels, but this does not mean they should not be accounted for in the deployment of renewables. A good starting point is to set up a research agenda for technology research, development, demonstration, and deployment (RD3). Such an agenda could be developed at workshops, such as the one organised and described by Hernandez et al. </w:t>
            </w:r>
            <w:r w:rsidRPr="008110E1">
              <w:rPr>
                <w:bCs/>
                <w:sz w:val="20"/>
                <w:szCs w:val="20"/>
              </w:rPr>
              <w:fldChar w:fldCharType="begin" w:fldLock="1"/>
            </w:r>
            <w:r w:rsidRPr="008110E1">
              <w:rPr>
                <w:bCs/>
                <w:sz w:val="20"/>
                <w:szCs w:val="20"/>
              </w:rPr>
              <w:instrText>ADDIN CSL_CITATION {"citationItems":[{"id":"ITEM-1","itemData":{"DOI":"10.3389/frsus.2020.583090","abstract":"Energy development improves quality of life for humans, but also incurs environmental consequences. A global energy transition from fossil fuels to renewable energy may mitigate climate change but may also undermine the capacity to achieve some or all 17 Sustainable Development Goals (SDGs). In this study, we use an innovation systems approach to construct a comprehensive roadmap for solar and wind energy to anticipate and improve impacts of a transition to a low carbon future in a manner ensuring climate goals and SDGs are mutually reinforcing. Our multidisciplinary approach began with an assessment of public investments in renewable energy followed by a 2-day research prioritization workshop. Fifty-eight expert workshop participants identified six research themes that proactively address the environmental sustainability of renewable energy. Next, we identified linkages between the six research themes and all 17 SDGs. Finally, we conducted a scientiometric analysis to analyze the research maturity of these themes. The results of these efforts elucidated the limits of existing knowledge of renewable energy-SDG interactions, informing the development of a research, development, demonstration, and deployment (RD3) roadmap to a renewable energy future aligned with both climate goals and SDGs. The RD3 roadmap has been designed to systematically develop solutions for diverse actors and organizations. Overall, our findings confer a broad vision for a sustainable transition to renewables to minimize unintended environmental consequences while supporting interoperability among actors particularly poised to influence its magnitude and direction.","author":[{"dropping-particle":"","family":"Hernandez","given":"Rebecca R.","non-dropping-particle":"","parse-names":false,"suffix":""},{"dropping-particle":"","family":"Jordaan","given":"Sarah M.","non-dropping-particle":"","parse-names":false,"suffix":""},{"dropping-particle":"","family":"Kaldunski","given":"Ben","non-dropping-particle":"","parse-names":false,"suffix":""},{"dropping-particle":"","family":"Kumar","given":"Naresh","non-dropping-particle":"","parse-names":false,"suffix":""}],"container-title":"Frontiers in Sustainability","id":"ITEM-1","issued":{"date-parts":[["2020"]]},"title":"Aligning Climate Change and Sustainable Development Goals With an Innovation Systems Roadmap for Renewable Power","type":"article-journal","volume":"1"},"suppress-author":1,"uris":["http://www.mendeley.com/documents/?uuid=004ec251-ff45-4555-a695-a4cffcc92d86"]}],"mendeley":{"formattedCitation":"[93]","plainTextFormattedCitation":"[93]","previouslyFormattedCitation":"(2020)"},"properties":{"noteIndex":0},"schema":"https://github.com/citation-style-language/schema/raw/master/csl-citation.json"}</w:instrText>
            </w:r>
            <w:r w:rsidRPr="008110E1">
              <w:rPr>
                <w:bCs/>
                <w:sz w:val="20"/>
                <w:szCs w:val="20"/>
              </w:rPr>
              <w:fldChar w:fldCharType="separate"/>
            </w:r>
            <w:r w:rsidRPr="008110E1">
              <w:rPr>
                <w:bCs/>
                <w:noProof/>
                <w:sz w:val="20"/>
                <w:szCs w:val="20"/>
              </w:rPr>
              <w:t>[93]</w:t>
            </w:r>
            <w:r w:rsidRPr="008110E1">
              <w:rPr>
                <w:bCs/>
                <w:sz w:val="20"/>
                <w:szCs w:val="20"/>
              </w:rPr>
              <w:fldChar w:fldCharType="end"/>
            </w:r>
            <w:r w:rsidRPr="008110E1">
              <w:rPr>
                <w:bCs/>
                <w:sz w:val="20"/>
                <w:szCs w:val="20"/>
              </w:rPr>
              <w:t xml:space="preserve">. During a two-day workshop in 2019, 58 expert stakeholders gathered to construct a comprehensive roadmap for solar and wind energy so as to anticipate and improve impacts of the transition to a low carbon future in a manner that ensures that the climate goals and SDGs are mutually reinforcing. </w:t>
            </w:r>
            <w:r w:rsidRPr="008110E1">
              <w:rPr>
                <w:bCs/>
                <w:sz w:val="20"/>
                <w:szCs w:val="20"/>
              </w:rPr>
              <w:fldChar w:fldCharType="begin" w:fldLock="1"/>
            </w:r>
            <w:r w:rsidRPr="008110E1">
              <w:rPr>
                <w:bCs/>
                <w:sz w:val="20"/>
                <w:szCs w:val="20"/>
              </w:rPr>
              <w:instrText>ADDIN CSL_CITATION {"citationItems":[{"id":"ITEM-1","itemData":{"DOI":"10.3389/frsus.2020.583090","abstract":"Energy development improves quality of life for humans, but also incurs environmental consequences. A global energy transition from fossil fuels to renewable energy may mitigate climate change but may also undermine the capacity to achieve some or all 17 Sustainable Development Goals (SDGs). In this study, we use an innovation systems approach to construct a comprehensive roadmap for solar and wind energy to anticipate and improve impacts of a transition to a low carbon future in a manner ensuring climate goals and SDGs are mutually reinforcing. Our multidisciplinary approach began with an assessment of public investments in renewable energy followed by a 2-day research prioritization workshop. Fifty-eight expert workshop participants identified six research themes that proactively address the environmental sustainability of renewable energy. Next, we identified linkages between the six research themes and all 17 SDGs. Finally, we conducted a scientiometric analysis to analyze the research maturity of these themes. The results of these efforts elucidated the limits of existing knowledge of renewable energy-SDG interactions, informing the development of a research, development, demonstration, and deployment (RD3) roadmap to a renewable energy future aligned with both climate goals and SDGs. The RD3 roadmap has been designed to systematically develop solutions for diverse actors and organizations. Overall, our findings confer a broad vision for a sustainable transition to renewables to minimize unintended environmental consequences while supporting interoperability among actors particularly poised to influence its magnitude and direction.","author":[{"dropping-particle":"","family":"Hernandez","given":"Rebecca R.","non-dropping-particle":"","parse-names":false,"suffix":""},{"dropping-particle":"","family":"Jordaan","given":"Sarah M.","non-dropping-particle":"","parse-names":false,"suffix":""},{"dropping-particle":"","family":"Kaldunski","given":"Ben","non-dropping-particle":"","parse-names":false,"suffix":""},{"dropping-particle":"","family":"Kumar","given":"Naresh","non-dropping-particle":"","parse-names":false,"suffix":""}],"container-title":"Frontiers in Sustainability","id":"ITEM-1","issued":{"date-parts":[["2020"]]},"title":"Aligning Climate Change and Sustainable Development Goals With an Innovation Systems Roadmap for Renewable Power","type":"article-journal","volume":"1"},"uris":["http://www.mendeley.com/documents/?uuid=004ec251-ff45-4555-a695-a4cffcc92d86"]},{"id":"ITEM-2","itemData":{"URL":"https://www.iea.org/reports/world-energy-model/sustainable-development-scenario","accessed":{"date-parts":[["2021","4","26"]]},"author":[{"dropping-particle":"","family":"IEA","given":"","non-dropping-particle":"","parse-names":false,"suffix":""}],"container-title":"International Energy Agency","id":"ITEM-2","issued":{"date-parts":[["2020"]]},"title":"Sustainable Development Scenario: World Energy Outlook","type":"webpage"},"uris":["http://www.mendeley.com/documents/?uuid=069b6000-8fd1-49ec-a3af-c03fcafd3330"]}],"mendeley":{"formattedCitation":"[92, 93]","plainTextFormattedCitation":"[92, 93]","previouslyFormattedCitation":"(Hernandez et al. 2020; IEA 2020)"},"properties":{"noteIndex":0},"schema":"https://github.com/citation-style-language/schema/raw/master/csl-citation.json"}</w:instrText>
            </w:r>
            <w:r w:rsidRPr="008110E1">
              <w:rPr>
                <w:bCs/>
                <w:sz w:val="20"/>
                <w:szCs w:val="20"/>
              </w:rPr>
              <w:fldChar w:fldCharType="separate"/>
            </w:r>
            <w:r w:rsidRPr="008110E1">
              <w:rPr>
                <w:bCs/>
                <w:noProof/>
                <w:sz w:val="20"/>
                <w:szCs w:val="20"/>
              </w:rPr>
              <w:t>[92, 93]</w:t>
            </w:r>
            <w:r w:rsidRPr="008110E1">
              <w:rPr>
                <w:bCs/>
                <w:sz w:val="20"/>
                <w:szCs w:val="20"/>
              </w:rPr>
              <w:fldChar w:fldCharType="end"/>
            </w:r>
            <w:r w:rsidRPr="008110E1">
              <w:rPr>
                <w:bCs/>
                <w:sz w:val="20"/>
                <w:szCs w:val="20"/>
              </w:rPr>
              <w: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6: Public acceptance of renewable energy technologies is key for achieving the SDGs</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Public acceptance of RE technologies has been identified as a key to the successful implementation of renewable energy projects and decarbonisation (SDGs 7 and 13). Unfortunately, there is a widespread, persistent, and not-necessarily conscious view (among some developers, researchers, and policy makers) that local resistance is irrational, selfish, or ignorant. Research shows that most often the community concerns are valid and need to be taken seriously. A framework has been proposed for understanding and dealing with community concerns </w:t>
            </w:r>
            <w:r w:rsidRPr="008110E1">
              <w:rPr>
                <w:bCs/>
                <w:sz w:val="20"/>
                <w:szCs w:val="20"/>
              </w:rPr>
              <w:fldChar w:fldCharType="begin" w:fldLock="1"/>
            </w:r>
            <w:r w:rsidRPr="008110E1">
              <w:rPr>
                <w:bCs/>
                <w:sz w:val="20"/>
                <w:szCs w:val="20"/>
              </w:rPr>
              <w:instrText>ADDIN CSL_CITATION {"citationItems":[{"id":"ITEM-1","itemData":{"DOI":"10.1016/j.renene.2015.09.047","ISSN":"18790682","abstract":"Despite the prevailing national support for renewable energy development, the installation of wind energy turbines at the local level is often met with resistance. Opposition is commonly attributed to NIMBYism (Not-In-My-Back-Yard), which implies selfishness, ignorance, and irrationality on behalf of residents. This article examines the factors that lead to community support and opposition. Based on an in-depth literature review and surveys conducted in three Massachusetts towns, the author discards NIMBY as a valid explanation and proposes a novel framework (VESPA) for organizing community concerns into four categories-visual/landscape, environmental, socioeconomic, and procedural. By comprehensively assessing local concerns, VESPA seeks to help policy makers approach communities more effectively and thereby achieve wider acceptance of wind installations.","author":[{"dropping-particle":"","family":"Petrova","given":"Maria A.","non-dropping-particle":"","parse-names":false,"suffix":""}],"container-title":"Renewable Energy","id":"ITEM-1","issued":{"date-parts":[["2016"]]},"page":"1280-1294","title":"From NIMBY to acceptance: Toward a novel framework - VESPA - For organizing and interpreting community concerns","type":"article-journal","volume":"86"},"uris":["http://www.mendeley.com/documents/?uuid=9fb0ebd3-e5f3-4bd2-89d3-00d05be8135d"]}],"mendeley":{"formattedCitation":"[94]","plainTextFormattedCitation":"[94]","previouslyFormattedCitation":"(Petrova 2016)"},"properties":{"noteIndex":0},"schema":"https://github.com/citation-style-language/schema/raw/master/csl-citation.json"}</w:instrText>
            </w:r>
            <w:r w:rsidRPr="008110E1">
              <w:rPr>
                <w:bCs/>
                <w:sz w:val="20"/>
                <w:szCs w:val="20"/>
              </w:rPr>
              <w:fldChar w:fldCharType="separate"/>
            </w:r>
            <w:r w:rsidRPr="008110E1">
              <w:rPr>
                <w:bCs/>
                <w:noProof/>
                <w:sz w:val="20"/>
                <w:szCs w:val="20"/>
              </w:rPr>
              <w:t>[94]</w:t>
            </w:r>
            <w:r w:rsidRPr="008110E1">
              <w:rPr>
                <w:bCs/>
                <w:sz w:val="20"/>
                <w:szCs w:val="20"/>
              </w:rPr>
              <w:fldChar w:fldCharType="end"/>
            </w:r>
            <w:r w:rsidRPr="008110E1">
              <w:rPr>
                <w:bCs/>
                <w:sz w:val="20"/>
                <w:szCs w:val="20"/>
              </w:rPr>
              <w:t xml:space="preserve">. Called VESPA, the framework stands for the Visual/landscape, Environmental, Socioeconomic, and Procedural Aspects that are the positive and negative factors impacting acceptance among the members of the local population. When RE developers intentionally consult with the local communities from the project design phase to its completion, when they are attentive to and address local concerns, when they do not overpromise and are willing to give back to the community, they are able to garner trust and achieve greater public acceptance and support. This leads to </w:t>
            </w:r>
            <w:r w:rsidRPr="008110E1">
              <w:rPr>
                <w:bCs/>
                <w:sz w:val="20"/>
                <w:szCs w:val="20"/>
              </w:rPr>
              <w:lastRenderedPageBreak/>
              <w:t xml:space="preserve">faster siting and deployment, savings for the developers and investors, and achievement of the fundamental transformations needed to meet the SDGs, with all stakeholders involved at each stage of the transformation process in order to design pathways and achieve wider buy-in from all participants at the government, business, and civil-society levels. </w:t>
            </w:r>
            <w:r w:rsidRPr="008110E1">
              <w:rPr>
                <w:bCs/>
                <w:sz w:val="20"/>
                <w:szCs w:val="20"/>
              </w:rPr>
              <w:fldChar w:fldCharType="begin" w:fldLock="1"/>
            </w:r>
            <w:r w:rsidRPr="008110E1">
              <w:rPr>
                <w:bCs/>
                <w:sz w:val="20"/>
                <w:szCs w:val="20"/>
              </w:rPr>
              <w:instrText>ADDIN CSL_CITATION {"citationItems":[{"id":"ITEM-1","itemData":{"DOI":"10.1002/wcc.250","ISSN":"17577799","abstract":"The acronym NIMBY, known to stand for 'Not-In-My-Back-Yard', generally describes resistance to siting specific projects close to one's area of residence while exhibiting acceptance of similar projects elsewhere. As wind energy continues to be recognized as a successful technology for meeting renewable energy targets and decreasing carbon dioxide emissions, the siting of wind turbines is a growing challenge that policy makers, facility planners, and wind developers face. The most often cited motivations for public support and opposition are reviewed here with a focus on wind energy developments in the United States. The purpose is to present the existing state of research on community responses to wind energy and to answer the following questions: What motivates support and opposition to facility siting, and in particular to wind energy facilities? Does the literature provide substantial evidence that NIMBYism is the determining motivation for opposition in the United States and, by extension, does the term's widespread use help to explain opposition? What mechanisms have been proposed for 'overcoming' NIMBYism, if it is present? This paper, following the recommendations of other social scientists, provides a collective call for a significant course shift: rather than proposing strategies to 'overcome' opposition, research should focus on proposing how to make siting successful. Drawing on a review of the relevant literature, the 'ENUF' framework-which stands for 'Engage, Never use NIMBY, Understand, and Facilitate'-is introduced as a step in that direction. © 2013 John Wiley &amp; Sons, Ltd.","author":[{"dropping-particle":"","family":"Petrova","given":"Maria A.","non-dropping-particle":"","parse-names":false,"suffix":""}],"container-title":"Wiley Interdisciplinary Reviews: Climate Change","id":"ITEM-1","issue":"6","issued":{"date-parts":[["2013"]]},"page":"575-601","title":"NIMBYism revisited: Public acceptance of wind energy in the United States","type":"article-journal","volume":"4"},"uris":["http://www.mendeley.com/documents/?uuid=b1c78c10-411e-4d61-b9c9-b862d739d94d"]},{"id":"ITEM-2","itemData":{"DOI":"10.1016/j.renene.2015.09.047","ISSN":"18790682","abstract":"Despite the prevailing national support for renewable energy development, the installation of wind energy turbines at the local level is often met with resistance. Opposition is commonly attributed to NIMBYism (Not-In-My-Back-Yard), which implies selfishness, ignorance, and irrationality on behalf of residents. This article examines the factors that lead to community support and opposition. Based on an in-depth literature review and surveys conducted in three Massachusetts towns, the author discards NIMBY as a valid explanation and proposes a novel framework (VESPA) for organizing community concerns into four categories-visual/landscape, environmental, socioeconomic, and procedural. By comprehensively assessing local concerns, VESPA seeks to help policy makers approach communities more effectively and thereby achieve wider acceptance of wind installations.","author":[{"dropping-particle":"","family":"Petrova","given":"Maria A.","non-dropping-particle":"","parse-names":false,"suffix":""}],"container-title":"Renewable Energy","id":"ITEM-2","issued":{"date-parts":[["2016"]]},"page":"1280-1294","title":"From NIMBY to acceptance: Toward a novel framework - VESPA - For organizing and interpreting community concerns","type":"article-journal","volume":"86"},"uris":["http://www.mendeley.com/documents/?uuid=9fb0ebd3-e5f3-4bd2-89d3-00d05be8135d"]},{"id":"ITEM-3","itemData":{"author":[{"dropping-particle":"","family":"Sachs","given":"J.","non-dropping-particle":"","parse-names":false,"suffix":""},{"dropping-particle":"","family":"Schmidt-Traub","given":"G.","non-dropping-particle":"","parse-names":false,"suffix":""},{"dropping-particle":"","family":"Kroll","given":"C.","non-dropping-particle":"","parse-names":false,"suffix":""},{"dropping-particle":"","family":"Lafortune","given":"G.","non-dropping-particle":"","parse-names":false,"suffix":""},{"dropping-particle":"","family":"Fuller","given":"G.","non-dropping-particle":"","parse-names":false,"suffix":""}],"id":"ITEM-3","issued":{"date-parts":[["2019"]]},"number-of-pages":"1-478","publisher-place":"New York","title":"Sustainable Development Report 2019","type":"report"},"uris":["http://www.mendeley.com/documents/?uuid=1d90833b-952e-434f-81d6-d91499a244bd"]}],"mendeley":{"formattedCitation":"[94–96]","plainTextFormattedCitation":"[94–96]","previouslyFormattedCitation":"(Petrova 2013, 2016; J. Sachs et al. 2019)"},"properties":{"noteIndex":0},"schema":"https://github.com/citation-style-language/schema/raw/master/csl-citation.json"}</w:instrText>
            </w:r>
            <w:r w:rsidRPr="008110E1">
              <w:rPr>
                <w:bCs/>
                <w:sz w:val="20"/>
                <w:szCs w:val="20"/>
              </w:rPr>
              <w:fldChar w:fldCharType="separate"/>
            </w:r>
            <w:r w:rsidRPr="008110E1">
              <w:rPr>
                <w:bCs/>
                <w:noProof/>
                <w:sz w:val="20"/>
                <w:szCs w:val="20"/>
              </w:rPr>
              <w:t>[94–96]</w:t>
            </w:r>
            <w:r w:rsidRPr="008110E1">
              <w:rPr>
                <w:bCs/>
                <w:sz w:val="20"/>
                <w:szCs w:val="20"/>
              </w:rPr>
              <w:fldChar w:fldCharType="end"/>
            </w:r>
            <w:r w:rsidRPr="008110E1">
              <w:rPr>
                <w:bCs/>
                <w:sz w:val="20"/>
                <w:szCs w:val="20"/>
              </w:rPr>
              <w: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lastRenderedPageBreak/>
              <w:t>Case 7. Ensure healthy lives and encourage welfare for all: Highly integrated environments and technologies 4.0 for digital transformation in the health sector</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The intersection of the cyber-physical systems with the health sector is called Health 4.0; this intends that the massive use of cloud computing (on the border), Internet of Things (</w:t>
            </w:r>
            <w:proofErr w:type="spellStart"/>
            <w:r w:rsidRPr="008110E1">
              <w:rPr>
                <w:bCs/>
                <w:sz w:val="20"/>
                <w:szCs w:val="20"/>
              </w:rPr>
              <w:t>IoT</w:t>
            </w:r>
            <w:proofErr w:type="spellEnd"/>
            <w:r w:rsidRPr="008110E1">
              <w:rPr>
                <w:bCs/>
                <w:sz w:val="20"/>
                <w:szCs w:val="20"/>
              </w:rPr>
              <w:t xml:space="preserve">) and next-generation mobile communication networks are at the service of health and healthcare. Health 4.0 makes it possible to convert social challenges related to diabetes, antibiotic resistance, viral outbreaks, cancer, among other degenerative chronic diseases, into techno-economic opportunities to improve social welfare in Mexico. Mexico faces complex problems in the health sector; the high rate of overweight in the population and diabetes, among other health conditions, represent high public health risks that demand a disruptive renewal of the Mexican health system. This specific case showed that it is possible to strengthen the digital transformation of health and healthcare sectors in Guanajuato (Mexico), which despite the heterogeneous digital capabilities, it has a health system with a coverage of 95,8% in the supply of medicines, a continuous investment in health infrastructure, universality policies and free medical services, and a self-sustainable model with no financial debt. For instance, artificial intelligence is used to prevent breast cancer, or bioengineering to prevent the amputation of diabetic foot. The financial health of Guanajuato’s health system and the available infrastructure support the feasibility of the adoption of Health 4.0. However, significant social barriers, particularly the limited access to health services, the poor technology skills and the distrust from the most vulnerable segment of the population poses a major challenge to Health 4.0, possibly greater than the economic and technological restrictions </w:t>
            </w:r>
            <w:r w:rsidRPr="008110E1">
              <w:rPr>
                <w:bCs/>
                <w:sz w:val="20"/>
                <w:szCs w:val="20"/>
              </w:rPr>
              <w:fldChar w:fldCharType="begin" w:fldLock="1"/>
            </w:r>
            <w:r w:rsidRPr="008110E1">
              <w:rPr>
                <w:bCs/>
                <w:sz w:val="20"/>
                <w:szCs w:val="20"/>
              </w:rPr>
              <w:instrText>ADDIN CSL_CITATION {"citationItems":[{"id":"ITEM-1","itemData":{"DOI":"10.1016/j.techfore.2018.02.018","ISSN":"00401625","abstract":"According to the United Nations Sustainable Development Goal No. 3 (SDG – Goal 3), for sustainable development it is imperative to ensure health and well-being across all ages, and is achievable only through effective and continuous healthcare monitoring. But in India and other third world countries, healthcare monitoring is poor compared to other countries in the world, in spite of it being affordable. The global healthcare smart wearable healthcare (SWH) devices market is expected to rise up at a CAGR (Compound Annual Growth Rate) of 5.6% and by 2020 it is expected to reach 25 Billion (GVR Report, 2016). The growing incidences of lifestyle diseases, sedentary lifestyle, busy work schedules, technological advancements in healthcare monitoring devices, and increased usage of remote devicesseems to be some of the important factors fuelling this growth. Some of the major players in this segment are Abbott Laboratories, Philips Healthcare, Life Watch, GE Healthcare, Omron Healthcare, Siemens Healthcare and Honeywell International Inc. etc. But in spite of the healthcare monitoring devices are being predicted to be technologically innovative and providing advanced as well as basic health care monitoring features and available in various price ranges based on the features, we wanted to empirically study the attitude towards adoption of such devices in India. India has traditionally been having a very lackadaisical attitude towards healthcare monitoring. In such a context, what would be the factors influencing the adoption of SWH devices. Remote health monitoring can enhance the nature of wellbeing administration and to lessen the aggregate expense in human services by maintaining a strategic distance from pointless hospitalizations and guaranteeing that the individuals who need critical consideration get it sooner. This empirical investigation would provide a detailed insight as to how these wearable Internet Of Things devices would bring about a revolution in the healthcare industry. It would also provide the future prospect of IOT devices in this sector and how the probability of increase in its usage can be increased with time. The paper explores intrusiveness (INTR), Comfort (C), perceived usefulness (PU) and perceived ease of use (EOU) of SWH devices. The study hypothesized the Impact of PU and EOU, INTR and C on attitude and intention to use towards adoption of SWH devices. Partial Least Square Structured Equation Modeling (PLS – SEM) methodology was a…","author":[{"dropping-particle":"","family":"Papa","given":"Armando","non-dropping-particle":"","parse-names":false,"suffix":""},{"dropping-particle":"","family":"Mital","given":"Monika","non-dropping-particle":"","parse-names":false,"suffix":""},{"dropping-particle":"","family":"Pisano","given":"Paola","non-dropping-particle":"","parse-names":false,"suffix":""},{"dropping-particle":"","family":"Giudice","given":"Manlio","non-dropping-particle":"Del","parse-names":false,"suffix":""}],"container-title":"Technological Forecasting and Social Change","id":"ITEM-1","issued":{"date-parts":[["2020"]]},"title":"E-health and wellbeing monitoring using smart healthcare devices: An empirical investigation","type":"article-journal","volume":"153"},"uris":["http://www.mendeley.com/documents/?uuid=a7578c9c-d702-4e4d-aed3-64ada8e4f012"]},{"id":"ITEM-2","itemData":{"author":[{"dropping-particle":"","family":"SSG","given":"","non-dropping-particle":"","parse-names":false,"suffix":""}],"container-title":"Statistics of Health’ System","id":"ITEM-2","issued":{"date-parts":[["2020"]]},"title":"Secretary/Ministry of Health in Guanajuato (SSG for Spanish initials)","type":"webpage"},"uris":["http://www.mendeley.com/documents/?uuid=bb4e99e9-944f-43d1-9335-a9079463dd90"]},{"id":"ITEM-3","itemData":{"DOI":"10.26415/2572-004X-vol2iss1p262-276","abstract":"Que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salud.","author":[{"dropping-particle":"","family":"Monteiro","given":"A. C.","non-dropping-particle":"","parse-names":false,"suffix":""},{"dropping-particle":"","family":"França","given":"R. P.","non-dropping-particle":"","parse-names":false,"suffix":""},{"dropping-particle":"V.","family":"Estrela","given":"V.","non-dropping-particle":"","parse-names":false,"suffix":""},{"dropping-particle":"","family":"Iano","given":"Y.","non-dropping-particle":"","parse-names":false,"suffix":""},{"dropping-particle":"","family":"Khelassi","given":"A.","non-dropping-particle":"","parse-names":false,"suffix":""},{"dropping-particle":"","family":"Razmjooy","given":"N.","non-dropping-particle":"","parse-names":false,"suffix":""}],"container-title":"Medical Technologies Journal","id":"ITEM-3","issue":"4","issued":{"date-parts":[["2019"]]},"page":"262-276","title":"Health 4.0: Applications, Management, Technologies and Review","type":"article-journal","volume":"2"},"uris":["http://www.mendeley.com/documents/?uuid=20c1113a-1112-44d9-8dc8-f589b58709c4"]},{"id":"ITEM-4","itemData":{"DOI":"10.5001/omj.2019.87","ISSN":"20705204","author":[{"dropping-particle":"","family":"Huat","given":"Teoh Soo","non-dropping-particle":"","parse-names":false,"suffix":""},{"dropping-particle":"","family":"Juhari","given":"Siti Norazlina Binti","non-dropping-particle":"","parse-names":false,"suffix":""},{"dropping-particle":"","family":"Rahman","given":"Razlina Abdul","non-dropping-particle":"","parse-names":false,"suffix":""}],"container-title":"Oman Medical Journal","id":"ITEM-4","issue":"5","issued":{"date-parts":[["2019"]]},"page":"474-475","title":"Chronic diseases management using digital health technologies","type":"article-journal","volume":"34"},"uris":["http://www.mendeley.com/documents/?uuid=ffcaf27a-496b-402a-ae57-8974d3119ae2"]},{"id":"ITEM-5","itemData":{"DOI":"10.1109/MCOM.2018.1700274","ISSN":"01636804","abstract":"According to a report by the World Health Organization, diseases caused by an unhealthy lifestyle represent the leading cause of death all over the world. Therefore, it is crucial to monitor and avoid users' unhealthy behaviors. Existing health monitoring approaches still face many challenges of limited intelligence due to insufficient healthcare data. Therefore, this article proposes a smart personal health advisor (SPHA) for comprehensive and intelligent health monitoring and guidance. The SPHA monitors both physiological and psychological states of the user. The SPHAScore model is proposed to evaluate the overall health status of the user. Finally, a testbed for verification of feasibility and applicability of the proposed system was developed. The experimental and simulation results have shown that the proposed approach is efficient for proper user state monitoring.","author":[{"dropping-particle":"","family":"Chen","given":"Min","non-dropping-particle":"","parse-names":false,"suffix":""},{"dropping-particle":"","family":"Zhang","given":"Yin","non-dropping-particle":"","parse-names":false,"suffix":""},{"dropping-particle":"","family":"Qiu","given":"Meikang","non-dropping-particle":"","parse-names":false,"suffix":""},{"dropping-particle":"","family":"Guizani","given":"Nadra","non-dropping-particle":"","parse-names":false,"suffix":""},{"dropping-particle":"","family":"Hao","given":"Yixue","non-dropping-particle":"","parse-names":false,"suffix":""}],"container-title":"IEEE Communications Magazine","id":"ITEM-5","issue":"3","issued":{"date-parts":[["2018"]]},"page":"164-169","title":"SPHA: Smart Personal Health Advisor Based on Deep Analytics","type":"article-journal","volume":"56"},"uris":["http://www.mendeley.com/documents/?uuid=aaadee43-d05d-46c7-a108-51af4ec9515a"]},{"id":"ITEM-6","itemData":{"DOI":"10.1016/j.comnet.2016.01.009","ISSN":"13891286","abstract":"The promising potential of the emerging Internet of Things (IoT) technologies for interconnected medical devices and sensors has played an important role in the next-generation healthcare industry for quality patient care. Because of the increasing number of elderly and disabled people, there is an urgent need for a real-time health monitoring infrastructure for analyzing patients' healthcare data to avoid preventable deaths. Healthcare Industrial IoT (HealthIIoT) has significant potential for the realization of such monitoring. HealthIIoT is a combination of communication technologies, interconnected apps, Things (devices and sensors), and people that would function together as one smart system to monitor, track, and store patients' healthcare information for ongoing care. This paper presents a HealthIIoT-enabled monitoring framework, where ECG and other healthcare data are collected by mobile devices and sensors and securely sent to the cloud for seamless access by healthcare professionals. Signal enhancement, watermarking, and other related analytics will be used to avoid identity theft or clinical error by healthcare professionals. The suitability of this approach has been validated through both experimental evaluation, and simulation by deploying an IoT-driven ECG-based health monitoring service in the cloud.","author":[{"dropping-particle":"","family":"Hossain","given":"M. Shamim","non-dropping-particle":"","parse-names":false,"suffix":""},{"dropping-particle":"","family":"Muhammad","given":"Ghulam","non-dropping-particle":"","parse-names":false,"suffix":""}],"container-title":"Computer Networks","id":"ITEM-6","issued":{"date-parts":[["2016"]]},"page":"192-202","title":"Cloud-assisted Industrial Internet of Things (IIoT) - Enabled framework for health monitoring","type":"article-journal","volume":"101"},"uris":["http://www.mendeley.com/documents/?uuid=1113c8e2-611f-45fe-a763-552a3c883fbd"]}],"mendeley":{"formattedCitation":"[97–102]","plainTextFormattedCitation":"[97–102]","previouslyFormattedCitation":"(M. Chen et al. 2018; Hossain and Muhammad 2016; Huat et al. 2019; Monteiro et al. 2019; Papa et al. 2020; SSG 2020)"},"properties":{"noteIndex":0},"schema":"https://github.com/citation-style-language/schema/raw/master/csl-citation.json"}</w:instrText>
            </w:r>
            <w:r w:rsidRPr="008110E1">
              <w:rPr>
                <w:bCs/>
                <w:sz w:val="20"/>
                <w:szCs w:val="20"/>
              </w:rPr>
              <w:fldChar w:fldCharType="separate"/>
            </w:r>
            <w:r w:rsidRPr="008110E1">
              <w:rPr>
                <w:bCs/>
                <w:noProof/>
                <w:sz w:val="20"/>
                <w:szCs w:val="20"/>
              </w:rPr>
              <w:t>[97–102]</w:t>
            </w:r>
            <w:r w:rsidRPr="008110E1">
              <w:rPr>
                <w:bCs/>
                <w:sz w:val="20"/>
                <w:szCs w:val="20"/>
              </w:rPr>
              <w:fldChar w:fldCharType="end"/>
            </w:r>
            <w:r w:rsidRPr="008110E1">
              <w:rPr>
                <w:bCs/>
                <w:sz w:val="20"/>
                <w:szCs w:val="20"/>
              </w:rPr>
              <w: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8. Transform the urban model towards more compact cities, and generate innovation and governance tools for the adaptation of human life based on new technologies</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lang w:val="es-ES"/>
              </w:rPr>
            </w:pPr>
            <w:r w:rsidRPr="008110E1">
              <w:rPr>
                <w:bCs/>
                <w:sz w:val="20"/>
                <w:szCs w:val="20"/>
              </w:rPr>
              <w:t xml:space="preserve">The city is a strategic space for the achievement of the SDGs, and its organisation directly impacts on health, quality of life, and economy, among others. However, these manifestations strongly influence socially disadvantaged populations or countries with fewer response resources, which widen the gaps and accentuate social inequality. Among the technologies that mitigate the negative externalities of the city are distributed renewable energy, electro-mobility, and the circular economy or digital technologies that analyse large volumes of data to make decisions about the interactions between biophysical and socioeconomic variables through algorithms of artificial intelligence and deep learning. This specific case showed that cities such as </w:t>
            </w:r>
            <w:proofErr w:type="spellStart"/>
            <w:r w:rsidRPr="008110E1">
              <w:rPr>
                <w:bCs/>
                <w:sz w:val="20"/>
                <w:szCs w:val="20"/>
              </w:rPr>
              <w:t>Medellín</w:t>
            </w:r>
            <w:proofErr w:type="spellEnd"/>
            <w:r w:rsidRPr="008110E1">
              <w:rPr>
                <w:bCs/>
                <w:sz w:val="20"/>
                <w:szCs w:val="20"/>
              </w:rPr>
              <w:t xml:space="preserve"> (Colombia), Curitiba (Brazil) or Montevideo (Uruguay) execute participatory projects based on technology (for instance, Route N, </w:t>
            </w:r>
            <w:proofErr w:type="spellStart"/>
            <w:r w:rsidRPr="008110E1">
              <w:rPr>
                <w:bCs/>
                <w:sz w:val="20"/>
                <w:szCs w:val="20"/>
              </w:rPr>
              <w:t>WithCuritiba</w:t>
            </w:r>
            <w:proofErr w:type="spellEnd"/>
            <w:r w:rsidRPr="008110E1">
              <w:rPr>
                <w:bCs/>
                <w:sz w:val="20"/>
                <w:szCs w:val="20"/>
              </w:rPr>
              <w:t xml:space="preserve"> or AJE-Uruguay), in which multiple actors and sectors -productive, academic, institutional, financial and civil- interact to influence the transformation of their development model and focus its efforts to form inter-institutional and multi-sectoral groups. It is relevant to highlight that their universities have a dynamic interaction with the environment. Moreover,  all collective actors generate interdisciplinary knowledge and social, scientific and technological actions in the face of humanity's vulnerability and lukewarm progress in the equitable achievement of the SDGs </w:t>
            </w:r>
            <w:r w:rsidRPr="008110E1">
              <w:rPr>
                <w:bCs/>
                <w:sz w:val="20"/>
                <w:szCs w:val="20"/>
              </w:rPr>
              <w:fldChar w:fldCharType="begin" w:fldLock="1"/>
            </w:r>
            <w:r w:rsidRPr="008110E1">
              <w:rPr>
                <w:bCs/>
                <w:sz w:val="20"/>
                <w:szCs w:val="20"/>
              </w:rPr>
              <w:instrText>ADDIN CSL_CITATION {"citationItems":[{"id":"ITEM-1","itemData":{"DOI":"10.1016/j.jclepro.2020.122204","ISSN":"09596526","abstract":"The Sustainable Development Goals (SDGs) within the United Nations 2030 Agenda emerged in 2015, becoming an unprecedented global compass for navigating extant sustainability challenges. Nevertheless, it still represents a nascent field enduring uncertainties and complexities. In this regard, the interplay between digitalization and sustainability unfolds bright opportunities for shaping a greener economy and society, paving the way towards the SDGs. However, little evidence exists so far, about a genuine contribution of digital paradigms to sustainability. Besides, their role to tackle the SDGs research gaps remains unexplored. Thus, a holistic characterization of the aforementioned topics has not been fully explored in the emerging literature, deserving further research. The article endeavors a twofold purpose: (1) categorizing the main SDGs research gaps; (2) coupled with a critical exploration of the potential contribution of digital paradigms, particularly Big Data and Artificial Intelligence, towards overcoming the aforesaid caveats and pursuing the 2030 Agenda. Ultimately, the study seeks to bridge literature gaps by providing a first-of-its-kind overview on the SDGs and their nexus with digitalization, while unraveling policy implications and future research directions. The methodology has consisted of a systematic holistic review and in-depth qualitative analysis of the literature on the realms of the SDGs and digitalization. Our findings evidence that the SDGs present several research gaps, namely: flawed understanding of complexities and interlinkages; design shortcomings and imbalances; implementation and governance hurdles; unsuitable indicators and assessment methodologies; truncated adoption and off-target progress; unclear responsibilities and lacking coordination; untapped role of technological innovation and knowledge management. Moreover, our results show growing expectations about the added value brought by digitalization for pursuing the SDGs, through novel data sources, enhanced analytical capacities and collaborative digital ecosystems. However, current research and practice remains in early-stage, pointing to ethical, social and environmental controversies, along with policy caveats, which merit additional research. In light of the findings, the authors suggest a first-approach exploration of research and policy implications. Results suggest that further multidisciplinary research, dialogue and concerted efforts for transformation…","author":[{"dropping-particle":"","family":"Río Castro","given":"Gema","non-dropping-particle":"Del","parse-names":false,"suffix":""},{"dropping-particle":"","family":"González Fernández","given":"María Camino","non-dropping-particle":"","parse-names":false,"suffix":""},{"dropping-particle":"","family":"Uruburu Colsa","given":"Ángel","non-dropping-particle":"","parse-names":false,"suffix":""}],"container-title":"Journal of Cleaner Production","id":"ITEM-1","issued":{"date-parts":[["2021"]]},"title":"Unleashing the convergence amid digitalization and sustainability towards pursuing the Sustainable Development Goals (SDGs): A holistic review","type":"article-journal","volume":"280"},"uris":["http://www.mendeley.com/documents/?uuid=00384d62-e838-49f2-9db7-d958fed3789f"]},{"id":"ITEM-2","itemData":{"DOI":"10.1016/j.eap.2021.02.001","ISSN":"03135926","abstract":"Sustainable development is a part of every recent global agenda; the world has been trying to establish a more sustainable path and various goals and targets have been set to achieve this. The 17 Sustainable Development Goals (SDGs), introduced by the United Nations in 2015, aim to tackle economic, social and environmental issues that plague the world and to promote the concept of sustainability. This paper provides a comprehensive literature review regarding each SDG, the problem that each one addresses and why it is important to tackle it. Recent data regarding various targets are provided and compared to previous years, while a trend analysis is carried out to evaluate global progress and in different world regions. Based on UN estimations, an evaluation is extracted of each SDG's progress and those areas where attention is needed are identified. These assessments reveal that economy-related targets, such as targets included in the 8th SDG (decent work and economic growth), the 9th (industry, innovation and infrastructure) and 12th SDG (responsible consumption and production) are close to being achieved, while acceleration is needed in order to achieve targets and goals regarding education (4th SDG), cities and communities’ sustainability (11th SDG) and in particular climate change (13th SDG).","author":[{"dropping-particle":"","family":"Halkos","given":"George","non-dropping-particle":"","parse-names":false,"suffix":""},{"dropping-particle":"","family":"Gkampoura","given":"Eleni Christina","non-dropping-particle":"","parse-names":false,"suffix":""}],"container-title":"Economic Analysis and Policy","id":"ITEM-2","issued":{"date-parts":[["2021"]]},"page":"94-122","title":"Where do we stand on the 17 Sustainable Development Goals? An overview on progress","type":"article-journal","volume":"70"},"uris":["http://www.mendeley.com/documents/?uuid=2eab5069-e9ae-4349-89e5-baa00dc52f3c"]},{"id":"ITEM-3","itemData":{"DOI":"10.1016/j.healthpol.2019.03.001","ISSN":"18726054","PMID":"30935701","abstract":"In 2016, the World Health Organization declared that ‘Health is one of the most effective markers of any city's successful sustainable development’ (World Health Organisation, 2016). With estimates that around 6.7 billion people will live in cities by 2050, 21st century city planning decisions will play a critical role in achieving the United Nations (UN) Sustainable Development Goals (SDGs). They will determine the city structure and access to health-enhancing (or health-damaging) urban environments, and ultimately lifestyle choices that impact both individual and planetary health. Benchmarking, monitoring and evaluating city planning policies and interventions is therefore critical to optimise urban outcomes. In 2017, the UN adopted a global SDG indicator framework, calling for complementary national and regional indicators to be collected by member countries. UN Habitat has also developed an indicator action framework specifically for cities. This paper examined the extent to which the UN indicators will help cities evaluate their efforts to deliver sustainability and health outcomes. It identified inconsistencies between the two UN indicator frameworks. Many of the SDG indicators assess outcomes, rather than the comprehensive and integrated ‘upstream’ policies and interventions required to deliver outcomes on-the-ground. Conversely, the UN Habitat framework incorporates intervention indicators, but excludes health outcome indicators. A more comprehensive approach to benchmarking, monitoring and evaluating policies designed to achieve healthy and sustainable cities and assessing spatial inequities is proposed.","author":[{"dropping-particle":"","family":"Giles-Corti","given":"Billie","non-dropping-particle":"","parse-names":false,"suffix":""},{"dropping-particle":"","family":"Lowe","given":"Melanie","non-dropping-particle":"","parse-names":false,"suffix":""},{"dropping-particle":"","family":"Arundel","given":"Jonathan","non-dropping-particle":"","parse-names":false,"suffix":""}],"container-title":"Health Policy","id":"ITEM-3","issue":"6","issued":{"date-parts":[["2020"]]},"page":"581-590","title":"Achieving the SDGs: Evaluating indicators to be used to benchmark and monitor progress towards creating healthy and sustainable cities","type":"article-journal","volume":"124"},"uris":["http://www.mendeley.com/documents/?uuid=0201b2eb-2413-46a5-bd9c-9ec579b94394"]},{"id":"ITEM-4","itemData":{"DOI":"10.1016/j.scitotenv.2020.143929","ISSN":"18791026","PMID":"33302074","abstract":"We use individual-level data to estimate the effects of long- and short-term exposure to air pollution (PM2.5) on the probability of dying from COVID-19. To the best of our knowledge, our study is the first to look at this relationship using individual-level data. We find that for Mexico City there is evidence of a positive relationship between pollution and mortality that significantly grows with age and that appears to be mostly driven by long- rather than short-term exposure. By using a rich set of individual- and municipal-level covariates we are able to isolate the effect of exposure to pollution from other crucial factors, thus alleviating endogeneity concerns related to selection. Our results provide yet another reason for the need to implement environmental strategies that will reduce the exposure to air pollution: it is a key element to improve the general population's health. In addition, and considering that at this moment we do not know when the pandemic will stop or if SARS-CoV-2 will become a recurrent threat, the relationship that we uncovered suggests that financial resources should be allocated to improve medical services in those areas where PM2.5 concentrations tend to be high.","author":[{"dropping-particle":"","family":"López-Feldman","given":"Alejandro","non-dropping-particle":"","parse-names":false,"suffix":""},{"dropping-particle":"","family":"Heres","given":"David","non-dropping-particle":"","parse-names":false,"suffix":""},{"dropping-particle":"","family":"Marquez-Padilla","given":"Fernanda","non-dropping-particle":"","parse-names":false,"suffix":""}],"container-title":"Science of the Total Environment","id":"ITEM-4","issued":{"date-parts":[["2021"]]},"title":"Air pollution exposure and COVID-19: A look at mortality in Mexico City using individual-level data","type":"article-journal","volume":"756"},"uris":["http://www.mendeley.com/documents/?uuid=2864b8f4-bfbe-43c0-8c07-4885739d19f9"]}],"mendeley":{"formattedCitation":"[103–106]","plainTextFormattedCitation":"[103–106]","previouslyFormattedCitation":"(Del Río Castro et al. 2021; Giles-Corti et al. 2020; Halkos and Gkampoura 2021; López-Feldman et al. 2021)"},"properties":{"noteIndex":0},"schema":"https://github.com/citation-style-language/schema/raw/master/csl-citation.json"}</w:instrText>
            </w:r>
            <w:r w:rsidRPr="008110E1">
              <w:rPr>
                <w:bCs/>
                <w:sz w:val="20"/>
                <w:szCs w:val="20"/>
              </w:rPr>
              <w:fldChar w:fldCharType="separate"/>
            </w:r>
            <w:r w:rsidRPr="008110E1">
              <w:rPr>
                <w:bCs/>
                <w:noProof/>
                <w:sz w:val="20"/>
                <w:szCs w:val="20"/>
                <w:lang w:val="es-ES"/>
              </w:rPr>
              <w:t>[103–106]</w:t>
            </w:r>
            <w:r w:rsidRPr="008110E1">
              <w:rPr>
                <w:bCs/>
                <w:sz w:val="20"/>
                <w:szCs w:val="20"/>
              </w:rPr>
              <w:fldChar w:fldCharType="end"/>
            </w:r>
            <w:r w:rsidRPr="008110E1">
              <w:rPr>
                <w:bCs/>
                <w:sz w:val="20"/>
                <w:szCs w:val="20"/>
                <w:lang w:val="es-ES"/>
              </w:rPr>
              <w: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 xml:space="preserve">Case 9. Ensure the availability and sustainable management of water for all: </w:t>
            </w:r>
            <w:proofErr w:type="spellStart"/>
            <w:r w:rsidRPr="008110E1">
              <w:rPr>
                <w:bCs/>
                <w:i/>
                <w:sz w:val="20"/>
                <w:szCs w:val="20"/>
              </w:rPr>
              <w:t>agroecological</w:t>
            </w:r>
            <w:proofErr w:type="spellEnd"/>
            <w:r w:rsidRPr="008110E1">
              <w:rPr>
                <w:bCs/>
                <w:i/>
                <w:sz w:val="20"/>
                <w:szCs w:val="20"/>
              </w:rPr>
              <w:t xml:space="preserve"> practices in subsistence systems that have transformed rural regions</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Ecological technologies are rational artefacts that achieve a social relationship consistent with environmental impact; however, the dialogue of technical and local knowledge is strategic in maintaining cooperative and trustworthy environments with a technological memory that ensures its continuous and standardised use. The ecological history of LATAM shows that socio-institutional efforts have been boosted to respond to the social demand for water. Nevertheless, the results have not been as expected, not only because of the water stress in most of the region, but because the technology has not been socially adopted to facilitate the access and guarantee its rights. This specific case showed that it is possible to mitigate physical and economical scarcity through communitarian practices of management with a hydro-social approach in Cali (Colombia), Cuzco (Peru) and San Juan (Argentina) to manage the access or the extraction for irrigation. For instance, based on the mixture of technical knowledge, vernacular and ancestral practices of coexistence with nature, the </w:t>
            </w:r>
            <w:proofErr w:type="spellStart"/>
            <w:r w:rsidRPr="008110E1">
              <w:rPr>
                <w:bCs/>
                <w:sz w:val="20"/>
                <w:szCs w:val="20"/>
              </w:rPr>
              <w:t>ecotechnologies</w:t>
            </w:r>
            <w:proofErr w:type="spellEnd"/>
            <w:r w:rsidRPr="008110E1">
              <w:rPr>
                <w:bCs/>
                <w:sz w:val="20"/>
                <w:szCs w:val="20"/>
              </w:rPr>
              <w:t xml:space="preserve"> have encouraged that some committees manage from collective harvesters (Cali and San Juan) to a basin (Cuzco); this approach has had relevant results in these regions due to the share of resources for their survival and economic development, and it considers the social and power along with the legal and cultural aspects. A fundamental factor is the provision of public resources, which is necessary to incorporate </w:t>
            </w:r>
            <w:proofErr w:type="spellStart"/>
            <w:r w:rsidRPr="008110E1">
              <w:rPr>
                <w:bCs/>
                <w:sz w:val="20"/>
                <w:szCs w:val="20"/>
              </w:rPr>
              <w:t>ecotechnologies</w:t>
            </w:r>
            <w:proofErr w:type="spellEnd"/>
            <w:r w:rsidRPr="008110E1">
              <w:rPr>
                <w:bCs/>
                <w:sz w:val="20"/>
                <w:szCs w:val="20"/>
              </w:rPr>
              <w:t xml:space="preserve"> in regions that are not able to satisfy a basic line of welfare, and another is the local technological capability as the key factor to achieving the SDGs in these localities </w:t>
            </w:r>
            <w:r w:rsidRPr="008110E1">
              <w:rPr>
                <w:bCs/>
                <w:sz w:val="20"/>
                <w:szCs w:val="20"/>
              </w:rPr>
              <w:fldChar w:fldCharType="begin" w:fldLock="1"/>
            </w:r>
            <w:r w:rsidRPr="008110E1">
              <w:rPr>
                <w:bCs/>
                <w:sz w:val="20"/>
                <w:szCs w:val="20"/>
              </w:rPr>
              <w:instrText>ADDIN CSL_CITATION {"citationItems":[{"id":"ITEM-1","itemData":{"URL":"https://www.unep.org/news-and-stories/story/globally-3-billion-people-health-risk-due-scarce-data-water-quality","accessed":{"date-parts":[["2021","4","25"]]},"author":[{"dropping-particle":"","family":"UNEP","given":"","non-dropping-particle":"","parse-names":false,"suffix":""}],"id":"ITEM-1","issued":{"date-parts":[["2021"]]},"title":"Globally, 3 billion people at health risk due to scarce data on water quality","type":"webpage"},"uris":["http://www.mendeley.com/documents/?uuid=3e5f01a2-65af-47f4-8c70-584f93295473"]},{"id":"ITEM-2","itemData":{"DOI":"10.1177/2514848619886255","ISSN":"2514-8486","abstract":"With increasing water consumption and pollution in cities and expanding urban areas, impacts on rural areas as water extraction and waste disposal zones are intensifying. To unravel these hydro-territorial dynamics, this paper studies the intersecting and overlapping Foucauldian ‘arts of government’ (‘governmentalities’) deployed to convey water from rural to urban areas in three Latin American cities: Lima (Peru), San Luis Potosí (Mexico) and Bucaramanga (Colombia). We examine conventional (cemented) water transfers, broadly promoted payment for ecosystem services schemes and their conjunction, combining scholarship about hydrosocial territories and governmentality. We demonstrate how particular urban-based imaginaries about rural areas, their inhabitants, norms, practices and identities become embedded in governmentality schemes, and how these are justified, materialized and sustained, producing particular entwined rural–urban subjectivities. We explore how these are accepted, negotiated or contested. Our application of the governmentalities framework to analyze the material and socio-political effects of rural–urban water transfers contributes to existing scholarship on the (re)shaping of rural–urban hydrosocial territorialities showing the ‘hidden’ and ‘invisible’ workings of subjectification. It also contributes to the literature on governmentalities by scrutinizing the importance of technology (including physical infrastructure) in creating rural subjects.","author":[{"dropping-particle":"","family":"Hommes","given":"Lena","non-dropping-particle":"","parse-names":false,"suffix":""},{"dropping-particle":"","family":"Boelens","given":"Rutgerd","non-dropping-particle":"","parse-names":false,"suffix":""},{"dropping-particle":"","family":"Bleeker","given":"Sonja","non-dropping-particle":"","parse-names":false,"suffix":""},{"dropping-particle":"","family":"Duarte-Abadía","given":"Bibiana","non-dropping-particle":"","parse-names":false,"suffix":""},{"dropping-particle":"","family":"Stoltenborg","given":"Didi","non-dropping-particle":"","parse-names":false,"suffix":""},{"dropping-particle":"","family":"Vos","given":"Jeroen","non-dropping-particle":"","parse-names":false,"suffix":""}],"container-title":"Environment and Planning E: Nature and Space","id":"ITEM-2","issue":"2","issued":{"date-parts":[["2020"]]},"page":"399-422","title":"Water governmentalities: The shaping of hydrosocial territories, water transfers and rural–urban subjects in Latin America","type":"article-journal","volume":"3"},"uris":["http://www.mendeley.com/documents/?uuid=33327426-dd92-49c3-8941-beac59747617"]},{"id":"ITEM-3","itemData":{"DOI":"10.1016/j.rser.2017.05.125","ISSN":"18790690","abstract":"Considering water-energy nexus in optimising water supply systems not only ensures the sustainability of the water supply for increasing water demand but also diminishes water-related energy and environmental concerns. This paper presents a review highlighting knowledge gaps in optimisation models related to the water-energy nexus in water supply systems or “water supply side of the nexus”. Studies reported in the literature are categorised and systematically analysed in terms of different energy sources, centralised/ decentralised approaches and system parameters uncertainties. Several major gaps are identified. These include the lack of optimisation models capturing spatial aspects as well as environmental impacts of the nexus problems. The shortage of models considering uncertainties associated with water demand and renewable energy supply is another knowledge gap in this area. However, the main gap is the absence of models for optimising long-term planning of water supply system considering renewable energy within an urban context. Accordingly, based on this review, we have suggested pointers for future studies in the water supply side of the nexus.","author":[{"dropping-particle":"","family":"Vakilifard","given":"Negar","non-dropping-particle":"","parse-names":false,"suffix":""},{"dropping-particle":"","family":"Anda","given":"Martin","non-dropping-particle":"","parse-names":false,"suffix":""},{"dropping-particle":"","family":"A. Bahri","given":"Parisa","non-dropping-particle":"","parse-names":false,"suffix":""},{"dropping-particle":"","family":"Ho","given":"Goen","non-dropping-particle":"","parse-names":false,"suffix":""}],"container-title":"Renewable and Sustainable Energy Reviews","id":"ITEM-3","issued":{"date-parts":[["2018"]]},"page":"1424-1432","title":"The role of water-energy nexus in optimising water supply systems – Review of techniques and approaches","type":"article-journal","volume":"82"},"uris":["http://www.mendeley.com/documents/?uuid=3b294b57-032b-45f7-ab4a-0504a7fd179b"]},{"id":"ITEM-4","itemData":{"DOI":"10.1016/j.apenergy.2016.04.020","ISSN":"03062619","abstract":"Rapid urbanization and the expansion of metropolitan areas have resulted in severe demands on water and energy resources, which threaten the sustainability of the urban economy and environment. In this paper, an input–output model and linkage analysis are used to detect the synergetic effects of water and energy consumption and interactions among economic sectors. Beijing is chosen as a case study to investigate the water–energy nexus and the water and energy importing and exporting functions of major economic sectors. The results reveal that the agriculture and food processing sectors are major virtual water suppliers, while petroleum and natural gas processing, and electricity production sectors are major embodied energy suppliers. These energy suppliers mainly import intermediate products to satisfy the final demand of Beijing, thus transferring resources pressure to other regions. With rapid urbanization, the real estate industry sector chain has become an important water–energy nexus node and resources transfer node. The real estate sector needs large amounts of virtual water and embodied energy resource inputs to continue its production and thereby promote the growth of logistical industries. The transportation sector was also found to be important energy consumer and energy transfer node. In addition, the services sector, contributing one fourth of Beijing's total GDP, is a key water–energy nexus node because it consumes considerable amounts of both virtual water and embodied energy resources to support its production pattern.","author":[{"dropping-particle":"","family":"Fang","given":"Delin","non-dropping-particle":"","parse-names":false,"suffix":""},{"dropping-particle":"","family":"Chen","given":"Bin","non-dropping-particle":"","parse-names":false,"suffix":""}],"container-title":"Applied Energy","id":"ITEM-4","issued":{"date-parts":[["2017"]]},"page":"770-779","title":"Linkage analysis for the water–energy nexus of city","type":"article-journal","volume":"189"},"uris":["http://www.mendeley.com/documents/?uuid=20a23436-0f51-468b-8290-d3d88ee0d625"]},{"id":"ITEM-5","itemData":{"DOI":"10.6018/geografia/2017/280681","ISSN":"1989-4627","abstract":"&lt;div&gt;&lt;table cellspacing=\"0\" cellpadding=\"0\" align=\"left\"&gt;&lt;tbody&gt;&lt;tr&gt;&lt;td align=\"left\" valign=\"top\"&gt;&lt;p&gt;&lt;span style=\"font-size: medium;\"&gt;El presente artículo plantea un abordaje del concepto de ciclo hidro-social desde la perspectiva de la ecología política del agua. Este análisis teórico facilita el estudio del conflicto por el río Atuel, entre las provincias de La Pampa y Mendoza, Argentina, para explicar a través de una matriz los elementos que interactúan en el ciclo hidro-social y determinar las consecuencias que estos generan.&lt;/span&gt;&lt;/p&gt;&lt;p&gt;&lt;span style=\"font-size: medium;\"&gt;El objetivo es analizar el ciclo hidro-social y su aplicación al problema para un sector del oeste pampeano cuyo eje organizador es el río Atuel. Así mismo, estudiar los conflictos interprovinciales que se generan y los aspectos que componen dicho ciclo. &lt;/span&gt;&lt;/p&gt;&lt;p&gt;&lt;span style=\"font-size: medium;\"&gt;El tratamiento del problema y su profundización es abordado a través de la lectura de trabajos de especialistas en el área y de las fuentes hasta ahora analizadas tales como: mensuras catastrales, testimonios de pobladores y documentación oficial.&lt;/span&gt;&lt;/p&gt;&lt;p&gt;&lt;strong&gt;&lt;span style=\"font-size: medium;\"&gt;Palabras claves:&lt;/span&gt;&lt;/strong&gt;&lt;span style=\"font-size: medium;\"&gt; ciclo hidro-social; ecología política; agua; conflicto; territorio.&lt;/span&gt;&lt;/p&gt;&lt;/td&gt;&lt;/tr&gt;&lt;/tbody&gt;&lt;/table&gt;&lt;/div&gt;","author":[{"dropping-particle":"","family":"Langhoff","given":"María Laura","non-dropping-particle":"","parse-names":false,"suffix":""},{"dropping-particle":"","family":"Geraldi","given":"Alejandra","non-dropping-particle":"","parse-names":false,"suffix":""},{"dropping-particle":"","family":"Rosell","given":"Patricia","non-dropping-particle":"","parse-names":false,"suffix":""}],"container-title":"Papeles de Geografía","id":"ITEM-5","issue":"63","issued":{"date-parts":[["2017"]]},"page":"146","title":"El concepto de ciclo Hidro-social aplicado a los conflictos por el acceso al agua. El caso de la disputa por el río Atuel entre las provincias de la Pampa y Mendoza, Argentina","type":"article-journal"},"uris":["http://www.mendeley.com/documents/?uuid=e48fa9a0-3be1-4d68-8377-eb892c59290b"]}],"mendeley":{"formattedCitation":"[107–111]","plainTextFormattedCitation":"[107–111]","previouslyFormattedCitation":"(Fang and Chen 2017; Hommes et al. 2020; Langhoff et al. 2017; UNEP 2021; Vakilifard et al. 2018)"},"properties":{"noteIndex":0},"schema":"https://github.com/citation-style-language/schema/raw/master/csl-citation.json"}</w:instrText>
            </w:r>
            <w:r w:rsidRPr="008110E1">
              <w:rPr>
                <w:bCs/>
                <w:sz w:val="20"/>
                <w:szCs w:val="20"/>
              </w:rPr>
              <w:fldChar w:fldCharType="separate"/>
            </w:r>
            <w:r w:rsidRPr="008110E1">
              <w:rPr>
                <w:bCs/>
                <w:noProof/>
                <w:sz w:val="20"/>
                <w:szCs w:val="20"/>
              </w:rPr>
              <w:t>[107–111]</w:t>
            </w:r>
            <w:r w:rsidRPr="008110E1">
              <w:rPr>
                <w:bCs/>
                <w:sz w:val="20"/>
                <w:szCs w:val="20"/>
              </w:rPr>
              <w:fldChar w:fldCharType="end"/>
            </w:r>
            <w:r w:rsidRPr="008110E1">
              <w:rPr>
                <w:bCs/>
                <w:sz w:val="20"/>
                <w:szCs w:val="20"/>
              </w:rPr>
              <w:t xml:space="preserve">. </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lastRenderedPageBreak/>
              <w:t>Case 10. Strengthen the collaboration and revitalise the interactions: communities, social innovation and local capabilities for sustainable development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Sustainability exhibits strong challenges and contradictions that are anchored to the territories, from relational complexity to territorial capital. According to the literature review, the achievement of the SDGs has a high correlation with three main factors, which are the following: the territorial approach in the development processes; the local/community space approach to anchor the change processes, and the inter-territorial collaboration as an operational strategy. This specific case showed how the integration of a network of local actors (communities) from 17 countries in Latin America and the Caribbean (CODE-LAC network) allows them to share their endogenous experiences that are focused on achieving the SDGs through a strategy of experiential learning, which has as its main axes: inclusive governance to synchronise actions with structural change; social dimension of innovation as a structure in the processes of change; and centrality on reducing inequalities –cultural, gender - in social mobility, in access to resources, among other opportunities for equity. The initiative to trigger this network was born in the framework of the LEED Program (OECD), and since 2010, more than 300 Latin American local development agents have been getting involved to share knowledge, compare perspectives and identify best practices. This knowledge alliance has strengthened the actors to advance towards the achievement of the SDGs and to guide and reinforce the territorial development. Furthermore, this has boosted the dynamic capacities of the territory, which are decisive to achieving sustainable development (SDG) through the implementation of social actions and operative policies focused on taking advantage of, among others, social, cultural, scientific, economic, natural and institutional resources in Latin-American territories </w:t>
            </w:r>
            <w:r w:rsidRPr="008110E1">
              <w:rPr>
                <w:bCs/>
                <w:sz w:val="20"/>
                <w:szCs w:val="20"/>
              </w:rPr>
              <w:fldChar w:fldCharType="begin" w:fldLock="1"/>
            </w:r>
            <w:r w:rsidRPr="008110E1">
              <w:rPr>
                <w:bCs/>
                <w:sz w:val="20"/>
                <w:szCs w:val="20"/>
              </w:rPr>
              <w:instrText>ADDIN CSL_CITATION {"citationItems":[{"id":"ITEM-1","itemData":{"DOI":"10.1007/s13132-016-0393-5","ISSN":"18687873","abstract":"The general idea of this paper is the fact that the theory of innovation cannot be completed as long as the idea of creativity is not introduced in the analysis of the cognitive processes involved. Too often, in innovation studies, novelty is considered as pure knowledge creation. The new approach of creativity in management science, economic geography, or sociology of innovation has revealed the importance of other ingredients than knowledge: entrepreneurship, serendipity, imagination, etc. In particular, creative cities are not just knowledge-based territories. For addressing the issue of creative territories, we need first to define creativity in general and in different domains: in science (discovery), technology (invention), or economy (innovation), as well as in artistic, cultural, or societal fields. We will underline the necessity to be creative in policy design as well. It is not enough to build knowledge infrastructures and to promote human capital or attract “creative people.” Are there recipes for the creative governance of geographical entities? What can we learn from the application of standard policies? And from the new policy paradigms like the Smart specialization strategy of the EU? At microeconomic level, entrepreneurs and creative organizations must deal with the exploration/exploitation issues and find an acceptable tradeoff. Territories must also find relevant governance structures and procedures for the “creative” design of development strategies. In this perspective, they can rely on certain actors of the innovation process, like knowledge-based business services, and some talented individuals, for implementing the necessary distributed intelligence.","author":[{"dropping-particle":"","family":"Héraud","given":"Jean Alain","non-dropping-particle":"","parse-names":false,"suffix":""}],"container-title":"Journal of the Knowledge Economy","id":"ITEM-1","issue":"1","issued":{"date-parts":[["2021"]]},"page":"201-217","title":"A New Approach of Innovation: from the Knowledge Economy to the Theory of Creativity Applied to Territorial Development","type":"article-journal","volume":"12"},"uris":["http://www.mendeley.com/documents/?uuid=336686d9-86d1-4d9b-8f56-92506fe13237"]},{"id":"ITEM-2","itemData":{"DOI":"10.1016/j.technovation.2019.102098","ISSN":"01664972","abstract":"The concept of innovation ecosystems has become popular during the last 15 years, leading to a debate regarding its relevance and conceptual rigor, not the least in this journal. The purpose of this article is to review received definitions of innovation ecosystems and related concepts and to propose a synthesized definition of an innovation ecosystem. The conceptual analysis identifies an unbalanced focus on complementarities, collaboration, and actors in received definitions, and among other things proposes the additional inclusion of competition, substitutes, and artifacts in conceptualizations of innovation ecosystems, leading to the following definition: An innovation ecosystem is the evolving set of actors, activities, and artifacts, and the institutions and relations, including complementary and substitute relations, that are important for the innovative performance of an actor or a population of actors. This definition is compatible with related conceptualizations of innovation systems and natural ecosystems, and the validity of it is illustrated with three empirical examples of innovation ecosystems.","author":[{"dropping-particle":"","family":"Granstrand","given":"Ove","non-dropping-particle":"","parse-names":false,"suffix":""},{"dropping-particle":"","family":"Holgersson","given":"Marcus","non-dropping-particle":"","parse-names":false,"suffix":""}],"container-title":"Technovation","id":"ITEM-2","issued":{"date-parts":[["2020"]]},"title":"Innovation ecosystems: A conceptual review and a new definition","type":"article-journal","volume":"90-91"},"uris":["http://www.mendeley.com/documents/?uuid=a4478f1e-0faa-4e8c-9122-76d3903fb7e7"]},{"id":"ITEM-3","itemData":{"DOI":"10.1016/j.techfore.2018.03.026","ISSN":"00401625","abstract":"The study of technological capability accumulation processes (TCA) for developing countries is long-standing. The studies tend to adopt a narrow perspective to science, technology and innovation and their policies, which do not seem to be sufficient to understand TCA in countries that face the middle-income trap. This adds to the limited metrics we have to measure TCA. This paper argues that it is necessary to frame the TCA processes at national levels, including the techno-economic and the socio-political spheres (TES and SPS). It is argued that countries' evolutionary trajectory combines these spheres differently and results in different development profiles. This is expected to have an impact on their TCA. The objective is to identify and analyse development profiles of Latin American countries (in terms of TES and SPS), and discuss it relationship with the characteristics of TCA at the firm level. This research departures from descriptive statistics based on Innovation Surveys for the TCA analysis at the firm and country level, and combines different steps and tools to asses country development profiles: (i) a long-term analysis (1980–2010) to verify the existence of cointegration between TES and SPS; and (ii) the identification and estimation of long run paths that determine three different country profiles. Finally, we outline some policy recommendations.","author":[{"dropping-particle":"","family":"Dutrénit","given":"Gabriela","non-dropping-particle":"","parse-names":false,"suffix":""},{"dropping-particle":"","family":"Natera","given":"José Miguel","non-dropping-particle":"","parse-names":false,"suffix":""},{"dropping-particle":"","family":"Puchet Anyul","given":"Martín","non-dropping-particle":"","parse-names":false,"suffix":""},{"dropping-particle":"","family":"Vera-Cruz","given":"Alexandre O.","non-dropping-particle":"","parse-names":false,"suffix":""}],"container-title":"Technological Forecasting and Social Change","id":"ITEM-3","issued":{"date-parts":[["2019"]]},"page":"396-412","title":"Development profiles and accumulation of technological capabilities in Latin America","type":"article-journal","volume":"145"},"uris":["http://www.mendeley.com/documents/?uuid=70519c81-234c-4f3d-a58a-3b486363164d"]}],"mendeley":{"formattedCitation":"[112–114]","plainTextFormattedCitation":"[112–114]","previouslyFormattedCitation":"(Dutrénit et al. 2019; Granstrand and Holgersson 2020; Héraud 2021)"},"properties":{"noteIndex":0},"schema":"https://github.com/citation-style-language/schema/raw/master/csl-citation.json"}</w:instrText>
            </w:r>
            <w:r w:rsidRPr="008110E1">
              <w:rPr>
                <w:bCs/>
                <w:sz w:val="20"/>
                <w:szCs w:val="20"/>
              </w:rPr>
              <w:fldChar w:fldCharType="separate"/>
            </w:r>
            <w:r w:rsidRPr="008110E1">
              <w:rPr>
                <w:bCs/>
                <w:noProof/>
                <w:sz w:val="20"/>
                <w:szCs w:val="20"/>
              </w:rPr>
              <w:t>[112–114]</w:t>
            </w:r>
            <w:r w:rsidRPr="008110E1">
              <w:rPr>
                <w:bCs/>
                <w:sz w:val="20"/>
                <w:szCs w:val="20"/>
              </w:rPr>
              <w:fldChar w:fldCharType="end"/>
            </w:r>
            <w:r w:rsidRPr="008110E1">
              <w:rPr>
                <w:bCs/>
                <w:sz w:val="20"/>
                <w:szCs w:val="20"/>
              </w:rPr>
              <w:t xml:space="preserve">. </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i/>
                <w:sz w:val="20"/>
                <w:szCs w:val="20"/>
              </w:rPr>
            </w:pPr>
            <w:r w:rsidRPr="008110E1">
              <w:rPr>
                <w:bCs/>
                <w:i/>
                <w:sz w:val="20"/>
                <w:szCs w:val="20"/>
              </w:rPr>
              <w:t>Case 11: Introducing a system of metrics for measuring global progress toward achieving both the SDGs and the climate targets set by the Paris Agreement</w:t>
            </w:r>
          </w:p>
        </w:tc>
      </w:tr>
      <w:tr w:rsidR="008110E1" w:rsidRPr="008110E1" w:rsidTr="00842CBF">
        <w:trPr>
          <w:trHeight w:val="77"/>
        </w:trPr>
        <w:tc>
          <w:tcPr>
            <w:tcW w:w="8644" w:type="dxa"/>
          </w:tcPr>
          <w:p w:rsidR="008110E1" w:rsidRPr="008110E1" w:rsidRDefault="008110E1" w:rsidP="008110E1">
            <w:pPr>
              <w:snapToGrid w:val="0"/>
              <w:spacing w:line="240" w:lineRule="auto"/>
              <w:contextualSpacing/>
              <w:mirrorIndents/>
              <w:jc w:val="both"/>
              <w:rPr>
                <w:bCs/>
                <w:sz w:val="20"/>
                <w:szCs w:val="20"/>
              </w:rPr>
            </w:pPr>
            <w:r w:rsidRPr="008110E1">
              <w:rPr>
                <w:bCs/>
                <w:sz w:val="20"/>
                <w:szCs w:val="20"/>
              </w:rPr>
              <w:t xml:space="preserve">Experts note the need to develop a comprehensive roadmap and coherent policies to ensure that both climate goals and SDGs can be achieved. In addition, since a huge portion of the investments come from companies, there is a need to measure their contributions to the achievement of the SDGs. Scientists have identified a gap in this area—no metrics exist that explicitly link company activity, largely from the sale of individual technologies (e.g., wind turbines, solar panels, and more fuel-efficient engines for vehicles) to an objective, scientific, data-driven assessment of how companies are contributing toward the SDGs. As it turns out, the way SDGs are incorporated in company reporting is complicated. Companies that use ESG (environmental, social, and governance) metrics as indicators of performance do not necessarily present all of their impacts. Typically, companies that focus on RE production count their contribution to SDG7; however, they could also count them towards clean cooking and wellbeing (SDG3), reducing gender inequality (SDG5), and CO2 reduction (SDG13). A proposed solution is the creation of a simple-to-use yet comprehensive system of metrics to measure global progress toward achieving both the SDGs and the climate targets set by the Paris Agreement. The incorporation of such metrics in models and frameworks is not an easy task and has many caveats—availability and standardisation of reported data, metrics that although tied directly to SDG indicators do not include the full life cycle of both positive and negative impacts or links to other SDG targets. However, as data become available and standardised, such models will be able to provide better temporal and geographic resolution, and become more useful not only for investors but also for institutions, cities, and governments </w:t>
            </w:r>
            <w:r w:rsidRPr="008110E1">
              <w:rPr>
                <w:bCs/>
                <w:sz w:val="20"/>
                <w:szCs w:val="20"/>
              </w:rPr>
              <w:fldChar w:fldCharType="begin" w:fldLock="1"/>
            </w:r>
            <w:r w:rsidRPr="008110E1">
              <w:rPr>
                <w:bCs/>
                <w:sz w:val="20"/>
                <w:szCs w:val="20"/>
              </w:rPr>
              <w:instrText>ADDIN CSL_CITATION {"citationItems":[{"id":"ITEM-1","itemData":{"DOI":"10.1057/s41599-019-0336-4","ISSN":"20551045","abstract":"The private sector is interested in contributing to the United Nations (UN) Sustainable Development Goals (SDGs); however, they lack credible objective metrics to measure progress, which hinders making a case for financial investing toward the SDGs. A set of science-based metrics could allow corporations and interested investors to meaningfully align their actions with the SDGs in locations around the world where they can make the greatest positive impact. Using existing data on country-level electricity generation and land transportation, we develop a set of simple-to-implement and user-friendly metrics to evaluate the benefits that investments in renewable electricity generation and improvements in land transportation can make toward reducing CO2 and air pollutant emissions and the health impacts of air pollution. We then apply these metrics to a set of renewable electricity companies and find meaningful differences in their progress toward the SDGs on health, energy, and climate. We found that under half of the renewable energy companies in our dataset disclose country-level data on where equipment is being sold, and that there is substantial variability in the CO2 reductions and health benefits of renewable energy based on where these companies have installed capacity. There was not a close statistical relationship between country CO2 emissions rates and country health impact rates, indicating that these metrics cannot serve as good proxies for one another. Future improvements to this methodology should be to implement explicit tracking of air pollution from sources to the locations where it has eventual health impacts, updating the underlying dataset, and improving the degree of detail in emissions inventories. Application of this methodology across the renewable energy sector is limited by the availability of country-level data on where a company has renewable energy capacity installed. The methodology developed here can serve as a basis for better measurement of progress toward climate, energy, and health-related SDGs in financial investing and other applications.","author":[{"dropping-particle":"","family":"Buonocore","given":"Jonathan J.","non-dropping-particle":"","parse-names":false,"suffix":""},{"dropping-particle":"","family":"Choma","given":"Ernani","non-dropping-particle":"","parse-names":false,"suffix":""},{"dropping-particle":"","family":"Villavicencio","given":"Aleyda H.","non-dropping-particle":"","parse-names":false,"suffix":""},{"dropping-particle":"","family":"Spengler","given":"John D.","non-dropping-particle":"","parse-names":false,"suffix":""},{"dropping-particle":"","family":"Koehler","given":"Dinah A.","non-dropping-particle":"","parse-names":false,"suffix":""},{"dropping-particle":"","family":"Evans","given":"John S.","non-dropping-particle":"","parse-names":false,"suffix":""},{"dropping-particle":"","family":"Lelieveld","given":"Jos","non-dropping-particle":"","parse-names":false,"suffix":""},{"dropping-particle":"","family":"Klop","given":"Piet","non-dropping-particle":"","parse-names":false,"suffix":""},{"dropping-particle":"","family":"Sanchez-Pina","given":"Ramon","non-dropping-particle":"","parse-names":false,"suffix":""}],"container-title":"Palgrave Communications","id":"ITEM-1","issue":"1","issued":{"date-parts":[["2019"]]},"title":"Metrics for the sustainable development goals: renewable energy and transportation","type":"article-journal","volume":"5"},"uris":["http://www.mendeley.com/documents/?uuid=128b11f8-e389-444a-b415-61d33c8129c0"]},{"id":"ITEM-2","itemData":{"DOI":"10.3389/frsus.2020.583090","abstract":"Energy development improves quality of life for humans, but also incurs environmental consequences. A global energy transition from fossil fuels to renewable energy may mitigate climate change but may also undermine the capacity to achieve some or all 17 Sustainable Development Goals (SDGs). In this study, we use an innovation systems approach to construct a comprehensive roadmap for solar and wind energy to anticipate and improve impacts of a transition to a low carbon future in a manner ensuring climate goals and SDGs are mutually reinforcing. Our multidisciplinary approach began with an assessment of public investments in renewable energy followed by a 2-day research prioritization workshop. Fifty-eight expert workshop participants identified six research themes that proactively address the environmental sustainability of renewable energy. Next, we identified linkages between the six research themes and all 17 SDGs. Finally, we conducted a scientiometric analysis to analyze the research maturity of these themes. The results of these efforts elucidated the limits of existing knowledge of renewable energy-SDG interactions, informing the development of a research, development, demonstration, and deployment (RD3) roadmap to a renewable energy future aligned with both climate goals and SDGs. The RD3 roadmap has been designed to systematically develop solutions for diverse actors and organizations. Overall, our findings confer a broad vision for a sustainable transition to renewables to minimize unintended environmental consequences while supporting interoperability among actors particularly poised to influence its magnitude and direction.","author":[{"dropping-particle":"","family":"Hernandez","given":"Rebecca R.","non-dropping-particle":"","parse-names":false,"suffix":""},{"dropping-particle":"","family":"Jordaan","given":"Sarah M.","non-dropping-particle":"","parse-names":false,"suffix":""},{"dropping-particle":"","family":"Kaldunski","given":"Ben","non-dropping-particle":"","parse-names":false,"suffix":""},{"dropping-particle":"","family":"Kumar","given":"Naresh","non-dropping-particle":"","parse-names":false,"suffix":""}],"container-title":"Frontiers in Sustainability","id":"ITEM-2","issued":{"date-parts":[["2020"]]},"title":"Aligning Climate Change and Sustainable Development Goals With an Innovation Systems Roadmap for Renewable Power","type":"article-journal","volume":"1"},"uris":["http://www.mendeley.com/documents/?uuid=004ec251-ff45-4555-a695-a4cffcc92d86"]}],"mendeley":{"formattedCitation":"[93, 115]","plainTextFormattedCitation":"[93, 115]","previouslyFormattedCitation":"(Buonocore et al. 2019; Hernandez et al. 2020)"},"properties":{"noteIndex":0},"schema":"https://github.com/citation-style-language/schema/raw/master/csl-citation.json"}</w:instrText>
            </w:r>
            <w:r w:rsidRPr="008110E1">
              <w:rPr>
                <w:bCs/>
                <w:sz w:val="20"/>
                <w:szCs w:val="20"/>
              </w:rPr>
              <w:fldChar w:fldCharType="separate"/>
            </w:r>
            <w:r w:rsidRPr="008110E1">
              <w:rPr>
                <w:bCs/>
                <w:noProof/>
                <w:sz w:val="20"/>
                <w:szCs w:val="20"/>
              </w:rPr>
              <w:t>[93, 115]</w:t>
            </w:r>
            <w:r w:rsidRPr="008110E1">
              <w:rPr>
                <w:bCs/>
                <w:sz w:val="20"/>
                <w:szCs w:val="20"/>
              </w:rPr>
              <w:fldChar w:fldCharType="end"/>
            </w:r>
            <w:r w:rsidRPr="008110E1">
              <w:rPr>
                <w:bCs/>
                <w:sz w:val="20"/>
                <w:szCs w:val="20"/>
              </w:rPr>
              <w:t>.</w:t>
            </w:r>
          </w:p>
        </w:tc>
      </w:tr>
    </w:tbl>
    <w:p w:rsidR="008110E1" w:rsidRPr="008110E1" w:rsidRDefault="008110E1" w:rsidP="008110E1">
      <w:pPr>
        <w:snapToGrid w:val="0"/>
        <w:spacing w:line="240" w:lineRule="auto"/>
        <w:contextualSpacing/>
        <w:mirrorIndents/>
        <w:jc w:val="both"/>
        <w:rPr>
          <w:bCs/>
          <w:i/>
          <w:sz w:val="20"/>
          <w:szCs w:val="20"/>
        </w:rPr>
      </w:pPr>
    </w:p>
    <w:p w:rsidR="00615371" w:rsidRPr="008110E1" w:rsidRDefault="003B6402" w:rsidP="008110E1">
      <w:pPr>
        <w:spacing w:line="240" w:lineRule="auto"/>
        <w:contextualSpacing/>
        <w:mirrorIndents/>
        <w:jc w:val="both"/>
        <w:rPr>
          <w:sz w:val="20"/>
          <w:szCs w:val="20"/>
        </w:rPr>
      </w:pPr>
    </w:p>
    <w:sectPr w:rsidR="00615371" w:rsidRPr="008110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ezMLI0MDE1MzQ3MDRS0lEKTi0uzszPAykwqgUAZoy5FCwAAAA="/>
  </w:docVars>
  <w:rsids>
    <w:rsidRoot w:val="00396FC6"/>
    <w:rsid w:val="000D3EA7"/>
    <w:rsid w:val="001A4B24"/>
    <w:rsid w:val="00396FC6"/>
    <w:rsid w:val="003B2916"/>
    <w:rsid w:val="003B6402"/>
    <w:rsid w:val="006245A2"/>
    <w:rsid w:val="00756851"/>
    <w:rsid w:val="007720EA"/>
    <w:rsid w:val="00786962"/>
    <w:rsid w:val="007A613B"/>
    <w:rsid w:val="007C23BB"/>
    <w:rsid w:val="008110E1"/>
    <w:rsid w:val="008564F6"/>
    <w:rsid w:val="008B51C9"/>
    <w:rsid w:val="00910EC3"/>
    <w:rsid w:val="00A8782F"/>
    <w:rsid w:val="00AA2E27"/>
    <w:rsid w:val="00AC51E3"/>
    <w:rsid w:val="00BD64FE"/>
    <w:rsid w:val="00C374D0"/>
    <w:rsid w:val="00D0367C"/>
    <w:rsid w:val="00DE4E6C"/>
    <w:rsid w:val="00EF237E"/>
    <w:rsid w:val="00F4338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6EBF75-ACCD-4908-8450-832F4C91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FC6"/>
    <w:pPr>
      <w:spacing w:after="0" w:line="48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10D00-393F-4304-B64B-BE711B80F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18384</Words>
  <Characters>104792</Characters>
  <Application>Microsoft Office Word</Application>
  <DocSecurity>0</DocSecurity>
  <Lines>873</Lines>
  <Paragraphs>245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Diogo Vidal</dc:creator>
  <cp:lastModifiedBy>Maria Flora V.</cp:lastModifiedBy>
  <cp:revision>4</cp:revision>
  <dcterms:created xsi:type="dcterms:W3CDTF">2022-04-19T09:37:00Z</dcterms:created>
  <dcterms:modified xsi:type="dcterms:W3CDTF">2022-05-30T04:08:00Z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http://www.zotero.org/styles/environment-development-and-sustainability</vt:lpwstr>
  </property>
  <property fmtid="{D5CDD505-2E9C-101B-9397-08002B2CF9AE}" pid="5" name="Mendeley Recent Style Name 1_1">
    <vt:lpwstr>Environment, Development and Sustainability</vt:lpwstr>
  </property>
  <property fmtid="{D5CDD505-2E9C-101B-9397-08002B2CF9AE}" pid="6" name="Mendeley Recent Style Id 2_1">
    <vt:lpwstr>http://www.zotero.org/styles/environmental-sciences-europe</vt:lpwstr>
  </property>
  <property fmtid="{D5CDD505-2E9C-101B-9397-08002B2CF9AE}" pid="7" name="Mendeley Recent Style Name 2_1">
    <vt:lpwstr>Environmental Sciences Europe</vt:lpwstr>
  </property>
  <property fmtid="{D5CDD505-2E9C-101B-9397-08002B2CF9AE}" pid="8" name="Mendeley Recent Style Id 3_1">
    <vt:lpwstr>http://www.zotero.org/styles/frontiers-in-sociology</vt:lpwstr>
  </property>
  <property fmtid="{D5CDD505-2E9C-101B-9397-08002B2CF9AE}" pid="9" name="Mendeley Recent Style Name 3_1">
    <vt:lpwstr>Frontiers in Sociology</vt:lpwstr>
  </property>
  <property fmtid="{D5CDD505-2E9C-101B-9397-08002B2CF9AE}" pid="10" name="Mendeley Recent Style Id 4_1">
    <vt:lpwstr>http://www.zotero.org/styles/geojournal</vt:lpwstr>
  </property>
  <property fmtid="{D5CDD505-2E9C-101B-9397-08002B2CF9AE}" pid="11" name="Mendeley Recent Style Name 4_1">
    <vt:lpwstr>GeoJournal</vt:lpwstr>
  </property>
  <property fmtid="{D5CDD505-2E9C-101B-9397-08002B2CF9AE}" pid="12" name="Mendeley Recent Style Id 5_1">
    <vt:lpwstr>http://www.zotero.org/styles/international-journal-of-environmental-research-and-public-health</vt:lpwstr>
  </property>
  <property fmtid="{D5CDD505-2E9C-101B-9397-08002B2CF9AE}" pid="13" name="Mendeley Recent Style Name 5_1">
    <vt:lpwstr>International Journal of Environmental Research and Public Health</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http://www.zotero.org/styles/springer-basic-author-date</vt:lpwstr>
  </property>
  <property fmtid="{D5CDD505-2E9C-101B-9397-08002B2CF9AE}" pid="17" name="Mendeley Recent Style Name 7_1">
    <vt:lpwstr>Springer - Basic (author-date)</vt:lpwstr>
  </property>
  <property fmtid="{D5CDD505-2E9C-101B-9397-08002B2CF9AE}" pid="18" name="Mendeley Recent Style Id 8_1">
    <vt:lpwstr>http://www.zotero.org/styles/sustainable-cities-and-society</vt:lpwstr>
  </property>
  <property fmtid="{D5CDD505-2E9C-101B-9397-08002B2CF9AE}" pid="19" name="Mendeley Recent Style Name 8_1">
    <vt:lpwstr>Sustainable Cities and Society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http://www.zotero.org/styles/environment-development-and-sustainability</vt:lpwstr>
  </property>
</Properties>
</file>