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07AFC" w14:textId="77777777" w:rsidR="00521B74" w:rsidRPr="004A67E5" w:rsidRDefault="00521B74" w:rsidP="0089358F">
      <w:pPr>
        <w:pStyle w:val="Caption"/>
        <w:keepNext/>
        <w:rPr>
          <w:rFonts w:ascii="Times New Roman" w:eastAsia="Times New Roman" w:hAnsi="Times New Roman" w:cs="Times New Roman"/>
          <w:b/>
          <w:bCs/>
          <w:i w:val="0"/>
          <w:iCs w:val="0"/>
          <w:color w:val="auto"/>
          <w:sz w:val="27"/>
          <w:szCs w:val="27"/>
          <w:lang w:val="en-US" w:eastAsia="de-DE"/>
        </w:rPr>
      </w:pPr>
      <w:r w:rsidRPr="004A67E5">
        <w:rPr>
          <w:rFonts w:ascii="Times New Roman" w:eastAsia="Times New Roman" w:hAnsi="Times New Roman" w:cs="Times New Roman"/>
          <w:b/>
          <w:bCs/>
          <w:i w:val="0"/>
          <w:iCs w:val="0"/>
          <w:color w:val="auto"/>
          <w:sz w:val="27"/>
          <w:szCs w:val="27"/>
          <w:lang w:val="en-US" w:eastAsia="de-DE"/>
        </w:rPr>
        <w:t>Supplementary Information</w:t>
      </w:r>
    </w:p>
    <w:p w14:paraId="34EAEAE4" w14:textId="77777777" w:rsidR="00521B74" w:rsidRPr="004A67E5" w:rsidRDefault="00521B74" w:rsidP="0089358F">
      <w:pPr>
        <w:pStyle w:val="Caption"/>
        <w:keepNext/>
        <w:rPr>
          <w:rFonts w:ascii="Times New Roman" w:eastAsia="Times New Roman" w:hAnsi="Times New Roman" w:cs="Times New Roman"/>
          <w:b/>
          <w:bCs/>
          <w:i w:val="0"/>
          <w:color w:val="auto"/>
          <w:sz w:val="27"/>
          <w:szCs w:val="27"/>
          <w:lang w:val="en-US" w:eastAsia="de-DE"/>
        </w:rPr>
      </w:pPr>
    </w:p>
    <w:p w14:paraId="33420266" w14:textId="77777777" w:rsidR="0089358F" w:rsidRPr="004A67E5" w:rsidRDefault="0089358F" w:rsidP="0089358F">
      <w:pPr>
        <w:pStyle w:val="Caption"/>
        <w:keepNext/>
        <w:rPr>
          <w:rFonts w:ascii="Times New Roman" w:hAnsi="Times New Roman" w:cs="Times New Roman"/>
          <w:b/>
          <w:i w:val="0"/>
          <w:color w:val="auto"/>
          <w:sz w:val="20"/>
          <w:lang w:val="en-US"/>
        </w:rPr>
      </w:pPr>
      <w:r w:rsidRPr="004A67E5">
        <w:rPr>
          <w:rFonts w:ascii="Times New Roman" w:hAnsi="Times New Roman" w:cs="Times New Roman"/>
          <w:b/>
          <w:i w:val="0"/>
          <w:color w:val="auto"/>
          <w:sz w:val="20"/>
          <w:lang w:val="en-US"/>
        </w:rPr>
        <w:t xml:space="preserve">Table </w:t>
      </w:r>
      <w:r w:rsidR="00521B74" w:rsidRPr="004A67E5">
        <w:rPr>
          <w:rFonts w:ascii="Times New Roman" w:hAnsi="Times New Roman" w:cs="Times New Roman"/>
          <w:b/>
          <w:i w:val="0"/>
          <w:color w:val="auto"/>
          <w:sz w:val="20"/>
          <w:lang w:val="en-US"/>
        </w:rPr>
        <w:t>S1</w:t>
      </w:r>
      <w:r w:rsidRPr="004A67E5">
        <w:rPr>
          <w:rFonts w:ascii="Times New Roman" w:hAnsi="Times New Roman" w:cs="Times New Roman"/>
          <w:b/>
          <w:i w:val="0"/>
          <w:color w:val="auto"/>
          <w:sz w:val="20"/>
          <w:lang w:val="en-US"/>
        </w:rPr>
        <w:t>: Main lines of argument from arti</w:t>
      </w:r>
      <w:bookmarkStart w:id="0" w:name="_GoBack"/>
      <w:bookmarkEnd w:id="0"/>
      <w:r w:rsidRPr="004A67E5">
        <w:rPr>
          <w:rFonts w:ascii="Times New Roman" w:hAnsi="Times New Roman" w:cs="Times New Roman"/>
          <w:b/>
          <w:i w:val="0"/>
          <w:color w:val="auto"/>
          <w:sz w:val="20"/>
          <w:lang w:val="en-US"/>
        </w:rPr>
        <w:t>cles that use the narrative “severe contamination” (31 articles).</w:t>
      </w:r>
    </w:p>
    <w:tbl>
      <w:tblPr>
        <w:tblStyle w:val="TableGrid"/>
        <w:tblW w:w="0" w:type="auto"/>
        <w:tblInd w:w="4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3"/>
        <w:gridCol w:w="6468"/>
      </w:tblGrid>
      <w:tr w:rsidR="004A67E5" w:rsidRPr="004A67E5" w14:paraId="32A01962" w14:textId="77777777" w:rsidTr="00BD3C0C">
        <w:tc>
          <w:tcPr>
            <w:tcW w:w="2183" w:type="dxa"/>
            <w:tcBorders>
              <w:top w:val="single" w:sz="4" w:space="0" w:color="auto"/>
              <w:bottom w:val="single" w:sz="12" w:space="0" w:color="auto"/>
            </w:tcBorders>
          </w:tcPr>
          <w:p w14:paraId="0662C72B"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Main lines of argument</w:t>
            </w:r>
          </w:p>
        </w:tc>
        <w:tc>
          <w:tcPr>
            <w:tcW w:w="6468" w:type="dxa"/>
            <w:tcBorders>
              <w:top w:val="single" w:sz="4" w:space="0" w:color="auto"/>
              <w:bottom w:val="single" w:sz="12" w:space="0" w:color="auto"/>
            </w:tcBorders>
          </w:tcPr>
          <w:p w14:paraId="167F745F"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Sample quotes</w:t>
            </w:r>
          </w:p>
        </w:tc>
      </w:tr>
      <w:tr w:rsidR="004A67E5" w:rsidRPr="004A67E5" w14:paraId="22D6CFA6" w14:textId="77777777" w:rsidTr="00BD3C0C">
        <w:tc>
          <w:tcPr>
            <w:tcW w:w="8651" w:type="dxa"/>
            <w:gridSpan w:val="2"/>
            <w:tcBorders>
              <w:top w:val="single" w:sz="12" w:space="0" w:color="auto"/>
              <w:bottom w:val="nil"/>
            </w:tcBorders>
            <w:shd w:val="clear" w:color="auto" w:fill="D9D9D9" w:themeFill="background1" w:themeFillShade="D9"/>
          </w:tcPr>
          <w:p w14:paraId="42FA9945" w14:textId="77777777" w:rsidR="0089358F" w:rsidRPr="004A67E5" w:rsidRDefault="0089358F" w:rsidP="00BD3C0C">
            <w:pPr>
              <w:spacing w:before="100" w:before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Problem definition</w:t>
            </w:r>
          </w:p>
        </w:tc>
      </w:tr>
      <w:tr w:rsidR="004A67E5" w:rsidRPr="004A67E5" w14:paraId="79F5137D" w14:textId="77777777" w:rsidTr="00BD3C0C">
        <w:tc>
          <w:tcPr>
            <w:tcW w:w="2183" w:type="dxa"/>
            <w:tcBorders>
              <w:top w:val="nil"/>
              <w:bottom w:val="nil"/>
            </w:tcBorders>
          </w:tcPr>
          <w:p w14:paraId="25E8D625" w14:textId="389303E8" w:rsidR="0089358F" w:rsidRPr="004A67E5" w:rsidRDefault="0089358F"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Description of ecological/health impacts</w:t>
            </w:r>
            <w:r w:rsidR="0091177A" w:rsidRPr="004A67E5">
              <w:rPr>
                <w:rFonts w:ascii="Times New Roman" w:eastAsia="Times New Roman" w:hAnsi="Times New Roman" w:cs="Times New Roman"/>
                <w:bCs/>
                <w:sz w:val="20"/>
                <w:szCs w:val="24"/>
                <w:lang w:val="en-US" w:eastAsia="de-DE"/>
              </w:rPr>
              <w:t xml:space="preserve"> of pollutants/ contaminated sites</w:t>
            </w:r>
          </w:p>
        </w:tc>
        <w:tc>
          <w:tcPr>
            <w:tcW w:w="6468" w:type="dxa"/>
            <w:tcBorders>
              <w:top w:val="nil"/>
              <w:bottom w:val="nil"/>
            </w:tcBorders>
          </w:tcPr>
          <w:p w14:paraId="706BFDD0" w14:textId="77777777" w:rsidR="0089358F" w:rsidRPr="004A67E5" w:rsidRDefault="0089358F" w:rsidP="00A1755D">
            <w:pPr>
              <w:spacing w:before="100" w:beforeAutospacing="1" w:after="0"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In Peppenhoven, the flood probably destroyed two oil tanks, von Böselager describes. Via the brooks the toxic substance had reached the middle and last pond at the castle and had killed all ducks there. (Bonner Generalanzeiger, 27 August 2021)</w:t>
            </w:r>
          </w:p>
        </w:tc>
      </w:tr>
      <w:tr w:rsidR="004A67E5" w:rsidRPr="004A67E5" w14:paraId="223A23A3" w14:textId="77777777" w:rsidTr="00BD3C0C">
        <w:tc>
          <w:tcPr>
            <w:tcW w:w="2183" w:type="dxa"/>
            <w:tcBorders>
              <w:top w:val="nil"/>
              <w:bottom w:val="nil"/>
            </w:tcBorders>
          </w:tcPr>
          <w:p w14:paraId="49F99739" w14:textId="752E9CC3" w:rsidR="0089358F" w:rsidRPr="004A67E5" w:rsidRDefault="0089358F"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p>
        </w:tc>
        <w:tc>
          <w:tcPr>
            <w:tcW w:w="6468" w:type="dxa"/>
            <w:tcBorders>
              <w:top w:val="nil"/>
              <w:bottom w:val="nil"/>
            </w:tcBorders>
          </w:tcPr>
          <w:p w14:paraId="072B4671" w14:textId="77777777" w:rsidR="0089358F" w:rsidRPr="004A67E5" w:rsidRDefault="0089358F" w:rsidP="00BD3C0C">
            <w:pPr>
              <w:spacing w:before="100" w:before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Polychlorinated biphenyls are only slightly toxic on brief contact. In the long term, however, they can cause serious damage to the human organism − even if they are only ingested in small quantities. Polychlorinated biphenyls are also carcinogenic, affect the human hormone balance, and can cause liver damage, among other things. (Kölner Stadt-Anzeiger, 31 August 2021)</w:t>
            </w:r>
          </w:p>
        </w:tc>
      </w:tr>
      <w:tr w:rsidR="004A67E5" w:rsidRPr="004A67E5" w14:paraId="1A81E9F2" w14:textId="77777777" w:rsidTr="00BD3C0C">
        <w:tc>
          <w:tcPr>
            <w:tcW w:w="2183" w:type="dxa"/>
            <w:tcBorders>
              <w:top w:val="nil"/>
              <w:bottom w:val="nil"/>
            </w:tcBorders>
          </w:tcPr>
          <w:p w14:paraId="2B75DBBD" w14:textId="1840C8B9" w:rsidR="0089358F" w:rsidRPr="004A67E5" w:rsidRDefault="00C7318F"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Contamination of</w:t>
            </w:r>
            <w:r w:rsidR="0089358F" w:rsidRPr="004A67E5">
              <w:rPr>
                <w:rFonts w:ascii="Times New Roman" w:eastAsia="Times New Roman" w:hAnsi="Times New Roman" w:cs="Times New Roman"/>
                <w:bCs/>
                <w:sz w:val="20"/>
                <w:szCs w:val="24"/>
                <w:lang w:val="en-US" w:eastAsia="de-DE"/>
              </w:rPr>
              <w:t xml:space="preserve"> human food chain</w:t>
            </w:r>
            <w:r w:rsidR="0009251B" w:rsidRPr="004A67E5">
              <w:rPr>
                <w:rFonts w:ascii="Times New Roman" w:eastAsia="Times New Roman" w:hAnsi="Times New Roman" w:cs="Times New Roman"/>
                <w:bCs/>
                <w:sz w:val="20"/>
                <w:szCs w:val="24"/>
                <w:lang w:val="en-US" w:eastAsia="de-DE"/>
              </w:rPr>
              <w:t xml:space="preserve"> including drinking water</w:t>
            </w:r>
          </w:p>
        </w:tc>
        <w:tc>
          <w:tcPr>
            <w:tcW w:w="6468" w:type="dxa"/>
            <w:tcBorders>
              <w:top w:val="nil"/>
              <w:bottom w:val="nil"/>
            </w:tcBorders>
          </w:tcPr>
          <w:p w14:paraId="637BABFD" w14:textId="77777777" w:rsidR="0089358F" w:rsidRPr="004A67E5" w:rsidRDefault="0089358F" w:rsidP="00BD3C0C">
            <w:pPr>
              <w:spacing w:before="100" w:before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In addition, fears are spreading among people that fruit and vegetables from the fields around the farm have been contaminated or at least rendered inedible by the Ahr floodwater, which is contaminated with pollutants. (Rhein-Zeitung, 05 August 2021)</w:t>
            </w:r>
          </w:p>
        </w:tc>
      </w:tr>
      <w:tr w:rsidR="004A67E5" w:rsidRPr="004A67E5" w14:paraId="51DF0B20" w14:textId="77777777" w:rsidTr="00BD3C0C">
        <w:tc>
          <w:tcPr>
            <w:tcW w:w="8651" w:type="dxa"/>
            <w:gridSpan w:val="2"/>
            <w:tcBorders>
              <w:top w:val="nil"/>
              <w:bottom w:val="nil"/>
            </w:tcBorders>
            <w:shd w:val="clear" w:color="auto" w:fill="D9D9D9" w:themeFill="background1" w:themeFillShade="D9"/>
          </w:tcPr>
          <w:p w14:paraId="04F8A503" w14:textId="77777777" w:rsidR="0089358F" w:rsidRPr="004A67E5" w:rsidRDefault="0089358F" w:rsidP="00BD3C0C">
            <w:pPr>
              <w:spacing w:before="100" w:before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Causes</w:t>
            </w:r>
          </w:p>
        </w:tc>
      </w:tr>
      <w:tr w:rsidR="004A67E5" w:rsidRPr="004A67E5" w14:paraId="4EF8F7D9" w14:textId="77777777" w:rsidTr="00BD3C0C">
        <w:tc>
          <w:tcPr>
            <w:tcW w:w="2183" w:type="dxa"/>
            <w:tcBorders>
              <w:top w:val="nil"/>
              <w:bottom w:val="nil"/>
            </w:tcBorders>
          </w:tcPr>
          <w:p w14:paraId="74BABCD0" w14:textId="086119A2" w:rsidR="0089358F" w:rsidRPr="004A67E5" w:rsidRDefault="00C7318F"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D</w:t>
            </w:r>
            <w:r w:rsidR="0089358F" w:rsidRPr="004A67E5">
              <w:rPr>
                <w:rFonts w:ascii="Times New Roman" w:eastAsia="Times New Roman" w:hAnsi="Times New Roman" w:cs="Times New Roman"/>
                <w:bCs/>
                <w:sz w:val="20"/>
                <w:szCs w:val="24"/>
                <w:lang w:val="en-US" w:eastAsia="de-DE"/>
              </w:rPr>
              <w:t>amaged infrastructure</w:t>
            </w:r>
          </w:p>
        </w:tc>
        <w:tc>
          <w:tcPr>
            <w:tcW w:w="6468" w:type="dxa"/>
            <w:tcBorders>
              <w:top w:val="nil"/>
              <w:bottom w:val="nil"/>
            </w:tcBorders>
          </w:tcPr>
          <w:p w14:paraId="3AEA70DF" w14:textId="77777777" w:rsidR="0089358F" w:rsidRPr="004A67E5" w:rsidRDefault="0089358F" w:rsidP="00BD3C0C">
            <w:pPr>
              <w:spacing w:before="100" w:before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In addition, the flooding of industrial plants and wastewater treatment plants also caused considerable pollution of the environment and water bodies. (Eifel-Mosel Zeitung, 09 August 2021)</w:t>
            </w:r>
          </w:p>
        </w:tc>
      </w:tr>
      <w:tr w:rsidR="004A67E5" w:rsidRPr="004A67E5" w14:paraId="6BEEDBF7" w14:textId="77777777" w:rsidTr="00BD3C0C">
        <w:tc>
          <w:tcPr>
            <w:tcW w:w="2183" w:type="dxa"/>
            <w:tcBorders>
              <w:top w:val="nil"/>
            </w:tcBorders>
          </w:tcPr>
          <w:p w14:paraId="40491BB2" w14:textId="102106B7" w:rsidR="0089358F" w:rsidRPr="004A67E5" w:rsidRDefault="00C7318F" w:rsidP="00BD3C0C">
            <w:pPr>
              <w:spacing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H</w:t>
            </w:r>
            <w:r w:rsidR="0089358F" w:rsidRPr="004A67E5">
              <w:rPr>
                <w:rFonts w:ascii="Times New Roman" w:eastAsia="Times New Roman" w:hAnsi="Times New Roman" w:cs="Times New Roman"/>
                <w:bCs/>
                <w:sz w:val="20"/>
                <w:szCs w:val="24"/>
                <w:lang w:val="en-US" w:eastAsia="de-DE"/>
              </w:rPr>
              <w:t>istorical pollution/remobilization</w:t>
            </w:r>
            <w:r w:rsidR="007E46C9" w:rsidRPr="004A67E5">
              <w:rPr>
                <w:rFonts w:ascii="Times New Roman" w:eastAsia="Times New Roman" w:hAnsi="Times New Roman" w:cs="Times New Roman"/>
                <w:bCs/>
                <w:sz w:val="20"/>
                <w:szCs w:val="24"/>
                <w:lang w:val="en-US" w:eastAsia="de-DE"/>
              </w:rPr>
              <w:t xml:space="preserve"> of pollutants</w:t>
            </w:r>
          </w:p>
        </w:tc>
        <w:tc>
          <w:tcPr>
            <w:tcW w:w="6468" w:type="dxa"/>
            <w:tcBorders>
              <w:top w:val="nil"/>
            </w:tcBorders>
          </w:tcPr>
          <w:p w14:paraId="4FB849AA"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pollutants in old river sediments are “chemical time bombs” such as heavy metals or dioxins and dioxin-like compounds that are persistent and difficult to break down, the university explained. These deposits could be stirred up during flood events in the industrialized regions of Europe, North America, and Asia as a result of the high flow velocities. In the process, the pollutants bound to them would be released and contaminate flooded areas. (Frankfurter Neue Presse, 01 August 2021)</w:t>
            </w:r>
          </w:p>
        </w:tc>
      </w:tr>
      <w:tr w:rsidR="004A67E5" w:rsidRPr="004A67E5" w14:paraId="63CD2F28" w14:textId="77777777" w:rsidTr="00BD3C0C">
        <w:tc>
          <w:tcPr>
            <w:tcW w:w="8651" w:type="dxa"/>
            <w:gridSpan w:val="2"/>
            <w:shd w:val="clear" w:color="auto" w:fill="D9D9D9" w:themeFill="background1" w:themeFillShade="D9"/>
          </w:tcPr>
          <w:p w14:paraId="4579916F"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Moral evaluation</w:t>
            </w:r>
          </w:p>
        </w:tc>
      </w:tr>
      <w:tr w:rsidR="004A67E5" w:rsidRPr="004A67E5" w14:paraId="7ECEE9A3" w14:textId="77777777" w:rsidTr="00BD3C0C">
        <w:tc>
          <w:tcPr>
            <w:tcW w:w="2183" w:type="dxa"/>
          </w:tcPr>
          <w:p w14:paraId="5196F795" w14:textId="11C020ED" w:rsidR="0089358F" w:rsidRPr="004A67E5" w:rsidRDefault="00762E1D"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Indication </w:t>
            </w:r>
            <w:r w:rsidR="0089358F" w:rsidRPr="004A67E5">
              <w:rPr>
                <w:rFonts w:ascii="Times New Roman" w:eastAsia="Times New Roman" w:hAnsi="Times New Roman" w:cs="Times New Roman"/>
                <w:bCs/>
                <w:sz w:val="20"/>
                <w:szCs w:val="24"/>
                <w:lang w:val="en-US" w:eastAsia="de-DE"/>
              </w:rPr>
              <w:t xml:space="preserve">of </w:t>
            </w:r>
            <w:r w:rsidRPr="004A67E5">
              <w:rPr>
                <w:rFonts w:ascii="Times New Roman" w:eastAsia="Times New Roman" w:hAnsi="Times New Roman" w:cs="Times New Roman"/>
                <w:bCs/>
                <w:sz w:val="20"/>
                <w:szCs w:val="24"/>
                <w:lang w:val="en-US" w:eastAsia="de-DE"/>
              </w:rPr>
              <w:t xml:space="preserve">incorrectly </w:t>
            </w:r>
            <w:r w:rsidR="0089358F" w:rsidRPr="004A67E5">
              <w:rPr>
                <w:rFonts w:ascii="Times New Roman" w:eastAsia="Times New Roman" w:hAnsi="Times New Roman" w:cs="Times New Roman"/>
                <w:bCs/>
                <w:sz w:val="20"/>
                <w:szCs w:val="24"/>
                <w:lang w:val="en-US" w:eastAsia="de-DE"/>
              </w:rPr>
              <w:t>stora</w:t>
            </w:r>
            <w:r w:rsidRPr="004A67E5">
              <w:rPr>
                <w:rFonts w:ascii="Times New Roman" w:eastAsia="Times New Roman" w:hAnsi="Times New Roman" w:cs="Times New Roman"/>
                <w:bCs/>
                <w:sz w:val="20"/>
                <w:szCs w:val="24"/>
                <w:lang w:val="en-US" w:eastAsia="de-DE"/>
              </w:rPr>
              <w:t>ed</w:t>
            </w:r>
            <w:r w:rsidR="0089358F" w:rsidRPr="004A67E5">
              <w:rPr>
                <w:rFonts w:ascii="Times New Roman" w:eastAsia="Times New Roman" w:hAnsi="Times New Roman" w:cs="Times New Roman"/>
                <w:bCs/>
                <w:sz w:val="20"/>
                <w:szCs w:val="24"/>
                <w:lang w:val="en-US" w:eastAsia="de-DE"/>
              </w:rPr>
              <w:t xml:space="preserve"> of hazardous substances</w:t>
            </w:r>
          </w:p>
        </w:tc>
        <w:tc>
          <w:tcPr>
            <w:tcW w:w="6468" w:type="dxa"/>
          </w:tcPr>
          <w:p w14:paraId="27A4F81B"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Agnes Tillmann-Steinbuß, BUND's representative for the Trier region, is also concerned because villages like Binsfeld have been flooded by streams known to be heavily contaminated with perfluorinated surfactants. These are carcinogenic chemicals that entered the environment with firefighting foam from Spangdahlem Airbase and are virtually non-degradable. Tillmann-Steinbuß has gathered impressions in her Eifel home region in recent weeks that cause her concern: In Auw an der Kyll, foam carpets floated on a stream. At Speicher the Kyll washed up a fuel oil tank. She demands that hazardous substances such as diesel, heating oil or pesticides must not be stored where flooding is imminent. And also not in the vicinity.  (Trierischer Volksfreund, 04 August 2021)</w:t>
            </w:r>
          </w:p>
        </w:tc>
      </w:tr>
      <w:tr w:rsidR="004A67E5" w:rsidRPr="004A67E5" w14:paraId="3106D17B" w14:textId="77777777" w:rsidTr="00BD3C0C">
        <w:tc>
          <w:tcPr>
            <w:tcW w:w="8651" w:type="dxa"/>
            <w:gridSpan w:val="2"/>
            <w:shd w:val="clear" w:color="auto" w:fill="D9D9D9" w:themeFill="background1" w:themeFillShade="D9"/>
          </w:tcPr>
          <w:p w14:paraId="62E61D81"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eastAsia="de-DE"/>
              </w:rPr>
              <w:t>Treatment recommendation</w:t>
            </w:r>
          </w:p>
        </w:tc>
      </w:tr>
      <w:tr w:rsidR="0089358F" w:rsidRPr="004A67E5" w14:paraId="52BB37F1" w14:textId="77777777" w:rsidTr="00BD3C0C">
        <w:tc>
          <w:tcPr>
            <w:tcW w:w="2183" w:type="dxa"/>
          </w:tcPr>
          <w:p w14:paraId="6D9F1992" w14:textId="77777777" w:rsidR="0089358F" w:rsidRPr="004A67E5" w:rsidRDefault="0089358F" w:rsidP="00BD3C0C">
            <w:pPr>
              <w:spacing w:before="100" w:beforeAutospacing="1" w:after="100" w:afterAutospacing="1" w:line="480" w:lineRule="auto"/>
              <w:ind w:left="2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Communication of </w:t>
            </w:r>
            <w:r w:rsidR="003D42AB" w:rsidRPr="004A67E5">
              <w:rPr>
                <w:rFonts w:ascii="Times New Roman" w:eastAsia="Times New Roman" w:hAnsi="Times New Roman" w:cs="Times New Roman"/>
                <w:bCs/>
                <w:sz w:val="20"/>
                <w:szCs w:val="24"/>
                <w:lang w:val="en-US" w:eastAsia="de-DE"/>
              </w:rPr>
              <w:t xml:space="preserve">protective </w:t>
            </w:r>
            <w:r w:rsidRPr="004A67E5">
              <w:rPr>
                <w:rFonts w:ascii="Times New Roman" w:eastAsia="Times New Roman" w:hAnsi="Times New Roman" w:cs="Times New Roman"/>
                <w:bCs/>
                <w:sz w:val="20"/>
                <w:szCs w:val="24"/>
                <w:lang w:val="en-US" w:eastAsia="de-DE"/>
              </w:rPr>
              <w:t>measures</w:t>
            </w:r>
            <w:r w:rsidR="003D42AB" w:rsidRPr="004A67E5">
              <w:rPr>
                <w:rFonts w:ascii="Times New Roman" w:eastAsia="Times New Roman" w:hAnsi="Times New Roman" w:cs="Times New Roman"/>
                <w:bCs/>
                <w:sz w:val="20"/>
                <w:szCs w:val="24"/>
                <w:lang w:val="en-US" w:eastAsia="de-DE"/>
              </w:rPr>
              <w:t xml:space="preserve"> by authorities</w:t>
            </w:r>
          </w:p>
        </w:tc>
        <w:tc>
          <w:tcPr>
            <w:tcW w:w="6468" w:type="dxa"/>
          </w:tcPr>
          <w:p w14:paraId="0BA4F798" w14:textId="77777777" w:rsidR="0089358F" w:rsidRPr="004A67E5" w:rsidRDefault="0089358F" w:rsidP="00BD3C0C">
            <w:pPr>
              <w:spacing w:before="100" w:beforeAutospacing="1" w:after="100" w:afterAutospacing="1" w:line="480" w:lineRule="auto"/>
              <w:ind w:left="179" w:hanging="142"/>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flood wave also released pollutants into the Ahr. Therefore, state authorities advise against contact with Ahr water, unless this is absolutely necessary for reasons of cleanup. Precautionary and protective measures such as wearing gloves and waterproof clothing should be obeyed. (Frankfurter Neue Presse, 01 August 2021)</w:t>
            </w:r>
          </w:p>
        </w:tc>
      </w:tr>
    </w:tbl>
    <w:p w14:paraId="735DFB74" w14:textId="77777777" w:rsidR="0089358F" w:rsidRPr="004A67E5" w:rsidRDefault="0089358F" w:rsidP="0089358F">
      <w:pPr>
        <w:spacing w:before="100" w:beforeAutospacing="1" w:after="100" w:afterAutospacing="1" w:line="480" w:lineRule="auto"/>
        <w:rPr>
          <w:rFonts w:ascii="Times New Roman" w:eastAsia="Times New Roman" w:hAnsi="Times New Roman" w:cs="Times New Roman"/>
          <w:bCs/>
          <w:i/>
          <w:sz w:val="24"/>
          <w:szCs w:val="24"/>
          <w:lang w:val="en-US" w:eastAsia="de-DE"/>
        </w:rPr>
      </w:pPr>
    </w:p>
    <w:p w14:paraId="77848859" w14:textId="77777777" w:rsidR="0089358F" w:rsidRPr="004A67E5" w:rsidRDefault="0089358F" w:rsidP="0089358F">
      <w:pPr>
        <w:spacing w:line="259" w:lineRule="auto"/>
        <w:rPr>
          <w:rFonts w:ascii="Times New Roman" w:eastAsia="Times New Roman" w:hAnsi="Times New Roman" w:cs="Times New Roman"/>
          <w:b/>
          <w:bCs/>
          <w:sz w:val="27"/>
          <w:szCs w:val="27"/>
          <w:lang w:val="en-US" w:eastAsia="de-DE"/>
        </w:rPr>
      </w:pPr>
      <w:r w:rsidRPr="004A67E5">
        <w:rPr>
          <w:rFonts w:ascii="Times New Roman" w:eastAsia="Times New Roman" w:hAnsi="Times New Roman" w:cs="Times New Roman"/>
          <w:b/>
          <w:bCs/>
          <w:sz w:val="27"/>
          <w:szCs w:val="27"/>
          <w:lang w:val="en-US" w:eastAsia="de-DE"/>
        </w:rPr>
        <w:br w:type="page"/>
      </w:r>
    </w:p>
    <w:p w14:paraId="326FBE3C" w14:textId="77777777" w:rsidR="0089358F" w:rsidRPr="004A67E5" w:rsidRDefault="0089358F" w:rsidP="0089358F">
      <w:pPr>
        <w:pStyle w:val="Caption"/>
        <w:keepNext/>
        <w:spacing w:line="480" w:lineRule="auto"/>
        <w:jc w:val="both"/>
        <w:rPr>
          <w:rFonts w:ascii="Times New Roman" w:hAnsi="Times New Roman" w:cs="Times New Roman"/>
          <w:b/>
          <w:i w:val="0"/>
          <w:color w:val="auto"/>
          <w:sz w:val="20"/>
          <w:lang w:val="en-US"/>
        </w:rPr>
      </w:pPr>
      <w:r w:rsidRPr="004A67E5">
        <w:rPr>
          <w:rFonts w:ascii="Times New Roman" w:hAnsi="Times New Roman" w:cs="Times New Roman"/>
          <w:b/>
          <w:i w:val="0"/>
          <w:color w:val="auto"/>
          <w:sz w:val="20"/>
          <w:lang w:val="en-US"/>
        </w:rPr>
        <w:t xml:space="preserve">Table </w:t>
      </w:r>
      <w:r w:rsidR="00521B74" w:rsidRPr="004A67E5">
        <w:rPr>
          <w:rFonts w:ascii="Times New Roman" w:hAnsi="Times New Roman" w:cs="Times New Roman"/>
          <w:b/>
          <w:i w:val="0"/>
          <w:color w:val="auto"/>
          <w:sz w:val="20"/>
          <w:lang w:val="en-US"/>
        </w:rPr>
        <w:t>S2</w:t>
      </w:r>
      <w:r w:rsidRPr="004A67E5">
        <w:rPr>
          <w:rFonts w:ascii="Times New Roman" w:hAnsi="Times New Roman" w:cs="Times New Roman"/>
          <w:b/>
          <w:i w:val="0"/>
          <w:color w:val="auto"/>
          <w:sz w:val="20"/>
          <w:lang w:val="en-US"/>
        </w:rPr>
        <w:t>: Main lines of argument from articles that use the narrative “uncertainty about contamination” (39 articles).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6510"/>
      </w:tblGrid>
      <w:tr w:rsidR="004A67E5" w:rsidRPr="004A67E5" w14:paraId="7737255A" w14:textId="77777777" w:rsidTr="00BD3C0C">
        <w:tc>
          <w:tcPr>
            <w:tcW w:w="2192" w:type="dxa"/>
            <w:tcBorders>
              <w:top w:val="single" w:sz="2" w:space="0" w:color="auto"/>
              <w:bottom w:val="single" w:sz="12" w:space="0" w:color="auto"/>
            </w:tcBorders>
          </w:tcPr>
          <w:p w14:paraId="03E1E00A"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Main lines of argument</w:t>
            </w:r>
          </w:p>
        </w:tc>
        <w:tc>
          <w:tcPr>
            <w:tcW w:w="6510" w:type="dxa"/>
            <w:tcBorders>
              <w:top w:val="single" w:sz="2" w:space="0" w:color="auto"/>
              <w:bottom w:val="single" w:sz="12" w:space="0" w:color="auto"/>
            </w:tcBorders>
          </w:tcPr>
          <w:p w14:paraId="0B5C83C0"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Sample quotes</w:t>
            </w:r>
          </w:p>
        </w:tc>
      </w:tr>
      <w:tr w:rsidR="004A67E5" w:rsidRPr="004A67E5" w14:paraId="4DE1C194" w14:textId="77777777" w:rsidTr="00BD3C0C">
        <w:tc>
          <w:tcPr>
            <w:tcW w:w="8702" w:type="dxa"/>
            <w:gridSpan w:val="2"/>
            <w:tcBorders>
              <w:top w:val="single" w:sz="12" w:space="0" w:color="auto"/>
            </w:tcBorders>
            <w:shd w:val="clear" w:color="auto" w:fill="D9D9D9" w:themeFill="background1" w:themeFillShade="D9"/>
          </w:tcPr>
          <w:p w14:paraId="19A0EE46"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Problem definition</w:t>
            </w:r>
          </w:p>
        </w:tc>
      </w:tr>
      <w:tr w:rsidR="004A67E5" w:rsidRPr="004A67E5" w14:paraId="2D524651" w14:textId="77777777" w:rsidTr="00BD3C0C">
        <w:tc>
          <w:tcPr>
            <w:tcW w:w="2192" w:type="dxa"/>
          </w:tcPr>
          <w:p w14:paraId="68CC35E9" w14:textId="2619DF94" w:rsidR="0089358F" w:rsidRPr="004A67E5" w:rsidRDefault="00762E1D"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Authorities cannot yet assess e</w:t>
            </w:r>
            <w:r w:rsidR="0089358F" w:rsidRPr="004A67E5">
              <w:rPr>
                <w:rFonts w:ascii="Times New Roman" w:eastAsia="Times New Roman" w:hAnsi="Times New Roman" w:cs="Times New Roman"/>
                <w:bCs/>
                <w:sz w:val="20"/>
                <w:szCs w:val="24"/>
                <w:lang w:val="en-US" w:eastAsia="de-DE"/>
              </w:rPr>
              <w:t>nvironmental hazard</w:t>
            </w:r>
          </w:p>
        </w:tc>
        <w:tc>
          <w:tcPr>
            <w:tcW w:w="6510" w:type="dxa"/>
          </w:tcPr>
          <w:p w14:paraId="7D3D221A"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How massive the consequences for nature and the environment, especially from fossil fuels in the waters, actually are, cannot yet be realistically assessed by the responsible authorities. (Neue Ruhr Rhein Zeitung, 21 July 2021)</w:t>
            </w:r>
          </w:p>
        </w:tc>
      </w:tr>
      <w:tr w:rsidR="004A67E5" w:rsidRPr="004A67E5" w14:paraId="35BAE47B" w14:textId="77777777" w:rsidTr="00BD3C0C">
        <w:tc>
          <w:tcPr>
            <w:tcW w:w="8702" w:type="dxa"/>
            <w:gridSpan w:val="2"/>
            <w:shd w:val="clear" w:color="auto" w:fill="D9D9D9" w:themeFill="background1" w:themeFillShade="D9"/>
          </w:tcPr>
          <w:p w14:paraId="48606977"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Causes</w:t>
            </w:r>
          </w:p>
        </w:tc>
      </w:tr>
      <w:tr w:rsidR="004A67E5" w:rsidRPr="004A67E5" w14:paraId="1006ED35" w14:textId="77777777" w:rsidTr="00BD3C0C">
        <w:tc>
          <w:tcPr>
            <w:tcW w:w="2192" w:type="dxa"/>
          </w:tcPr>
          <w:p w14:paraId="5DC0EF0F" w14:textId="0CDDE4E0" w:rsidR="00C7318F" w:rsidRPr="004A67E5" w:rsidRDefault="006A5060" w:rsidP="00BD3C0C">
            <w:pPr>
              <w:spacing w:before="100" w:beforeAutospacing="1" w:after="100" w:afterAutospacing="1" w:line="480" w:lineRule="auto"/>
              <w:rPr>
                <w:rFonts w:ascii="Times New Roman" w:eastAsia="Times New Roman" w:hAnsi="Times New Roman" w:cs="Times New Roman"/>
                <w:bCs/>
                <w:sz w:val="24"/>
                <w:szCs w:val="24"/>
                <w:lang w:val="en-US" w:eastAsia="de-DE"/>
              </w:rPr>
            </w:pPr>
            <w:r w:rsidRPr="004A67E5">
              <w:rPr>
                <w:rFonts w:ascii="Times New Roman" w:eastAsia="Times New Roman" w:hAnsi="Times New Roman" w:cs="Times New Roman"/>
                <w:bCs/>
                <w:sz w:val="20"/>
                <w:szCs w:val="24"/>
                <w:lang w:val="en-US" w:eastAsia="de-DE"/>
              </w:rPr>
              <w:t>Lack of knowledge</w:t>
            </w:r>
            <w:r w:rsidR="00C7318F" w:rsidRPr="004A67E5">
              <w:rPr>
                <w:rFonts w:ascii="Times New Roman" w:eastAsia="Times New Roman" w:hAnsi="Times New Roman" w:cs="Times New Roman"/>
                <w:bCs/>
                <w:sz w:val="20"/>
                <w:szCs w:val="24"/>
                <w:lang w:val="en-US" w:eastAsia="de-DE"/>
              </w:rPr>
              <w:t xml:space="preserve"> </w:t>
            </w:r>
            <w:r w:rsidR="00486E27" w:rsidRPr="004A67E5">
              <w:rPr>
                <w:rFonts w:ascii="Times New Roman" w:eastAsia="Times New Roman" w:hAnsi="Times New Roman" w:cs="Times New Roman"/>
                <w:bCs/>
                <w:sz w:val="20"/>
                <w:szCs w:val="24"/>
                <w:lang w:val="en-US" w:eastAsia="de-DE"/>
              </w:rPr>
              <w:t xml:space="preserve">and </w:t>
            </w:r>
            <w:r w:rsidR="00C7318F" w:rsidRPr="004A67E5">
              <w:rPr>
                <w:rFonts w:ascii="Times New Roman" w:eastAsia="Times New Roman" w:hAnsi="Times New Roman" w:cs="Times New Roman"/>
                <w:bCs/>
                <w:sz w:val="20"/>
                <w:szCs w:val="24"/>
                <w:lang w:val="en-US" w:eastAsia="de-DE"/>
              </w:rPr>
              <w:t>ignorance</w:t>
            </w:r>
            <w:r w:rsidR="00486E27" w:rsidRPr="004A67E5">
              <w:rPr>
                <w:rFonts w:ascii="Times New Roman" w:eastAsia="Times New Roman" w:hAnsi="Times New Roman" w:cs="Times New Roman"/>
                <w:bCs/>
                <w:sz w:val="20"/>
                <w:szCs w:val="24"/>
                <w:lang w:val="en-US" w:eastAsia="de-DE"/>
              </w:rPr>
              <w:t xml:space="preserve"> about contamination</w:t>
            </w:r>
          </w:p>
        </w:tc>
        <w:tc>
          <w:tcPr>
            <w:tcW w:w="6510" w:type="dxa"/>
          </w:tcPr>
          <w:p w14:paraId="23B3FEBE" w14:textId="46BC5810"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p>
          <w:p w14:paraId="4DA00C5B" w14:textId="05F68FA6" w:rsidR="00486E27" w:rsidRPr="004A67E5" w:rsidRDefault="00486E27" w:rsidP="00BD3C0C">
            <w:pPr>
              <w:spacing w:before="100" w:beforeAutospacing="1" w:after="100" w:afterAutospacing="1" w:line="480" w:lineRule="auto"/>
              <w:ind w:left="179" w:hanging="179"/>
              <w:rPr>
                <w:rFonts w:ascii="Times New Roman" w:eastAsia="Times New Roman" w:hAnsi="Times New Roman" w:cs="Times New Roman"/>
                <w:bCs/>
                <w:sz w:val="24"/>
                <w:szCs w:val="24"/>
                <w:lang w:val="en-US" w:eastAsia="de-DE"/>
              </w:rPr>
            </w:pPr>
            <w:r w:rsidRPr="004A67E5">
              <w:rPr>
                <w:rFonts w:ascii="Times New Roman" w:eastAsia="Times New Roman" w:hAnsi="Times New Roman" w:cs="Times New Roman"/>
                <w:bCs/>
                <w:sz w:val="20"/>
                <w:szCs w:val="20"/>
                <w:lang w:val="en-US" w:eastAsia="de-DE"/>
              </w:rPr>
              <w:t>No one can ultimately tell what ended up in the reservoir, but it will certainly have included hazardous materials such as gasoline, oil, paints and varnishes, as well as household cleaners and similar substances. (Kölnische Rundschau, 10 August 2021)</w:t>
            </w:r>
          </w:p>
        </w:tc>
      </w:tr>
      <w:tr w:rsidR="004A67E5" w:rsidRPr="004A67E5" w14:paraId="077ABFD5" w14:textId="77777777" w:rsidTr="00BD3C0C">
        <w:tc>
          <w:tcPr>
            <w:tcW w:w="8702" w:type="dxa"/>
            <w:gridSpan w:val="2"/>
            <w:shd w:val="clear" w:color="auto" w:fill="D9D9D9" w:themeFill="background1" w:themeFillShade="D9"/>
          </w:tcPr>
          <w:p w14:paraId="74C6BE2D"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Moral evaluation</w:t>
            </w:r>
          </w:p>
        </w:tc>
      </w:tr>
      <w:tr w:rsidR="004A67E5" w:rsidRPr="004A67E5" w14:paraId="06070070" w14:textId="77777777" w:rsidTr="00BD3C0C">
        <w:tc>
          <w:tcPr>
            <w:tcW w:w="2192" w:type="dxa"/>
          </w:tcPr>
          <w:p w14:paraId="0B1E0F0C" w14:textId="5975BF94" w:rsidR="0089358F" w:rsidRPr="004A67E5" w:rsidRDefault="00486E27"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L</w:t>
            </w:r>
            <w:r w:rsidR="0089358F" w:rsidRPr="004A67E5">
              <w:rPr>
                <w:rFonts w:ascii="Times New Roman" w:eastAsia="Times New Roman" w:hAnsi="Times New Roman" w:cs="Times New Roman"/>
                <w:bCs/>
                <w:sz w:val="20"/>
                <w:szCs w:val="24"/>
                <w:lang w:val="en-US" w:eastAsia="de-DE"/>
              </w:rPr>
              <w:t xml:space="preserve">ack of information </w:t>
            </w:r>
            <w:r w:rsidRPr="004A67E5">
              <w:rPr>
                <w:rFonts w:ascii="Times New Roman" w:eastAsia="Times New Roman" w:hAnsi="Times New Roman" w:cs="Times New Roman"/>
                <w:bCs/>
                <w:sz w:val="20"/>
                <w:szCs w:val="24"/>
                <w:lang w:val="en-US" w:eastAsia="de-DE"/>
              </w:rPr>
              <w:t xml:space="preserve">and fear </w:t>
            </w:r>
            <w:r w:rsidR="0089358F" w:rsidRPr="004A67E5">
              <w:rPr>
                <w:rFonts w:ascii="Times New Roman" w:eastAsia="Times New Roman" w:hAnsi="Times New Roman" w:cs="Times New Roman"/>
                <w:bCs/>
                <w:sz w:val="20"/>
                <w:szCs w:val="24"/>
                <w:lang w:val="en-US" w:eastAsia="de-DE"/>
              </w:rPr>
              <w:t>among the public</w:t>
            </w:r>
            <w:r w:rsidRPr="004A67E5">
              <w:rPr>
                <w:rFonts w:ascii="Times New Roman" w:eastAsia="Times New Roman" w:hAnsi="Times New Roman" w:cs="Times New Roman"/>
                <w:bCs/>
                <w:sz w:val="20"/>
                <w:szCs w:val="24"/>
                <w:lang w:val="en-US" w:eastAsia="de-DE"/>
              </w:rPr>
              <w:t>, accusation of authorities</w:t>
            </w:r>
          </w:p>
          <w:p w14:paraId="1B33E979" w14:textId="7320EC14" w:rsidR="00C7318F" w:rsidRPr="004A67E5" w:rsidRDefault="00C7318F" w:rsidP="00BD3C0C">
            <w:pPr>
              <w:spacing w:before="100" w:beforeAutospacing="1" w:after="100" w:afterAutospacing="1" w:line="480" w:lineRule="auto"/>
              <w:rPr>
                <w:rFonts w:ascii="Times New Roman" w:eastAsia="Times New Roman" w:hAnsi="Times New Roman" w:cs="Times New Roman"/>
                <w:bCs/>
                <w:sz w:val="24"/>
                <w:szCs w:val="24"/>
                <w:lang w:val="en-US" w:eastAsia="de-DE"/>
              </w:rPr>
            </w:pPr>
          </w:p>
        </w:tc>
        <w:tc>
          <w:tcPr>
            <w:tcW w:w="6510" w:type="dxa"/>
          </w:tcPr>
          <w:p w14:paraId="31907D95" w14:textId="77777777" w:rsidR="0089358F" w:rsidRPr="004A67E5" w:rsidRDefault="0089358F" w:rsidP="00BD3C0C">
            <w:pPr>
              <w:spacing w:before="100" w:beforeAutospacing="1" w:after="100" w:afterAutospacing="1" w:line="480" w:lineRule="auto"/>
              <w:ind w:left="181" w:hanging="181"/>
              <w:contextualSpacing/>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Many citizens and farmers in the district are feeling the same way as Radzuweit at the moment. They are not aware of the contaminants that the flood and the mud have brought with them. (Kölner Stadt-Anzeiger, 31 August 2021)</w:t>
            </w:r>
          </w:p>
          <w:p w14:paraId="0F2E8091"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4"/>
                <w:szCs w:val="24"/>
                <w:lang w:val="en-US" w:eastAsia="de-DE"/>
              </w:rPr>
            </w:pPr>
            <w:r w:rsidRPr="004A67E5">
              <w:rPr>
                <w:rFonts w:ascii="Times New Roman" w:eastAsia="Times New Roman" w:hAnsi="Times New Roman" w:cs="Times New Roman"/>
                <w:bCs/>
                <w:sz w:val="20"/>
                <w:szCs w:val="24"/>
                <w:lang w:val="en-US" w:eastAsia="de-DE"/>
              </w:rPr>
              <w:t>One of his neighbors, Hans-Peter Linden, fears for his crops. “No one tells us what's going on with the soils. My potatoes could be contaminated,” says Linden. (Kölner Stadt-Anzeiger, 31 August 2021)</w:t>
            </w:r>
          </w:p>
        </w:tc>
      </w:tr>
      <w:tr w:rsidR="004A67E5" w:rsidRPr="004A67E5" w14:paraId="213FCBD7" w14:textId="77777777" w:rsidTr="00BD3C0C">
        <w:tc>
          <w:tcPr>
            <w:tcW w:w="2192" w:type="dxa"/>
          </w:tcPr>
          <w:p w14:paraId="55A88049" w14:textId="15437A7E" w:rsidR="0089358F" w:rsidRPr="004A67E5" w:rsidRDefault="00F63C43"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Accusation of the federal government </w:t>
            </w:r>
            <w:r w:rsidR="0089358F" w:rsidRPr="004A67E5">
              <w:rPr>
                <w:rFonts w:ascii="Times New Roman" w:eastAsia="Times New Roman" w:hAnsi="Times New Roman" w:cs="Times New Roman"/>
                <w:bCs/>
                <w:sz w:val="20"/>
                <w:szCs w:val="24"/>
                <w:lang w:val="en-US" w:eastAsia="de-DE"/>
              </w:rPr>
              <w:t>by the political opposition</w:t>
            </w:r>
          </w:p>
        </w:tc>
        <w:tc>
          <w:tcPr>
            <w:tcW w:w="6510" w:type="dxa"/>
          </w:tcPr>
          <w:p w14:paraId="3C4E41D1" w14:textId="77777777" w:rsidR="0089358F" w:rsidRPr="004A67E5" w:rsidRDefault="0089358F" w:rsidP="00BD3C0C">
            <w:pPr>
              <w:spacing w:before="100" w:beforeAutospacing="1" w:after="100" w:afterAutospacing="1" w:line="480" w:lineRule="auto"/>
              <w:ind w:left="181" w:hanging="181"/>
              <w:contextualSpacing/>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A good month after the devastating flood disaster in North Rhine-Westphalia and Rhineland-Palatinate, Markus Herbrand, an FDP member of the Bundestag from Euskirchen, has accused the federal government of not dealing sufficiently with the issue of contaminated sludge: “Mold and fungus formation and, in some cases, acrid stench have been constant companions of the people affected by the flood for weeks,” Herbrand said. It could not be that they still have to live for weeks or even months in the dangerous uncertainty whether flooded wastewater treatment plants and destroyed oil tanks have led to health-threatening contamination of house or agricultural land. </w:t>
            </w:r>
            <w:r w:rsidRPr="004A67E5">
              <w:rPr>
                <w:rFonts w:ascii="Times New Roman" w:eastAsia="Times New Roman" w:hAnsi="Times New Roman" w:cs="Times New Roman"/>
                <w:bCs/>
                <w:sz w:val="20"/>
                <w:szCs w:val="24"/>
                <w:lang w:eastAsia="de-DE"/>
              </w:rPr>
              <w:t>(Rheinische Post, 18 August 2021)</w:t>
            </w:r>
          </w:p>
        </w:tc>
      </w:tr>
      <w:tr w:rsidR="004A67E5" w:rsidRPr="004A67E5" w14:paraId="4FA4D848" w14:textId="77777777" w:rsidTr="00BD3C0C">
        <w:tc>
          <w:tcPr>
            <w:tcW w:w="8702" w:type="dxa"/>
            <w:gridSpan w:val="2"/>
            <w:shd w:val="clear" w:color="auto" w:fill="D9D9D9" w:themeFill="background1" w:themeFillShade="D9"/>
          </w:tcPr>
          <w:p w14:paraId="277BB393" w14:textId="77777777" w:rsidR="0089358F" w:rsidRPr="004A67E5" w:rsidRDefault="0089358F" w:rsidP="00BD3C0C">
            <w:pPr>
              <w:spacing w:before="100" w:beforeAutospacing="1" w:after="100" w:afterAutospacing="1" w:line="480" w:lineRule="auto"/>
              <w:ind w:left="181" w:hanging="181"/>
              <w:contextualSpacing/>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Treatment recommendation</w:t>
            </w:r>
          </w:p>
        </w:tc>
      </w:tr>
      <w:tr w:rsidR="004A67E5" w:rsidRPr="004A67E5" w14:paraId="4E7179A0" w14:textId="77777777" w:rsidTr="00BD3C0C">
        <w:tc>
          <w:tcPr>
            <w:tcW w:w="2192" w:type="dxa"/>
          </w:tcPr>
          <w:p w14:paraId="020A1FBF" w14:textId="306C6065"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4"/>
                <w:szCs w:val="24"/>
                <w:lang w:val="en-US" w:eastAsia="de-DE"/>
              </w:rPr>
            </w:pPr>
            <w:r w:rsidRPr="004A67E5">
              <w:rPr>
                <w:rFonts w:ascii="Times New Roman" w:eastAsia="Times New Roman" w:hAnsi="Times New Roman" w:cs="Times New Roman"/>
                <w:bCs/>
                <w:sz w:val="20"/>
                <w:szCs w:val="24"/>
                <w:lang w:val="en-US" w:eastAsia="de-DE"/>
              </w:rPr>
              <w:t xml:space="preserve">Political action, </w:t>
            </w:r>
            <w:r w:rsidR="00F63C43" w:rsidRPr="004A67E5">
              <w:rPr>
                <w:rFonts w:ascii="Times New Roman" w:eastAsia="Times New Roman" w:hAnsi="Times New Roman" w:cs="Times New Roman"/>
                <w:bCs/>
                <w:sz w:val="20"/>
                <w:szCs w:val="24"/>
                <w:lang w:val="en-US" w:eastAsia="de-DE"/>
              </w:rPr>
              <w:t xml:space="preserve">chemical monitoring of various sites </w:t>
            </w:r>
            <w:r w:rsidRPr="004A67E5">
              <w:rPr>
                <w:rFonts w:ascii="Times New Roman" w:eastAsia="Times New Roman" w:hAnsi="Times New Roman" w:cs="Times New Roman"/>
                <w:bCs/>
                <w:sz w:val="20"/>
                <w:szCs w:val="24"/>
                <w:lang w:val="en-US" w:eastAsia="de-DE"/>
              </w:rPr>
              <w:t>to provide security</w:t>
            </w:r>
          </w:p>
        </w:tc>
        <w:tc>
          <w:tcPr>
            <w:tcW w:w="6510" w:type="dxa"/>
          </w:tcPr>
          <w:p w14:paraId="597090D7"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“Due to the damage caused by the devastating extreme weather disaster, we need to examine the extent to which our waters have been polluted, for example, with chemicals from industrial and commercial sites or bacteria from wastewater facilities. How serious the negative environmental impacts actually are can only be determined by water samples. I am therefore pleased that the employees of the SGD Nord staff, with the support of the State Office for the Environment (LfU) and the German Federal Institute of Hydrology (BfG) have continued the monitoring of the rivers Ahr, Kyll, Prüm, and Sauer with a special measuring program after the dramatic flood event. In this way our water authorities are making a key contribution to the long-term protection of our streams and rivers. After all, we can only take countermeasures if we know which substances actually have entered our waters,” says Climate Protection and Environment Minister Anne Spiegel. (Rhein-Zeitung, 05 August 2021)</w:t>
            </w:r>
          </w:p>
        </w:tc>
      </w:tr>
      <w:tr w:rsidR="0089358F" w:rsidRPr="004A67E5" w14:paraId="539BAA1F" w14:textId="77777777" w:rsidTr="00BD3C0C">
        <w:tc>
          <w:tcPr>
            <w:tcW w:w="2192" w:type="dxa"/>
            <w:tcBorders>
              <w:bottom w:val="single" w:sz="4" w:space="0" w:color="auto"/>
            </w:tcBorders>
          </w:tcPr>
          <w:p w14:paraId="12154BA2" w14:textId="59F5812D" w:rsidR="00C731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Special attention to vulnerable groups</w:t>
            </w:r>
            <w:r w:rsidR="0091177A" w:rsidRPr="004A67E5">
              <w:rPr>
                <w:rFonts w:ascii="Times New Roman" w:eastAsia="Times New Roman" w:hAnsi="Times New Roman" w:cs="Times New Roman"/>
                <w:bCs/>
                <w:sz w:val="20"/>
                <w:szCs w:val="24"/>
                <w:lang w:val="en-US" w:eastAsia="de-DE"/>
              </w:rPr>
              <w:t xml:space="preserve"> and hotspots</w:t>
            </w:r>
          </w:p>
        </w:tc>
        <w:tc>
          <w:tcPr>
            <w:tcW w:w="6510" w:type="dxa"/>
            <w:tcBorders>
              <w:bottom w:val="single" w:sz="4" w:space="0" w:color="auto"/>
            </w:tcBorders>
          </w:tcPr>
          <w:p w14:paraId="560331D5" w14:textId="77777777" w:rsidR="0089358F" w:rsidRPr="004A67E5" w:rsidRDefault="0089358F" w:rsidP="00BD3C0C">
            <w:pPr>
              <w:spacing w:before="100" w:beforeAutospacing="1" w:after="100" w:afterAutospacing="1" w:line="480" w:lineRule="auto"/>
              <w:ind w:left="179" w:hanging="179"/>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So far, about 120 areas have been sampled in the Western Eifel and the Ahr Valley, including mainly sensitive areas such as playgrounds and potential hotspots, publicly accessible areas downstream of localities, but also gardens and green spaces.  (Rhein-Lahn-Zeitung, 12 October 2021)</w:t>
            </w:r>
          </w:p>
        </w:tc>
      </w:tr>
    </w:tbl>
    <w:p w14:paraId="15DA36C3" w14:textId="77777777" w:rsidR="0089358F" w:rsidRPr="004A67E5" w:rsidRDefault="0089358F" w:rsidP="0089358F">
      <w:pPr>
        <w:spacing w:before="100" w:beforeAutospacing="1" w:after="100" w:afterAutospacing="1" w:line="480" w:lineRule="auto"/>
        <w:outlineLvl w:val="2"/>
        <w:rPr>
          <w:rFonts w:ascii="Times New Roman" w:eastAsia="Times New Roman" w:hAnsi="Times New Roman" w:cs="Times New Roman"/>
          <w:b/>
          <w:bCs/>
          <w:sz w:val="27"/>
          <w:szCs w:val="27"/>
          <w:lang w:val="en-US" w:eastAsia="de-DE"/>
        </w:rPr>
      </w:pPr>
    </w:p>
    <w:p w14:paraId="6F73A5F6" w14:textId="77777777" w:rsidR="0089358F" w:rsidRPr="004A67E5" w:rsidRDefault="0089358F" w:rsidP="0089358F">
      <w:pPr>
        <w:spacing w:line="259" w:lineRule="auto"/>
        <w:rPr>
          <w:rFonts w:ascii="Times New Roman" w:eastAsia="Times New Roman" w:hAnsi="Times New Roman" w:cs="Times New Roman"/>
          <w:b/>
          <w:bCs/>
          <w:sz w:val="27"/>
          <w:szCs w:val="27"/>
          <w:lang w:val="en-US" w:eastAsia="de-DE"/>
        </w:rPr>
      </w:pPr>
      <w:r w:rsidRPr="004A67E5">
        <w:rPr>
          <w:rFonts w:ascii="Times New Roman" w:eastAsia="Times New Roman" w:hAnsi="Times New Roman" w:cs="Times New Roman"/>
          <w:b/>
          <w:bCs/>
          <w:sz w:val="27"/>
          <w:szCs w:val="27"/>
          <w:lang w:val="en-US" w:eastAsia="de-DE"/>
        </w:rPr>
        <w:br w:type="page"/>
      </w:r>
    </w:p>
    <w:p w14:paraId="42B2C760" w14:textId="77777777" w:rsidR="0089358F" w:rsidRPr="004A67E5" w:rsidRDefault="0089358F" w:rsidP="0089358F">
      <w:pPr>
        <w:pStyle w:val="Caption"/>
        <w:keepNext/>
        <w:spacing w:line="480" w:lineRule="auto"/>
        <w:jc w:val="both"/>
        <w:rPr>
          <w:rFonts w:ascii="Times New Roman" w:hAnsi="Times New Roman" w:cs="Times New Roman"/>
          <w:b/>
          <w:i w:val="0"/>
          <w:color w:val="auto"/>
          <w:sz w:val="20"/>
          <w:lang w:val="en-US"/>
        </w:rPr>
      </w:pPr>
      <w:r w:rsidRPr="004A67E5">
        <w:rPr>
          <w:rFonts w:ascii="Times New Roman" w:hAnsi="Times New Roman" w:cs="Times New Roman"/>
          <w:b/>
          <w:i w:val="0"/>
          <w:color w:val="auto"/>
          <w:sz w:val="20"/>
          <w:lang w:val="en-US"/>
        </w:rPr>
        <w:t xml:space="preserve">Table </w:t>
      </w:r>
      <w:r w:rsidR="00521B74" w:rsidRPr="004A67E5">
        <w:rPr>
          <w:rFonts w:ascii="Times New Roman" w:hAnsi="Times New Roman" w:cs="Times New Roman"/>
          <w:b/>
          <w:i w:val="0"/>
          <w:color w:val="auto"/>
          <w:sz w:val="20"/>
          <w:lang w:val="en-US"/>
        </w:rPr>
        <w:t>S3</w:t>
      </w:r>
      <w:r w:rsidRPr="004A67E5">
        <w:rPr>
          <w:rFonts w:ascii="Times New Roman" w:hAnsi="Times New Roman" w:cs="Times New Roman"/>
          <w:b/>
          <w:i w:val="0"/>
          <w:color w:val="auto"/>
          <w:sz w:val="20"/>
          <w:lang w:val="en-US"/>
        </w:rPr>
        <w:t>: Main lines of argument from articles that use the narrative “no severe long-term contamination” (25 articles).</w:t>
      </w:r>
    </w:p>
    <w:tbl>
      <w:tblPr>
        <w:tblStyle w:val="TableGrid"/>
        <w:tblW w:w="0" w:type="auto"/>
        <w:tblInd w:w="360" w:type="dxa"/>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6515"/>
      </w:tblGrid>
      <w:tr w:rsidR="004A67E5" w:rsidRPr="004A67E5" w14:paraId="210BAAE1" w14:textId="77777777" w:rsidTr="00BD3C0C">
        <w:tc>
          <w:tcPr>
            <w:tcW w:w="2187" w:type="dxa"/>
            <w:tcBorders>
              <w:top w:val="single" w:sz="2" w:space="0" w:color="auto"/>
              <w:bottom w:val="single" w:sz="12" w:space="0" w:color="auto"/>
            </w:tcBorders>
          </w:tcPr>
          <w:p w14:paraId="5F979533"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Main lines of argument</w:t>
            </w:r>
          </w:p>
        </w:tc>
        <w:tc>
          <w:tcPr>
            <w:tcW w:w="6515" w:type="dxa"/>
            <w:tcBorders>
              <w:top w:val="single" w:sz="2" w:space="0" w:color="auto"/>
              <w:bottom w:val="single" w:sz="12" w:space="0" w:color="auto"/>
            </w:tcBorders>
          </w:tcPr>
          <w:p w14:paraId="5543B1DF"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Sample quotes</w:t>
            </w:r>
          </w:p>
        </w:tc>
      </w:tr>
      <w:tr w:rsidR="004A67E5" w:rsidRPr="004A67E5" w14:paraId="461C2A85" w14:textId="77777777" w:rsidTr="00BD3C0C">
        <w:tc>
          <w:tcPr>
            <w:tcW w:w="8702" w:type="dxa"/>
            <w:gridSpan w:val="2"/>
            <w:tcBorders>
              <w:top w:val="single" w:sz="12" w:space="0" w:color="auto"/>
              <w:bottom w:val="nil"/>
            </w:tcBorders>
            <w:shd w:val="clear" w:color="auto" w:fill="D9D9D9" w:themeFill="background1" w:themeFillShade="D9"/>
          </w:tcPr>
          <w:p w14:paraId="57A73EAC" w14:textId="77777777" w:rsidR="0089358F" w:rsidRPr="004A67E5" w:rsidRDefault="0089358F" w:rsidP="00BD3C0C">
            <w:pPr>
              <w:spacing w:before="100" w:beforeAutospacing="1" w:after="100" w:afterAutospacing="1" w:line="480" w:lineRule="auto"/>
              <w:ind w:left="180" w:hanging="141"/>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Problem definition</w:t>
            </w:r>
          </w:p>
        </w:tc>
      </w:tr>
      <w:tr w:rsidR="004A67E5" w:rsidRPr="004A67E5" w14:paraId="5FCA1A1F" w14:textId="77777777" w:rsidTr="00BD3C0C">
        <w:tc>
          <w:tcPr>
            <w:tcW w:w="2187" w:type="dxa"/>
            <w:tcBorders>
              <w:top w:val="nil"/>
              <w:bottom w:val="nil"/>
            </w:tcBorders>
          </w:tcPr>
          <w:p w14:paraId="008E14EC" w14:textId="59BC8220" w:rsidR="00E250FA" w:rsidRPr="004A67E5" w:rsidRDefault="00305F56"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All-clear based on chemical </w:t>
            </w:r>
            <w:r w:rsidR="00201124" w:rsidRPr="004A67E5">
              <w:rPr>
                <w:rFonts w:ascii="Times New Roman" w:eastAsia="Times New Roman" w:hAnsi="Times New Roman" w:cs="Times New Roman"/>
                <w:bCs/>
                <w:sz w:val="20"/>
                <w:szCs w:val="24"/>
                <w:lang w:val="en-US" w:eastAsia="de-DE"/>
              </w:rPr>
              <w:t xml:space="preserve">monitoring </w:t>
            </w:r>
            <w:r w:rsidR="0089358F" w:rsidRPr="004A67E5">
              <w:rPr>
                <w:rFonts w:ascii="Times New Roman" w:eastAsia="Times New Roman" w:hAnsi="Times New Roman" w:cs="Times New Roman"/>
                <w:bCs/>
                <w:sz w:val="20"/>
                <w:szCs w:val="24"/>
                <w:lang w:val="en-US" w:eastAsia="de-DE"/>
              </w:rPr>
              <w:t>results</w:t>
            </w:r>
          </w:p>
        </w:tc>
        <w:tc>
          <w:tcPr>
            <w:tcW w:w="6515" w:type="dxa"/>
            <w:tcBorders>
              <w:top w:val="nil"/>
              <w:bottom w:val="nil"/>
            </w:tcBorders>
          </w:tcPr>
          <w:p w14:paraId="65C55E93" w14:textId="77777777" w:rsidR="0089358F" w:rsidRPr="004A67E5" w:rsidRDefault="0089358F" w:rsidP="00BD3C0C">
            <w:pPr>
              <w:spacing w:before="100" w:beforeAutospacing="1" w:after="100" w:afterAutospacing="1" w:line="480" w:lineRule="auto"/>
              <w:ind w:left="180" w:hanging="141"/>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devastating flood apparently left no serious long-term chemical contamination in the Ahr River. This is indicated by the first results of the special measuring program of the Structural and Approval Directorate North (SGD Nord) and the State Office for the Environment (LfU). (Allgemeine Zeitung Mainz, 02 September 2021)</w:t>
            </w:r>
          </w:p>
        </w:tc>
      </w:tr>
      <w:tr w:rsidR="004A67E5" w:rsidRPr="004A67E5" w14:paraId="12160C2F" w14:textId="77777777" w:rsidTr="00BD3C0C">
        <w:tc>
          <w:tcPr>
            <w:tcW w:w="2187" w:type="dxa"/>
            <w:tcBorders>
              <w:top w:val="nil"/>
            </w:tcBorders>
          </w:tcPr>
          <w:p w14:paraId="67591211"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p>
        </w:tc>
        <w:tc>
          <w:tcPr>
            <w:tcW w:w="6515" w:type="dxa"/>
            <w:tcBorders>
              <w:top w:val="nil"/>
            </w:tcBorders>
          </w:tcPr>
          <w:p w14:paraId="5F170B36"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But the waters seem to recover relatively quickly. The Eifel-Rur Water Association (WVER) reports “that the temporarily elevated measured values are now mostly back within the normal range”. (Kölner Stadt-Anzeiger, 17 September 21)</w:t>
            </w:r>
          </w:p>
        </w:tc>
      </w:tr>
      <w:tr w:rsidR="004A67E5" w:rsidRPr="004A67E5" w14:paraId="4DA4C548" w14:textId="77777777" w:rsidTr="00BD3C0C">
        <w:tc>
          <w:tcPr>
            <w:tcW w:w="8702" w:type="dxa"/>
            <w:gridSpan w:val="2"/>
            <w:tcBorders>
              <w:top w:val="nil"/>
            </w:tcBorders>
            <w:shd w:val="clear" w:color="auto" w:fill="D9D9D9" w:themeFill="background1" w:themeFillShade="D9"/>
          </w:tcPr>
          <w:p w14:paraId="72DE1A53"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Causes</w:t>
            </w:r>
          </w:p>
        </w:tc>
      </w:tr>
      <w:tr w:rsidR="004A67E5" w:rsidRPr="004A67E5" w14:paraId="6EDA9A98" w14:textId="77777777" w:rsidTr="00BD3C0C">
        <w:tc>
          <w:tcPr>
            <w:tcW w:w="2187" w:type="dxa"/>
          </w:tcPr>
          <w:p w14:paraId="453140FC" w14:textId="2FD8F4D2" w:rsidR="0089358F" w:rsidRPr="004A67E5" w:rsidRDefault="00E250FA"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D</w:t>
            </w:r>
            <w:r w:rsidR="0089358F" w:rsidRPr="004A67E5">
              <w:rPr>
                <w:rFonts w:ascii="Times New Roman" w:eastAsia="Times New Roman" w:hAnsi="Times New Roman" w:cs="Times New Roman"/>
                <w:bCs/>
                <w:sz w:val="20"/>
                <w:szCs w:val="24"/>
                <w:lang w:val="en-US" w:eastAsia="de-DE"/>
              </w:rPr>
              <w:t>ilution effect of the flood wave</w:t>
            </w:r>
          </w:p>
        </w:tc>
        <w:tc>
          <w:tcPr>
            <w:tcW w:w="6515" w:type="dxa"/>
          </w:tcPr>
          <w:p w14:paraId="0D96D79F"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high water volumes and flow velocities apparently quickly diluted wash-off from vineyards, ruptured oil and gasoline tanks, or destroyed wastewater facilities and washed them away with the flood wave. (Bonner General-Anzeiger, 07 September 2021)</w:t>
            </w:r>
          </w:p>
        </w:tc>
      </w:tr>
      <w:tr w:rsidR="004A67E5" w:rsidRPr="004A67E5" w14:paraId="13111A1D" w14:textId="77777777" w:rsidTr="00BD3C0C">
        <w:tc>
          <w:tcPr>
            <w:tcW w:w="2187" w:type="dxa"/>
          </w:tcPr>
          <w:p w14:paraId="53699D06" w14:textId="3134E50C" w:rsidR="0089358F" w:rsidRPr="004A67E5" w:rsidRDefault="00E250FA"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w:t>
            </w:r>
            <w:r w:rsidR="0089358F" w:rsidRPr="004A67E5">
              <w:rPr>
                <w:rFonts w:ascii="Times New Roman" w:eastAsia="Times New Roman" w:hAnsi="Times New Roman" w:cs="Times New Roman"/>
                <w:bCs/>
                <w:sz w:val="20"/>
                <w:szCs w:val="24"/>
                <w:lang w:val="en-US" w:eastAsia="de-DE"/>
              </w:rPr>
              <w:t>elf-cleaning power of ecosystems</w:t>
            </w:r>
          </w:p>
        </w:tc>
        <w:tc>
          <w:tcPr>
            <w:tcW w:w="6515" w:type="dxa"/>
          </w:tcPr>
          <w:p w14:paraId="15B9C6EC"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Soil organisms break down the organic components, so that the soil can regenerate over time. (Stadtzeitung Bad Neuenahr-Ahrweiler, 15 September 2021)</w:t>
            </w:r>
          </w:p>
        </w:tc>
      </w:tr>
      <w:tr w:rsidR="004A67E5" w:rsidRPr="004A67E5" w14:paraId="76A04B04" w14:textId="77777777" w:rsidTr="00BD3C0C">
        <w:tc>
          <w:tcPr>
            <w:tcW w:w="8702" w:type="dxa"/>
            <w:gridSpan w:val="2"/>
            <w:shd w:val="clear" w:color="auto" w:fill="D9D9D9" w:themeFill="background1" w:themeFillShade="D9"/>
          </w:tcPr>
          <w:p w14:paraId="12237DDD"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Moral evaluation</w:t>
            </w:r>
          </w:p>
        </w:tc>
      </w:tr>
      <w:tr w:rsidR="004A67E5" w:rsidRPr="004A67E5" w14:paraId="33A2955B" w14:textId="77777777" w:rsidTr="00BD3C0C">
        <w:tc>
          <w:tcPr>
            <w:tcW w:w="2187" w:type="dxa"/>
          </w:tcPr>
          <w:p w14:paraId="7E6AE072"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Emphasis on successful measures</w:t>
            </w:r>
            <w:r w:rsidR="00CA15E9" w:rsidRPr="004A67E5">
              <w:rPr>
                <w:rFonts w:ascii="Times New Roman" w:eastAsia="Times New Roman" w:hAnsi="Times New Roman" w:cs="Times New Roman"/>
                <w:bCs/>
                <w:sz w:val="20"/>
                <w:szCs w:val="24"/>
                <w:lang w:val="en-US" w:eastAsia="de-DE"/>
              </w:rPr>
              <w:t xml:space="preserve"> taken</w:t>
            </w:r>
            <w:r w:rsidRPr="004A67E5">
              <w:rPr>
                <w:rFonts w:ascii="Times New Roman" w:eastAsia="Times New Roman" w:hAnsi="Times New Roman" w:cs="Times New Roman"/>
                <w:bCs/>
                <w:sz w:val="20"/>
                <w:szCs w:val="24"/>
                <w:lang w:val="en-US" w:eastAsia="de-DE"/>
              </w:rPr>
              <w:t xml:space="preserve"> by governing political party</w:t>
            </w:r>
          </w:p>
        </w:tc>
        <w:tc>
          <w:tcPr>
            <w:tcW w:w="6515" w:type="dxa"/>
          </w:tcPr>
          <w:p w14:paraId="65316954"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In addition, according to Spiegel, the relatively low levels of pollution from the effluents also showed the success of the emergency measures taken on site, where, among other things, mobile wastewater treatment plants were installed at short notice or mobile toilet cabins were set up (Allgemeine Zeitung Mainz, 02 September 2021)</w:t>
            </w:r>
          </w:p>
        </w:tc>
      </w:tr>
      <w:tr w:rsidR="004A67E5" w:rsidRPr="004A67E5" w14:paraId="1EA50053" w14:textId="77777777" w:rsidTr="00BD3C0C">
        <w:tc>
          <w:tcPr>
            <w:tcW w:w="8702" w:type="dxa"/>
            <w:gridSpan w:val="2"/>
            <w:shd w:val="clear" w:color="auto" w:fill="D9D9D9" w:themeFill="background1" w:themeFillShade="D9"/>
          </w:tcPr>
          <w:p w14:paraId="7F4895BA"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Treatment recommendation</w:t>
            </w:r>
          </w:p>
        </w:tc>
      </w:tr>
      <w:tr w:rsidR="004A67E5" w:rsidRPr="004A67E5" w14:paraId="1DAF7825" w14:textId="77777777" w:rsidTr="00BD3C0C">
        <w:tc>
          <w:tcPr>
            <w:tcW w:w="2187" w:type="dxa"/>
          </w:tcPr>
          <w:p w14:paraId="3B0A3E74" w14:textId="2308DAB7" w:rsidR="0089358F" w:rsidRPr="004A67E5" w:rsidRDefault="00792A71"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Safe use of drinking water</w:t>
            </w:r>
          </w:p>
        </w:tc>
        <w:tc>
          <w:tcPr>
            <w:tcW w:w="6515" w:type="dxa"/>
          </w:tcPr>
          <w:p w14:paraId="130ABADD"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groundwater in the Trier region is not at long-term risk” says Volker Schmidt. This also applies to the drinking water supply. (Trierischer Volksfreund, 04 August 2021)</w:t>
            </w:r>
          </w:p>
        </w:tc>
      </w:tr>
      <w:tr w:rsidR="0089358F" w:rsidRPr="004A67E5" w14:paraId="4F58BDA3" w14:textId="77777777" w:rsidTr="00BD3C0C">
        <w:tc>
          <w:tcPr>
            <w:tcW w:w="2187" w:type="dxa"/>
          </w:tcPr>
          <w:p w14:paraId="6FA0DE55" w14:textId="25BB6404" w:rsidR="0089358F" w:rsidRPr="004A67E5" w:rsidRDefault="00792A71"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Complete replacement of soils not necessary</w:t>
            </w:r>
          </w:p>
        </w:tc>
        <w:tc>
          <w:tcPr>
            <w:tcW w:w="6515" w:type="dxa"/>
          </w:tcPr>
          <w:p w14:paraId="097E5A3E"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current soil samples show that a complete replacement of the soils is generally not necessary. The city administration therefore appeals to the property owners not to exchange the entire garden soil without any reason. (Stadtzeitung Bad Neuenahr-Ahrweiler, 15 September 2021)</w:t>
            </w:r>
          </w:p>
        </w:tc>
      </w:tr>
    </w:tbl>
    <w:p w14:paraId="1A6FEA23" w14:textId="77777777" w:rsidR="0089358F" w:rsidRPr="004A67E5" w:rsidRDefault="0089358F" w:rsidP="0089358F">
      <w:pPr>
        <w:spacing w:before="100" w:beforeAutospacing="1" w:after="100" w:afterAutospacing="1" w:line="480" w:lineRule="auto"/>
        <w:outlineLvl w:val="2"/>
        <w:rPr>
          <w:rFonts w:ascii="Times New Roman" w:eastAsia="Times New Roman" w:hAnsi="Times New Roman" w:cs="Times New Roman"/>
          <w:b/>
          <w:bCs/>
          <w:sz w:val="27"/>
          <w:szCs w:val="27"/>
          <w:lang w:val="en-US" w:eastAsia="de-DE"/>
        </w:rPr>
      </w:pPr>
    </w:p>
    <w:p w14:paraId="527604F9" w14:textId="77777777" w:rsidR="0089358F" w:rsidRPr="004A67E5" w:rsidRDefault="0089358F" w:rsidP="0089358F">
      <w:pPr>
        <w:spacing w:line="259" w:lineRule="auto"/>
        <w:rPr>
          <w:rFonts w:ascii="Times New Roman" w:eastAsia="Times New Roman" w:hAnsi="Times New Roman" w:cs="Times New Roman"/>
          <w:b/>
          <w:bCs/>
          <w:sz w:val="27"/>
          <w:szCs w:val="27"/>
          <w:lang w:val="en-US" w:eastAsia="de-DE"/>
        </w:rPr>
      </w:pPr>
      <w:r w:rsidRPr="004A67E5">
        <w:rPr>
          <w:rFonts w:ascii="Times New Roman" w:eastAsia="Times New Roman" w:hAnsi="Times New Roman" w:cs="Times New Roman"/>
          <w:b/>
          <w:bCs/>
          <w:sz w:val="27"/>
          <w:szCs w:val="27"/>
          <w:lang w:val="en-US" w:eastAsia="de-DE"/>
        </w:rPr>
        <w:br w:type="page"/>
      </w:r>
    </w:p>
    <w:p w14:paraId="14A9B082" w14:textId="77777777" w:rsidR="0089358F" w:rsidRPr="004A67E5" w:rsidRDefault="0089358F" w:rsidP="0089358F">
      <w:pPr>
        <w:pStyle w:val="Caption"/>
        <w:keepNext/>
        <w:spacing w:line="480" w:lineRule="auto"/>
        <w:jc w:val="both"/>
        <w:rPr>
          <w:rFonts w:ascii="Times New Roman" w:hAnsi="Times New Roman" w:cs="Times New Roman"/>
          <w:b/>
          <w:i w:val="0"/>
          <w:color w:val="auto"/>
          <w:sz w:val="20"/>
          <w:lang w:val="en-US"/>
        </w:rPr>
      </w:pPr>
      <w:r w:rsidRPr="004A67E5">
        <w:rPr>
          <w:rFonts w:ascii="Times New Roman" w:hAnsi="Times New Roman" w:cs="Times New Roman"/>
          <w:b/>
          <w:i w:val="0"/>
          <w:color w:val="auto"/>
          <w:sz w:val="20"/>
          <w:lang w:val="en-US"/>
        </w:rPr>
        <w:t xml:space="preserve">Table </w:t>
      </w:r>
      <w:r w:rsidR="00521B74" w:rsidRPr="004A67E5">
        <w:rPr>
          <w:rFonts w:ascii="Times New Roman" w:hAnsi="Times New Roman" w:cs="Times New Roman"/>
          <w:b/>
          <w:i w:val="0"/>
          <w:color w:val="auto"/>
          <w:sz w:val="20"/>
          <w:lang w:val="en-US"/>
        </w:rPr>
        <w:t>S4</w:t>
      </w:r>
      <w:r w:rsidRPr="004A67E5">
        <w:rPr>
          <w:rFonts w:ascii="Times New Roman" w:hAnsi="Times New Roman" w:cs="Times New Roman"/>
          <w:b/>
          <w:i w:val="0"/>
          <w:color w:val="auto"/>
          <w:sz w:val="20"/>
          <w:lang w:val="en-US"/>
        </w:rPr>
        <w:t>: Main lines of argument from articles that use the narrative “continuous contamination” (8 articles).</w:t>
      </w:r>
    </w:p>
    <w:tbl>
      <w:tblPr>
        <w:tblStyle w:val="TableGrid"/>
        <w:tblW w:w="0" w:type="auto"/>
        <w:tblInd w:w="360" w:type="dxa"/>
        <w:tblBorders>
          <w:top w:val="single" w:sz="2"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6515"/>
      </w:tblGrid>
      <w:tr w:rsidR="004A67E5" w:rsidRPr="004A67E5" w14:paraId="6B3CD45B" w14:textId="77777777" w:rsidTr="00BD3C0C">
        <w:tc>
          <w:tcPr>
            <w:tcW w:w="2187" w:type="dxa"/>
            <w:tcBorders>
              <w:top w:val="single" w:sz="2" w:space="0" w:color="auto"/>
              <w:bottom w:val="single" w:sz="12" w:space="0" w:color="auto"/>
            </w:tcBorders>
          </w:tcPr>
          <w:p w14:paraId="4CE51BDB"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Main lines of argument</w:t>
            </w:r>
          </w:p>
        </w:tc>
        <w:tc>
          <w:tcPr>
            <w:tcW w:w="6515" w:type="dxa"/>
            <w:tcBorders>
              <w:top w:val="single" w:sz="2" w:space="0" w:color="auto"/>
              <w:bottom w:val="single" w:sz="12" w:space="0" w:color="auto"/>
            </w:tcBorders>
          </w:tcPr>
          <w:p w14:paraId="0C6A75FB" w14:textId="77777777"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eastAsia="de-DE"/>
              </w:rPr>
            </w:pPr>
            <w:r w:rsidRPr="004A67E5">
              <w:rPr>
                <w:rFonts w:ascii="Times New Roman" w:eastAsia="Times New Roman" w:hAnsi="Times New Roman" w:cs="Times New Roman"/>
                <w:bCs/>
                <w:sz w:val="20"/>
                <w:szCs w:val="24"/>
                <w:lang w:eastAsia="de-DE"/>
              </w:rPr>
              <w:t>Sample quotes</w:t>
            </w:r>
          </w:p>
        </w:tc>
      </w:tr>
      <w:tr w:rsidR="004A67E5" w:rsidRPr="004A67E5" w14:paraId="2B5CD3C8" w14:textId="77777777" w:rsidTr="00BD3C0C">
        <w:tc>
          <w:tcPr>
            <w:tcW w:w="8702" w:type="dxa"/>
            <w:gridSpan w:val="2"/>
            <w:tcBorders>
              <w:top w:val="single" w:sz="12" w:space="0" w:color="auto"/>
              <w:bottom w:val="nil"/>
            </w:tcBorders>
            <w:shd w:val="clear" w:color="auto" w:fill="D9D9D9" w:themeFill="background1" w:themeFillShade="D9"/>
          </w:tcPr>
          <w:p w14:paraId="17AB8D6A"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Problem definition</w:t>
            </w:r>
          </w:p>
        </w:tc>
      </w:tr>
      <w:tr w:rsidR="004A67E5" w:rsidRPr="004A67E5" w14:paraId="6D7A337F" w14:textId="77777777" w:rsidTr="00BD3C0C">
        <w:tc>
          <w:tcPr>
            <w:tcW w:w="2187" w:type="dxa"/>
            <w:tcBorders>
              <w:top w:val="nil"/>
              <w:bottom w:val="nil"/>
            </w:tcBorders>
          </w:tcPr>
          <w:p w14:paraId="233562F2" w14:textId="20F8B683"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Slight increase of pollutants</w:t>
            </w:r>
          </w:p>
        </w:tc>
        <w:tc>
          <w:tcPr>
            <w:tcW w:w="6515" w:type="dxa"/>
            <w:tcBorders>
              <w:top w:val="nil"/>
              <w:bottom w:val="nil"/>
            </w:tcBorders>
          </w:tcPr>
          <w:p w14:paraId="522195BC"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State Secretary Erwin Manz from the Ministry of the Environment in Mainz drew up an interim balance after he himself had taken a water sample from the brown floods of the Ahr: “There is a consistent pollutant load. Currently even with a slight increase. The all-clear cannot yet be given.” (Bonner General-Anzeiger, 17 September 2021)</w:t>
            </w:r>
          </w:p>
        </w:tc>
      </w:tr>
      <w:tr w:rsidR="004A67E5" w:rsidRPr="004A67E5" w14:paraId="6F215E63" w14:textId="77777777" w:rsidTr="00BD3C0C">
        <w:tc>
          <w:tcPr>
            <w:tcW w:w="8702" w:type="dxa"/>
            <w:gridSpan w:val="2"/>
            <w:tcBorders>
              <w:top w:val="nil"/>
              <w:bottom w:val="nil"/>
            </w:tcBorders>
            <w:shd w:val="clear" w:color="auto" w:fill="D9D9D9" w:themeFill="background1" w:themeFillShade="D9"/>
          </w:tcPr>
          <w:p w14:paraId="0416860D"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Causes</w:t>
            </w:r>
          </w:p>
        </w:tc>
      </w:tr>
      <w:tr w:rsidR="004A67E5" w:rsidRPr="004A67E5" w14:paraId="163513FE" w14:textId="77777777" w:rsidTr="00BD3C0C">
        <w:tc>
          <w:tcPr>
            <w:tcW w:w="2187" w:type="dxa"/>
            <w:tcBorders>
              <w:top w:val="nil"/>
            </w:tcBorders>
          </w:tcPr>
          <w:p w14:paraId="6E2EE89C" w14:textId="007E76E4" w:rsidR="0089358F" w:rsidRPr="004A67E5" w:rsidRDefault="00DD5B5A"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R</w:t>
            </w:r>
            <w:r w:rsidR="00CA15E9" w:rsidRPr="004A67E5">
              <w:rPr>
                <w:rFonts w:ascii="Times New Roman" w:eastAsia="Times New Roman" w:hAnsi="Times New Roman" w:cs="Times New Roman"/>
                <w:bCs/>
                <w:sz w:val="20"/>
                <w:szCs w:val="24"/>
                <w:lang w:val="en-US" w:eastAsia="de-DE"/>
              </w:rPr>
              <w:t xml:space="preserve">ising wastewater volumes </w:t>
            </w:r>
            <w:r w:rsidRPr="004A67E5">
              <w:rPr>
                <w:rFonts w:ascii="Times New Roman" w:eastAsia="Times New Roman" w:hAnsi="Times New Roman" w:cs="Times New Roman"/>
                <w:bCs/>
                <w:sz w:val="20"/>
                <w:szCs w:val="24"/>
                <w:lang w:val="en-US" w:eastAsia="de-DE"/>
              </w:rPr>
              <w:t xml:space="preserve"> that cannot be adequately treated</w:t>
            </w:r>
          </w:p>
        </w:tc>
        <w:tc>
          <w:tcPr>
            <w:tcW w:w="6515" w:type="dxa"/>
            <w:tcBorders>
              <w:top w:val="nil"/>
            </w:tcBorders>
          </w:tcPr>
          <w:p w14:paraId="189E9133"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Current measurement data at the Ahr now indicate that the pollution levels in the watercourse are increasing. With the increasing return of residents and the gratifying progress in rehabilitating the water supply, the volume of wastewater is also rising. This cannot yet be treated in the usual way due to the severely damaged wastewater infrastructure. Also the current works in the river bed and in the direct watercourse environment can lead to substance entries. (Stadtzeitung Bad Neuenahr-Ahrweiler, 22 September 2021)</w:t>
            </w:r>
          </w:p>
        </w:tc>
      </w:tr>
      <w:tr w:rsidR="004A67E5" w:rsidRPr="004A67E5" w14:paraId="51E8F1CA" w14:textId="77777777" w:rsidTr="00BD3C0C">
        <w:tc>
          <w:tcPr>
            <w:tcW w:w="8702" w:type="dxa"/>
            <w:gridSpan w:val="2"/>
            <w:tcBorders>
              <w:top w:val="nil"/>
            </w:tcBorders>
            <w:shd w:val="clear" w:color="auto" w:fill="D9D9D9" w:themeFill="background1" w:themeFillShade="D9"/>
          </w:tcPr>
          <w:p w14:paraId="0D4CAF2C"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Moral evaluation</w:t>
            </w:r>
          </w:p>
        </w:tc>
      </w:tr>
      <w:tr w:rsidR="004A67E5" w:rsidRPr="004A67E5" w14:paraId="13B0984C" w14:textId="77777777" w:rsidTr="00BD3C0C">
        <w:tc>
          <w:tcPr>
            <w:tcW w:w="2187" w:type="dxa"/>
          </w:tcPr>
          <w:p w14:paraId="7090C52C" w14:textId="0EA3BE41"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Emphasis on </w:t>
            </w:r>
            <w:r w:rsidR="00CA15E9" w:rsidRPr="004A67E5">
              <w:rPr>
                <w:rFonts w:ascii="Times New Roman" w:eastAsia="Times New Roman" w:hAnsi="Times New Roman" w:cs="Times New Roman"/>
                <w:bCs/>
                <w:sz w:val="20"/>
                <w:szCs w:val="24"/>
                <w:lang w:val="en-US" w:eastAsia="de-DE"/>
              </w:rPr>
              <w:t xml:space="preserve">the importance of </w:t>
            </w:r>
            <w:r w:rsidRPr="004A67E5">
              <w:rPr>
                <w:rFonts w:ascii="Times New Roman" w:eastAsia="Times New Roman" w:hAnsi="Times New Roman" w:cs="Times New Roman"/>
                <w:bCs/>
                <w:sz w:val="20"/>
                <w:szCs w:val="24"/>
                <w:lang w:val="en-US" w:eastAsia="de-DE"/>
              </w:rPr>
              <w:t xml:space="preserve">measures </w:t>
            </w:r>
            <w:r w:rsidR="00CA15E9" w:rsidRPr="004A67E5">
              <w:rPr>
                <w:rFonts w:ascii="Times New Roman" w:eastAsia="Times New Roman" w:hAnsi="Times New Roman" w:cs="Times New Roman"/>
                <w:bCs/>
                <w:sz w:val="20"/>
                <w:szCs w:val="24"/>
                <w:lang w:val="en-US" w:eastAsia="de-DE"/>
              </w:rPr>
              <w:t xml:space="preserve">taken </w:t>
            </w:r>
            <w:r w:rsidRPr="004A67E5">
              <w:rPr>
                <w:rFonts w:ascii="Times New Roman" w:eastAsia="Times New Roman" w:hAnsi="Times New Roman" w:cs="Times New Roman"/>
                <w:bCs/>
                <w:sz w:val="20"/>
                <w:szCs w:val="24"/>
                <w:lang w:val="en-US" w:eastAsia="de-DE"/>
              </w:rPr>
              <w:t>by governing political party</w:t>
            </w:r>
          </w:p>
        </w:tc>
        <w:tc>
          <w:tcPr>
            <w:tcW w:w="6515" w:type="dxa"/>
          </w:tcPr>
          <w:p w14:paraId="7CE90D4F"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“The current measurement results are within expectations. They underline the importance of the special measuring program and show that we cannot give the all-clear. We must keep a close eye on the situation in the waterways. That is why the special measuring program is being carried out in parallel with the remediation measures at the wastewater treatment plants,” explained Erwin Manz, State Secretary for the Environment. (Eifel-Mosel Zeitung, 17 September 2021)</w:t>
            </w:r>
          </w:p>
        </w:tc>
      </w:tr>
      <w:tr w:rsidR="004A67E5" w:rsidRPr="004A67E5" w14:paraId="44DD47DF" w14:textId="77777777" w:rsidTr="00BD3C0C">
        <w:tc>
          <w:tcPr>
            <w:tcW w:w="8702" w:type="dxa"/>
            <w:gridSpan w:val="2"/>
            <w:shd w:val="clear" w:color="auto" w:fill="D9D9D9" w:themeFill="background1" w:themeFillShade="D9"/>
          </w:tcPr>
          <w:p w14:paraId="78CF542D"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Treatment recommendation</w:t>
            </w:r>
          </w:p>
        </w:tc>
      </w:tr>
      <w:tr w:rsidR="0089358F" w:rsidRPr="004A67E5" w14:paraId="476BC2AE" w14:textId="77777777" w:rsidTr="00BD3C0C">
        <w:tc>
          <w:tcPr>
            <w:tcW w:w="2187" w:type="dxa"/>
            <w:shd w:val="clear" w:color="auto" w:fill="auto"/>
          </w:tcPr>
          <w:p w14:paraId="781B03DC" w14:textId="3AC68AA6" w:rsidR="0089358F" w:rsidRPr="004A67E5" w:rsidRDefault="0089358F" w:rsidP="00BD3C0C">
            <w:pPr>
              <w:spacing w:before="100" w:beforeAutospacing="1" w:after="100" w:afterAutospacing="1" w:line="480" w:lineRule="auto"/>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 xml:space="preserve">Political action, </w:t>
            </w:r>
            <w:r w:rsidR="00201124" w:rsidRPr="004A67E5">
              <w:rPr>
                <w:rFonts w:ascii="Times New Roman" w:eastAsia="Times New Roman" w:hAnsi="Times New Roman" w:cs="Times New Roman"/>
                <w:bCs/>
                <w:sz w:val="20"/>
                <w:szCs w:val="24"/>
                <w:lang w:val="en-US" w:eastAsia="de-DE"/>
              </w:rPr>
              <w:t>continuation of chemical monitoring</w:t>
            </w:r>
          </w:p>
        </w:tc>
        <w:tc>
          <w:tcPr>
            <w:tcW w:w="6515" w:type="dxa"/>
            <w:shd w:val="clear" w:color="auto" w:fill="auto"/>
          </w:tcPr>
          <w:p w14:paraId="3F70048F" w14:textId="77777777" w:rsidR="0089358F" w:rsidRPr="004A67E5" w:rsidRDefault="0089358F" w:rsidP="00BD3C0C">
            <w:pPr>
              <w:spacing w:before="100" w:beforeAutospacing="1" w:after="100" w:afterAutospacing="1" w:line="480" w:lineRule="auto"/>
              <w:ind w:left="180" w:hanging="180"/>
              <w:rPr>
                <w:rFonts w:ascii="Times New Roman" w:eastAsia="Times New Roman" w:hAnsi="Times New Roman" w:cs="Times New Roman"/>
                <w:bCs/>
                <w:sz w:val="20"/>
                <w:szCs w:val="24"/>
                <w:lang w:val="en-US" w:eastAsia="de-DE"/>
              </w:rPr>
            </w:pPr>
            <w:r w:rsidRPr="004A67E5">
              <w:rPr>
                <w:rFonts w:ascii="Times New Roman" w:eastAsia="Times New Roman" w:hAnsi="Times New Roman" w:cs="Times New Roman"/>
                <w:bCs/>
                <w:sz w:val="20"/>
                <w:szCs w:val="24"/>
                <w:lang w:val="en-US" w:eastAsia="de-DE"/>
              </w:rPr>
              <w:t>“We need to keep a close eye on the situation in the waters.” That's why the ministry launched a special measurement program in early August. (Welt Online, 16 September 2021)</w:t>
            </w:r>
          </w:p>
        </w:tc>
      </w:tr>
    </w:tbl>
    <w:p w14:paraId="0C187A29" w14:textId="77777777" w:rsidR="00792A15" w:rsidRPr="004A67E5" w:rsidRDefault="00792A15"/>
    <w:sectPr w:rsidR="00792A15" w:rsidRPr="004A67E5" w:rsidSect="004A67E5">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99A18" w16cex:dateUtc="2023-08-30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61A366" w16cid:durableId="28999A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31DF8" w14:textId="77777777" w:rsidR="00F13F1E" w:rsidRDefault="00F13F1E">
      <w:pPr>
        <w:spacing w:after="0" w:line="240" w:lineRule="auto"/>
      </w:pPr>
      <w:r>
        <w:separator/>
      </w:r>
    </w:p>
  </w:endnote>
  <w:endnote w:type="continuationSeparator" w:id="0">
    <w:p w14:paraId="3720C8FD" w14:textId="77777777" w:rsidR="00F13F1E" w:rsidRDefault="00F13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0D5D1" w14:textId="77777777" w:rsidR="00792A15" w:rsidRDefault="00792A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584542"/>
      <w:docPartObj>
        <w:docPartGallery w:val="Page Numbers (Bottom of Page)"/>
        <w:docPartUnique/>
      </w:docPartObj>
    </w:sdtPr>
    <w:sdtEndPr/>
    <w:sdtContent>
      <w:p w14:paraId="4C50FFA2" w14:textId="1419550B" w:rsidR="00792A15" w:rsidRDefault="00A1755D">
        <w:pPr>
          <w:pStyle w:val="Footer"/>
          <w:jc w:val="right"/>
        </w:pPr>
        <w:r>
          <w:fldChar w:fldCharType="begin"/>
        </w:r>
        <w:r>
          <w:instrText>PAGE   \* MERGEFORMAT</w:instrText>
        </w:r>
        <w:r>
          <w:fldChar w:fldCharType="separate"/>
        </w:r>
        <w:r>
          <w:rPr>
            <w:noProof/>
          </w:rPr>
          <w:t>8</w:t>
        </w:r>
        <w:r>
          <w:fldChar w:fldCharType="end"/>
        </w:r>
      </w:p>
    </w:sdtContent>
  </w:sdt>
  <w:p w14:paraId="5A6BB621" w14:textId="77777777" w:rsidR="00792A15" w:rsidRDefault="00792A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3036B" w14:textId="77777777" w:rsidR="00792A15" w:rsidRDefault="00792A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378B4" w14:textId="77777777" w:rsidR="00F13F1E" w:rsidRDefault="00F13F1E">
      <w:pPr>
        <w:spacing w:after="0" w:line="240" w:lineRule="auto"/>
      </w:pPr>
      <w:r>
        <w:separator/>
      </w:r>
    </w:p>
  </w:footnote>
  <w:footnote w:type="continuationSeparator" w:id="0">
    <w:p w14:paraId="066D10E7" w14:textId="77777777" w:rsidR="00F13F1E" w:rsidRDefault="00F13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1B2DB" w14:textId="77777777" w:rsidR="00792A15" w:rsidRDefault="00792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250AD" w14:textId="77777777" w:rsidR="00792A15" w:rsidRDefault="00792A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101A2" w14:textId="77777777" w:rsidR="00792A15" w:rsidRDefault="00792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7CF"/>
    <w:rsid w:val="0009251B"/>
    <w:rsid w:val="000D2914"/>
    <w:rsid w:val="00201124"/>
    <w:rsid w:val="00305F56"/>
    <w:rsid w:val="003547CF"/>
    <w:rsid w:val="003D42AB"/>
    <w:rsid w:val="00486E27"/>
    <w:rsid w:val="004A67E5"/>
    <w:rsid w:val="00521B74"/>
    <w:rsid w:val="006A5060"/>
    <w:rsid w:val="006B2406"/>
    <w:rsid w:val="00762E1D"/>
    <w:rsid w:val="00792A15"/>
    <w:rsid w:val="00792A71"/>
    <w:rsid w:val="007E46C9"/>
    <w:rsid w:val="008738BF"/>
    <w:rsid w:val="0089358F"/>
    <w:rsid w:val="0091177A"/>
    <w:rsid w:val="00A1755D"/>
    <w:rsid w:val="00AD6280"/>
    <w:rsid w:val="00BA5CD7"/>
    <w:rsid w:val="00C7318F"/>
    <w:rsid w:val="00CA15E9"/>
    <w:rsid w:val="00CA4D2D"/>
    <w:rsid w:val="00DD5B5A"/>
    <w:rsid w:val="00E250FA"/>
    <w:rsid w:val="00F13F1E"/>
    <w:rsid w:val="00F63C43"/>
    <w:rsid w:val="00F725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8B555"/>
  <w15:chartTrackingRefBased/>
  <w15:docId w15:val="{3DB3D824-2E08-7246-829C-B86D7D157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58F"/>
    <w:pPr>
      <w:spacing w:after="160" w:line="25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9358F"/>
    <w:rPr>
      <w:kern w:val="0"/>
      <w:sz w:val="22"/>
      <w:szCs w:val="22"/>
      <w14:ligatures w14:val="none"/>
    </w:rPr>
  </w:style>
  <w:style w:type="paragraph" w:styleId="Footer">
    <w:name w:val="footer"/>
    <w:basedOn w:val="Normal"/>
    <w:link w:val="FooterChar"/>
    <w:uiPriority w:val="99"/>
    <w:unhideWhenUsed/>
    <w:rsid w:val="008935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358F"/>
    <w:rPr>
      <w:kern w:val="0"/>
      <w:sz w:val="22"/>
      <w:szCs w:val="22"/>
      <w14:ligatures w14:val="none"/>
    </w:rPr>
  </w:style>
  <w:style w:type="table" w:styleId="TableGrid">
    <w:name w:val="Table Grid"/>
    <w:basedOn w:val="TableNormal"/>
    <w:uiPriority w:val="39"/>
    <w:rsid w:val="0089358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9358F"/>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89358F"/>
  </w:style>
  <w:style w:type="paragraph" w:styleId="Revision">
    <w:name w:val="Revision"/>
    <w:hidden/>
    <w:uiPriority w:val="99"/>
    <w:semiHidden/>
    <w:rsid w:val="007E46C9"/>
    <w:rPr>
      <w:kern w:val="0"/>
      <w:sz w:val="22"/>
      <w:szCs w:val="22"/>
      <w14:ligatures w14:val="none"/>
    </w:rPr>
  </w:style>
  <w:style w:type="character" w:styleId="CommentReference">
    <w:name w:val="annotation reference"/>
    <w:basedOn w:val="DefaultParagraphFont"/>
    <w:uiPriority w:val="99"/>
    <w:semiHidden/>
    <w:unhideWhenUsed/>
    <w:rsid w:val="00DD5B5A"/>
    <w:rPr>
      <w:sz w:val="16"/>
      <w:szCs w:val="16"/>
    </w:rPr>
  </w:style>
  <w:style w:type="paragraph" w:styleId="CommentText">
    <w:name w:val="annotation text"/>
    <w:basedOn w:val="Normal"/>
    <w:link w:val="CommentTextChar"/>
    <w:uiPriority w:val="99"/>
    <w:semiHidden/>
    <w:unhideWhenUsed/>
    <w:rsid w:val="00DD5B5A"/>
    <w:pPr>
      <w:spacing w:line="240" w:lineRule="auto"/>
    </w:pPr>
    <w:rPr>
      <w:sz w:val="20"/>
      <w:szCs w:val="20"/>
    </w:rPr>
  </w:style>
  <w:style w:type="character" w:customStyle="1" w:styleId="CommentTextChar">
    <w:name w:val="Comment Text Char"/>
    <w:basedOn w:val="DefaultParagraphFont"/>
    <w:link w:val="CommentText"/>
    <w:uiPriority w:val="99"/>
    <w:semiHidden/>
    <w:rsid w:val="00DD5B5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D5B5A"/>
    <w:rPr>
      <w:b/>
      <w:bCs/>
    </w:rPr>
  </w:style>
  <w:style w:type="character" w:customStyle="1" w:styleId="CommentSubjectChar">
    <w:name w:val="Comment Subject Char"/>
    <w:basedOn w:val="CommentTextChar"/>
    <w:link w:val="CommentSubject"/>
    <w:uiPriority w:val="99"/>
    <w:semiHidden/>
    <w:rsid w:val="00DD5B5A"/>
    <w:rPr>
      <w:b/>
      <w:bCs/>
      <w:kern w:val="0"/>
      <w:sz w:val="20"/>
      <w:szCs w:val="20"/>
      <w14:ligatures w14:val="none"/>
    </w:rPr>
  </w:style>
  <w:style w:type="paragraph" w:styleId="BalloonText">
    <w:name w:val="Balloon Text"/>
    <w:basedOn w:val="Normal"/>
    <w:link w:val="BalloonTextChar"/>
    <w:uiPriority w:val="99"/>
    <w:semiHidden/>
    <w:unhideWhenUsed/>
    <w:rsid w:val="00A17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55D"/>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31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microsoft.com/office/2016/09/relationships/commentsIds" Target="commentsId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1624</Words>
  <Characters>9261</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Völker</dc:creator>
  <cp:keywords/>
  <dc:description/>
  <cp:lastModifiedBy>Durga Ramu</cp:lastModifiedBy>
  <cp:revision>18</cp:revision>
  <dcterms:created xsi:type="dcterms:W3CDTF">2023-08-29T15:00:00Z</dcterms:created>
  <dcterms:modified xsi:type="dcterms:W3CDTF">2023-09-26T14:05:00Z</dcterms:modified>
</cp:coreProperties>
</file>