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959" w:rsidRPr="00594D17" w:rsidRDefault="00EA0959" w:rsidP="00EA09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36" w:firstLine="0"/>
        <w:jc w:val="left"/>
        <w:rPr>
          <w:rFonts w:ascii="Times New Roman" w:hAnsi="Times New Roman"/>
          <w:i/>
          <w:sz w:val="20"/>
          <w:lang w:val="en-GB"/>
        </w:rPr>
      </w:pPr>
      <w:r w:rsidRPr="00594D17">
        <w:rPr>
          <w:rFonts w:ascii="Times New Roman" w:hAnsi="Times New Roman"/>
          <w:i/>
          <w:sz w:val="20"/>
          <w:lang w:val="en-GB"/>
        </w:rPr>
        <w:t xml:space="preserve">Table. Weighting coefficients of the indicators </w:t>
      </w:r>
      <w:proofErr w:type="spellStart"/>
      <w:r w:rsidRPr="00594D17">
        <w:rPr>
          <w:rFonts w:ascii="Times New Roman" w:hAnsi="Times New Roman"/>
          <w:i/>
          <w:sz w:val="20"/>
          <w:lang w:val="en-GB"/>
        </w:rPr>
        <w:t>vx</w:t>
      </w:r>
      <w:r w:rsidRPr="00594D17">
        <w:rPr>
          <w:rFonts w:ascii="Times New Roman" w:hAnsi="Times New Roman"/>
          <w:i/>
          <w:sz w:val="20"/>
          <w:vertAlign w:val="subscript"/>
          <w:lang w:val="en-GB"/>
        </w:rPr>
        <w:t>i</w:t>
      </w:r>
      <w:proofErr w:type="spellEnd"/>
      <w:r w:rsidRPr="00594D17">
        <w:rPr>
          <w:rFonts w:ascii="Times New Roman" w:hAnsi="Times New Roman"/>
          <w:i/>
          <w:sz w:val="20"/>
          <w:lang w:val="en-GB"/>
        </w:rPr>
        <w:t xml:space="preserve"> for the natural capital of specific activities and functions (II.) </w:t>
      </w:r>
      <w:r w:rsidRPr="00594D17">
        <w:rPr>
          <w:rFonts w:ascii="Times New Roman" w:hAnsi="Times New Roman"/>
          <w:b/>
          <w:sz w:val="20"/>
          <w:lang w:val="en-GB"/>
        </w:rPr>
        <w:t xml:space="preserve">(EN1 – </w:t>
      </w:r>
      <w:r w:rsidRPr="00594D17">
        <w:rPr>
          <w:rFonts w:ascii="Times New Roman" w:hAnsi="Times New Roman"/>
          <w:sz w:val="20"/>
          <w:lang w:val="en-GB"/>
        </w:rPr>
        <w:t xml:space="preserve">Wind energy; </w:t>
      </w:r>
      <w:r w:rsidRPr="00594D17">
        <w:rPr>
          <w:rFonts w:ascii="Times New Roman" w:hAnsi="Times New Roman"/>
          <w:b/>
          <w:sz w:val="20"/>
          <w:lang w:val="en-GB"/>
        </w:rPr>
        <w:t xml:space="preserve">EN2 – </w:t>
      </w:r>
      <w:r w:rsidRPr="00594D17">
        <w:rPr>
          <w:rFonts w:ascii="Times New Roman" w:hAnsi="Times New Roman"/>
          <w:sz w:val="20"/>
          <w:lang w:val="en-GB"/>
        </w:rPr>
        <w:t xml:space="preserve">Solar energy; </w:t>
      </w:r>
      <w:r w:rsidRPr="00594D17">
        <w:rPr>
          <w:rFonts w:ascii="Times New Roman" w:hAnsi="Times New Roman"/>
          <w:b/>
          <w:sz w:val="20"/>
          <w:lang w:val="en-GB"/>
        </w:rPr>
        <w:t xml:space="preserve">EN3 – </w:t>
      </w:r>
      <w:r w:rsidRPr="00594D17">
        <w:rPr>
          <w:rFonts w:ascii="Times New Roman" w:hAnsi="Times New Roman"/>
          <w:sz w:val="20"/>
          <w:lang w:val="en-GB"/>
        </w:rPr>
        <w:t xml:space="preserve">Geothermal energy; </w:t>
      </w:r>
      <w:r w:rsidRPr="00594D17">
        <w:rPr>
          <w:rFonts w:ascii="Times New Roman" w:hAnsi="Times New Roman"/>
          <w:b/>
          <w:sz w:val="20"/>
          <w:lang w:val="en-GB"/>
        </w:rPr>
        <w:t xml:space="preserve">EN4 – </w:t>
      </w:r>
      <w:r w:rsidRPr="00594D17">
        <w:rPr>
          <w:rFonts w:ascii="Times New Roman" w:hAnsi="Times New Roman"/>
          <w:sz w:val="20"/>
          <w:lang w:val="en-GB"/>
        </w:rPr>
        <w:t xml:space="preserve">Hydropower energy; </w:t>
      </w:r>
      <w:r w:rsidRPr="00594D17">
        <w:rPr>
          <w:rFonts w:ascii="Times New Roman" w:hAnsi="Times New Roman"/>
          <w:b/>
          <w:sz w:val="20"/>
          <w:lang w:val="en-GB"/>
        </w:rPr>
        <w:t xml:space="preserve">R1 – </w:t>
      </w:r>
      <w:r w:rsidRPr="00594D17">
        <w:rPr>
          <w:rFonts w:ascii="Times New Roman" w:hAnsi="Times New Roman"/>
          <w:sz w:val="20"/>
          <w:lang w:val="en-GB"/>
        </w:rPr>
        <w:t xml:space="preserve">Winter/Snow-related sports; </w:t>
      </w:r>
      <w:r w:rsidRPr="00594D17">
        <w:rPr>
          <w:rFonts w:ascii="Times New Roman" w:hAnsi="Times New Roman"/>
          <w:b/>
          <w:sz w:val="20"/>
          <w:lang w:val="en-GB"/>
        </w:rPr>
        <w:t xml:space="preserve">R2 – </w:t>
      </w:r>
      <w:r w:rsidRPr="00594D17">
        <w:rPr>
          <w:rFonts w:ascii="Times New Roman" w:hAnsi="Times New Roman"/>
          <w:sz w:val="20"/>
          <w:lang w:val="en-GB"/>
        </w:rPr>
        <w:t xml:space="preserve">Summer hiking; </w:t>
      </w:r>
      <w:r w:rsidRPr="00594D17">
        <w:rPr>
          <w:rFonts w:ascii="Times New Roman" w:hAnsi="Times New Roman"/>
          <w:b/>
          <w:sz w:val="20"/>
          <w:lang w:val="en-GB"/>
        </w:rPr>
        <w:t xml:space="preserve">R3 - </w:t>
      </w:r>
      <w:r w:rsidRPr="00594D17">
        <w:rPr>
          <w:rFonts w:ascii="Times New Roman" w:hAnsi="Times New Roman"/>
          <w:sz w:val="20"/>
          <w:lang w:val="en-GB"/>
        </w:rPr>
        <w:t xml:space="preserve">Holiday resorts (cottages); </w:t>
      </w:r>
      <w:r w:rsidRPr="00594D17">
        <w:rPr>
          <w:rFonts w:ascii="Times New Roman" w:hAnsi="Times New Roman"/>
          <w:b/>
          <w:sz w:val="20"/>
          <w:lang w:val="en-GB"/>
        </w:rPr>
        <w:t xml:space="preserve">R4 – </w:t>
      </w:r>
      <w:r w:rsidRPr="00594D17">
        <w:rPr>
          <w:rFonts w:ascii="Times New Roman" w:hAnsi="Times New Roman"/>
          <w:sz w:val="20"/>
          <w:lang w:val="en-GB"/>
        </w:rPr>
        <w:t xml:space="preserve">Sightseeing and scientific tourism; </w:t>
      </w:r>
      <w:r w:rsidRPr="00594D17">
        <w:rPr>
          <w:rFonts w:ascii="Times New Roman" w:hAnsi="Times New Roman"/>
          <w:b/>
          <w:sz w:val="20"/>
          <w:lang w:val="en-GB"/>
        </w:rPr>
        <w:t xml:space="preserve">R5 – </w:t>
      </w:r>
      <w:r w:rsidRPr="00594D17">
        <w:rPr>
          <w:rFonts w:ascii="Times New Roman" w:hAnsi="Times New Roman"/>
          <w:sz w:val="20"/>
          <w:lang w:val="en-GB"/>
        </w:rPr>
        <w:t xml:space="preserve">Water sports; </w:t>
      </w:r>
      <w:r w:rsidRPr="00594D17">
        <w:rPr>
          <w:rFonts w:ascii="Times New Roman" w:hAnsi="Times New Roman"/>
          <w:b/>
          <w:sz w:val="20"/>
          <w:lang w:val="en-GB"/>
        </w:rPr>
        <w:t xml:space="preserve">R6 – </w:t>
      </w:r>
      <w:r w:rsidRPr="00594D17">
        <w:rPr>
          <w:rFonts w:ascii="Times New Roman" w:hAnsi="Times New Roman"/>
          <w:sz w:val="20"/>
          <w:lang w:val="en-GB"/>
        </w:rPr>
        <w:t xml:space="preserve">Hunting; </w:t>
      </w:r>
      <w:r w:rsidRPr="00594D17">
        <w:rPr>
          <w:rFonts w:ascii="Times New Roman" w:hAnsi="Times New Roman"/>
          <w:b/>
          <w:sz w:val="20"/>
          <w:lang w:val="en-GB"/>
        </w:rPr>
        <w:t xml:space="preserve">R7 – </w:t>
      </w:r>
      <w:r w:rsidRPr="00594D17">
        <w:rPr>
          <w:rFonts w:ascii="Times New Roman" w:hAnsi="Times New Roman"/>
          <w:sz w:val="20"/>
          <w:lang w:val="en-GB"/>
        </w:rPr>
        <w:t xml:space="preserve">Fishing; </w:t>
      </w:r>
      <w:r w:rsidRPr="00594D17">
        <w:rPr>
          <w:rFonts w:ascii="Times New Roman" w:hAnsi="Times New Roman"/>
          <w:b/>
          <w:sz w:val="20"/>
          <w:lang w:val="en-GB"/>
        </w:rPr>
        <w:t xml:space="preserve">W1 – </w:t>
      </w:r>
      <w:r w:rsidRPr="00594D17">
        <w:rPr>
          <w:rFonts w:ascii="Times New Roman" w:hAnsi="Times New Roman"/>
          <w:sz w:val="20"/>
          <w:lang w:val="en-GB"/>
        </w:rPr>
        <w:t xml:space="preserve">Surface water supply to the population; </w:t>
      </w:r>
      <w:r w:rsidRPr="00594D17">
        <w:rPr>
          <w:rFonts w:ascii="Times New Roman" w:hAnsi="Times New Roman"/>
          <w:b/>
          <w:sz w:val="20"/>
          <w:lang w:val="en-GB"/>
        </w:rPr>
        <w:t xml:space="preserve">W1 – </w:t>
      </w:r>
      <w:r w:rsidRPr="00594D17">
        <w:rPr>
          <w:rFonts w:ascii="Times New Roman" w:hAnsi="Times New Roman"/>
          <w:sz w:val="20"/>
          <w:lang w:val="en-GB"/>
        </w:rPr>
        <w:t xml:space="preserve">Groundwater supply to the population; </w:t>
      </w:r>
      <w:r w:rsidRPr="00594D17">
        <w:rPr>
          <w:rFonts w:ascii="Times New Roman" w:hAnsi="Times New Roman"/>
          <w:b/>
          <w:sz w:val="20"/>
          <w:lang w:val="en-GB"/>
        </w:rPr>
        <w:t xml:space="preserve">E1 – </w:t>
      </w:r>
      <w:r w:rsidRPr="00594D17">
        <w:rPr>
          <w:rFonts w:ascii="Times New Roman" w:hAnsi="Times New Roman"/>
          <w:sz w:val="20"/>
          <w:lang w:val="en-GB"/>
        </w:rPr>
        <w:t xml:space="preserve">Air quality regulation; </w:t>
      </w:r>
      <w:r w:rsidRPr="00594D17">
        <w:rPr>
          <w:rFonts w:ascii="Times New Roman" w:hAnsi="Times New Roman"/>
          <w:b/>
          <w:sz w:val="20"/>
          <w:lang w:val="en-GB"/>
        </w:rPr>
        <w:t xml:space="preserve">E2 – </w:t>
      </w:r>
      <w:r w:rsidRPr="00594D17">
        <w:rPr>
          <w:rFonts w:ascii="Times New Roman" w:hAnsi="Times New Roman"/>
          <w:sz w:val="20"/>
          <w:lang w:val="en-GB"/>
        </w:rPr>
        <w:t xml:space="preserve">Climate change mitigation; </w:t>
      </w:r>
      <w:r w:rsidRPr="00594D17">
        <w:rPr>
          <w:rFonts w:ascii="Times New Roman" w:hAnsi="Times New Roman"/>
          <w:b/>
          <w:sz w:val="20"/>
          <w:lang w:val="en-GB"/>
        </w:rPr>
        <w:t xml:space="preserve">E3 – </w:t>
      </w:r>
      <w:r w:rsidRPr="00594D17">
        <w:rPr>
          <w:rFonts w:ascii="Times New Roman" w:hAnsi="Times New Roman"/>
          <w:sz w:val="20"/>
          <w:lang w:val="en-GB"/>
        </w:rPr>
        <w:t xml:space="preserve">Water retention; </w:t>
      </w:r>
      <w:r w:rsidRPr="00594D17">
        <w:rPr>
          <w:rFonts w:ascii="Times New Roman" w:hAnsi="Times New Roman"/>
          <w:b/>
          <w:sz w:val="20"/>
          <w:lang w:val="en-GB"/>
        </w:rPr>
        <w:t xml:space="preserve">E4 – </w:t>
      </w:r>
      <w:r w:rsidRPr="00594D17">
        <w:rPr>
          <w:rFonts w:ascii="Times New Roman" w:hAnsi="Times New Roman"/>
          <w:sz w:val="20"/>
          <w:lang w:val="en-GB"/>
        </w:rPr>
        <w:t xml:space="preserve">Natural heritage; </w:t>
      </w:r>
      <w:r w:rsidRPr="00594D17">
        <w:rPr>
          <w:rFonts w:ascii="Times New Roman" w:hAnsi="Times New Roman"/>
          <w:b/>
          <w:sz w:val="20"/>
          <w:lang w:val="en-GB"/>
        </w:rPr>
        <w:t xml:space="preserve">E5 – </w:t>
      </w:r>
      <w:r w:rsidRPr="00594D17">
        <w:rPr>
          <w:rFonts w:ascii="Times New Roman" w:hAnsi="Times New Roman"/>
          <w:sz w:val="20"/>
          <w:lang w:val="en-GB"/>
        </w:rPr>
        <w:t xml:space="preserve">Eco-stabilization; </w:t>
      </w:r>
      <w:r w:rsidRPr="00594D17">
        <w:rPr>
          <w:rFonts w:ascii="Times New Roman" w:hAnsi="Times New Roman"/>
          <w:b/>
          <w:sz w:val="20"/>
          <w:lang w:val="en-GB"/>
        </w:rPr>
        <w:t xml:space="preserve">E6 – </w:t>
      </w:r>
      <w:r w:rsidRPr="00594D17">
        <w:rPr>
          <w:rFonts w:ascii="Times New Roman" w:hAnsi="Times New Roman"/>
          <w:sz w:val="20"/>
          <w:lang w:val="en-GB"/>
        </w:rPr>
        <w:t>Biodiversity and pollination support)</w:t>
      </w:r>
    </w:p>
    <w:p w:rsidR="00EA0959" w:rsidRPr="00594D17" w:rsidRDefault="00EA0959" w:rsidP="00FF72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36" w:firstLine="0"/>
        <w:jc w:val="lef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13218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88"/>
        <w:gridCol w:w="510"/>
        <w:gridCol w:w="450"/>
        <w:gridCol w:w="480"/>
        <w:gridCol w:w="495"/>
        <w:gridCol w:w="540"/>
        <w:gridCol w:w="502"/>
        <w:gridCol w:w="413"/>
        <w:gridCol w:w="450"/>
        <w:gridCol w:w="450"/>
        <w:gridCol w:w="450"/>
        <w:gridCol w:w="450"/>
        <w:gridCol w:w="510"/>
        <w:gridCol w:w="510"/>
        <w:gridCol w:w="510"/>
        <w:gridCol w:w="450"/>
        <w:gridCol w:w="450"/>
        <w:gridCol w:w="435"/>
        <w:gridCol w:w="480"/>
        <w:gridCol w:w="495"/>
      </w:tblGrid>
      <w:tr w:rsidR="00EA0959" w:rsidRPr="00594D17" w:rsidTr="00B4691B">
        <w:trPr>
          <w:trHeight w:val="234"/>
          <w:tblHeader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9E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Determinant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9E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W1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9E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103" w:firstLine="0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W2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9E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125" w:firstLine="0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W3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9E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170" w:firstLine="0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W4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9E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R1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9E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R2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9E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125" w:firstLine="0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R3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9E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R4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9E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R5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9E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R6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9E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R7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9E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V1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9E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V2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9E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E1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9E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185" w:firstLine="0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E2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9E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E3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9E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E4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9E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E5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9E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E6</w:t>
            </w:r>
          </w:p>
        </w:tc>
      </w:tr>
      <w:tr w:rsidR="00EA0959" w:rsidRPr="00594D17" w:rsidTr="00B4691B">
        <w:trPr>
          <w:trHeight w:val="13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94D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A01 Climate region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13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94D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A02 Average temperature in January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63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94D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A03 Average temperature in July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94D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A04 Average daily temperatures May–October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94D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A05 Relative duration of sunshine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594D17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ag w:val="goog_rdk_125"/>
                <w:id w:val="-1732001423"/>
              </w:sdtPr>
              <w:sdtEndPr/>
              <w:sdtContent/>
            </w:sdt>
            <w:r w:rsidR="00EA0959"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94D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A06 Windiness</w:t>
            </w: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94D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A07 Temperature of the active soil surface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94D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A08 Number of days with snow cover, snow cover height</w:t>
            </w: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94D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A09 Morphological and positional relief forms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94D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A10 Relief slope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94D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A11 Exposure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A12 Genetic and lithological substrate types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94D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A17 Permeability of soils</w:t>
            </w: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94D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A18 Permeability of hydro-geological types of sediments, weathered rocks and rocks</w:t>
            </w: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A19Ability to float watercourses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left="240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left="180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left="225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left="285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left="270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B01 Land cover on various hierarchical level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B02 Types of agricultural crops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B04 Habitat of actual vegetation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B05 Habitat of Animals and Zoocenozes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B07 Ecological stability coefficient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B08 Naturalness degree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B09 Surviving historical landscape structures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B10 Density of hiking trails per area (m2/km2)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B11 Density of tourist attractions per area (number/km2)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B12 Types of settlements (urban, rural, and dispersed)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B13 Ecological farming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0.7</w:t>
            </w: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B14 Ability of habitats to assimilate CO2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B15 Water retention potential of habitats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B16 Habitats in terms of biodiversity and attractiveness to pollinators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S01 Categories of national protected areas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S02 Internationally protected areas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S03 Biocentres/Biocorridors: national, regional, local; </w:t>
            </w:r>
          </w:p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Interactive elements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S04 Categories of protected forests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S07 Categories of protection of spa sources and their protection zones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S11 Fishing areas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S12 Hunting areas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101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S13 Game parks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S14 Pheasant farms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S15 Protected and vulnerable plant species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S17 Protected deposit area of reserved and non-reserved mineral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L04 Air pollution zones based on the degree of pollution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L07 Degrees of ecological and chemical status of surface water bodies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L15 Threats by wind erosion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594D17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L22 Environmental quality coefficient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0959" w:rsidRPr="00FF72F0" w:rsidTr="00B4691B">
        <w:trPr>
          <w:trHeight w:val="28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L26 Surface runoff curve number (CN)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594D17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FF72F0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4D17">
              <w:rPr>
                <w:rFonts w:ascii="Times New Roman" w:eastAsia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FF72F0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FF72F0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0959" w:rsidRPr="00FF72F0" w:rsidRDefault="00EA0959" w:rsidP="00B4691B">
            <w:pPr>
              <w:spacing w:after="0" w:line="240" w:lineRule="auto"/>
              <w:ind w:right="-23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EA0959" w:rsidRPr="00FF72F0" w:rsidRDefault="00EA0959" w:rsidP="00FF72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36" w:firstLine="0"/>
        <w:jc w:val="left"/>
        <w:rPr>
          <w:rFonts w:ascii="Times New Roman" w:eastAsia="Times New Roman" w:hAnsi="Times New Roman" w:cs="Times New Roman"/>
          <w:sz w:val="16"/>
          <w:szCs w:val="16"/>
        </w:rPr>
      </w:pPr>
    </w:p>
    <w:sectPr w:rsidR="00EA0959" w:rsidRPr="00FF72F0" w:rsidSect="00594D1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D2BC5"/>
    <w:rsid w:val="000564D1"/>
    <w:rsid w:val="00104D0E"/>
    <w:rsid w:val="003C0ACE"/>
    <w:rsid w:val="00594D17"/>
    <w:rsid w:val="00BD2BC5"/>
    <w:rsid w:val="00EA0959"/>
    <w:rsid w:val="00FF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113A7A-B46C-4177-BFDB-7ADA28A8B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2BC5"/>
    <w:pPr>
      <w:ind w:firstLine="425"/>
      <w:jc w:val="both"/>
    </w:pPr>
    <w:rPr>
      <w:rFonts w:ascii="Calibri" w:eastAsia="Calibri" w:hAnsi="Calibri" w:cs="Calibri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BD2B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2BC5"/>
    <w:rPr>
      <w:rFonts w:ascii="Calibri" w:eastAsia="Calibri" w:hAnsi="Calibri" w:cs="Calibri"/>
      <w:sz w:val="20"/>
      <w:szCs w:val="20"/>
      <w:lang w:eastAsia="sk-SK"/>
    </w:rPr>
  </w:style>
  <w:style w:type="character" w:styleId="CommentReference">
    <w:name w:val="annotation reference"/>
    <w:basedOn w:val="DefaultParagraphFont"/>
    <w:uiPriority w:val="99"/>
    <w:semiHidden/>
    <w:unhideWhenUsed/>
    <w:rsid w:val="00BD2BC5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BC5"/>
    <w:rPr>
      <w:rFonts w:ascii="Tahoma" w:eastAsia="Calibri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vlastník</dc:creator>
  <cp:lastModifiedBy>Sangeetha Nanda Gopal</cp:lastModifiedBy>
  <cp:revision>2</cp:revision>
  <dcterms:created xsi:type="dcterms:W3CDTF">2024-03-13T10:24:00Z</dcterms:created>
  <dcterms:modified xsi:type="dcterms:W3CDTF">2024-03-27T08:05:00Z</dcterms:modified>
</cp:coreProperties>
</file>