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3B04B" w14:textId="77777777" w:rsidR="001F4390" w:rsidRPr="00072D2B" w:rsidRDefault="001F4390" w:rsidP="001F4390">
      <w:pPr>
        <w:rPr>
          <w:rFonts w:asciiTheme="majorBidi" w:eastAsia="Calibri" w:hAnsiTheme="majorBidi" w:cstheme="majorBidi"/>
          <w:b/>
          <w:bCs/>
          <w:sz w:val="30"/>
          <w:szCs w:val="30"/>
        </w:rPr>
      </w:pPr>
      <w:r w:rsidRPr="00072D2B">
        <w:rPr>
          <w:rFonts w:asciiTheme="majorBidi" w:eastAsia="Calibri" w:hAnsiTheme="majorBidi" w:cstheme="majorBidi"/>
          <w:b/>
          <w:bCs/>
          <w:sz w:val="30"/>
          <w:szCs w:val="30"/>
        </w:rPr>
        <w:t xml:space="preserve">Supplementary data </w:t>
      </w:r>
    </w:p>
    <w:p w14:paraId="412F0117" w14:textId="77777777" w:rsidR="001F4390" w:rsidRPr="00072D2B" w:rsidRDefault="001F4390" w:rsidP="001F4390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072D2B">
        <w:rPr>
          <w:rFonts w:asciiTheme="majorBidi" w:eastAsia="Calibri" w:hAnsiTheme="majorBidi" w:cstheme="majorBidi"/>
          <w:b/>
          <w:bCs/>
          <w:sz w:val="30"/>
          <w:szCs w:val="30"/>
        </w:rPr>
        <w:t xml:space="preserve">A- Supplementary Figures </w:t>
      </w:r>
    </w:p>
    <w:p w14:paraId="4349B303" w14:textId="77777777" w:rsidR="001F4390" w:rsidRPr="00072D2B" w:rsidRDefault="001F4390" w:rsidP="001F4390">
      <w:pPr>
        <w:pStyle w:val="NormalWeb"/>
        <w:spacing w:before="40" w:beforeAutospacing="0" w:after="40" w:afterAutospacing="0" w:line="360" w:lineRule="auto"/>
        <w:jc w:val="both"/>
        <w:rPr>
          <w:rFonts w:asciiTheme="majorBidi" w:hAnsiTheme="majorBidi" w:cstheme="majorBidi"/>
          <w:b/>
          <w:bCs/>
        </w:rPr>
      </w:pPr>
      <w:r w:rsidRPr="00072D2B">
        <w:rPr>
          <w:rFonts w:asciiTheme="majorBidi" w:hAnsiTheme="majorBidi" w:cstheme="majorBidi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55680" behindDoc="0" locked="0" layoutInCell="1" allowOverlap="1" wp14:anchorId="417EDB5B" wp14:editId="3AB209CD">
            <wp:simplePos x="0" y="0"/>
            <wp:positionH relativeFrom="column">
              <wp:posOffset>-161290</wp:posOffset>
            </wp:positionH>
            <wp:positionV relativeFrom="paragraph">
              <wp:posOffset>403860</wp:posOffset>
            </wp:positionV>
            <wp:extent cx="4305300" cy="2249805"/>
            <wp:effectExtent l="0" t="0" r="0" b="17145"/>
            <wp:wrapTopAndBottom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917A9E-DA69-3476-0E31-7715F802DE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543E4" w14:textId="77777777" w:rsidR="001F4390" w:rsidRPr="00072D2B" w:rsidRDefault="001F4390" w:rsidP="001F4390">
      <w:pPr>
        <w:pStyle w:val="NormalWeb"/>
        <w:spacing w:before="40" w:beforeAutospacing="0" w:after="40" w:afterAutospacing="0" w:line="360" w:lineRule="auto"/>
        <w:jc w:val="both"/>
        <w:rPr>
          <w:rFonts w:asciiTheme="majorBidi" w:hAnsiTheme="majorBidi" w:cstheme="majorBidi"/>
          <w:b/>
          <w:bCs/>
        </w:rPr>
      </w:pPr>
    </w:p>
    <w:p w14:paraId="30EA7ECF" w14:textId="77777777" w:rsidR="001F4390" w:rsidRPr="00072D2B" w:rsidRDefault="001F4390" w:rsidP="001F4390">
      <w:pPr>
        <w:pStyle w:val="NormalWeb"/>
        <w:spacing w:before="40" w:beforeAutospacing="0" w:after="40" w:afterAutospacing="0" w:line="360" w:lineRule="auto"/>
        <w:jc w:val="both"/>
        <w:rPr>
          <w:rFonts w:asciiTheme="majorBidi" w:hAnsiTheme="majorBidi" w:cstheme="majorBidi"/>
        </w:rPr>
      </w:pPr>
      <w:r w:rsidRPr="00072D2B">
        <w:rPr>
          <w:rFonts w:asciiTheme="majorBidi" w:hAnsiTheme="majorBidi" w:cstheme="majorBidi"/>
          <w:b/>
          <w:bCs/>
        </w:rPr>
        <w:t>Fig. S1.</w:t>
      </w:r>
      <w:r w:rsidRPr="00072D2B">
        <w:rPr>
          <w:rFonts w:asciiTheme="majorBidi" w:hAnsiTheme="majorBidi" w:cstheme="majorBidi"/>
        </w:rPr>
        <w:t xml:space="preserve"> Standard curve of CAP concentration at 225 nm</w:t>
      </w:r>
    </w:p>
    <w:p w14:paraId="2F0FA424" w14:textId="77777777" w:rsidR="001F4390" w:rsidRPr="00072D2B" w:rsidRDefault="001F4390" w:rsidP="001F4390">
      <w:pPr>
        <w:pStyle w:val="NormalWeb"/>
        <w:spacing w:before="40" w:beforeAutospacing="0" w:after="40" w:afterAutospacing="0" w:line="360" w:lineRule="auto"/>
        <w:jc w:val="both"/>
        <w:rPr>
          <w:rFonts w:asciiTheme="majorBidi" w:hAnsiTheme="majorBidi" w:cstheme="majorBidi"/>
        </w:rPr>
      </w:pPr>
    </w:p>
    <w:p w14:paraId="0618C3DC" w14:textId="77777777" w:rsidR="001F4390" w:rsidRPr="00072D2B" w:rsidRDefault="001F4390" w:rsidP="001F4390">
      <w:pPr>
        <w:pStyle w:val="NormalWeb"/>
        <w:spacing w:before="40" w:beforeAutospacing="0" w:after="40" w:afterAutospacing="0" w:line="360" w:lineRule="auto"/>
        <w:jc w:val="both"/>
        <w:rPr>
          <w:rFonts w:asciiTheme="majorBidi" w:hAnsiTheme="majorBidi" w:cstheme="majorBidi"/>
        </w:rPr>
      </w:pPr>
      <w:r w:rsidRPr="00072D2B">
        <w:rPr>
          <w:rFonts w:asciiTheme="majorBidi" w:hAnsiTheme="majorBidi" w:cstheme="majorBidi"/>
          <w:noProof/>
          <w:lang w:val="en-IN" w:eastAsia="en-IN"/>
        </w:rPr>
        <w:drawing>
          <wp:anchor distT="0" distB="0" distL="114300" distR="114300" simplePos="0" relativeHeight="251661824" behindDoc="0" locked="0" layoutInCell="1" allowOverlap="1" wp14:anchorId="5B2ECBD9" wp14:editId="2D4F1D86">
            <wp:simplePos x="0" y="0"/>
            <wp:positionH relativeFrom="column">
              <wp:posOffset>-161925</wp:posOffset>
            </wp:positionH>
            <wp:positionV relativeFrom="paragraph">
              <wp:posOffset>316230</wp:posOffset>
            </wp:positionV>
            <wp:extent cx="4513580" cy="2336800"/>
            <wp:effectExtent l="0" t="0" r="1270" b="6350"/>
            <wp:wrapTopAndBottom/>
            <wp:docPr id="33" name="Chart 3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84206D-A597-067F-36F0-0B85A9AFAA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E8D09" w14:textId="77777777" w:rsidR="001F4390" w:rsidRPr="00072D2B" w:rsidRDefault="001F4390" w:rsidP="001F4390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5215825D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  <w:r w:rsidRPr="00072D2B">
        <w:rPr>
          <w:rFonts w:asciiTheme="majorBidi" w:hAnsiTheme="majorBidi" w:cstheme="majorBidi"/>
          <w:b/>
          <w:bCs/>
          <w:sz w:val="24"/>
          <w:szCs w:val="24"/>
        </w:rPr>
        <w:t>Fig. S2.</w:t>
      </w:r>
      <w:r w:rsidRPr="00072D2B">
        <w:rPr>
          <w:rFonts w:asciiTheme="majorBidi" w:hAnsiTheme="majorBidi" w:cstheme="majorBidi"/>
          <w:sz w:val="24"/>
          <w:szCs w:val="24"/>
        </w:rPr>
        <w:t xml:space="preserve"> Standard curve of CAP concentration at 243 nm</w:t>
      </w:r>
      <w:r w:rsidRPr="00072D2B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14:paraId="1E36F970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3E0BF463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6BAB445E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246AB227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2C413A24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5D6044DA" w14:textId="77777777" w:rsidR="001F4390" w:rsidRPr="00072D2B" w:rsidRDefault="001F4390" w:rsidP="001F4390">
      <w:pPr>
        <w:rPr>
          <w:rFonts w:asciiTheme="majorBidi" w:hAnsiTheme="majorBidi" w:cstheme="majorBidi"/>
          <w:noProof/>
          <w:sz w:val="28"/>
          <w:szCs w:val="28"/>
        </w:rPr>
      </w:pPr>
    </w:p>
    <w:p w14:paraId="513E4DDD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072D2B">
        <w:rPr>
          <w:rFonts w:asciiTheme="majorBidi" w:eastAsia="Times New Roman" w:hAnsiTheme="majorBidi" w:cstheme="majorBidi"/>
          <w:noProof/>
          <w:kern w:val="0"/>
          <w:sz w:val="20"/>
          <w:szCs w:val="20"/>
          <w:lang w:val="en-IN" w:eastAsia="en-IN"/>
          <w14:ligatures w14:val="none"/>
        </w:rPr>
        <w:drawing>
          <wp:anchor distT="0" distB="0" distL="114300" distR="114300" simplePos="0" relativeHeight="251658752" behindDoc="0" locked="0" layoutInCell="1" allowOverlap="1" wp14:anchorId="4F2C616A" wp14:editId="74A20123">
            <wp:simplePos x="0" y="0"/>
            <wp:positionH relativeFrom="column">
              <wp:posOffset>-200337</wp:posOffset>
            </wp:positionH>
            <wp:positionV relativeFrom="margin">
              <wp:align>top</wp:align>
            </wp:positionV>
            <wp:extent cx="5493385" cy="3475355"/>
            <wp:effectExtent l="0" t="0" r="0" b="0"/>
            <wp:wrapTopAndBottom/>
            <wp:docPr id="887043711" name="Picture 4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43711" name="Picture 4" descr="A close-up of a graph&#10;&#10;Description automatically generated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        </w:t>
      </w:r>
      <w:r w:rsidRPr="00072D2B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ar-EG"/>
          <w14:ligatures w14:val="none"/>
        </w:rPr>
        <w:t>Fig. S3.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 Biodegradation efficiency of CAP added at 20 mg/kg in sandy loam soil as affected by inoculation with individual and / or mixed bacterial consortia during the incubation periods at 30 °C for 20 days, as determined by UV scan at 243 nm. Different letters represent significant differences (Duncan’s test significant difference test at p &lt; 0.05) among all treatments</w:t>
      </w:r>
      <w:r w:rsidRPr="00072D2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.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C1, Soil polluted with CAP but (No NPK, No inoculum). C2, Soil polluted with CAP, with NPK but (No inoculum). The treatments (T1-T5) were all polluted with CAP, with NPK and treated with bacterial inoculum as follows: T1, Mono-Gram-positive 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 xml:space="preserve">(Bacillus subtilis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>subsp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>. subtilis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 AZFS3). T2, Mono-Gram-negative (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>Pseudomonas aeruginosa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 KZFS4). T3, Di-Gram-negative consortium (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 xml:space="preserve">Pseudomonas aeruginosa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>KZFS4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 xml:space="preserve"> &amp;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>Alcaligenes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 xml:space="preserve">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bidi="ar-EG"/>
          <w14:ligatures w14:val="none"/>
        </w:rPr>
        <w:t>aquatilis</w:t>
      </w:r>
      <w:proofErr w:type="spellEnd"/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 xml:space="preserve"> KZFS11).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>T4, Tetra Gram-positive (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Bacillus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>subtilis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 </w:t>
      </w:r>
      <w:proofErr w:type="spellStart"/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>subsp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.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>subtilis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>AZFS3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, Bacillus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>pumilus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>AZFS5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, Bacillus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>mojavensis</w:t>
      </w:r>
      <w:proofErr w:type="spellEnd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>AZFS15</w:t>
      </w:r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 xml:space="preserve"> &amp; Bacillus </w:t>
      </w:r>
      <w:proofErr w:type="spellStart"/>
      <w:r w:rsidRPr="00072D2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val="fr-FR" w:bidi="ar-EG"/>
          <w14:ligatures w14:val="none"/>
        </w:rPr>
        <w:t>paramycoides</w:t>
      </w:r>
      <w:proofErr w:type="spellEnd"/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val="fr-FR" w:bidi="ar-EG"/>
          <w14:ligatures w14:val="none"/>
        </w:rPr>
        <w:t xml:space="preserve"> AZFS18). </w:t>
      </w:r>
      <w:r w:rsidRPr="00072D2B">
        <w:rPr>
          <w:rFonts w:asciiTheme="majorBidi" w:eastAsia="Times New Roman" w:hAnsiTheme="majorBidi" w:cstheme="majorBidi"/>
          <w:kern w:val="0"/>
          <w:sz w:val="20"/>
          <w:szCs w:val="20"/>
          <w:lang w:bidi="ar-EG"/>
          <w14:ligatures w14:val="none"/>
        </w:rPr>
        <w:t>T5, Hexa-mixed bacteria (T3+T4)</w:t>
      </w:r>
      <w:r w:rsidRPr="00072D2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.</w:t>
      </w:r>
    </w:p>
    <w:p w14:paraId="5E3DFBFD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AF8F78C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C3D7926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D5D5EA1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2040653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F739511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2A6AD8" w14:textId="77777777" w:rsidR="001F4390" w:rsidRPr="00072D2B" w:rsidRDefault="001F4390" w:rsidP="001F4390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072D2B">
        <w:rPr>
          <w:rFonts w:asciiTheme="majorBidi" w:eastAsia="Calibri" w:hAnsiTheme="majorBidi" w:cstheme="majorBidi"/>
          <w:b/>
          <w:bCs/>
          <w:sz w:val="30"/>
          <w:szCs w:val="30"/>
        </w:rPr>
        <w:lastRenderedPageBreak/>
        <w:t xml:space="preserve">B- Supplementary Tables  </w:t>
      </w:r>
    </w:p>
    <w:p w14:paraId="6651A6C0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576FC20" w14:textId="77777777" w:rsidR="001F4390" w:rsidRPr="00072D2B" w:rsidRDefault="001F4390" w:rsidP="001F4390">
      <w:pPr>
        <w:spacing w:after="0" w:line="360" w:lineRule="auto"/>
        <w:ind w:left="142" w:right="-91" w:hanging="412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bidi="ar-EG"/>
          <w14:ligatures w14:val="none"/>
        </w:rPr>
      </w:pPr>
      <w:r w:rsidRPr="00072D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bidi="ar-EG"/>
          <w14:ligatures w14:val="none"/>
        </w:rPr>
        <w:t xml:space="preserve">Table S1. Biodegradation efficiency of CAP added at 20 mg/kg in sandy loam soil as affected by inoculation with individual and / or mixed bacterial consortia during the incubation periods at 30 °C for 20 days, as determined by UV scan at 225 nm </w:t>
      </w:r>
    </w:p>
    <w:p w14:paraId="20B33271" w14:textId="77777777" w:rsidR="001F4390" w:rsidRPr="00072D2B" w:rsidRDefault="001F4390" w:rsidP="001F4390">
      <w:pPr>
        <w:spacing w:after="0" w:line="360" w:lineRule="auto"/>
        <w:ind w:left="142" w:right="-91" w:hanging="412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bidi="ar-EG"/>
          <w14:ligatures w14:val="none"/>
        </w:rPr>
      </w:pPr>
    </w:p>
    <w:tbl>
      <w:tblPr>
        <w:tblStyle w:val="TableGrid"/>
        <w:tblW w:w="0" w:type="auto"/>
        <w:tblInd w:w="-270" w:type="dxa"/>
        <w:tblLayout w:type="fixed"/>
        <w:tblLook w:val="04A0" w:firstRow="1" w:lastRow="0" w:firstColumn="1" w:lastColumn="0" w:noHBand="0" w:noVBand="1"/>
      </w:tblPr>
      <w:tblGrid>
        <w:gridCol w:w="1234"/>
        <w:gridCol w:w="996"/>
        <w:gridCol w:w="996"/>
        <w:gridCol w:w="996"/>
        <w:gridCol w:w="1009"/>
        <w:gridCol w:w="1009"/>
        <w:gridCol w:w="1141"/>
        <w:gridCol w:w="1530"/>
      </w:tblGrid>
      <w:tr w:rsidR="00072D2B" w:rsidRPr="00072D2B" w14:paraId="3EA789F5" w14:textId="77777777" w:rsidTr="006C3FE6">
        <w:tc>
          <w:tcPr>
            <w:tcW w:w="1234" w:type="dxa"/>
            <w:vMerge w:val="restart"/>
          </w:tcPr>
          <w:p w14:paraId="15A2D239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  <w:t xml:space="preserve">Treatment </w:t>
            </w:r>
          </w:p>
        </w:tc>
        <w:tc>
          <w:tcPr>
            <w:tcW w:w="5006" w:type="dxa"/>
            <w:gridSpan w:val="5"/>
          </w:tcPr>
          <w:p w14:paraId="22679EE3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UV scan at 243 nm</w:t>
            </w:r>
          </w:p>
        </w:tc>
        <w:tc>
          <w:tcPr>
            <w:tcW w:w="1141" w:type="dxa"/>
            <w:vMerge w:val="restart"/>
            <w:vAlign w:val="center"/>
          </w:tcPr>
          <w:p w14:paraId="7C473D8F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  <w:t xml:space="preserve">%Residue </w:t>
            </w:r>
          </w:p>
        </w:tc>
        <w:tc>
          <w:tcPr>
            <w:tcW w:w="1530" w:type="dxa"/>
            <w:vMerge w:val="restart"/>
            <w:vAlign w:val="center"/>
          </w:tcPr>
          <w:p w14:paraId="541181A5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  <w:t>%Degradation</w:t>
            </w:r>
          </w:p>
        </w:tc>
      </w:tr>
      <w:tr w:rsidR="00072D2B" w:rsidRPr="00072D2B" w14:paraId="37EB8612" w14:textId="77777777" w:rsidTr="006C3FE6">
        <w:tc>
          <w:tcPr>
            <w:tcW w:w="1234" w:type="dxa"/>
            <w:vMerge/>
          </w:tcPr>
          <w:p w14:paraId="3C644EE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  <w:tc>
          <w:tcPr>
            <w:tcW w:w="996" w:type="dxa"/>
          </w:tcPr>
          <w:p w14:paraId="6F32BD2A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0-d</w:t>
            </w:r>
          </w:p>
        </w:tc>
        <w:tc>
          <w:tcPr>
            <w:tcW w:w="996" w:type="dxa"/>
          </w:tcPr>
          <w:p w14:paraId="088FF3A4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3-d</w:t>
            </w:r>
          </w:p>
        </w:tc>
        <w:tc>
          <w:tcPr>
            <w:tcW w:w="996" w:type="dxa"/>
          </w:tcPr>
          <w:p w14:paraId="158285F7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7-d</w:t>
            </w:r>
          </w:p>
        </w:tc>
        <w:tc>
          <w:tcPr>
            <w:tcW w:w="1009" w:type="dxa"/>
          </w:tcPr>
          <w:p w14:paraId="4B5A0EB9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11-d</w:t>
            </w:r>
          </w:p>
        </w:tc>
        <w:tc>
          <w:tcPr>
            <w:tcW w:w="1009" w:type="dxa"/>
          </w:tcPr>
          <w:p w14:paraId="58F3BFAC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  <w:t>20-d</w:t>
            </w:r>
          </w:p>
        </w:tc>
        <w:tc>
          <w:tcPr>
            <w:tcW w:w="1141" w:type="dxa"/>
            <w:vMerge/>
          </w:tcPr>
          <w:p w14:paraId="1A0D1BF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  <w:tc>
          <w:tcPr>
            <w:tcW w:w="1530" w:type="dxa"/>
            <w:vMerge/>
          </w:tcPr>
          <w:p w14:paraId="03F70E48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</w:tr>
      <w:tr w:rsidR="00072D2B" w:rsidRPr="00072D2B" w14:paraId="6CAD62EA" w14:textId="77777777" w:rsidTr="006C3FE6">
        <w:tc>
          <w:tcPr>
            <w:tcW w:w="1234" w:type="dxa"/>
            <w:vMerge/>
          </w:tcPr>
          <w:p w14:paraId="618336EE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  <w:tc>
          <w:tcPr>
            <w:tcW w:w="5006" w:type="dxa"/>
            <w:gridSpan w:val="5"/>
          </w:tcPr>
          <w:p w14:paraId="01DF32DD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bidi="ar-EG"/>
                <w14:ligatures w14:val="none"/>
              </w:rPr>
              <w:t>Concentration (mg/kg)</w:t>
            </w:r>
          </w:p>
        </w:tc>
        <w:tc>
          <w:tcPr>
            <w:tcW w:w="1141" w:type="dxa"/>
            <w:vMerge/>
          </w:tcPr>
          <w:p w14:paraId="6AAEF91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  <w:tc>
          <w:tcPr>
            <w:tcW w:w="1530" w:type="dxa"/>
            <w:vMerge/>
          </w:tcPr>
          <w:p w14:paraId="5595BE2B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</w:p>
        </w:tc>
      </w:tr>
      <w:tr w:rsidR="00072D2B" w:rsidRPr="00072D2B" w14:paraId="621273F4" w14:textId="77777777" w:rsidTr="006C3FE6">
        <w:tc>
          <w:tcPr>
            <w:tcW w:w="1234" w:type="dxa"/>
          </w:tcPr>
          <w:p w14:paraId="52B8AF68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996" w:type="dxa"/>
          </w:tcPr>
          <w:p w14:paraId="122E012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18.78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6" w:type="dxa"/>
          </w:tcPr>
          <w:p w14:paraId="09EDE20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18.85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6" w:type="dxa"/>
          </w:tcPr>
          <w:p w14:paraId="0604B8E7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17.34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09" w:type="dxa"/>
          </w:tcPr>
          <w:p w14:paraId="7E363CA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15.41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09" w:type="dxa"/>
          </w:tcPr>
          <w:p w14:paraId="01C19821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14.15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1" w:type="dxa"/>
          </w:tcPr>
          <w:p w14:paraId="7AF5EC2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77.12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a</w:t>
            </w: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771568F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22.88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f</w:t>
            </w:r>
          </w:p>
        </w:tc>
      </w:tr>
      <w:tr w:rsidR="00072D2B" w:rsidRPr="00072D2B" w14:paraId="46843F51" w14:textId="77777777" w:rsidTr="006C3FE6">
        <w:tc>
          <w:tcPr>
            <w:tcW w:w="1234" w:type="dxa"/>
          </w:tcPr>
          <w:p w14:paraId="78F746D5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996" w:type="dxa"/>
          </w:tcPr>
          <w:p w14:paraId="4165487F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18.86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6" w:type="dxa"/>
          </w:tcPr>
          <w:p w14:paraId="659B185C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19.12</w:t>
            </w:r>
            <w:r w:rsidRPr="00072D2B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6" w:type="dxa"/>
          </w:tcPr>
          <w:p w14:paraId="0A0274A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17.94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09" w:type="dxa"/>
          </w:tcPr>
          <w:p w14:paraId="1B425F2C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15.93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09" w:type="dxa"/>
          </w:tcPr>
          <w:p w14:paraId="5C49E46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15.12</w:t>
            </w:r>
            <w:r w:rsidRPr="00072D2B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1" w:type="dxa"/>
          </w:tcPr>
          <w:p w14:paraId="19CC90A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72.48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0" w:type="dxa"/>
          </w:tcPr>
          <w:p w14:paraId="57D5F77C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27.52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g</w:t>
            </w:r>
          </w:p>
        </w:tc>
      </w:tr>
      <w:tr w:rsidR="00072D2B" w:rsidRPr="00072D2B" w14:paraId="6715007B" w14:textId="77777777" w:rsidTr="006C3FE6">
        <w:tc>
          <w:tcPr>
            <w:tcW w:w="1234" w:type="dxa"/>
          </w:tcPr>
          <w:p w14:paraId="5A7DD626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996" w:type="dxa"/>
          </w:tcPr>
          <w:p w14:paraId="288D53D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18.77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6" w:type="dxa"/>
          </w:tcPr>
          <w:p w14:paraId="50D5FF0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16.67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6" w:type="dxa"/>
          </w:tcPr>
          <w:p w14:paraId="3CA5718E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13.48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09" w:type="dxa"/>
          </w:tcPr>
          <w:p w14:paraId="32022F6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10.23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09" w:type="dxa"/>
          </w:tcPr>
          <w:p w14:paraId="18E13B97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8.13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41" w:type="dxa"/>
          </w:tcPr>
          <w:p w14:paraId="13B7DA0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43.31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30" w:type="dxa"/>
          </w:tcPr>
          <w:p w14:paraId="0F345E5E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56.69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e</w:t>
            </w:r>
          </w:p>
        </w:tc>
      </w:tr>
      <w:tr w:rsidR="00072D2B" w:rsidRPr="00072D2B" w14:paraId="19AFECA4" w14:textId="77777777" w:rsidTr="006C3FE6">
        <w:tc>
          <w:tcPr>
            <w:tcW w:w="1234" w:type="dxa"/>
          </w:tcPr>
          <w:p w14:paraId="2BC061B3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996" w:type="dxa"/>
          </w:tcPr>
          <w:p w14:paraId="0E70E2E7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18.76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996" w:type="dxa"/>
          </w:tcPr>
          <w:p w14:paraId="1BBD675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16.15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96" w:type="dxa"/>
          </w:tcPr>
          <w:p w14:paraId="4C329A59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12.56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09" w:type="dxa"/>
          </w:tcPr>
          <w:p w14:paraId="4C581A14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10.13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09" w:type="dxa"/>
          </w:tcPr>
          <w:p w14:paraId="6AED519F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4.38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41" w:type="dxa"/>
          </w:tcPr>
          <w:p w14:paraId="2D61313B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23.37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30" w:type="dxa"/>
          </w:tcPr>
          <w:p w14:paraId="04AA70A4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76.63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d</w:t>
            </w:r>
          </w:p>
        </w:tc>
      </w:tr>
      <w:tr w:rsidR="00072D2B" w:rsidRPr="00072D2B" w14:paraId="417C406E" w14:textId="77777777" w:rsidTr="006C3FE6">
        <w:tc>
          <w:tcPr>
            <w:tcW w:w="1234" w:type="dxa"/>
          </w:tcPr>
          <w:p w14:paraId="0D1617BD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T3</w:t>
            </w:r>
          </w:p>
        </w:tc>
        <w:tc>
          <w:tcPr>
            <w:tcW w:w="996" w:type="dxa"/>
          </w:tcPr>
          <w:p w14:paraId="23995E11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18.84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6" w:type="dxa"/>
          </w:tcPr>
          <w:p w14:paraId="4DBA72B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15.79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996" w:type="dxa"/>
          </w:tcPr>
          <w:p w14:paraId="04CEB2D7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12.23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09" w:type="dxa"/>
          </w:tcPr>
          <w:p w14:paraId="08AFA0F9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9.094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09" w:type="dxa"/>
          </w:tcPr>
          <w:p w14:paraId="54BF3324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2.78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41" w:type="dxa"/>
          </w:tcPr>
          <w:p w14:paraId="4619DF3E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14.75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530" w:type="dxa"/>
          </w:tcPr>
          <w:p w14:paraId="69962E54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85.25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c</w:t>
            </w:r>
          </w:p>
        </w:tc>
      </w:tr>
      <w:tr w:rsidR="00072D2B" w:rsidRPr="00072D2B" w14:paraId="5116E3EC" w14:textId="77777777" w:rsidTr="006C3FE6">
        <w:tc>
          <w:tcPr>
            <w:tcW w:w="1234" w:type="dxa"/>
          </w:tcPr>
          <w:p w14:paraId="56C095B9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T4</w:t>
            </w:r>
          </w:p>
        </w:tc>
        <w:tc>
          <w:tcPr>
            <w:tcW w:w="996" w:type="dxa"/>
          </w:tcPr>
          <w:p w14:paraId="353CCB4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18.87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6" w:type="dxa"/>
          </w:tcPr>
          <w:p w14:paraId="784F19F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15.41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6" w:type="dxa"/>
          </w:tcPr>
          <w:p w14:paraId="0DA30068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11.85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009" w:type="dxa"/>
          </w:tcPr>
          <w:p w14:paraId="41533EC4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8.95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009" w:type="dxa"/>
          </w:tcPr>
          <w:p w14:paraId="319BCCC1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1.18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41" w:type="dxa"/>
          </w:tcPr>
          <w:p w14:paraId="410AE30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6.26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530" w:type="dxa"/>
          </w:tcPr>
          <w:p w14:paraId="59B35D80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93.74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b</w:t>
            </w:r>
          </w:p>
        </w:tc>
      </w:tr>
      <w:tr w:rsidR="00072D2B" w:rsidRPr="00072D2B" w14:paraId="6CE01A27" w14:textId="77777777" w:rsidTr="006C3FE6">
        <w:tc>
          <w:tcPr>
            <w:tcW w:w="1234" w:type="dxa"/>
          </w:tcPr>
          <w:p w14:paraId="7632A834" w14:textId="77777777" w:rsidR="001F4390" w:rsidRPr="00072D2B" w:rsidRDefault="001F4390" w:rsidP="006C3FE6">
            <w:pPr>
              <w:spacing w:line="360" w:lineRule="auto"/>
              <w:ind w:right="47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T5</w:t>
            </w:r>
          </w:p>
        </w:tc>
        <w:tc>
          <w:tcPr>
            <w:tcW w:w="996" w:type="dxa"/>
          </w:tcPr>
          <w:p w14:paraId="106BBA12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18.82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996" w:type="dxa"/>
          </w:tcPr>
          <w:p w14:paraId="0FCDFCAA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14.12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996" w:type="dxa"/>
          </w:tcPr>
          <w:p w14:paraId="6C62BB1B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9.92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09" w:type="dxa"/>
          </w:tcPr>
          <w:p w14:paraId="22B0E13D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6.94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09" w:type="dxa"/>
          </w:tcPr>
          <w:p w14:paraId="76BDA052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0.14</w:t>
            </w:r>
            <w:r w:rsidRPr="00072D2B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41" w:type="dxa"/>
          </w:tcPr>
          <w:p w14:paraId="63BC6EB6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0.77</w:t>
            </w:r>
            <w:r w:rsidRPr="00072D2B">
              <w:rPr>
                <w:rFonts w:asciiTheme="majorBidi" w:eastAsia="Calibri" w:hAnsiTheme="majorBidi" w:cstheme="majorBidi"/>
                <w:b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530" w:type="dxa"/>
          </w:tcPr>
          <w:p w14:paraId="4EF01EF2" w14:textId="77777777" w:rsidR="001F4390" w:rsidRPr="00072D2B" w:rsidRDefault="001F4390" w:rsidP="006C3FE6">
            <w:pPr>
              <w:spacing w:line="360" w:lineRule="auto"/>
              <w:ind w:right="47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bidi="ar-EG"/>
                <w14:ligatures w14:val="none"/>
              </w:rPr>
            </w:pPr>
            <w:r w:rsidRPr="00072D2B">
              <w:rPr>
                <w:rFonts w:asciiTheme="majorBidi" w:eastAsia="Calibri" w:hAnsiTheme="majorBidi" w:cstheme="majorBidi"/>
                <w:sz w:val="20"/>
                <w:szCs w:val="20"/>
              </w:rPr>
              <w:t>99.23</w:t>
            </w:r>
            <w:r w:rsidRPr="00072D2B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</w:rPr>
              <w:t>a</w:t>
            </w:r>
          </w:p>
        </w:tc>
      </w:tr>
    </w:tbl>
    <w:p w14:paraId="6C584E1D" w14:textId="77777777" w:rsidR="001F4390" w:rsidRPr="00072D2B" w:rsidRDefault="001F4390" w:rsidP="001F4390">
      <w:pPr>
        <w:tabs>
          <w:tab w:val="left" w:pos="750"/>
        </w:tabs>
        <w:spacing w:after="120" w:line="360" w:lineRule="auto"/>
        <w:ind w:left="90" w:right="641" w:hanging="900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bidi="ar-EG"/>
          <w14:ligatures w14:val="none"/>
        </w:rPr>
      </w:pPr>
    </w:p>
    <w:p w14:paraId="12B9A9CC" w14:textId="77777777" w:rsidR="001F4390" w:rsidRPr="00072D2B" w:rsidRDefault="001F4390" w:rsidP="001F4390"/>
    <w:p w14:paraId="77B3A2F0" w14:textId="77777777" w:rsidR="001F4390" w:rsidRPr="00072D2B" w:rsidRDefault="001F4390" w:rsidP="001F4390">
      <w:pPr>
        <w:rPr>
          <w:rFonts w:asciiTheme="majorBidi" w:eastAsia="Calibri" w:hAnsiTheme="majorBidi" w:cstheme="majorBidi"/>
          <w:b/>
          <w:bCs/>
          <w:sz w:val="26"/>
          <w:szCs w:val="26"/>
        </w:rPr>
      </w:pPr>
    </w:p>
    <w:p w14:paraId="6DB67E31" w14:textId="77777777" w:rsidR="0044277F" w:rsidRPr="00072D2B" w:rsidRDefault="0044277F">
      <w:bookmarkStart w:id="0" w:name="_GoBack"/>
      <w:bookmarkEnd w:id="0"/>
    </w:p>
    <w:sectPr w:rsidR="0044277F" w:rsidRPr="00072D2B" w:rsidSect="001F4390">
      <w:pgSz w:w="11906" w:h="16838" w:code="9"/>
      <w:pgMar w:top="1440" w:right="1378" w:bottom="1440" w:left="1979" w:header="709" w:footer="709" w:gutter="0"/>
      <w:pgNumType w:start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35648"/>
    <w:rsid w:val="00072D2B"/>
    <w:rsid w:val="001002D8"/>
    <w:rsid w:val="00135648"/>
    <w:rsid w:val="001F4390"/>
    <w:rsid w:val="00250A17"/>
    <w:rsid w:val="0044277F"/>
    <w:rsid w:val="00700A27"/>
    <w:rsid w:val="00752121"/>
    <w:rsid w:val="009E5CED"/>
    <w:rsid w:val="00B210CD"/>
    <w:rsid w:val="00B4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5077E-1570-4091-AD1C-9CCA5646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390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1F43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hamed%20pHD\PHD%20PECTICIDES\&#1603;&#1578;&#1575;&#1576;&#1607;%20&#1575;&#1575;&#1604;&#1576;&#1581;&#1579;%20&#1608;&#1575;&#1604;&#1585;&#1587;&#1575;&#1604;&#1577;%20&#1604;&#1604;&#1583;&#1603;&#1578;&#1608;&#1585;&#1575;&#1607;\men3m%202023\Finsh%20men3m%20UV%20scane%20b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manaam\Finsh%20men3m%20UV%20scan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CAP Absorbance at 225 nm 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ABS at 225</c:v>
          </c:tx>
          <c:spPr>
            <a:ln w="22225" cap="rnd">
              <a:solidFill>
                <a:srgbClr val="FF000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trendline>
            <c:spPr>
              <a:ln w="9525" cap="rnd">
                <a:solidFill>
                  <a:srgbClr val="002060"/>
                </a:solidFill>
                <a:prstDash val="dash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5321028817586142"/>
                  <c:y val="-1.422269331718150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التجربة!$B$7:$B$16</c:f>
              <c:numCache>
                <c:formatCode>General</c:formatCode>
                <c:ptCount val="10"/>
                <c:pt idx="0">
                  <c:v>0</c:v>
                </c:pt>
                <c:pt idx="1">
                  <c:v>0.3125</c:v>
                </c:pt>
                <c:pt idx="2">
                  <c:v>0.52500000000000002</c:v>
                </c:pt>
                <c:pt idx="3">
                  <c:v>1.25</c:v>
                </c:pt>
                <c:pt idx="4">
                  <c:v>2.5</c:v>
                </c:pt>
                <c:pt idx="5">
                  <c:v>5</c:v>
                </c:pt>
                <c:pt idx="6">
                  <c:v>10</c:v>
                </c:pt>
                <c:pt idx="7">
                  <c:v>15</c:v>
                </c:pt>
                <c:pt idx="8">
                  <c:v>17.5</c:v>
                </c:pt>
                <c:pt idx="9">
                  <c:v>20</c:v>
                </c:pt>
              </c:numCache>
            </c:numRef>
          </c:xVal>
          <c:yVal>
            <c:numRef>
              <c:f>التجربة!$C$7:$C$16</c:f>
              <c:numCache>
                <c:formatCode>General</c:formatCode>
                <c:ptCount val="10"/>
                <c:pt idx="0">
                  <c:v>0</c:v>
                </c:pt>
                <c:pt idx="1">
                  <c:v>7.3999999999999996E-2</c:v>
                </c:pt>
                <c:pt idx="2">
                  <c:v>0.123</c:v>
                </c:pt>
                <c:pt idx="3">
                  <c:v>0.23599999999999999</c:v>
                </c:pt>
                <c:pt idx="4">
                  <c:v>0.48199999999999998</c:v>
                </c:pt>
                <c:pt idx="5">
                  <c:v>0.88300000000000001</c:v>
                </c:pt>
                <c:pt idx="6">
                  <c:v>1.454</c:v>
                </c:pt>
                <c:pt idx="7">
                  <c:v>1.9930000000000001</c:v>
                </c:pt>
                <c:pt idx="8">
                  <c:v>2.4239999999999999</c:v>
                </c:pt>
                <c:pt idx="9">
                  <c:v>2.7970000000000002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DE6-4D76-9E90-D3FCF5C590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3403104"/>
        <c:axId val="1796456272"/>
      </c:scatterChart>
      <c:valAx>
        <c:axId val="1723403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CAP Concentration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96456272"/>
        <c:crosses val="autoZero"/>
        <c:crossBetween val="midCat"/>
      </c:valAx>
      <c:valAx>
        <c:axId val="179645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 i="0" u="none" strike="noStrike" baseline="0">
                    <a:effectLst/>
                  </a:rPr>
                  <a:t>Absorbance</a:t>
                </a:r>
                <a:r>
                  <a:rPr lang="en-US" b="1"/>
                  <a:t> at 225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34031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CAP Absorbance at 243 nm 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التجربة!$C$21</c:f>
              <c:strCache>
                <c:ptCount val="1"/>
                <c:pt idx="0">
                  <c:v>ABS at 243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trendline>
            <c:spPr>
              <a:ln w="12700" cap="rnd">
                <a:solidFill>
                  <a:schemeClr val="tx1"/>
                </a:solidFill>
                <a:prstDash val="dash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1850069073135095"/>
                  <c:y val="-1.465499266843528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التجربة!$B$22:$B$31</c:f>
              <c:numCache>
                <c:formatCode>General</c:formatCode>
                <c:ptCount val="10"/>
                <c:pt idx="0">
                  <c:v>0</c:v>
                </c:pt>
                <c:pt idx="1">
                  <c:v>0.3125</c:v>
                </c:pt>
                <c:pt idx="2">
                  <c:v>0.52500000000000002</c:v>
                </c:pt>
                <c:pt idx="3">
                  <c:v>1.25</c:v>
                </c:pt>
                <c:pt idx="4">
                  <c:v>2.5</c:v>
                </c:pt>
                <c:pt idx="5">
                  <c:v>5</c:v>
                </c:pt>
                <c:pt idx="6">
                  <c:v>10</c:v>
                </c:pt>
                <c:pt idx="7">
                  <c:v>15</c:v>
                </c:pt>
                <c:pt idx="8">
                  <c:v>17.5</c:v>
                </c:pt>
                <c:pt idx="9">
                  <c:v>20</c:v>
                </c:pt>
              </c:numCache>
            </c:numRef>
          </c:xVal>
          <c:yVal>
            <c:numRef>
              <c:f>التجربة!$C$22:$C$31</c:f>
              <c:numCache>
                <c:formatCode>General</c:formatCode>
                <c:ptCount val="10"/>
                <c:pt idx="0">
                  <c:v>0</c:v>
                </c:pt>
                <c:pt idx="1">
                  <c:v>9.6000000000000002E-2</c:v>
                </c:pt>
                <c:pt idx="2">
                  <c:v>0.13300000000000001</c:v>
                </c:pt>
                <c:pt idx="3">
                  <c:v>0.246</c:v>
                </c:pt>
                <c:pt idx="4">
                  <c:v>0.52200000000000002</c:v>
                </c:pt>
                <c:pt idx="5">
                  <c:v>0.89800000000000002</c:v>
                </c:pt>
                <c:pt idx="6">
                  <c:v>1.532</c:v>
                </c:pt>
                <c:pt idx="7">
                  <c:v>2.0030000000000001</c:v>
                </c:pt>
                <c:pt idx="8">
                  <c:v>2.524</c:v>
                </c:pt>
                <c:pt idx="9">
                  <c:v>2.9769999999999999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4708-4D4F-9338-67C6BED31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5369616"/>
        <c:axId val="1805945488"/>
      </c:scatterChart>
      <c:valAx>
        <c:axId val="1755369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CAP Concentration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05945488"/>
        <c:crosses val="autoZero"/>
        <c:crossBetween val="midCat"/>
      </c:valAx>
      <c:valAx>
        <c:axId val="180594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 i="0" u="none" strike="noStrike" baseline="0">
                    <a:effectLst/>
                  </a:rPr>
                  <a:t>Absorbance</a:t>
                </a:r>
                <a:r>
                  <a:rPr lang="en-US" b="1"/>
                  <a:t> at 243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53696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Aarthi K Krishnamoorthy P</cp:lastModifiedBy>
  <cp:revision>3</cp:revision>
  <dcterms:created xsi:type="dcterms:W3CDTF">2024-08-31T00:10:00Z</dcterms:created>
  <dcterms:modified xsi:type="dcterms:W3CDTF">2024-10-08T13:50:00Z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a1dc421b12d3f23d3ee238d43c41080f3fee48683c023bbe17b518bb46b4f22c</vt:lpwstr>
  </property>
</Properties>
</file>