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BD2E0B" w14:textId="0381B905" w:rsidR="004F51EF" w:rsidRPr="001D0ADC" w:rsidRDefault="00E05B1D" w:rsidP="00147C6B">
      <w:pPr>
        <w:rPr>
          <w:rFonts w:ascii="Times New Roman" w:hAnsi="Times New Roman" w:cs="Times New Roman"/>
          <w:sz w:val="24"/>
          <w:szCs w:val="24"/>
          <w:lang w:val="en-GB"/>
        </w:rPr>
      </w:pPr>
      <w:r w:rsidRPr="001D0ADC">
        <w:rPr>
          <w:rFonts w:ascii="Times New Roman" w:hAnsi="Times New Roman" w:cs="Times New Roman"/>
          <w:b/>
          <w:bCs/>
          <w:sz w:val="24"/>
          <w:szCs w:val="24"/>
          <w:lang w:val="en-GB"/>
        </w:rPr>
        <w:t xml:space="preserve">Supplementary </w:t>
      </w:r>
      <w:r w:rsidR="004F51EF" w:rsidRPr="001D0ADC">
        <w:rPr>
          <w:rFonts w:ascii="Times New Roman" w:hAnsi="Times New Roman" w:cs="Times New Roman"/>
          <w:b/>
          <w:bCs/>
          <w:sz w:val="24"/>
          <w:szCs w:val="24"/>
          <w:lang w:val="en-GB"/>
        </w:rPr>
        <w:t>Figure S</w:t>
      </w:r>
      <w:r w:rsidRPr="001D0ADC">
        <w:rPr>
          <w:rFonts w:ascii="Times New Roman" w:hAnsi="Times New Roman" w:cs="Times New Roman"/>
          <w:b/>
          <w:bCs/>
          <w:sz w:val="24"/>
          <w:szCs w:val="24"/>
          <w:lang w:val="en-GB"/>
        </w:rPr>
        <w:t>F</w:t>
      </w:r>
      <w:r w:rsidR="00043E2C" w:rsidRPr="001D0ADC">
        <w:rPr>
          <w:rFonts w:ascii="Times New Roman" w:hAnsi="Times New Roman" w:cs="Times New Roman"/>
          <w:b/>
          <w:bCs/>
          <w:sz w:val="24"/>
          <w:szCs w:val="24"/>
          <w:lang w:val="en-GB"/>
        </w:rPr>
        <w:t>1</w:t>
      </w:r>
      <w:r w:rsidR="004F51EF" w:rsidRPr="001D0ADC">
        <w:rPr>
          <w:rFonts w:ascii="Times New Roman" w:hAnsi="Times New Roman" w:cs="Times New Roman"/>
          <w:sz w:val="24"/>
          <w:szCs w:val="24"/>
          <w:lang w:val="en-GB"/>
        </w:rPr>
        <w:t xml:space="preserve">: </w:t>
      </w:r>
      <w:r w:rsidR="00CD36F2" w:rsidRPr="001D0ADC">
        <w:rPr>
          <w:rFonts w:ascii="Times New Roman" w:hAnsi="Times New Roman" w:cs="Times New Roman"/>
          <w:sz w:val="24"/>
          <w:szCs w:val="24"/>
          <w:lang w:val="en-GB"/>
        </w:rPr>
        <w:t>Dose-response</w:t>
      </w:r>
      <w:r w:rsidR="004F51EF" w:rsidRPr="001D0ADC">
        <w:rPr>
          <w:rFonts w:ascii="Times New Roman" w:hAnsi="Times New Roman" w:cs="Times New Roman"/>
          <w:sz w:val="24"/>
          <w:szCs w:val="24"/>
          <w:lang w:val="en-GB"/>
        </w:rPr>
        <w:t xml:space="preserve"> curves of</w:t>
      </w:r>
      <w:r w:rsidR="00CD36F2" w:rsidRPr="001D0ADC">
        <w:rPr>
          <w:rFonts w:ascii="Times New Roman" w:hAnsi="Times New Roman" w:cs="Times New Roman"/>
          <w:sz w:val="24"/>
          <w:szCs w:val="24"/>
          <w:lang w:val="en-GB"/>
        </w:rPr>
        <w:t xml:space="preserve"> selected substances A: CBZ, B: CIP, C: CLA, D: DCL, E: HDZ, F: IBU, G: PCM, and H: SMX; from RT Gill W1 assay. Each of the curves represents a non-linear fit </w:t>
      </w:r>
      <w:bookmarkStart w:id="0" w:name="_GoBack"/>
      <w:bookmarkEnd w:id="0"/>
      <w:r w:rsidR="00CD36F2" w:rsidRPr="001D0ADC">
        <w:rPr>
          <w:rFonts w:ascii="Times New Roman" w:hAnsi="Times New Roman" w:cs="Times New Roman"/>
          <w:sz w:val="24"/>
          <w:szCs w:val="24"/>
          <w:lang w:val="en-GB"/>
        </w:rPr>
        <w:t xml:space="preserve">for a set of data from one replicate. Log c on the x-axis is in mg/l.  </w:t>
      </w:r>
      <w:r w:rsidR="004F51EF" w:rsidRPr="001D0ADC">
        <w:rPr>
          <w:rFonts w:ascii="Times New Roman" w:hAnsi="Times New Roman" w:cs="Times New Roman"/>
          <w:sz w:val="24"/>
          <w:szCs w:val="24"/>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4615"/>
        <w:gridCol w:w="4447"/>
      </w:tblGrid>
      <w:tr w:rsidR="001D0ADC" w:rsidRPr="001D0ADC" w14:paraId="74ABA51E" w14:textId="77777777" w:rsidTr="004F51EF">
        <w:tc>
          <w:tcPr>
            <w:tcW w:w="4664" w:type="dxa"/>
          </w:tcPr>
          <w:p w14:paraId="079995B0" w14:textId="2A102C8C" w:rsidR="004F51EF" w:rsidRPr="001D0ADC" w:rsidRDefault="004F51EF" w:rsidP="00147C6B">
            <w:pPr>
              <w:rPr>
                <w:rFonts w:ascii="Times New Roman" w:hAnsi="Times New Roman" w:cs="Times New Roman"/>
                <w:noProof/>
                <w:sz w:val="24"/>
                <w:szCs w:val="24"/>
                <w:lang w:val="en-GB"/>
              </w:rPr>
            </w:pPr>
            <w:r w:rsidRPr="001D0ADC">
              <w:rPr>
                <w:rFonts w:ascii="Times New Roman" w:hAnsi="Times New Roman" w:cs="Times New Roman"/>
                <w:noProof/>
                <w:sz w:val="24"/>
                <w:szCs w:val="24"/>
                <w:lang w:val="en-GB"/>
              </w:rPr>
              <w:t>A</w:t>
            </w:r>
          </w:p>
          <w:p w14:paraId="182583E1" w14:textId="0E590175" w:rsidR="004F51EF" w:rsidRPr="001D0ADC" w:rsidRDefault="004F51EF" w:rsidP="00147C6B">
            <w:pPr>
              <w:rPr>
                <w:rFonts w:ascii="Times New Roman" w:hAnsi="Times New Roman" w:cs="Times New Roman"/>
                <w:sz w:val="24"/>
                <w:szCs w:val="24"/>
                <w:lang w:val="en-GB"/>
              </w:rPr>
            </w:pPr>
            <w:r w:rsidRPr="001D0ADC">
              <w:rPr>
                <w:rFonts w:ascii="Times New Roman" w:hAnsi="Times New Roman" w:cs="Times New Roman"/>
                <w:noProof/>
                <w:sz w:val="24"/>
                <w:szCs w:val="24"/>
                <w:lang w:val="en-IN" w:eastAsia="en-IN"/>
              </w:rPr>
              <w:drawing>
                <wp:inline distT="0" distB="0" distL="0" distR="0" wp14:anchorId="4F2C518A" wp14:editId="5BA00CAF">
                  <wp:extent cx="3011371" cy="1806454"/>
                  <wp:effectExtent l="0" t="0" r="0" b="381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11371" cy="1806454"/>
                          </a:xfrm>
                          <a:prstGeom prst="rect">
                            <a:avLst/>
                          </a:prstGeom>
                        </pic:spPr>
                      </pic:pic>
                    </a:graphicData>
                  </a:graphic>
                </wp:inline>
              </w:drawing>
            </w:r>
          </w:p>
        </w:tc>
        <w:tc>
          <w:tcPr>
            <w:tcW w:w="4665" w:type="dxa"/>
          </w:tcPr>
          <w:p w14:paraId="45748795" w14:textId="22822C62" w:rsidR="004F51EF" w:rsidRPr="001D0ADC" w:rsidRDefault="004F51EF" w:rsidP="00147C6B">
            <w:pPr>
              <w:rPr>
                <w:rFonts w:ascii="Times New Roman" w:hAnsi="Times New Roman" w:cs="Times New Roman"/>
                <w:noProof/>
                <w:sz w:val="24"/>
                <w:szCs w:val="24"/>
                <w:lang w:val="en-GB"/>
              </w:rPr>
            </w:pPr>
            <w:r w:rsidRPr="001D0ADC">
              <w:rPr>
                <w:rFonts w:ascii="Times New Roman" w:hAnsi="Times New Roman" w:cs="Times New Roman"/>
                <w:noProof/>
                <w:sz w:val="24"/>
                <w:szCs w:val="24"/>
                <w:lang w:val="en-GB"/>
              </w:rPr>
              <w:t>B</w:t>
            </w:r>
          </w:p>
          <w:p w14:paraId="72410655" w14:textId="4989C5C2" w:rsidR="004F51EF" w:rsidRPr="001D0ADC" w:rsidRDefault="004F51EF" w:rsidP="00147C6B">
            <w:pPr>
              <w:rPr>
                <w:rFonts w:ascii="Times New Roman" w:hAnsi="Times New Roman" w:cs="Times New Roman"/>
                <w:sz w:val="24"/>
                <w:szCs w:val="24"/>
                <w:lang w:val="en-GB"/>
              </w:rPr>
            </w:pPr>
            <w:r w:rsidRPr="001D0ADC">
              <w:rPr>
                <w:rFonts w:ascii="Times New Roman" w:hAnsi="Times New Roman" w:cs="Times New Roman"/>
                <w:noProof/>
                <w:sz w:val="24"/>
                <w:szCs w:val="24"/>
                <w:lang w:val="en-IN" w:eastAsia="en-IN"/>
              </w:rPr>
              <w:drawing>
                <wp:inline distT="0" distB="0" distL="0" distR="0" wp14:anchorId="435431B2" wp14:editId="6FD0157E">
                  <wp:extent cx="2671948" cy="160284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76544" cy="1605597"/>
                          </a:xfrm>
                          <a:prstGeom prst="rect">
                            <a:avLst/>
                          </a:prstGeom>
                        </pic:spPr>
                      </pic:pic>
                    </a:graphicData>
                  </a:graphic>
                </wp:inline>
              </w:drawing>
            </w:r>
          </w:p>
        </w:tc>
        <w:tc>
          <w:tcPr>
            <w:tcW w:w="4665" w:type="dxa"/>
          </w:tcPr>
          <w:p w14:paraId="0CF4E1F7" w14:textId="298D7675" w:rsidR="004F51EF" w:rsidRPr="001D0ADC" w:rsidRDefault="004F51EF" w:rsidP="00147C6B">
            <w:pPr>
              <w:rPr>
                <w:rFonts w:ascii="Times New Roman" w:hAnsi="Times New Roman" w:cs="Times New Roman"/>
                <w:noProof/>
                <w:sz w:val="24"/>
                <w:szCs w:val="24"/>
                <w:lang w:val="en-GB"/>
              </w:rPr>
            </w:pPr>
            <w:r w:rsidRPr="001D0ADC">
              <w:rPr>
                <w:rFonts w:ascii="Times New Roman" w:hAnsi="Times New Roman" w:cs="Times New Roman"/>
                <w:noProof/>
                <w:sz w:val="24"/>
                <w:szCs w:val="24"/>
                <w:lang w:val="en-GB"/>
              </w:rPr>
              <w:t>C</w:t>
            </w:r>
          </w:p>
          <w:p w14:paraId="439CE28A" w14:textId="76ED697D" w:rsidR="004F51EF" w:rsidRPr="001D0ADC" w:rsidRDefault="004F51EF" w:rsidP="00147C6B">
            <w:pPr>
              <w:rPr>
                <w:rFonts w:ascii="Times New Roman" w:hAnsi="Times New Roman" w:cs="Times New Roman"/>
                <w:sz w:val="24"/>
                <w:szCs w:val="24"/>
                <w:lang w:val="en-GB"/>
              </w:rPr>
            </w:pPr>
            <w:r w:rsidRPr="001D0ADC">
              <w:rPr>
                <w:rFonts w:ascii="Times New Roman" w:hAnsi="Times New Roman" w:cs="Times New Roman"/>
                <w:noProof/>
                <w:sz w:val="24"/>
                <w:szCs w:val="24"/>
                <w:lang w:val="en-IN" w:eastAsia="en-IN"/>
              </w:rPr>
              <w:drawing>
                <wp:inline distT="0" distB="0" distL="0" distR="0" wp14:anchorId="4A38795B" wp14:editId="11B88B99">
                  <wp:extent cx="2695699" cy="1617089"/>
                  <wp:effectExtent l="0" t="0" r="0" b="254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9614" cy="1619438"/>
                          </a:xfrm>
                          <a:prstGeom prst="rect">
                            <a:avLst/>
                          </a:prstGeom>
                        </pic:spPr>
                      </pic:pic>
                    </a:graphicData>
                  </a:graphic>
                </wp:inline>
              </w:drawing>
            </w:r>
          </w:p>
        </w:tc>
      </w:tr>
      <w:tr w:rsidR="001D0ADC" w:rsidRPr="001D0ADC" w14:paraId="18A4EF6E" w14:textId="77777777" w:rsidTr="004F51EF">
        <w:tc>
          <w:tcPr>
            <w:tcW w:w="4664" w:type="dxa"/>
          </w:tcPr>
          <w:p w14:paraId="0D7B5436" w14:textId="4F5A4EB8" w:rsidR="004F51EF" w:rsidRPr="001D0ADC" w:rsidRDefault="004F51EF" w:rsidP="00147C6B">
            <w:pPr>
              <w:rPr>
                <w:rFonts w:ascii="Times New Roman" w:hAnsi="Times New Roman" w:cs="Times New Roman"/>
                <w:noProof/>
                <w:sz w:val="24"/>
                <w:szCs w:val="24"/>
                <w:lang w:val="en-GB"/>
              </w:rPr>
            </w:pPr>
            <w:r w:rsidRPr="001D0ADC">
              <w:rPr>
                <w:rFonts w:ascii="Times New Roman" w:hAnsi="Times New Roman" w:cs="Times New Roman"/>
                <w:noProof/>
                <w:sz w:val="24"/>
                <w:szCs w:val="24"/>
                <w:lang w:val="en-GB"/>
              </w:rPr>
              <w:t>D</w:t>
            </w:r>
          </w:p>
          <w:p w14:paraId="77EA59B2" w14:textId="3306230C" w:rsidR="004F51EF" w:rsidRPr="001D0ADC" w:rsidRDefault="004F51EF" w:rsidP="00147C6B">
            <w:pPr>
              <w:rPr>
                <w:rFonts w:ascii="Times New Roman" w:hAnsi="Times New Roman" w:cs="Times New Roman"/>
                <w:sz w:val="24"/>
                <w:szCs w:val="24"/>
                <w:lang w:val="en-GB"/>
              </w:rPr>
            </w:pPr>
            <w:r w:rsidRPr="001D0ADC">
              <w:rPr>
                <w:rFonts w:ascii="Times New Roman" w:hAnsi="Times New Roman" w:cs="Times New Roman"/>
                <w:noProof/>
                <w:sz w:val="24"/>
                <w:szCs w:val="24"/>
                <w:lang w:val="en-IN" w:eastAsia="en-IN"/>
              </w:rPr>
              <w:drawing>
                <wp:inline distT="0" distB="0" distL="0" distR="0" wp14:anchorId="6601F760" wp14:editId="58806C68">
                  <wp:extent cx="2927579" cy="1756189"/>
                  <wp:effectExtent l="0" t="0" r="635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7579" cy="1756189"/>
                          </a:xfrm>
                          <a:prstGeom prst="rect">
                            <a:avLst/>
                          </a:prstGeom>
                        </pic:spPr>
                      </pic:pic>
                    </a:graphicData>
                  </a:graphic>
                </wp:inline>
              </w:drawing>
            </w:r>
          </w:p>
        </w:tc>
        <w:tc>
          <w:tcPr>
            <w:tcW w:w="4665" w:type="dxa"/>
          </w:tcPr>
          <w:p w14:paraId="23A94D44" w14:textId="3105F60E" w:rsidR="004F51EF" w:rsidRPr="001D0ADC" w:rsidRDefault="004F51EF" w:rsidP="00147C6B">
            <w:pPr>
              <w:rPr>
                <w:rFonts w:ascii="Times New Roman" w:hAnsi="Times New Roman" w:cs="Times New Roman"/>
                <w:noProof/>
                <w:sz w:val="24"/>
                <w:szCs w:val="24"/>
                <w:lang w:val="en-GB"/>
              </w:rPr>
            </w:pPr>
            <w:r w:rsidRPr="001D0ADC">
              <w:rPr>
                <w:rFonts w:ascii="Times New Roman" w:hAnsi="Times New Roman" w:cs="Times New Roman"/>
                <w:noProof/>
                <w:sz w:val="24"/>
                <w:szCs w:val="24"/>
                <w:lang w:val="en-GB"/>
              </w:rPr>
              <w:t>E</w:t>
            </w:r>
          </w:p>
          <w:p w14:paraId="747FEDC8" w14:textId="568ABE09" w:rsidR="004F51EF" w:rsidRPr="001D0ADC" w:rsidRDefault="004F51EF" w:rsidP="00147C6B">
            <w:pPr>
              <w:rPr>
                <w:rFonts w:ascii="Times New Roman" w:hAnsi="Times New Roman" w:cs="Times New Roman"/>
                <w:sz w:val="24"/>
                <w:szCs w:val="24"/>
                <w:lang w:val="en-GB"/>
              </w:rPr>
            </w:pPr>
            <w:r w:rsidRPr="001D0ADC">
              <w:rPr>
                <w:rFonts w:ascii="Times New Roman" w:hAnsi="Times New Roman" w:cs="Times New Roman"/>
                <w:noProof/>
                <w:sz w:val="24"/>
                <w:szCs w:val="24"/>
                <w:lang w:val="en-IN" w:eastAsia="en-IN"/>
              </w:rPr>
              <w:drawing>
                <wp:inline distT="0" distB="0" distL="0" distR="0" wp14:anchorId="24FDD9DD" wp14:editId="116097F3">
                  <wp:extent cx="2802837" cy="1681359"/>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2837" cy="1681359"/>
                          </a:xfrm>
                          <a:prstGeom prst="rect">
                            <a:avLst/>
                          </a:prstGeom>
                        </pic:spPr>
                      </pic:pic>
                    </a:graphicData>
                  </a:graphic>
                </wp:inline>
              </w:drawing>
            </w:r>
          </w:p>
        </w:tc>
        <w:tc>
          <w:tcPr>
            <w:tcW w:w="4665" w:type="dxa"/>
          </w:tcPr>
          <w:p w14:paraId="68EA3504" w14:textId="7C00C6B9" w:rsidR="004F51EF" w:rsidRPr="001D0ADC" w:rsidRDefault="004F51EF" w:rsidP="00147C6B">
            <w:pPr>
              <w:rPr>
                <w:rFonts w:ascii="Times New Roman" w:hAnsi="Times New Roman" w:cs="Times New Roman"/>
                <w:noProof/>
                <w:sz w:val="24"/>
                <w:szCs w:val="24"/>
                <w:lang w:val="en-GB"/>
              </w:rPr>
            </w:pPr>
            <w:r w:rsidRPr="001D0ADC">
              <w:rPr>
                <w:rFonts w:ascii="Times New Roman" w:hAnsi="Times New Roman" w:cs="Times New Roman"/>
                <w:noProof/>
                <w:sz w:val="24"/>
                <w:szCs w:val="24"/>
                <w:lang w:val="en-GB"/>
              </w:rPr>
              <w:t>F</w:t>
            </w:r>
          </w:p>
          <w:p w14:paraId="6AD2160D" w14:textId="761A4587" w:rsidR="004F51EF" w:rsidRPr="001D0ADC" w:rsidRDefault="004F51EF" w:rsidP="00147C6B">
            <w:pPr>
              <w:rPr>
                <w:rFonts w:ascii="Times New Roman" w:hAnsi="Times New Roman" w:cs="Times New Roman"/>
                <w:sz w:val="24"/>
                <w:szCs w:val="24"/>
                <w:lang w:val="en-GB"/>
              </w:rPr>
            </w:pPr>
            <w:r w:rsidRPr="001D0ADC">
              <w:rPr>
                <w:rFonts w:ascii="Times New Roman" w:hAnsi="Times New Roman" w:cs="Times New Roman"/>
                <w:noProof/>
                <w:sz w:val="24"/>
                <w:szCs w:val="24"/>
                <w:lang w:val="en-IN" w:eastAsia="en-IN"/>
              </w:rPr>
              <w:drawing>
                <wp:inline distT="0" distB="0" distL="0" distR="0" wp14:anchorId="67903D4F" wp14:editId="33279CD6">
                  <wp:extent cx="2517569" cy="1510233"/>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3393" cy="1513727"/>
                          </a:xfrm>
                          <a:prstGeom prst="rect">
                            <a:avLst/>
                          </a:prstGeom>
                        </pic:spPr>
                      </pic:pic>
                    </a:graphicData>
                  </a:graphic>
                </wp:inline>
              </w:drawing>
            </w:r>
          </w:p>
        </w:tc>
      </w:tr>
      <w:tr w:rsidR="004F51EF" w:rsidRPr="001D0ADC" w14:paraId="66C7D802" w14:textId="77777777" w:rsidTr="004F51EF">
        <w:tc>
          <w:tcPr>
            <w:tcW w:w="4664" w:type="dxa"/>
          </w:tcPr>
          <w:p w14:paraId="2A1C3BDE" w14:textId="18316AF3" w:rsidR="004F51EF" w:rsidRPr="001D0ADC" w:rsidRDefault="004F51EF" w:rsidP="00147C6B">
            <w:pPr>
              <w:rPr>
                <w:rFonts w:ascii="Times New Roman" w:hAnsi="Times New Roman" w:cs="Times New Roman"/>
                <w:noProof/>
                <w:sz w:val="24"/>
                <w:szCs w:val="24"/>
                <w:lang w:val="en-GB"/>
              </w:rPr>
            </w:pPr>
            <w:r w:rsidRPr="001D0ADC">
              <w:rPr>
                <w:rFonts w:ascii="Times New Roman" w:hAnsi="Times New Roman" w:cs="Times New Roman"/>
                <w:noProof/>
                <w:sz w:val="24"/>
                <w:szCs w:val="24"/>
                <w:lang w:val="en-GB"/>
              </w:rPr>
              <w:t>G</w:t>
            </w:r>
          </w:p>
          <w:p w14:paraId="0A82086F" w14:textId="44D4931B" w:rsidR="004F51EF" w:rsidRPr="001D0ADC" w:rsidRDefault="004F51EF" w:rsidP="00147C6B">
            <w:pPr>
              <w:rPr>
                <w:rFonts w:ascii="Times New Roman" w:hAnsi="Times New Roman" w:cs="Times New Roman"/>
                <w:sz w:val="24"/>
                <w:szCs w:val="24"/>
                <w:lang w:val="en-GB"/>
              </w:rPr>
            </w:pPr>
            <w:r w:rsidRPr="001D0ADC">
              <w:rPr>
                <w:rFonts w:ascii="Times New Roman" w:hAnsi="Times New Roman" w:cs="Times New Roman"/>
                <w:noProof/>
                <w:sz w:val="24"/>
                <w:szCs w:val="24"/>
                <w:lang w:val="en-IN" w:eastAsia="en-IN"/>
              </w:rPr>
              <w:drawing>
                <wp:inline distT="0" distB="0" distL="0" distR="0" wp14:anchorId="70442954" wp14:editId="39B6C16F">
                  <wp:extent cx="2695698" cy="1617088"/>
                  <wp:effectExtent l="0" t="0" r="0" b="254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4675" cy="1622473"/>
                          </a:xfrm>
                          <a:prstGeom prst="rect">
                            <a:avLst/>
                          </a:prstGeom>
                        </pic:spPr>
                      </pic:pic>
                    </a:graphicData>
                  </a:graphic>
                </wp:inline>
              </w:drawing>
            </w:r>
          </w:p>
        </w:tc>
        <w:tc>
          <w:tcPr>
            <w:tcW w:w="4665" w:type="dxa"/>
          </w:tcPr>
          <w:p w14:paraId="56A83D6C" w14:textId="0F493992" w:rsidR="004F51EF" w:rsidRPr="001D0ADC" w:rsidRDefault="004F51EF" w:rsidP="00147C6B">
            <w:pPr>
              <w:rPr>
                <w:rFonts w:ascii="Times New Roman" w:hAnsi="Times New Roman" w:cs="Times New Roman"/>
                <w:noProof/>
                <w:sz w:val="24"/>
                <w:szCs w:val="24"/>
                <w:lang w:val="en-GB"/>
              </w:rPr>
            </w:pPr>
            <w:r w:rsidRPr="001D0ADC">
              <w:rPr>
                <w:rFonts w:ascii="Times New Roman" w:hAnsi="Times New Roman" w:cs="Times New Roman"/>
                <w:noProof/>
                <w:sz w:val="24"/>
                <w:szCs w:val="24"/>
                <w:lang w:val="en-GB"/>
              </w:rPr>
              <w:t>H</w:t>
            </w:r>
          </w:p>
          <w:p w14:paraId="398A4A04" w14:textId="3AE0A1B4" w:rsidR="004F51EF" w:rsidRPr="001D0ADC" w:rsidRDefault="004F51EF" w:rsidP="00147C6B">
            <w:pPr>
              <w:rPr>
                <w:rFonts w:ascii="Times New Roman" w:hAnsi="Times New Roman" w:cs="Times New Roman"/>
                <w:sz w:val="24"/>
                <w:szCs w:val="24"/>
                <w:lang w:val="en-GB"/>
              </w:rPr>
            </w:pPr>
            <w:r w:rsidRPr="001D0ADC">
              <w:rPr>
                <w:rFonts w:ascii="Times New Roman" w:hAnsi="Times New Roman" w:cs="Times New Roman"/>
                <w:noProof/>
                <w:sz w:val="24"/>
                <w:szCs w:val="24"/>
                <w:lang w:val="en-IN" w:eastAsia="en-IN"/>
              </w:rPr>
              <w:drawing>
                <wp:inline distT="0" distB="0" distL="0" distR="0" wp14:anchorId="651F8B52" wp14:editId="0E038FF7">
                  <wp:extent cx="2683824" cy="1609965"/>
                  <wp:effectExtent l="0" t="0" r="2540" b="952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91103" cy="1614332"/>
                          </a:xfrm>
                          <a:prstGeom prst="rect">
                            <a:avLst/>
                          </a:prstGeom>
                        </pic:spPr>
                      </pic:pic>
                    </a:graphicData>
                  </a:graphic>
                </wp:inline>
              </w:drawing>
            </w:r>
          </w:p>
        </w:tc>
        <w:tc>
          <w:tcPr>
            <w:tcW w:w="4665" w:type="dxa"/>
          </w:tcPr>
          <w:p w14:paraId="09463E11" w14:textId="77777777" w:rsidR="004F51EF" w:rsidRPr="001D0ADC" w:rsidRDefault="004F51EF" w:rsidP="00147C6B">
            <w:pPr>
              <w:rPr>
                <w:rFonts w:ascii="Times New Roman" w:hAnsi="Times New Roman" w:cs="Times New Roman"/>
                <w:sz w:val="24"/>
                <w:szCs w:val="24"/>
                <w:lang w:val="en-GB"/>
              </w:rPr>
            </w:pPr>
          </w:p>
        </w:tc>
      </w:tr>
    </w:tbl>
    <w:p w14:paraId="3181A7A3" w14:textId="77777777" w:rsidR="00CD6861" w:rsidRPr="001D0ADC" w:rsidRDefault="00CD6861" w:rsidP="00147C6B">
      <w:pPr>
        <w:rPr>
          <w:rFonts w:ascii="Times New Roman" w:hAnsi="Times New Roman" w:cs="Times New Roman"/>
          <w:sz w:val="24"/>
          <w:szCs w:val="24"/>
          <w:lang w:val="en-GB"/>
        </w:rPr>
      </w:pPr>
    </w:p>
    <w:p w14:paraId="490C9D9A" w14:textId="68DAB1DA" w:rsidR="009A2404" w:rsidRPr="001D0ADC" w:rsidRDefault="00E05B1D" w:rsidP="009A2404">
      <w:pPr>
        <w:rPr>
          <w:rFonts w:ascii="Times New Roman" w:hAnsi="Times New Roman" w:cs="Times New Roman"/>
          <w:b/>
          <w:bCs/>
          <w:sz w:val="24"/>
          <w:szCs w:val="24"/>
          <w:lang w:val="en-GB"/>
        </w:rPr>
      </w:pPr>
      <w:r w:rsidRPr="001D0ADC">
        <w:rPr>
          <w:rFonts w:ascii="Times New Roman" w:hAnsi="Times New Roman" w:cs="Times New Roman"/>
          <w:b/>
          <w:bCs/>
          <w:sz w:val="24"/>
          <w:szCs w:val="24"/>
          <w:lang w:val="en-GB"/>
        </w:rPr>
        <w:t xml:space="preserve">Supplementary </w:t>
      </w:r>
      <w:r w:rsidR="009A2404" w:rsidRPr="001D0ADC">
        <w:rPr>
          <w:rFonts w:ascii="Times New Roman" w:hAnsi="Times New Roman" w:cs="Times New Roman"/>
          <w:b/>
          <w:bCs/>
          <w:sz w:val="24"/>
          <w:szCs w:val="24"/>
          <w:lang w:val="en-GB"/>
        </w:rPr>
        <w:t>Table S</w:t>
      </w:r>
      <w:r w:rsidRPr="001D0ADC">
        <w:rPr>
          <w:rFonts w:ascii="Times New Roman" w:hAnsi="Times New Roman" w:cs="Times New Roman"/>
          <w:b/>
          <w:bCs/>
          <w:sz w:val="24"/>
          <w:szCs w:val="24"/>
          <w:lang w:val="en-GB"/>
        </w:rPr>
        <w:t>1</w:t>
      </w:r>
      <w:r w:rsidR="009A2404" w:rsidRPr="001D0ADC">
        <w:rPr>
          <w:rFonts w:ascii="Times New Roman" w:hAnsi="Times New Roman" w:cs="Times New Roman"/>
          <w:b/>
          <w:bCs/>
          <w:sz w:val="24"/>
          <w:szCs w:val="24"/>
          <w:lang w:val="en-GB"/>
        </w:rPr>
        <w:t xml:space="preserve">: </w:t>
      </w:r>
      <w:r w:rsidR="00BB3340" w:rsidRPr="001D0ADC">
        <w:rPr>
          <w:rFonts w:ascii="Times New Roman" w:hAnsi="Times New Roman" w:cs="Times New Roman"/>
          <w:sz w:val="24"/>
          <w:szCs w:val="24"/>
          <w:lang w:val="en-GB"/>
        </w:rPr>
        <w:t xml:space="preserve">Acute effects on fish reported in </w:t>
      </w:r>
      <w:r w:rsidRPr="001D0ADC">
        <w:rPr>
          <w:rFonts w:ascii="Times New Roman" w:hAnsi="Times New Roman" w:cs="Times New Roman"/>
          <w:sz w:val="24"/>
          <w:szCs w:val="24"/>
          <w:lang w:val="en-GB"/>
        </w:rPr>
        <w:t xml:space="preserve">the </w:t>
      </w:r>
      <w:r w:rsidR="00BB3340" w:rsidRPr="001D0ADC">
        <w:rPr>
          <w:rFonts w:ascii="Times New Roman" w:hAnsi="Times New Roman" w:cs="Times New Roman"/>
          <w:sz w:val="24"/>
          <w:szCs w:val="24"/>
          <w:lang w:val="en-GB"/>
        </w:rPr>
        <w:t>literature</w:t>
      </w:r>
      <w:r w:rsidR="00CC5B19" w:rsidRPr="001D0ADC">
        <w:rPr>
          <w:rFonts w:ascii="Times New Roman" w:hAnsi="Times New Roman" w:cs="Times New Roman"/>
          <w:sz w:val="24"/>
          <w:szCs w:val="24"/>
          <w:lang w:val="en-GB"/>
        </w:rPr>
        <w:t xml:space="preserve"> </w:t>
      </w:r>
      <w:r w:rsidR="00BB3340" w:rsidRPr="001D0ADC">
        <w:rPr>
          <w:rFonts w:ascii="Times New Roman" w:hAnsi="Times New Roman" w:cs="Times New Roman"/>
          <w:sz w:val="24"/>
          <w:szCs w:val="24"/>
          <w:lang w:val="en-GB"/>
        </w:rPr>
        <w:t xml:space="preserve">for selected substances. For each substance, the table is divided into sections listing acute </w:t>
      </w:r>
      <w:r w:rsidR="00CC5B19" w:rsidRPr="001D0ADC">
        <w:rPr>
          <w:rFonts w:ascii="Times New Roman" w:hAnsi="Times New Roman" w:cs="Times New Roman"/>
          <w:sz w:val="24"/>
          <w:szCs w:val="24"/>
          <w:lang w:val="en-GB"/>
        </w:rPr>
        <w:t xml:space="preserve">fish toxicity (endpoint of AFT), non-lethal effects after acute exposure, both tested on adult or juvenile fish; FET or comparable early life-stage test either with or without zebrafish; and </w:t>
      </w:r>
      <w:r w:rsidR="00561365" w:rsidRPr="001D0ADC">
        <w:rPr>
          <w:rFonts w:ascii="Times New Roman" w:hAnsi="Times New Roman" w:cs="Times New Roman"/>
          <w:sz w:val="24"/>
          <w:szCs w:val="24"/>
          <w:lang w:val="en-GB"/>
        </w:rPr>
        <w:t>finally,</w:t>
      </w:r>
      <w:r w:rsidR="00CC5B19" w:rsidRPr="001D0ADC">
        <w:rPr>
          <w:rFonts w:ascii="Times New Roman" w:hAnsi="Times New Roman" w:cs="Times New Roman"/>
          <w:sz w:val="24"/>
          <w:szCs w:val="24"/>
          <w:lang w:val="en-GB"/>
        </w:rPr>
        <w:t xml:space="preserve"> </w:t>
      </w:r>
      <w:r w:rsidR="00CC5B19" w:rsidRPr="001D0ADC">
        <w:rPr>
          <w:rFonts w:ascii="Times New Roman" w:hAnsi="Times New Roman" w:cs="Times New Roman"/>
          <w:i/>
          <w:iCs/>
          <w:sz w:val="24"/>
          <w:szCs w:val="24"/>
          <w:lang w:val="en-GB"/>
        </w:rPr>
        <w:t xml:space="preserve">in-vitro </w:t>
      </w:r>
      <w:r w:rsidR="00CC5B19" w:rsidRPr="001D0ADC">
        <w:rPr>
          <w:rFonts w:ascii="Times New Roman" w:hAnsi="Times New Roman" w:cs="Times New Roman"/>
          <w:sz w:val="24"/>
          <w:szCs w:val="24"/>
          <w:lang w:val="en-GB"/>
        </w:rPr>
        <w:t xml:space="preserve">section listing results for cell lines and primary cultures. </w:t>
      </w:r>
    </w:p>
    <w:p w14:paraId="2D68F986" w14:textId="347FFBA7" w:rsidR="009A2404" w:rsidRPr="001D0ADC" w:rsidRDefault="009A2404" w:rsidP="009A2404">
      <w:pPr>
        <w:rPr>
          <w:rFonts w:ascii="Times New Roman" w:hAnsi="Times New Roman" w:cs="Times New Roman"/>
          <w:sz w:val="24"/>
          <w:szCs w:val="24"/>
          <w:lang w:val="en-GB"/>
        </w:rPr>
      </w:pPr>
      <w:r w:rsidRPr="001D0ADC">
        <w:rPr>
          <w:rFonts w:ascii="Times New Roman" w:hAnsi="Times New Roman" w:cs="Times New Roman"/>
          <w:b/>
          <w:bCs/>
          <w:sz w:val="24"/>
          <w:szCs w:val="24"/>
          <w:lang w:val="en-GB"/>
        </w:rPr>
        <w:t>Abbreviations of fish species:</w:t>
      </w:r>
      <w:r w:rsidRPr="001D0ADC">
        <w:rPr>
          <w:rFonts w:ascii="Times New Roman" w:hAnsi="Times New Roman" w:cs="Times New Roman"/>
          <w:sz w:val="24"/>
          <w:szCs w:val="24"/>
          <w:lang w:val="en-GB"/>
        </w:rPr>
        <w:t xml:space="preserve"> AA - </w:t>
      </w:r>
      <w:r w:rsidRPr="001D0ADC">
        <w:rPr>
          <w:rFonts w:ascii="Times New Roman" w:hAnsi="Times New Roman" w:cs="Times New Roman"/>
          <w:i/>
          <w:iCs/>
          <w:sz w:val="24"/>
          <w:szCs w:val="24"/>
          <w:lang w:val="en-GB"/>
        </w:rPr>
        <w:t>Anguilla Anguilla</w:t>
      </w:r>
      <w:r w:rsidRPr="001D0ADC">
        <w:rPr>
          <w:rFonts w:ascii="Times New Roman" w:hAnsi="Times New Roman" w:cs="Times New Roman"/>
          <w:sz w:val="24"/>
          <w:szCs w:val="24"/>
          <w:lang w:val="en-GB"/>
        </w:rPr>
        <w:t xml:space="preserve"> (European Eel), AsA - </w:t>
      </w:r>
      <w:r w:rsidRPr="001D0ADC">
        <w:rPr>
          <w:rFonts w:ascii="Times New Roman" w:hAnsi="Times New Roman" w:cs="Times New Roman"/>
          <w:i/>
          <w:iCs/>
          <w:sz w:val="24"/>
          <w:szCs w:val="24"/>
          <w:lang w:val="en-GB"/>
        </w:rPr>
        <w:t>Astyanax altiparanae</w:t>
      </w:r>
      <w:r w:rsidRPr="001D0ADC">
        <w:rPr>
          <w:rFonts w:ascii="Times New Roman" w:hAnsi="Times New Roman" w:cs="Times New Roman"/>
          <w:sz w:val="24"/>
          <w:szCs w:val="24"/>
          <w:lang w:val="en-GB"/>
        </w:rPr>
        <w:t xml:space="preserve">, AC – </w:t>
      </w:r>
      <w:r w:rsidR="00E05B1D" w:rsidRPr="001D0ADC">
        <w:rPr>
          <w:rFonts w:ascii="Times New Roman" w:hAnsi="Times New Roman" w:cs="Times New Roman"/>
          <w:sz w:val="24"/>
          <w:szCs w:val="24"/>
          <w:lang w:val="en-GB"/>
        </w:rPr>
        <w:t>African</w:t>
      </w:r>
      <w:r w:rsidRPr="001D0ADC">
        <w:rPr>
          <w:rFonts w:ascii="Times New Roman" w:hAnsi="Times New Roman" w:cs="Times New Roman"/>
          <w:sz w:val="24"/>
          <w:szCs w:val="24"/>
          <w:lang w:val="en-GB"/>
        </w:rPr>
        <w:t xml:space="preserve"> catfish, CA - </w:t>
      </w:r>
      <w:r w:rsidRPr="001D0ADC">
        <w:rPr>
          <w:rFonts w:ascii="Times New Roman" w:hAnsi="Times New Roman" w:cs="Times New Roman"/>
          <w:i/>
          <w:iCs/>
          <w:sz w:val="24"/>
          <w:szCs w:val="24"/>
          <w:lang w:val="en-GB"/>
        </w:rPr>
        <w:t>Carassius auratus</w:t>
      </w:r>
      <w:r w:rsidRPr="001D0ADC">
        <w:rPr>
          <w:rFonts w:ascii="Times New Roman" w:hAnsi="Times New Roman" w:cs="Times New Roman"/>
          <w:sz w:val="24"/>
          <w:szCs w:val="24"/>
          <w:lang w:val="en-GB"/>
        </w:rPr>
        <w:t xml:space="preserve"> (goldfish), CC – channel catfish, CC – </w:t>
      </w:r>
      <w:r w:rsidRPr="001D0ADC">
        <w:rPr>
          <w:rFonts w:ascii="Times New Roman" w:hAnsi="Times New Roman" w:cs="Times New Roman"/>
          <w:i/>
          <w:iCs/>
          <w:sz w:val="24"/>
          <w:szCs w:val="24"/>
          <w:lang w:val="en-GB"/>
        </w:rPr>
        <w:t xml:space="preserve">Cyprinus carpio </w:t>
      </w:r>
      <w:r w:rsidRPr="001D0ADC">
        <w:rPr>
          <w:rFonts w:ascii="Times New Roman" w:hAnsi="Times New Roman" w:cs="Times New Roman"/>
          <w:sz w:val="24"/>
          <w:szCs w:val="24"/>
          <w:lang w:val="en-GB"/>
        </w:rPr>
        <w:t xml:space="preserve">(common carp), CM – </w:t>
      </w:r>
      <w:r w:rsidRPr="001D0ADC">
        <w:rPr>
          <w:rFonts w:ascii="Times New Roman" w:hAnsi="Times New Roman" w:cs="Times New Roman"/>
          <w:i/>
          <w:iCs/>
          <w:sz w:val="24"/>
          <w:szCs w:val="24"/>
          <w:lang w:val="en-GB"/>
        </w:rPr>
        <w:t>Cirrhinus mrigala</w:t>
      </w:r>
      <w:r w:rsidRPr="001D0ADC">
        <w:rPr>
          <w:rFonts w:ascii="Times New Roman" w:hAnsi="Times New Roman" w:cs="Times New Roman"/>
          <w:sz w:val="24"/>
          <w:szCs w:val="24"/>
          <w:lang w:val="en-GB"/>
        </w:rPr>
        <w:t xml:space="preserve"> (Indian major carp), FH - </w:t>
      </w:r>
      <w:r w:rsidRPr="001D0ADC">
        <w:rPr>
          <w:rFonts w:ascii="Times New Roman" w:hAnsi="Times New Roman" w:cs="Times New Roman"/>
          <w:i/>
          <w:iCs/>
          <w:sz w:val="24"/>
          <w:szCs w:val="24"/>
          <w:lang w:val="en-GB"/>
        </w:rPr>
        <w:t>Fundulus heteroclitus</w:t>
      </w:r>
      <w:r w:rsidRPr="001D0ADC">
        <w:rPr>
          <w:rFonts w:ascii="Times New Roman" w:hAnsi="Times New Roman" w:cs="Times New Roman"/>
          <w:sz w:val="24"/>
          <w:szCs w:val="24"/>
          <w:lang w:val="en-GB"/>
        </w:rPr>
        <w:t>, FM – fathead minnow (</w:t>
      </w:r>
      <w:r w:rsidRPr="001D0ADC">
        <w:rPr>
          <w:rFonts w:ascii="Times New Roman" w:hAnsi="Times New Roman" w:cs="Times New Roman"/>
          <w:i/>
          <w:iCs/>
          <w:sz w:val="24"/>
          <w:szCs w:val="24"/>
          <w:lang w:val="en-GB"/>
        </w:rPr>
        <w:t>Pimephales promelas</w:t>
      </w:r>
      <w:r w:rsidRPr="001D0ADC">
        <w:rPr>
          <w:rFonts w:ascii="Times New Roman" w:hAnsi="Times New Roman" w:cs="Times New Roman"/>
          <w:sz w:val="24"/>
          <w:szCs w:val="24"/>
          <w:lang w:val="en-GB"/>
        </w:rPr>
        <w:t xml:space="preserve">), GA – </w:t>
      </w:r>
      <w:r w:rsidRPr="001D0ADC">
        <w:rPr>
          <w:rFonts w:ascii="Times New Roman" w:hAnsi="Times New Roman" w:cs="Times New Roman"/>
          <w:i/>
          <w:iCs/>
          <w:sz w:val="24"/>
          <w:szCs w:val="24"/>
          <w:lang w:val="en-GB"/>
        </w:rPr>
        <w:t>Gasterosteus aculeatus</w:t>
      </w:r>
      <w:r w:rsidRPr="001D0ADC">
        <w:rPr>
          <w:rFonts w:ascii="Times New Roman" w:hAnsi="Times New Roman" w:cs="Times New Roman"/>
          <w:sz w:val="24"/>
          <w:szCs w:val="24"/>
          <w:lang w:val="en-GB"/>
        </w:rPr>
        <w:t xml:space="preserve"> (three-spined stickleback), GAf - </w:t>
      </w:r>
      <w:r w:rsidRPr="001D0ADC">
        <w:rPr>
          <w:rFonts w:ascii="Times New Roman" w:hAnsi="Times New Roman" w:cs="Times New Roman"/>
          <w:i/>
          <w:iCs/>
          <w:sz w:val="24"/>
          <w:szCs w:val="24"/>
          <w:lang w:val="en-GB"/>
        </w:rPr>
        <w:t>Gambusia affinis</w:t>
      </w:r>
      <w:r w:rsidRPr="001D0ADC">
        <w:rPr>
          <w:rFonts w:ascii="Times New Roman" w:hAnsi="Times New Roman" w:cs="Times New Roman"/>
          <w:sz w:val="24"/>
          <w:szCs w:val="24"/>
          <w:lang w:val="en-GB"/>
        </w:rPr>
        <w:t xml:space="preserve">, GH – </w:t>
      </w:r>
      <w:r w:rsidRPr="001D0ADC">
        <w:rPr>
          <w:rFonts w:ascii="Times New Roman" w:hAnsi="Times New Roman" w:cs="Times New Roman"/>
          <w:i/>
          <w:iCs/>
          <w:sz w:val="24"/>
          <w:szCs w:val="24"/>
          <w:lang w:val="en-GB"/>
        </w:rPr>
        <w:t>Gambosia holbrooki</w:t>
      </w:r>
      <w:r w:rsidRPr="001D0ADC">
        <w:rPr>
          <w:rFonts w:ascii="Times New Roman" w:hAnsi="Times New Roman" w:cs="Times New Roman"/>
          <w:sz w:val="24"/>
          <w:szCs w:val="24"/>
          <w:lang w:val="en-GB"/>
        </w:rPr>
        <w:t xml:space="preserve">, GM – </w:t>
      </w:r>
      <w:r w:rsidRPr="001D0ADC">
        <w:rPr>
          <w:rFonts w:ascii="Times New Roman" w:hAnsi="Times New Roman" w:cs="Times New Roman"/>
          <w:i/>
          <w:iCs/>
          <w:sz w:val="24"/>
          <w:szCs w:val="24"/>
          <w:lang w:val="en-GB"/>
        </w:rPr>
        <w:t>Galaxias maculatus</w:t>
      </w:r>
      <w:r w:rsidRPr="001D0ADC">
        <w:rPr>
          <w:rFonts w:ascii="Times New Roman" w:hAnsi="Times New Roman" w:cs="Times New Roman"/>
          <w:sz w:val="24"/>
          <w:szCs w:val="24"/>
          <w:lang w:val="en-GB"/>
        </w:rPr>
        <w:t xml:space="preserve">, GR – </w:t>
      </w:r>
      <w:r w:rsidRPr="001D0ADC">
        <w:rPr>
          <w:rFonts w:ascii="Times New Roman" w:hAnsi="Times New Roman" w:cs="Times New Roman"/>
          <w:i/>
          <w:iCs/>
          <w:sz w:val="24"/>
          <w:szCs w:val="24"/>
          <w:lang w:val="en-GB"/>
        </w:rPr>
        <w:t>Gobiocypris rarus</w:t>
      </w:r>
      <w:r w:rsidRPr="001D0ADC">
        <w:rPr>
          <w:rFonts w:ascii="Times New Roman" w:hAnsi="Times New Roman" w:cs="Times New Roman"/>
          <w:sz w:val="24"/>
          <w:szCs w:val="24"/>
          <w:lang w:val="en-GB"/>
        </w:rPr>
        <w:t xml:space="preserve"> (Chinese rare minnow), HM – </w:t>
      </w:r>
      <w:r w:rsidRPr="001D0ADC">
        <w:rPr>
          <w:rFonts w:ascii="Times New Roman" w:hAnsi="Times New Roman" w:cs="Times New Roman"/>
          <w:i/>
          <w:iCs/>
          <w:sz w:val="24"/>
          <w:szCs w:val="24"/>
          <w:lang w:val="en-GB"/>
        </w:rPr>
        <w:t>Hoplias malabaricus</w:t>
      </w:r>
      <w:r w:rsidRPr="001D0ADC">
        <w:rPr>
          <w:rFonts w:ascii="Times New Roman" w:hAnsi="Times New Roman" w:cs="Times New Roman"/>
          <w:sz w:val="24"/>
          <w:szCs w:val="24"/>
          <w:lang w:val="en-GB"/>
        </w:rPr>
        <w:t xml:space="preserve">, LG - </w:t>
      </w:r>
      <w:r w:rsidRPr="001D0ADC">
        <w:rPr>
          <w:rFonts w:ascii="Times New Roman" w:hAnsi="Times New Roman" w:cs="Times New Roman"/>
          <w:i/>
          <w:iCs/>
          <w:sz w:val="24"/>
          <w:szCs w:val="24"/>
          <w:lang w:val="en-GB"/>
        </w:rPr>
        <w:t>Lepomis gibbosus</w:t>
      </w:r>
      <w:r w:rsidRPr="001D0ADC">
        <w:rPr>
          <w:rFonts w:ascii="Times New Roman" w:hAnsi="Times New Roman" w:cs="Times New Roman"/>
          <w:sz w:val="24"/>
          <w:szCs w:val="24"/>
          <w:lang w:val="en-GB"/>
        </w:rPr>
        <w:t xml:space="preserve"> (pumpkin-seed sunfish), LR – </w:t>
      </w:r>
      <w:r w:rsidRPr="001D0ADC">
        <w:rPr>
          <w:rFonts w:ascii="Times New Roman" w:hAnsi="Times New Roman" w:cs="Times New Roman"/>
          <w:i/>
          <w:iCs/>
          <w:sz w:val="24"/>
          <w:szCs w:val="24"/>
          <w:lang w:val="en-GB"/>
        </w:rPr>
        <w:t>Labeo rohita</w:t>
      </w:r>
      <w:r w:rsidRPr="001D0ADC">
        <w:rPr>
          <w:rFonts w:ascii="Times New Roman" w:hAnsi="Times New Roman" w:cs="Times New Roman"/>
          <w:sz w:val="24"/>
          <w:szCs w:val="24"/>
          <w:lang w:val="en-GB"/>
        </w:rPr>
        <w:t xml:space="preserve">, MB - </w:t>
      </w:r>
      <w:r w:rsidRPr="001D0ADC">
        <w:rPr>
          <w:rFonts w:ascii="Times New Roman" w:hAnsi="Times New Roman" w:cs="Times New Roman"/>
          <w:i/>
          <w:iCs/>
          <w:sz w:val="24"/>
          <w:szCs w:val="24"/>
          <w:lang w:val="en-GB"/>
        </w:rPr>
        <w:t>Menidia beryllina</w:t>
      </w:r>
      <w:r w:rsidRPr="001D0ADC">
        <w:rPr>
          <w:rFonts w:ascii="Times New Roman" w:hAnsi="Times New Roman" w:cs="Times New Roman"/>
          <w:sz w:val="24"/>
          <w:szCs w:val="24"/>
          <w:lang w:val="en-GB"/>
        </w:rPr>
        <w:t xml:space="preserve">, </w:t>
      </w:r>
      <w:r w:rsidRPr="001D0ADC">
        <w:rPr>
          <w:rFonts w:ascii="Times New Roman" w:hAnsi="Times New Roman" w:cs="Times New Roman"/>
          <w:sz w:val="24"/>
          <w:szCs w:val="24"/>
          <w:lang w:val="en-GB" w:eastAsia="cs-CZ"/>
        </w:rPr>
        <w:t xml:space="preserve">MC - </w:t>
      </w:r>
      <w:r w:rsidRPr="001D0ADC">
        <w:rPr>
          <w:rFonts w:ascii="Times New Roman" w:hAnsi="Times New Roman" w:cs="Times New Roman"/>
          <w:i/>
          <w:iCs/>
          <w:sz w:val="24"/>
          <w:szCs w:val="24"/>
          <w:lang w:val="en-GB" w:eastAsia="cs-CZ"/>
        </w:rPr>
        <w:t>Mugilogobius chulae</w:t>
      </w:r>
      <w:r w:rsidRPr="001D0ADC">
        <w:rPr>
          <w:rFonts w:ascii="Times New Roman" w:hAnsi="Times New Roman" w:cs="Times New Roman"/>
          <w:sz w:val="24"/>
          <w:szCs w:val="24"/>
          <w:lang w:val="en-GB" w:eastAsia="cs-CZ"/>
        </w:rPr>
        <w:t xml:space="preserve">, </w:t>
      </w:r>
      <w:r w:rsidRPr="001D0ADC">
        <w:rPr>
          <w:rFonts w:ascii="Times New Roman" w:hAnsi="Times New Roman" w:cs="Times New Roman"/>
          <w:sz w:val="24"/>
          <w:szCs w:val="24"/>
          <w:lang w:val="en-GB"/>
        </w:rPr>
        <w:t xml:space="preserve">OL – </w:t>
      </w:r>
      <w:r w:rsidRPr="001D0ADC">
        <w:rPr>
          <w:rFonts w:ascii="Times New Roman" w:hAnsi="Times New Roman" w:cs="Times New Roman"/>
          <w:i/>
          <w:iCs/>
          <w:sz w:val="24"/>
          <w:szCs w:val="24"/>
          <w:lang w:val="en-GB"/>
        </w:rPr>
        <w:t>Oryzias latipes</w:t>
      </w:r>
      <w:r w:rsidRPr="001D0ADC">
        <w:rPr>
          <w:rFonts w:ascii="Times New Roman" w:hAnsi="Times New Roman" w:cs="Times New Roman"/>
          <w:sz w:val="24"/>
          <w:szCs w:val="24"/>
          <w:lang w:val="en-GB"/>
        </w:rPr>
        <w:t xml:space="preserve">, OM – </w:t>
      </w:r>
      <w:r w:rsidRPr="001D0ADC">
        <w:rPr>
          <w:rFonts w:ascii="Times New Roman" w:hAnsi="Times New Roman" w:cs="Times New Roman"/>
          <w:i/>
          <w:iCs/>
          <w:sz w:val="24"/>
          <w:szCs w:val="24"/>
          <w:lang w:val="en-GB"/>
        </w:rPr>
        <w:t>Oncorhynchus mykiss</w:t>
      </w:r>
      <w:r w:rsidRPr="001D0ADC">
        <w:rPr>
          <w:rFonts w:ascii="Times New Roman" w:hAnsi="Times New Roman" w:cs="Times New Roman"/>
          <w:sz w:val="24"/>
          <w:szCs w:val="24"/>
          <w:lang w:val="en-GB"/>
        </w:rPr>
        <w:t xml:space="preserve"> (rainbow trout), ON - </w:t>
      </w:r>
      <w:r w:rsidRPr="001D0ADC">
        <w:rPr>
          <w:rFonts w:ascii="Times New Roman" w:hAnsi="Times New Roman" w:cs="Times New Roman"/>
          <w:i/>
          <w:iCs/>
          <w:sz w:val="24"/>
          <w:szCs w:val="24"/>
          <w:lang w:val="en-GB"/>
        </w:rPr>
        <w:t>Oreochromis niloticus</w:t>
      </w:r>
      <w:r w:rsidRPr="001D0ADC">
        <w:rPr>
          <w:rFonts w:ascii="Times New Roman" w:hAnsi="Times New Roman" w:cs="Times New Roman"/>
          <w:sz w:val="24"/>
          <w:szCs w:val="24"/>
          <w:lang w:val="en-GB"/>
        </w:rPr>
        <w:t xml:space="preserve">, PH - </w:t>
      </w:r>
      <w:r w:rsidRPr="001D0ADC">
        <w:rPr>
          <w:rFonts w:ascii="Times New Roman" w:hAnsi="Times New Roman" w:cs="Times New Roman"/>
          <w:i/>
          <w:iCs/>
          <w:sz w:val="24"/>
          <w:szCs w:val="24"/>
          <w:lang w:val="en-GB"/>
        </w:rPr>
        <w:t>Phalloceros harpagos</w:t>
      </w:r>
      <w:r w:rsidRPr="001D0ADC">
        <w:rPr>
          <w:rFonts w:ascii="Times New Roman" w:hAnsi="Times New Roman" w:cs="Times New Roman"/>
          <w:sz w:val="24"/>
          <w:szCs w:val="24"/>
          <w:lang w:val="en-GB"/>
        </w:rPr>
        <w:t xml:space="preserve">, SS – </w:t>
      </w:r>
      <w:r w:rsidRPr="001D0ADC">
        <w:rPr>
          <w:rFonts w:ascii="Times New Roman" w:hAnsi="Times New Roman" w:cs="Times New Roman"/>
          <w:i/>
          <w:iCs/>
          <w:sz w:val="24"/>
          <w:szCs w:val="24"/>
          <w:lang w:val="en-GB"/>
        </w:rPr>
        <w:t>Salmo salar</w:t>
      </w:r>
      <w:r w:rsidRPr="001D0ADC">
        <w:rPr>
          <w:rFonts w:ascii="Times New Roman" w:hAnsi="Times New Roman" w:cs="Times New Roman"/>
          <w:sz w:val="24"/>
          <w:szCs w:val="24"/>
          <w:lang w:val="en-GB"/>
        </w:rPr>
        <w:t xml:space="preserve"> (Atlantic salmon), ZF – zebrafish (</w:t>
      </w:r>
      <w:r w:rsidRPr="001D0ADC">
        <w:rPr>
          <w:rFonts w:ascii="Times New Roman" w:hAnsi="Times New Roman" w:cs="Times New Roman"/>
          <w:i/>
          <w:iCs/>
          <w:sz w:val="24"/>
          <w:szCs w:val="24"/>
          <w:lang w:val="en-GB"/>
        </w:rPr>
        <w:t>Danie rerio</w:t>
      </w:r>
      <w:r w:rsidRPr="001D0ADC">
        <w:rPr>
          <w:rFonts w:ascii="Times New Roman" w:hAnsi="Times New Roman" w:cs="Times New Roman"/>
          <w:sz w:val="24"/>
          <w:szCs w:val="24"/>
          <w:lang w:val="en-GB"/>
        </w:rPr>
        <w:t xml:space="preserve">),  </w:t>
      </w:r>
    </w:p>
    <w:p w14:paraId="2F3943FA" w14:textId="2F2FA989" w:rsidR="009A2404" w:rsidRPr="001D0ADC" w:rsidRDefault="009A2404" w:rsidP="009A2404">
      <w:pPr>
        <w:rPr>
          <w:rFonts w:ascii="Times New Roman" w:hAnsi="Times New Roman" w:cs="Times New Roman"/>
          <w:sz w:val="24"/>
          <w:szCs w:val="24"/>
          <w:lang w:val="en-GB"/>
        </w:rPr>
      </w:pPr>
      <w:r w:rsidRPr="001D0ADC">
        <w:rPr>
          <w:rFonts w:ascii="Times New Roman" w:hAnsi="Times New Roman" w:cs="Times New Roman"/>
          <w:b/>
          <w:bCs/>
          <w:sz w:val="24"/>
          <w:szCs w:val="24"/>
          <w:lang w:val="en-GB"/>
        </w:rPr>
        <w:t>Other abbreviations:</w:t>
      </w:r>
      <w:r w:rsidRPr="001D0ADC">
        <w:rPr>
          <w:rFonts w:ascii="Times New Roman" w:hAnsi="Times New Roman" w:cs="Times New Roman"/>
          <w:sz w:val="24"/>
          <w:szCs w:val="24"/>
          <w:lang w:val="en-GB"/>
        </w:rPr>
        <w:t xml:space="preserve"> 8-OHdG – 8-hydroxydeoxyguanosine, ALT – alanine aminotransferase, ALP – alkaline phosphatase, ATPase - gill Na+/K+ ATPase, CAS – caspase, CHE – cholinesterases, CP</w:t>
      </w:r>
      <w:r w:rsidR="00BB3340" w:rsidRPr="001D0ADC">
        <w:rPr>
          <w:rFonts w:ascii="Times New Roman" w:hAnsi="Times New Roman" w:cs="Times New Roman"/>
          <w:sz w:val="24"/>
          <w:szCs w:val="24"/>
          <w:lang w:val="en-GB"/>
        </w:rPr>
        <w:t>P</w:t>
      </w:r>
      <w:r w:rsidRPr="001D0ADC">
        <w:rPr>
          <w:rFonts w:ascii="Times New Roman" w:hAnsi="Times New Roman" w:cs="Times New Roman"/>
          <w:sz w:val="24"/>
          <w:szCs w:val="24"/>
          <w:lang w:val="en-GB"/>
        </w:rPr>
        <w:t xml:space="preserve"> – carbonyl protein, G6PDH – glucose-6-phosphate dehydrogenase, GABA – gamma-aminobutytic acid, Glu – glutamix acid, GOT - glutamate oxaloacetate transaminase, GPT - glutamate pyruvate transaminase, GPx – glutathione peroxidase, GSSH – oxidised glutathione, GSTs – Glutathione-S-transferases, HPC – hydroperoxide content, HPx – lipid hydroperoxide, HSI – hepatosomatic index, LGred – Glutathione reductase, LPO – lipid peroxidation,</w:t>
      </w:r>
      <w:r w:rsidR="00BB3340" w:rsidRPr="001D0ADC">
        <w:rPr>
          <w:rFonts w:ascii="Times New Roman" w:hAnsi="Times New Roman" w:cs="Times New Roman"/>
          <w:sz w:val="24"/>
          <w:szCs w:val="24"/>
          <w:lang w:val="en-GB"/>
        </w:rPr>
        <w:t xml:space="preserve"> </w:t>
      </w:r>
      <w:r w:rsidRPr="001D0ADC">
        <w:rPr>
          <w:rFonts w:ascii="Times New Roman" w:hAnsi="Times New Roman" w:cs="Times New Roman"/>
          <w:sz w:val="24"/>
          <w:szCs w:val="24"/>
          <w:lang w:val="en-GB"/>
        </w:rPr>
        <w:t xml:space="preserve">POx – oxidated proteins, </w:t>
      </w:r>
      <w:r w:rsidRPr="001D0ADC">
        <w:rPr>
          <w:rFonts w:ascii="Times New Roman" w:hAnsi="Times New Roman" w:cs="Times New Roman"/>
          <w:sz w:val="24"/>
          <w:szCs w:val="24"/>
          <w:lang w:val="en-GB" w:eastAsia="cs-CZ"/>
        </w:rPr>
        <w:t xml:space="preserve">SIRT/PXR – Sirtuin – peroxisome proliferator signaling pathway, </w:t>
      </w:r>
      <w:r w:rsidRPr="001D0ADC">
        <w:rPr>
          <w:rFonts w:ascii="Times New Roman" w:hAnsi="Times New Roman" w:cs="Times New Roman"/>
          <w:sz w:val="24"/>
          <w:szCs w:val="24"/>
          <w:lang w:val="en-GB"/>
        </w:rPr>
        <w:t>TUNEL – apoptosis assay,</w:t>
      </w:r>
    </w:p>
    <w:p w14:paraId="3E0C6E58" w14:textId="77777777" w:rsidR="00CF4707" w:rsidRPr="001D0ADC" w:rsidRDefault="00CF4707">
      <w:pPr>
        <w:rPr>
          <w:lang w:val="en-GB"/>
        </w:rPr>
      </w:pPr>
    </w:p>
    <w:tbl>
      <w:tblPr>
        <w:tblW w:w="23082" w:type="dxa"/>
        <w:tblCellMar>
          <w:left w:w="70" w:type="dxa"/>
          <w:right w:w="70" w:type="dxa"/>
        </w:tblCellMar>
        <w:tblLook w:val="04A0" w:firstRow="1" w:lastRow="0" w:firstColumn="1" w:lastColumn="0" w:noHBand="0" w:noVBand="1"/>
      </w:tblPr>
      <w:tblGrid>
        <w:gridCol w:w="760"/>
        <w:gridCol w:w="1702"/>
        <w:gridCol w:w="4520"/>
        <w:gridCol w:w="2633"/>
        <w:gridCol w:w="1967"/>
        <w:gridCol w:w="2300"/>
        <w:gridCol w:w="2300"/>
        <w:gridCol w:w="2300"/>
        <w:gridCol w:w="2300"/>
        <w:gridCol w:w="2300"/>
      </w:tblGrid>
      <w:tr w:rsidR="001D0ADC" w:rsidRPr="001D0ADC" w14:paraId="6B45E77F" w14:textId="77777777" w:rsidTr="00CF4707">
        <w:trPr>
          <w:gridAfter w:val="4"/>
          <w:wAfter w:w="9200" w:type="dxa"/>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37ADA9" w14:textId="77777777" w:rsidR="006542D6" w:rsidRPr="001D0ADC" w:rsidRDefault="006542D6" w:rsidP="00CF4707">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0E0E0A48" w14:textId="77777777" w:rsidR="006542D6" w:rsidRPr="001D0ADC" w:rsidRDefault="006542D6" w:rsidP="00CF4707">
            <w:pPr>
              <w:pStyle w:val="NoSpacing"/>
              <w:ind w:firstLine="0"/>
              <w:rPr>
                <w:color w:val="auto"/>
                <w:lang w:val="en-GB" w:eastAsia="cs-CZ"/>
              </w:rPr>
            </w:pPr>
            <w:r w:rsidRPr="001D0ADC">
              <w:rPr>
                <w:color w:val="auto"/>
                <w:lang w:val="en-GB" w:eastAsia="cs-CZ"/>
              </w:rPr>
              <w:t>EC</w:t>
            </w:r>
          </w:p>
        </w:tc>
        <w:tc>
          <w:tcPr>
            <w:tcW w:w="4520" w:type="dxa"/>
            <w:tcBorders>
              <w:top w:val="single" w:sz="4" w:space="0" w:color="auto"/>
              <w:left w:val="nil"/>
              <w:bottom w:val="single" w:sz="4" w:space="0" w:color="auto"/>
              <w:right w:val="single" w:sz="4" w:space="0" w:color="auto"/>
            </w:tcBorders>
            <w:shd w:val="clear" w:color="auto" w:fill="auto"/>
            <w:noWrap/>
            <w:vAlign w:val="bottom"/>
            <w:hideMark/>
          </w:tcPr>
          <w:p w14:paraId="4BAD367C" w14:textId="707E40D0" w:rsidR="006542D6" w:rsidRPr="001D0ADC" w:rsidRDefault="00CC5B19" w:rsidP="00CF4707">
            <w:pPr>
              <w:pStyle w:val="NoSpacing"/>
              <w:ind w:firstLine="0"/>
              <w:rPr>
                <w:color w:val="auto"/>
                <w:lang w:val="en-GB" w:eastAsia="cs-CZ"/>
              </w:rPr>
            </w:pPr>
            <w:r w:rsidRPr="001D0ADC">
              <w:rPr>
                <w:color w:val="auto"/>
                <w:lang w:val="en-GB" w:eastAsia="cs-CZ"/>
              </w:rPr>
              <w:t>Endpoint</w:t>
            </w:r>
          </w:p>
        </w:tc>
        <w:tc>
          <w:tcPr>
            <w:tcW w:w="2633" w:type="dxa"/>
            <w:tcBorders>
              <w:top w:val="single" w:sz="4" w:space="0" w:color="auto"/>
              <w:left w:val="nil"/>
              <w:bottom w:val="single" w:sz="4" w:space="0" w:color="auto"/>
              <w:right w:val="single" w:sz="4" w:space="0" w:color="auto"/>
            </w:tcBorders>
          </w:tcPr>
          <w:p w14:paraId="4F101414" w14:textId="1849A6C4" w:rsidR="006542D6" w:rsidRPr="001D0ADC" w:rsidRDefault="00CC5B19" w:rsidP="00CF4707">
            <w:pPr>
              <w:pStyle w:val="NoSpacing"/>
              <w:ind w:firstLine="0"/>
              <w:rPr>
                <w:color w:val="auto"/>
                <w:lang w:val="en-GB" w:eastAsia="cs-CZ"/>
              </w:rPr>
            </w:pPr>
            <w:r w:rsidRPr="001D0ADC">
              <w:rPr>
                <w:color w:val="auto"/>
                <w:lang w:val="en-GB" w:eastAsia="cs-CZ"/>
              </w:rPr>
              <w:t>Assay</w:t>
            </w:r>
          </w:p>
        </w:tc>
        <w:tc>
          <w:tcPr>
            <w:tcW w:w="1967" w:type="dxa"/>
            <w:tcBorders>
              <w:top w:val="single" w:sz="4" w:space="0" w:color="auto"/>
              <w:left w:val="single" w:sz="4" w:space="0" w:color="auto"/>
              <w:bottom w:val="single" w:sz="4" w:space="0" w:color="auto"/>
              <w:right w:val="single" w:sz="4" w:space="0" w:color="auto"/>
            </w:tcBorders>
          </w:tcPr>
          <w:p w14:paraId="36DF25B9" w14:textId="06BFDEE1" w:rsidR="006542D6" w:rsidRPr="001D0ADC" w:rsidRDefault="00CC5B19" w:rsidP="00CF4707">
            <w:pPr>
              <w:pStyle w:val="NoSpacing"/>
              <w:ind w:firstLine="0"/>
              <w:rPr>
                <w:color w:val="auto"/>
                <w:lang w:val="en-GB" w:eastAsia="cs-CZ"/>
              </w:rPr>
            </w:pPr>
            <w:r w:rsidRPr="001D0ADC">
              <w:rPr>
                <w:color w:val="auto"/>
                <w:lang w:val="en-GB" w:eastAsia="cs-CZ"/>
              </w:rPr>
              <w:t>Exposure time</w:t>
            </w:r>
          </w:p>
        </w:tc>
        <w:tc>
          <w:tcPr>
            <w:tcW w:w="2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B6F79C" w14:textId="77777777" w:rsidR="006542D6" w:rsidRPr="001D0ADC" w:rsidRDefault="006542D6" w:rsidP="00CF4707">
            <w:pPr>
              <w:pStyle w:val="NoSpacing"/>
              <w:ind w:firstLine="0"/>
              <w:rPr>
                <w:color w:val="auto"/>
                <w:lang w:val="en-GB" w:eastAsia="cs-CZ"/>
              </w:rPr>
            </w:pPr>
            <w:r w:rsidRPr="001D0ADC">
              <w:rPr>
                <w:color w:val="auto"/>
                <w:lang w:val="en-GB" w:eastAsia="cs-CZ"/>
              </w:rPr>
              <w:t>Reference</w:t>
            </w:r>
          </w:p>
        </w:tc>
      </w:tr>
      <w:tr w:rsidR="001D0ADC" w:rsidRPr="001D0ADC" w14:paraId="00911B50" w14:textId="77777777" w:rsidTr="006C43C9">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02DA0226" w14:textId="0D4B9513" w:rsidR="00AB5B75" w:rsidRPr="001D0ADC" w:rsidRDefault="00AB5B75" w:rsidP="00AB5B75">
            <w:pPr>
              <w:pStyle w:val="NoSpacing"/>
              <w:ind w:firstLine="0"/>
              <w:jc w:val="center"/>
              <w:rPr>
                <w:color w:val="auto"/>
                <w:lang w:val="en-GB" w:eastAsia="cs-CZ"/>
              </w:rPr>
            </w:pPr>
            <w:r w:rsidRPr="001D0ADC">
              <w:rPr>
                <w:color w:val="auto"/>
                <w:lang w:val="en-GB" w:eastAsia="cs-CZ"/>
              </w:rPr>
              <w:t>CBZ</w:t>
            </w:r>
          </w:p>
        </w:tc>
      </w:tr>
      <w:tr w:rsidR="001D0ADC" w:rsidRPr="001D0ADC" w14:paraId="2C96A930" w14:textId="77777777" w:rsidTr="00CF4707">
        <w:trPr>
          <w:gridAfter w:val="4"/>
          <w:wAfter w:w="9200" w:type="dxa"/>
          <w:trHeight w:val="300"/>
        </w:trPr>
        <w:tc>
          <w:tcPr>
            <w:tcW w:w="760" w:type="dxa"/>
            <w:vMerge w:val="restart"/>
            <w:tcBorders>
              <w:top w:val="nil"/>
              <w:left w:val="single" w:sz="4" w:space="0" w:color="auto"/>
              <w:right w:val="single" w:sz="4" w:space="0" w:color="auto"/>
            </w:tcBorders>
            <w:shd w:val="clear" w:color="auto" w:fill="auto"/>
            <w:noWrap/>
            <w:vAlign w:val="center"/>
            <w:hideMark/>
          </w:tcPr>
          <w:p w14:paraId="73CEEC71" w14:textId="77777777" w:rsidR="006542D6" w:rsidRPr="001D0ADC" w:rsidRDefault="006542D6" w:rsidP="00CF4707">
            <w:pPr>
              <w:pStyle w:val="NoSpacing"/>
              <w:ind w:firstLine="0"/>
              <w:rPr>
                <w:color w:val="auto"/>
                <w:lang w:val="en-GB" w:eastAsia="cs-CZ"/>
              </w:rPr>
            </w:pPr>
            <w:r w:rsidRPr="001D0ADC">
              <w:rPr>
                <w:color w:val="auto"/>
                <w:lang w:val="en-GB" w:eastAsia="cs-CZ"/>
              </w:rPr>
              <w:t>CBZ</w:t>
            </w:r>
          </w:p>
        </w:tc>
        <w:tc>
          <w:tcPr>
            <w:tcW w:w="13122" w:type="dxa"/>
            <w:gridSpan w:val="5"/>
            <w:tcBorders>
              <w:top w:val="nil"/>
              <w:left w:val="single" w:sz="4" w:space="0" w:color="auto"/>
              <w:bottom w:val="single" w:sz="4" w:space="0" w:color="000000"/>
              <w:right w:val="single" w:sz="4" w:space="0" w:color="auto"/>
            </w:tcBorders>
            <w:shd w:val="clear" w:color="auto" w:fill="auto"/>
            <w:noWrap/>
            <w:vAlign w:val="center"/>
          </w:tcPr>
          <w:p w14:paraId="6451AE40" w14:textId="1D27A866" w:rsidR="006542D6" w:rsidRPr="001D0ADC" w:rsidRDefault="006542D6" w:rsidP="006C31A6">
            <w:pPr>
              <w:pStyle w:val="NoSpacing"/>
              <w:ind w:firstLine="0"/>
              <w:jc w:val="left"/>
              <w:rPr>
                <w:b/>
                <w:bCs/>
                <w:color w:val="auto"/>
                <w:lang w:val="en-GB" w:eastAsia="cs-CZ"/>
              </w:rPr>
            </w:pPr>
            <w:r w:rsidRPr="001D0ADC">
              <w:rPr>
                <w:b/>
                <w:bCs/>
                <w:color w:val="auto"/>
                <w:lang w:val="en-GB" w:eastAsia="cs-CZ"/>
              </w:rPr>
              <w:t>Acute</w:t>
            </w:r>
            <w:r w:rsidR="00BB3340" w:rsidRPr="001D0ADC">
              <w:rPr>
                <w:b/>
                <w:bCs/>
                <w:color w:val="auto"/>
                <w:lang w:val="en-GB" w:eastAsia="cs-CZ"/>
              </w:rPr>
              <w:t xml:space="preserve"> </w:t>
            </w:r>
            <w:r w:rsidR="00CC5B19" w:rsidRPr="001D0ADC">
              <w:rPr>
                <w:b/>
                <w:bCs/>
                <w:color w:val="auto"/>
                <w:lang w:val="en-GB" w:eastAsia="cs-CZ"/>
              </w:rPr>
              <w:t>Fish Toxicity (adults or juvenile)</w:t>
            </w:r>
            <w:r w:rsidR="000F6A8E" w:rsidRPr="001D0ADC">
              <w:rPr>
                <w:b/>
                <w:bCs/>
                <w:color w:val="auto"/>
                <w:lang w:val="en-GB" w:eastAsia="cs-CZ"/>
              </w:rPr>
              <w:t xml:space="preserve"> (mg/l)</w:t>
            </w:r>
          </w:p>
        </w:tc>
      </w:tr>
      <w:tr w:rsidR="001D0ADC" w:rsidRPr="001D0ADC" w14:paraId="7018A4E1" w14:textId="77777777" w:rsidTr="00CF4707">
        <w:trPr>
          <w:gridAfter w:val="4"/>
          <w:wAfter w:w="9200" w:type="dxa"/>
          <w:trHeight w:val="300"/>
        </w:trPr>
        <w:tc>
          <w:tcPr>
            <w:tcW w:w="760" w:type="dxa"/>
            <w:vMerge/>
            <w:tcBorders>
              <w:left w:val="single" w:sz="4" w:space="0" w:color="auto"/>
              <w:right w:val="single" w:sz="4" w:space="0" w:color="auto"/>
            </w:tcBorders>
            <w:vAlign w:val="center"/>
            <w:hideMark/>
          </w:tcPr>
          <w:p w14:paraId="2AE56B68" w14:textId="77777777" w:rsidR="006542D6" w:rsidRPr="001D0ADC" w:rsidRDefault="006542D6" w:rsidP="00CF4707">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3E564DDF" w14:textId="5F7EA1EC" w:rsidR="006542D6" w:rsidRPr="001D0ADC" w:rsidRDefault="006542D6" w:rsidP="00CF4707">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9.</w:t>
            </w:r>
            <w:r w:rsidRPr="001D0ADC">
              <w:rPr>
                <w:color w:val="auto"/>
                <w:lang w:val="en-GB" w:eastAsia="cs-CZ"/>
              </w:rPr>
              <w:t>9</w:t>
            </w:r>
          </w:p>
        </w:tc>
        <w:tc>
          <w:tcPr>
            <w:tcW w:w="4520" w:type="dxa"/>
            <w:tcBorders>
              <w:top w:val="nil"/>
              <w:left w:val="nil"/>
              <w:bottom w:val="single" w:sz="4" w:space="0" w:color="auto"/>
              <w:right w:val="single" w:sz="4" w:space="0" w:color="auto"/>
            </w:tcBorders>
            <w:shd w:val="clear" w:color="auto" w:fill="auto"/>
            <w:vAlign w:val="bottom"/>
          </w:tcPr>
          <w:p w14:paraId="0FF63CBB" w14:textId="77777777" w:rsidR="006542D6" w:rsidRPr="001D0ADC" w:rsidRDefault="006542D6" w:rsidP="00CF4707">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748487CE" w14:textId="77777777" w:rsidR="006542D6" w:rsidRPr="001D0ADC" w:rsidRDefault="006542D6" w:rsidP="00CF4707">
            <w:pPr>
              <w:pStyle w:val="NoSpacing"/>
              <w:ind w:firstLine="0"/>
              <w:rPr>
                <w:color w:val="auto"/>
                <w:lang w:val="en-GB" w:eastAsia="cs-CZ"/>
              </w:rPr>
            </w:pPr>
            <w:r w:rsidRPr="001D0ADC">
              <w:rPr>
                <w:color w:val="auto"/>
                <w:lang w:val="en-GB" w:eastAsia="cs-CZ"/>
              </w:rPr>
              <w:t>AFT (OECD203)(OM)</w:t>
            </w:r>
          </w:p>
        </w:tc>
        <w:tc>
          <w:tcPr>
            <w:tcW w:w="1967" w:type="dxa"/>
            <w:tcBorders>
              <w:top w:val="single" w:sz="4" w:space="0" w:color="auto"/>
              <w:left w:val="single" w:sz="4" w:space="0" w:color="auto"/>
              <w:bottom w:val="single" w:sz="4" w:space="0" w:color="auto"/>
              <w:right w:val="single" w:sz="4" w:space="0" w:color="auto"/>
            </w:tcBorders>
          </w:tcPr>
          <w:p w14:paraId="1B5ADAAE" w14:textId="77777777" w:rsidR="006542D6" w:rsidRPr="001D0ADC" w:rsidRDefault="006542D6" w:rsidP="00CF4707">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7840DF8" w14:textId="77777777" w:rsidR="006542D6" w:rsidRPr="001D0ADC" w:rsidRDefault="006542D6" w:rsidP="00CF4707">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{"citationID":"v4kMYvZq","properties":{"formattedCitation":"(Z.-H. Li et al. 2011)","plainCitation":"(Z.-H. Li et al. 2011)","noteIndex":0},"citationItems":[{"id":1293,"uris":["http://zotero.org/users/11614927/items/IYNDM9TE"],"itemData":{"id":1293,"type":"article-journal","abstract":"Awareness of residual pharmaceutically active compounds (PhACs) in the aquatic environment is growing as investigations into these pollutants are increasing and analytical detection techniques are improving. However, the toxicological effects of PhACs have not been adequately researched. In this study, the toxic effects of carbamazepine (CBZ), an anticonvulsant drug commonly present in surface and groundwater, was studied in juvenile rainbow trout, Oncorhynchus mykiss, by acute semi-static bioassay. Bood parameters, liver xenobiotic-metabolizing response and tissue antioxidant status were evaluated. Compared to the control group, ﬁsh exposed to CBZ (96 h LC50) showed signiﬁcantly higher Er, Hb, MCHC, monocytes, neutrophil granulocytes and plasma enzymes activity, and signiﬁcantly lower MCV and lymphocytes. CF and HSI were not signiﬁcantly different among groups such as hepatic EROD. SOD, CAT, GPx and GR activity was signiﬁcantly higher in liver of experimental groups, but decreased signiﬁcantly in brain and gill. In general, antioxidant enzyme activity in intestine and muscle was less evident than in liver. Oxidative stress indices (levels of LPO and CP) were signiﬁcantly higher in gill and brain, despite a trend to increased values were manifested in the remaining tissues. In short, CBZ-induced stress responses in different tissues were reﬂected in the oxidant stress indices and hematological parameters. However, before those parameters are used as special biomarkers for monitoring residual pharmaceuticals in aquatic environment, more detailed experiments in laboratory need to be performed in the future.","container-title":"Ecotoxicology and Environmental Safety","DOI":"10.1016/j.ecoenv.2010.09.008","ISSN":"01476513","issue":"3","journalAbbreviation":"Ecotoxicology and Environmental Safety","language":"en","page":"319-327","source":"DOI.org (Crossref)","title":"Acute toxicity of carbamazepine to juvenile rainbow trout (Oncorhynchus mykiss): Effects on antioxidant responses, hematological parameters and hepatic EROD","title-short":"Acute toxicity of carbamazepine to juvenile rainbow trout (Oncorhynchus mykiss)","volume":"74","author":[{"family":"Li","given":"Zhi-Hua"},{"family":"Zlabek","given":"Vladimir"},{"family":"Velisek","given":"Josef"},{"family":"Grabic","given":"Roman"},{"family":"Machova","given":"Jana"},{"family":"Kolarova","given":"Jitka"},{"family":"Li","given":"Ping"},{"family":"Randak","given":"Tomas"}],"issued":{"date-parts":[["2011",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(Z.-H. Li et al. 2011)</w:t>
            </w:r>
            <w:r w:rsidRPr="001D0ADC">
              <w:rPr>
                <w:color w:val="auto"/>
                <w:lang w:val="en-GB" w:eastAsia="cs-CZ"/>
              </w:rPr>
              <w:fldChar w:fldCharType="end"/>
            </w:r>
          </w:p>
        </w:tc>
      </w:tr>
      <w:tr w:rsidR="001D0ADC" w:rsidRPr="001D0ADC" w14:paraId="2071042D" w14:textId="77777777" w:rsidTr="00CF4707">
        <w:trPr>
          <w:gridAfter w:val="4"/>
          <w:wAfter w:w="9200" w:type="dxa"/>
          <w:trHeight w:val="300"/>
        </w:trPr>
        <w:tc>
          <w:tcPr>
            <w:tcW w:w="760" w:type="dxa"/>
            <w:vMerge/>
            <w:tcBorders>
              <w:left w:val="single" w:sz="4" w:space="0" w:color="auto"/>
              <w:right w:val="single" w:sz="4" w:space="0" w:color="auto"/>
            </w:tcBorders>
            <w:vAlign w:val="center"/>
            <w:hideMark/>
          </w:tcPr>
          <w:p w14:paraId="7C7A3802" w14:textId="77777777" w:rsidR="006542D6" w:rsidRPr="001D0ADC" w:rsidRDefault="006542D6" w:rsidP="00CF4707">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77C390B2" w14:textId="5D924630" w:rsidR="006542D6" w:rsidRPr="001D0ADC" w:rsidRDefault="006542D6" w:rsidP="00CF4707">
            <w:pPr>
              <w:pStyle w:val="NoSpacing"/>
              <w:ind w:firstLine="0"/>
              <w:rPr>
                <w:color w:val="auto"/>
                <w:lang w:val="en-GB" w:eastAsia="cs-CZ"/>
              </w:rPr>
            </w:pPr>
            <w:r w:rsidRPr="001D0ADC">
              <w:rPr>
                <w:color w:val="auto"/>
                <w:lang w:val="en-GB" w:eastAsia="cs-CZ"/>
              </w:rPr>
              <w:t>3</w:t>
            </w:r>
            <w:r w:rsidR="00CF2036" w:rsidRPr="001D0ADC">
              <w:rPr>
                <w:color w:val="auto"/>
                <w:lang w:val="en-GB" w:eastAsia="cs-CZ"/>
              </w:rPr>
              <w:t>5.</w:t>
            </w:r>
            <w:r w:rsidRPr="001D0ADC">
              <w:rPr>
                <w:color w:val="auto"/>
                <w:lang w:val="en-GB" w:eastAsia="cs-CZ"/>
              </w:rPr>
              <w:t>4</w:t>
            </w:r>
          </w:p>
        </w:tc>
        <w:tc>
          <w:tcPr>
            <w:tcW w:w="4520" w:type="dxa"/>
            <w:tcBorders>
              <w:top w:val="nil"/>
              <w:left w:val="nil"/>
              <w:bottom w:val="single" w:sz="4" w:space="0" w:color="auto"/>
              <w:right w:val="single" w:sz="4" w:space="0" w:color="auto"/>
            </w:tcBorders>
            <w:shd w:val="clear" w:color="auto" w:fill="auto"/>
            <w:noWrap/>
            <w:vAlign w:val="bottom"/>
          </w:tcPr>
          <w:p w14:paraId="2492F321" w14:textId="77777777" w:rsidR="006542D6" w:rsidRPr="001D0ADC" w:rsidRDefault="006542D6" w:rsidP="00CF4707">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3485F335" w14:textId="77777777" w:rsidR="006542D6" w:rsidRPr="001D0ADC" w:rsidRDefault="006542D6" w:rsidP="00CF4707">
            <w:pPr>
              <w:pStyle w:val="NoSpacing"/>
              <w:ind w:firstLine="0"/>
              <w:rPr>
                <w:color w:val="auto"/>
                <w:lang w:val="en-GB" w:eastAsia="cs-CZ"/>
              </w:rPr>
            </w:pPr>
            <w:r w:rsidRPr="001D0ADC">
              <w:rPr>
                <w:color w:val="auto"/>
                <w:lang w:val="en-GB" w:eastAsia="cs-CZ"/>
              </w:rPr>
              <w:t>AFT (OECD203)(OL)</w:t>
            </w:r>
          </w:p>
        </w:tc>
        <w:tc>
          <w:tcPr>
            <w:tcW w:w="1967" w:type="dxa"/>
            <w:tcBorders>
              <w:top w:val="single" w:sz="4" w:space="0" w:color="auto"/>
              <w:left w:val="single" w:sz="4" w:space="0" w:color="auto"/>
              <w:bottom w:val="single" w:sz="4" w:space="0" w:color="auto"/>
              <w:right w:val="single" w:sz="4" w:space="0" w:color="auto"/>
            </w:tcBorders>
          </w:tcPr>
          <w:p w14:paraId="11D01744" w14:textId="77777777" w:rsidR="006542D6" w:rsidRPr="001D0ADC" w:rsidRDefault="006542D6" w:rsidP="00CF4707">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194B77" w14:textId="77777777" w:rsidR="006542D6" w:rsidRPr="001D0ADC" w:rsidRDefault="006542D6" w:rsidP="00CF4707">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{"citationID":"pJ28duWz","properties":{"formattedCitation":"(Y. Kim et al. 2007)","plainCitation":"(Y. Kim et al. 2007)","noteIndex":0},"citationItems":[{"id":1165,"uris":["http://zotero.org/users/11614927/items/9WDYTYH5"],"itemData":{"id":1165,"type":"article-journal","abstract":"Pharmaceuticals are manufactured and used for specific biological functions in veterinary and human medicine. Their detection in the environment and their bioactivity have resulted in concern for potential adverse effects on non-target species. Notwithstanding recent attention for their occurrence in the environment, there are significant research gaps for existing pharmaceuticals with regard to their potential ecological consequences. In this study, the four most abundantly used pharmaceuticals in Korea, namely acetaminophen, carbamazepine, cimetidine, and diltiazem, and six sulfonamide related antibiotics, including sulfamethoxazole, sulfachlorpyridazine, sulfathiazole, sulfamethazine, sulfadimethoxine, and trimethoprim were examined for their acute aquatic toxicity employing a marine bacterium (Vibrio fischeri), a freshwater invertebrate (Daphnia magna), and the Japanese medaka fish (Oryzias latipes). In general, Daphnia was the most susceptible among the test organisms. The most acutely toxic among the chemicals tested in this study was diltiazem, with a median lethal concentration of 8.2 mg/L for D. magna. The resulting acute toxicity of these pharmaceuticals was reasonably predicted by physicochemical descriptors such as pH-dependent distribution coefficient and EHOMO − ELUMO gap. Predicted environmental concentrations (PECs) derived for the test pharmaceuticals in Korea ranged between 0.14 and 16.5 μg/L. Hazard quotients derived from PECs and predicted no effect concentrations (PNECs) for sulfamethoxazole and acetaminophen were 6.3 and 1.8, respectively, suggesting potential environmental concerns and a need for further investigation.","container-title":"Environment International","DOI":"10.1016/j.envint.2006.11.017","ISSN":"01604120","issue":"3","journalAbbreviation":"Environment International","language":"en","page":"370-375","source":"DOI.org (Crossref)","title":"Aquatic toxicity of acetaminophen, carbamazepine, cimetidine, diltiazem and six major sulfonamides, and their potential ecological risks in Korea","volume":"33","author":[{"family":"Kim","given":"Younghee"},{"family":"Choi","given":"Kyungho"},{"family":"Jung","given":"Jinyong"},{"family":"Park","given":"Sujung"},{"family":"Kim","given":"Pan-Gyi"},{"family":"Park","given":"Jeongim"}],"issued":{"date-parts":[["2007",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(Y. Kim et al. 2007)</w:t>
            </w:r>
            <w:r w:rsidRPr="001D0ADC">
              <w:rPr>
                <w:color w:val="auto"/>
                <w:lang w:val="en-GB" w:eastAsia="cs-CZ"/>
              </w:rPr>
              <w:fldChar w:fldCharType="end"/>
            </w:r>
          </w:p>
        </w:tc>
      </w:tr>
      <w:tr w:rsidR="001D0ADC" w:rsidRPr="001D0ADC" w14:paraId="3CE50782" w14:textId="77777777" w:rsidTr="00CF4707">
        <w:trPr>
          <w:gridAfter w:val="4"/>
          <w:wAfter w:w="9200" w:type="dxa"/>
          <w:trHeight w:val="300"/>
        </w:trPr>
        <w:tc>
          <w:tcPr>
            <w:tcW w:w="760" w:type="dxa"/>
            <w:vMerge/>
            <w:tcBorders>
              <w:left w:val="single" w:sz="4" w:space="0" w:color="auto"/>
              <w:right w:val="single" w:sz="4" w:space="0" w:color="auto"/>
            </w:tcBorders>
            <w:vAlign w:val="center"/>
            <w:hideMark/>
          </w:tcPr>
          <w:p w14:paraId="2AB9F436" w14:textId="77777777" w:rsidR="006542D6" w:rsidRPr="001D0ADC" w:rsidRDefault="006542D6" w:rsidP="00CF4707">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3ADA887F" w14:textId="7510D380" w:rsidR="006542D6" w:rsidRPr="001D0ADC" w:rsidRDefault="006542D6" w:rsidP="00CF4707">
            <w:pPr>
              <w:pStyle w:val="NoSpacing"/>
              <w:ind w:firstLine="0"/>
              <w:rPr>
                <w:color w:val="auto"/>
                <w:lang w:val="en-GB" w:eastAsia="cs-CZ"/>
              </w:rPr>
            </w:pPr>
            <w:r w:rsidRPr="001D0ADC">
              <w:rPr>
                <w:color w:val="auto"/>
                <w:lang w:val="en-GB" w:eastAsia="cs-CZ"/>
              </w:rPr>
              <w:t>7</w:t>
            </w:r>
            <w:r w:rsidR="00CF2036" w:rsidRPr="001D0ADC">
              <w:rPr>
                <w:color w:val="auto"/>
                <w:lang w:val="en-GB" w:eastAsia="cs-CZ"/>
              </w:rPr>
              <w:t>2.</w:t>
            </w:r>
            <w:r w:rsidRPr="001D0ADC">
              <w:rPr>
                <w:color w:val="auto"/>
                <w:lang w:val="en-GB" w:eastAsia="cs-CZ"/>
              </w:rPr>
              <w:t>15</w:t>
            </w:r>
          </w:p>
        </w:tc>
        <w:tc>
          <w:tcPr>
            <w:tcW w:w="4520" w:type="dxa"/>
            <w:tcBorders>
              <w:top w:val="nil"/>
              <w:left w:val="nil"/>
              <w:bottom w:val="single" w:sz="4" w:space="0" w:color="auto"/>
              <w:right w:val="single" w:sz="4" w:space="0" w:color="auto"/>
            </w:tcBorders>
            <w:shd w:val="clear" w:color="auto" w:fill="auto"/>
            <w:vAlign w:val="bottom"/>
          </w:tcPr>
          <w:p w14:paraId="6CB3318C" w14:textId="77777777" w:rsidR="006542D6" w:rsidRPr="001D0ADC" w:rsidRDefault="006542D6" w:rsidP="00CF4707">
            <w:pPr>
              <w:pStyle w:val="NoSpacing"/>
              <w:ind w:firstLine="0"/>
              <w:rPr>
                <w:color w:val="auto"/>
                <w:lang w:val="en-GB" w:eastAsia="cs-CZ"/>
              </w:rPr>
            </w:pPr>
            <w:r w:rsidRPr="001D0ADC">
              <w:rPr>
                <w:color w:val="auto"/>
                <w:lang w:val="en-GB" w:eastAsia="cs-CZ"/>
              </w:rPr>
              <w:t>LC50 24h</w:t>
            </w:r>
          </w:p>
        </w:tc>
        <w:tc>
          <w:tcPr>
            <w:tcW w:w="2633" w:type="dxa"/>
            <w:vMerge w:val="restart"/>
            <w:tcBorders>
              <w:top w:val="single" w:sz="4" w:space="0" w:color="auto"/>
              <w:left w:val="nil"/>
              <w:right w:val="single" w:sz="4" w:space="0" w:color="auto"/>
            </w:tcBorders>
          </w:tcPr>
          <w:p w14:paraId="3180B7A7" w14:textId="2E2CDF52" w:rsidR="006542D6" w:rsidRPr="001D0ADC" w:rsidRDefault="006542D6" w:rsidP="00CF4707">
            <w:pPr>
              <w:pStyle w:val="NoSpacing"/>
              <w:ind w:firstLine="0"/>
              <w:rPr>
                <w:color w:val="auto"/>
                <w:lang w:val="en-GB" w:eastAsia="cs-CZ"/>
              </w:rPr>
            </w:pPr>
            <w:r w:rsidRPr="001D0ADC">
              <w:rPr>
                <w:color w:val="auto"/>
                <w:lang w:val="en-GB" w:eastAsia="cs-CZ"/>
              </w:rPr>
              <w:t>A</w:t>
            </w:r>
            <w:r w:rsidR="00CC5B19" w:rsidRPr="001D0ADC">
              <w:rPr>
                <w:color w:val="auto"/>
                <w:lang w:val="en-GB" w:eastAsia="cs-CZ"/>
              </w:rPr>
              <w:t>FT</w:t>
            </w:r>
            <w:r w:rsidRPr="001D0ADC">
              <w:rPr>
                <w:color w:val="auto"/>
                <w:lang w:val="en-GB" w:eastAsia="cs-CZ"/>
              </w:rPr>
              <w:t xml:space="preserve"> (OL)</w:t>
            </w:r>
          </w:p>
        </w:tc>
        <w:tc>
          <w:tcPr>
            <w:tcW w:w="1967" w:type="dxa"/>
            <w:vMerge w:val="restart"/>
            <w:tcBorders>
              <w:top w:val="single" w:sz="4" w:space="0" w:color="auto"/>
              <w:left w:val="single" w:sz="4" w:space="0" w:color="auto"/>
              <w:right w:val="single" w:sz="4" w:space="0" w:color="auto"/>
            </w:tcBorders>
          </w:tcPr>
          <w:p w14:paraId="32125BCF" w14:textId="77777777" w:rsidR="006542D6" w:rsidRPr="001D0ADC" w:rsidRDefault="006542D6" w:rsidP="00CF4707">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558DB63" w14:textId="77777777" w:rsidR="006542D6" w:rsidRPr="001D0ADC" w:rsidRDefault="006542D6" w:rsidP="00CF4707">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{"citationID":"FlheupHe","properties":{"formattedCitation":"(Nassef et al. 2009)","plainCitation":"(Nassef et al. 2009)","noteIndex":0},"citationItems":[{"id":1265,"uris":["http://zotero.org/users/11614927/items/RH8PLLII"],"itemData":{"id":1265,"type":"article-journal","container-title":"Journal of the Faculty of Agriculture, Kyushu University","DOI":"10.5109/16123","ISSN":"0023-6152","issue":"2","language":"en","page":"407-411","source":"DOI.org (Crossref)","title":"Pharmaceuticals and Personal Care Products Toxicity to Japanese Medaka Fish (Oryzias latipes)","volume":"54","author":[{"family":"Nassef","given":"Mohamed"},{"family":"Matsumoto","given":"Shuhei"},{"family":"Seki","given":"Masanori"},{"family":"Kang","given":"Ik Joon"},{"family":"Moroishi","given":"Junya"},{"family":"Shimasaki","given":"Yohei"},{"family":"Oshima","given":"Yuji"}],"issued":{"date-parts":[["2009",10,29]]}}}],"schema":"https://github.com/citation-style-language/schema/raw/master/csl-citation.json"}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(Nassef et al. 2009)</w:t>
            </w:r>
            <w:r w:rsidRPr="001D0ADC">
              <w:rPr>
                <w:color w:val="auto"/>
                <w:lang w:val="en-GB" w:eastAsia="cs-CZ"/>
              </w:rPr>
              <w:fldChar w:fldCharType="end"/>
            </w:r>
          </w:p>
        </w:tc>
      </w:tr>
      <w:tr w:rsidR="001D0ADC" w:rsidRPr="001D0ADC" w14:paraId="18EF650F"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395DD5F3" w14:textId="77777777" w:rsidR="006542D6" w:rsidRPr="001D0ADC" w:rsidRDefault="006542D6" w:rsidP="00CF4707">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5FE5AF4E" w14:textId="1C48D64B" w:rsidR="006542D6" w:rsidRPr="001D0ADC" w:rsidRDefault="006542D6" w:rsidP="00CF4707">
            <w:pPr>
              <w:pStyle w:val="NoSpacing"/>
              <w:ind w:firstLine="0"/>
              <w:rPr>
                <w:color w:val="auto"/>
                <w:lang w:val="en-GB" w:eastAsia="cs-CZ"/>
              </w:rPr>
            </w:pPr>
            <w:r w:rsidRPr="001D0ADC">
              <w:rPr>
                <w:color w:val="auto"/>
                <w:lang w:val="en-GB" w:eastAsia="cs-CZ"/>
              </w:rPr>
              <w:t>6</w:t>
            </w:r>
            <w:r w:rsidR="00CF2036" w:rsidRPr="001D0ADC">
              <w:rPr>
                <w:color w:val="auto"/>
                <w:lang w:val="en-GB" w:eastAsia="cs-CZ"/>
              </w:rPr>
              <w:t>5.</w:t>
            </w:r>
            <w:r w:rsidRPr="001D0ADC">
              <w:rPr>
                <w:color w:val="auto"/>
                <w:lang w:val="en-GB" w:eastAsia="cs-CZ"/>
              </w:rPr>
              <w:t>3</w:t>
            </w:r>
          </w:p>
        </w:tc>
        <w:tc>
          <w:tcPr>
            <w:tcW w:w="4520" w:type="dxa"/>
            <w:tcBorders>
              <w:top w:val="nil"/>
              <w:left w:val="nil"/>
              <w:bottom w:val="single" w:sz="4" w:space="0" w:color="auto"/>
              <w:right w:val="single" w:sz="4" w:space="0" w:color="auto"/>
            </w:tcBorders>
            <w:shd w:val="clear" w:color="auto" w:fill="auto"/>
            <w:vAlign w:val="bottom"/>
          </w:tcPr>
          <w:p w14:paraId="09832FFC" w14:textId="77777777" w:rsidR="006542D6" w:rsidRPr="001D0ADC" w:rsidRDefault="006542D6" w:rsidP="00CF4707">
            <w:pPr>
              <w:pStyle w:val="NoSpacing"/>
              <w:ind w:firstLine="0"/>
              <w:rPr>
                <w:color w:val="auto"/>
                <w:lang w:val="en-GB" w:eastAsia="cs-CZ"/>
              </w:rPr>
            </w:pPr>
            <w:r w:rsidRPr="001D0ADC">
              <w:rPr>
                <w:color w:val="auto"/>
                <w:lang w:val="en-GB" w:eastAsia="cs-CZ"/>
              </w:rPr>
              <w:t>LC50 48h</w:t>
            </w:r>
          </w:p>
        </w:tc>
        <w:tc>
          <w:tcPr>
            <w:tcW w:w="2633" w:type="dxa"/>
            <w:vMerge/>
            <w:tcBorders>
              <w:left w:val="nil"/>
              <w:right w:val="single" w:sz="4" w:space="0" w:color="auto"/>
            </w:tcBorders>
          </w:tcPr>
          <w:p w14:paraId="08D49890" w14:textId="77777777" w:rsidR="006542D6" w:rsidRPr="001D0ADC" w:rsidRDefault="006542D6" w:rsidP="00CF4707">
            <w:pPr>
              <w:pStyle w:val="NoSpacing"/>
              <w:ind w:firstLine="0"/>
              <w:rPr>
                <w:color w:val="auto"/>
                <w:lang w:val="en-GB" w:eastAsia="cs-CZ"/>
              </w:rPr>
            </w:pPr>
          </w:p>
        </w:tc>
        <w:tc>
          <w:tcPr>
            <w:tcW w:w="1967" w:type="dxa"/>
            <w:vMerge/>
            <w:tcBorders>
              <w:left w:val="single" w:sz="4" w:space="0" w:color="auto"/>
              <w:right w:val="single" w:sz="4" w:space="0" w:color="auto"/>
            </w:tcBorders>
          </w:tcPr>
          <w:p w14:paraId="5EED80C3" w14:textId="77777777" w:rsidR="006542D6" w:rsidRPr="001D0ADC" w:rsidRDefault="006542D6" w:rsidP="00CF4707">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5871985F" w14:textId="77777777" w:rsidR="006542D6" w:rsidRPr="001D0ADC" w:rsidRDefault="006542D6" w:rsidP="00CF4707">
            <w:pPr>
              <w:pStyle w:val="NoSpacing"/>
              <w:ind w:firstLine="0"/>
              <w:rPr>
                <w:color w:val="auto"/>
                <w:lang w:val="en-GB" w:eastAsia="cs-CZ"/>
              </w:rPr>
            </w:pPr>
          </w:p>
        </w:tc>
      </w:tr>
      <w:tr w:rsidR="001D0ADC" w:rsidRPr="001D0ADC" w14:paraId="09D9E06C"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33049D2F" w14:textId="77777777" w:rsidR="006542D6" w:rsidRPr="001D0ADC" w:rsidRDefault="006542D6" w:rsidP="00CF4707">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530ED868" w14:textId="1CD007C4" w:rsidR="006542D6" w:rsidRPr="001D0ADC" w:rsidRDefault="006542D6" w:rsidP="00CF4707">
            <w:pPr>
              <w:pStyle w:val="NoSpacing"/>
              <w:ind w:firstLine="0"/>
              <w:rPr>
                <w:color w:val="auto"/>
                <w:lang w:val="en-GB" w:eastAsia="cs-CZ"/>
              </w:rPr>
            </w:pPr>
            <w:r w:rsidRPr="001D0ADC">
              <w:rPr>
                <w:color w:val="auto"/>
                <w:lang w:val="en-GB" w:eastAsia="cs-CZ"/>
              </w:rPr>
              <w:t>6</w:t>
            </w:r>
            <w:r w:rsidR="00CF2036" w:rsidRPr="001D0ADC">
              <w:rPr>
                <w:color w:val="auto"/>
                <w:lang w:val="en-GB" w:eastAsia="cs-CZ"/>
              </w:rPr>
              <w:t>3.</w:t>
            </w:r>
            <w:r w:rsidRPr="001D0ADC">
              <w:rPr>
                <w:color w:val="auto"/>
                <w:lang w:val="en-GB" w:eastAsia="cs-CZ"/>
              </w:rPr>
              <w:t>2</w:t>
            </w:r>
          </w:p>
        </w:tc>
        <w:tc>
          <w:tcPr>
            <w:tcW w:w="4520" w:type="dxa"/>
            <w:tcBorders>
              <w:top w:val="nil"/>
              <w:left w:val="nil"/>
              <w:bottom w:val="single" w:sz="4" w:space="0" w:color="auto"/>
              <w:right w:val="single" w:sz="4" w:space="0" w:color="auto"/>
            </w:tcBorders>
            <w:shd w:val="clear" w:color="auto" w:fill="auto"/>
            <w:vAlign w:val="bottom"/>
          </w:tcPr>
          <w:p w14:paraId="7B9100CB" w14:textId="77777777" w:rsidR="006542D6" w:rsidRPr="001D0ADC" w:rsidRDefault="006542D6" w:rsidP="00CF4707">
            <w:pPr>
              <w:pStyle w:val="NoSpacing"/>
              <w:ind w:firstLine="0"/>
              <w:rPr>
                <w:color w:val="auto"/>
                <w:lang w:val="en-GB" w:eastAsia="cs-CZ"/>
              </w:rPr>
            </w:pPr>
            <w:r w:rsidRPr="001D0ADC">
              <w:rPr>
                <w:color w:val="auto"/>
                <w:lang w:val="en-GB" w:eastAsia="cs-CZ"/>
              </w:rPr>
              <w:t>LC50 72h</w:t>
            </w:r>
          </w:p>
        </w:tc>
        <w:tc>
          <w:tcPr>
            <w:tcW w:w="2633" w:type="dxa"/>
            <w:vMerge/>
            <w:tcBorders>
              <w:left w:val="nil"/>
              <w:right w:val="single" w:sz="4" w:space="0" w:color="auto"/>
            </w:tcBorders>
          </w:tcPr>
          <w:p w14:paraId="04D864FC" w14:textId="77777777" w:rsidR="006542D6" w:rsidRPr="001D0ADC" w:rsidRDefault="006542D6" w:rsidP="00CF4707">
            <w:pPr>
              <w:pStyle w:val="NoSpacing"/>
              <w:ind w:firstLine="0"/>
              <w:rPr>
                <w:color w:val="auto"/>
                <w:lang w:val="en-GB" w:eastAsia="cs-CZ"/>
              </w:rPr>
            </w:pPr>
          </w:p>
        </w:tc>
        <w:tc>
          <w:tcPr>
            <w:tcW w:w="1967" w:type="dxa"/>
            <w:vMerge/>
            <w:tcBorders>
              <w:left w:val="single" w:sz="4" w:space="0" w:color="auto"/>
              <w:right w:val="single" w:sz="4" w:space="0" w:color="auto"/>
            </w:tcBorders>
          </w:tcPr>
          <w:p w14:paraId="7CA6C71F" w14:textId="77777777" w:rsidR="006542D6" w:rsidRPr="001D0ADC" w:rsidRDefault="006542D6" w:rsidP="00CF4707">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531FD94" w14:textId="77777777" w:rsidR="006542D6" w:rsidRPr="001D0ADC" w:rsidRDefault="006542D6" w:rsidP="00CF4707">
            <w:pPr>
              <w:pStyle w:val="NoSpacing"/>
              <w:ind w:firstLine="0"/>
              <w:rPr>
                <w:color w:val="auto"/>
                <w:lang w:val="en-GB" w:eastAsia="cs-CZ"/>
              </w:rPr>
            </w:pPr>
          </w:p>
        </w:tc>
      </w:tr>
      <w:tr w:rsidR="001D0ADC" w:rsidRPr="001D0ADC" w14:paraId="3556D7BB"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068357EB" w14:textId="77777777" w:rsidR="006542D6" w:rsidRPr="001D0ADC" w:rsidRDefault="006542D6" w:rsidP="00CF4707">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77D08D30" w14:textId="464F583B" w:rsidR="006542D6" w:rsidRPr="001D0ADC" w:rsidRDefault="006542D6" w:rsidP="00CF4707">
            <w:pPr>
              <w:pStyle w:val="NoSpacing"/>
              <w:ind w:firstLine="0"/>
              <w:rPr>
                <w:color w:val="auto"/>
                <w:lang w:val="en-GB" w:eastAsia="cs-CZ"/>
              </w:rPr>
            </w:pPr>
            <w:r w:rsidRPr="001D0ADC">
              <w:rPr>
                <w:color w:val="auto"/>
                <w:lang w:val="en-GB" w:eastAsia="cs-CZ"/>
              </w:rPr>
              <w:t>6</w:t>
            </w:r>
            <w:r w:rsidR="00CF2036" w:rsidRPr="001D0ADC">
              <w:rPr>
                <w:color w:val="auto"/>
                <w:lang w:val="en-GB" w:eastAsia="cs-CZ"/>
              </w:rPr>
              <w:t>1.</w:t>
            </w:r>
            <w:r w:rsidRPr="001D0ADC">
              <w:rPr>
                <w:color w:val="auto"/>
                <w:lang w:val="en-GB" w:eastAsia="cs-CZ"/>
              </w:rPr>
              <w:t>5</w:t>
            </w:r>
          </w:p>
        </w:tc>
        <w:tc>
          <w:tcPr>
            <w:tcW w:w="4520" w:type="dxa"/>
            <w:tcBorders>
              <w:top w:val="nil"/>
              <w:left w:val="nil"/>
              <w:bottom w:val="single" w:sz="4" w:space="0" w:color="auto"/>
              <w:right w:val="single" w:sz="4" w:space="0" w:color="auto"/>
            </w:tcBorders>
            <w:shd w:val="clear" w:color="auto" w:fill="auto"/>
            <w:vAlign w:val="bottom"/>
          </w:tcPr>
          <w:p w14:paraId="16C55AD5" w14:textId="77777777" w:rsidR="006542D6" w:rsidRPr="001D0ADC" w:rsidRDefault="006542D6" w:rsidP="00CF4707">
            <w:pPr>
              <w:pStyle w:val="NoSpacing"/>
              <w:ind w:firstLine="0"/>
              <w:rPr>
                <w:color w:val="auto"/>
                <w:lang w:val="en-GB" w:eastAsia="cs-CZ"/>
              </w:rPr>
            </w:pPr>
            <w:r w:rsidRPr="001D0ADC">
              <w:rPr>
                <w:color w:val="auto"/>
                <w:lang w:val="en-GB" w:eastAsia="cs-CZ"/>
              </w:rPr>
              <w:t>LC50 96h</w:t>
            </w:r>
          </w:p>
        </w:tc>
        <w:tc>
          <w:tcPr>
            <w:tcW w:w="2633" w:type="dxa"/>
            <w:vMerge/>
            <w:tcBorders>
              <w:left w:val="nil"/>
              <w:bottom w:val="single" w:sz="4" w:space="0" w:color="auto"/>
              <w:right w:val="single" w:sz="4" w:space="0" w:color="auto"/>
            </w:tcBorders>
          </w:tcPr>
          <w:p w14:paraId="2C3A628A" w14:textId="77777777" w:rsidR="006542D6" w:rsidRPr="001D0ADC" w:rsidRDefault="006542D6" w:rsidP="00CF4707">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6E314B5" w14:textId="77777777" w:rsidR="006542D6" w:rsidRPr="001D0ADC" w:rsidRDefault="006542D6" w:rsidP="00CF4707">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09E5605" w14:textId="77777777" w:rsidR="006542D6" w:rsidRPr="001D0ADC" w:rsidRDefault="006542D6" w:rsidP="00CF4707">
            <w:pPr>
              <w:pStyle w:val="NoSpacing"/>
              <w:ind w:firstLine="0"/>
              <w:rPr>
                <w:color w:val="auto"/>
                <w:lang w:val="en-GB" w:eastAsia="cs-CZ"/>
              </w:rPr>
            </w:pPr>
          </w:p>
        </w:tc>
      </w:tr>
      <w:tr w:rsidR="001D0ADC" w:rsidRPr="001D0ADC" w14:paraId="10F8B351"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F9EF992" w14:textId="77777777" w:rsidR="006542D6" w:rsidRPr="001D0ADC" w:rsidRDefault="006542D6" w:rsidP="00CF4707">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70D951AB" w14:textId="3B874CA7" w:rsidR="006542D6" w:rsidRPr="001D0ADC" w:rsidRDefault="006542D6" w:rsidP="00CF4707">
            <w:pPr>
              <w:pStyle w:val="NoSpacing"/>
              <w:ind w:firstLine="0"/>
              <w:rPr>
                <w:color w:val="auto"/>
                <w:lang w:val="en-GB" w:eastAsia="cs-CZ"/>
              </w:rPr>
            </w:pPr>
            <w:r w:rsidRPr="001D0ADC">
              <w:rPr>
                <w:color w:val="auto"/>
                <w:lang w:val="en-GB" w:eastAsia="cs-CZ"/>
              </w:rPr>
              <w:t>5</w:t>
            </w:r>
            <w:r w:rsidR="00CF2036" w:rsidRPr="001D0ADC">
              <w:rPr>
                <w:color w:val="auto"/>
                <w:lang w:val="en-GB" w:eastAsia="cs-CZ"/>
              </w:rPr>
              <w:t>9.</w:t>
            </w:r>
            <w:r w:rsidRPr="001D0ADC">
              <w:rPr>
                <w:color w:val="auto"/>
                <w:lang w:val="en-GB" w:eastAsia="cs-CZ"/>
              </w:rPr>
              <w:t>7</w:t>
            </w:r>
          </w:p>
        </w:tc>
        <w:tc>
          <w:tcPr>
            <w:tcW w:w="4520" w:type="dxa"/>
            <w:tcBorders>
              <w:top w:val="nil"/>
              <w:left w:val="nil"/>
              <w:bottom w:val="single" w:sz="4" w:space="0" w:color="auto"/>
              <w:right w:val="single" w:sz="4" w:space="0" w:color="auto"/>
            </w:tcBorders>
            <w:shd w:val="clear" w:color="auto" w:fill="auto"/>
            <w:vAlign w:val="bottom"/>
          </w:tcPr>
          <w:p w14:paraId="5C1F0215" w14:textId="77777777" w:rsidR="006542D6" w:rsidRPr="001D0ADC" w:rsidRDefault="006542D6" w:rsidP="00CF4707">
            <w:pPr>
              <w:pStyle w:val="NoSpacing"/>
              <w:ind w:firstLine="0"/>
              <w:rPr>
                <w:color w:val="auto"/>
                <w:lang w:val="en-GB" w:eastAsia="cs-CZ"/>
              </w:rPr>
            </w:pPr>
            <w:r w:rsidRPr="001D0ADC">
              <w:rPr>
                <w:color w:val="auto"/>
                <w:lang w:val="en-GB" w:eastAsia="cs-CZ"/>
              </w:rPr>
              <w:t>LC50 24h</w:t>
            </w:r>
          </w:p>
        </w:tc>
        <w:tc>
          <w:tcPr>
            <w:tcW w:w="2633" w:type="dxa"/>
            <w:tcBorders>
              <w:top w:val="single" w:sz="4" w:space="0" w:color="auto"/>
              <w:left w:val="nil"/>
              <w:bottom w:val="single" w:sz="4" w:space="0" w:color="auto"/>
              <w:right w:val="single" w:sz="4" w:space="0" w:color="auto"/>
            </w:tcBorders>
          </w:tcPr>
          <w:p w14:paraId="2C9FCE4D" w14:textId="77777777" w:rsidR="006542D6" w:rsidRPr="001D0ADC" w:rsidRDefault="006542D6" w:rsidP="00CF4707">
            <w:pPr>
              <w:pStyle w:val="NoSpacing"/>
              <w:ind w:firstLine="0"/>
              <w:rPr>
                <w:color w:val="auto"/>
                <w:lang w:val="en-GB" w:eastAsia="cs-CZ"/>
              </w:rPr>
            </w:pPr>
            <w:r w:rsidRPr="001D0ADC">
              <w:rPr>
                <w:color w:val="auto"/>
                <w:lang w:val="en-GB" w:eastAsia="cs-CZ"/>
              </w:rPr>
              <w:t>AFT (CC)</w:t>
            </w:r>
          </w:p>
        </w:tc>
        <w:tc>
          <w:tcPr>
            <w:tcW w:w="1967" w:type="dxa"/>
            <w:tcBorders>
              <w:top w:val="single" w:sz="4" w:space="0" w:color="auto"/>
              <w:left w:val="single" w:sz="4" w:space="0" w:color="auto"/>
              <w:bottom w:val="single" w:sz="4" w:space="0" w:color="auto"/>
              <w:right w:val="single" w:sz="4" w:space="0" w:color="auto"/>
            </w:tcBorders>
          </w:tcPr>
          <w:p w14:paraId="09BA1E51" w14:textId="77777777" w:rsidR="006542D6" w:rsidRPr="001D0ADC" w:rsidRDefault="006542D6" w:rsidP="00CF4707">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4429C1B2" w14:textId="2C92FDAE" w:rsidR="006542D6" w:rsidRPr="001D0ADC" w:rsidRDefault="0030759D" w:rsidP="00CF4707">
            <w:pPr>
              <w:pStyle w:val="NoSpacing"/>
              <w:ind w:firstLine="0"/>
              <w:rPr>
                <w:color w:val="auto"/>
                <w:lang w:val="en-GB" w:eastAsia="cs-CZ"/>
              </w:rPr>
            </w:pPr>
            <w:r w:rsidRPr="001D0ADC">
              <w:rPr>
                <w:color w:val="auto"/>
                <w:lang w:val="en-GB" w:eastAsia="cs-CZ"/>
              </w:rPr>
              <w:fldChar w:fldCharType="begin"/>
            </w:r>
            <w:r w:rsidR="00BB3340" w:rsidRPr="001D0ADC">
              <w:rPr>
                <w:color w:val="auto"/>
                <w:lang w:val="en-GB" w:eastAsia="cs-CZ"/>
              </w:rPr>
              <w:instrText xml:space="preserve"> ADDIN ZOTERO_ITEM CSL_CITATION {"citationID":"a10dcihe6cg","properties":{"formattedCitation":"(Malarvizhi et al. 2012)","plainCitation":"(Malarvizhi et al. 2012)","noteIndex":0},"citationItems":[{"id":1407,"uris":["http://zotero.org/users/11614927/items/EDGUADUU"],"itemData":{"id":1407,"type":"article-journal","abstract":"Toxicity and effects of an antiepileptic drug, carbamazepine (CBZ) on transaminases like glutamate oxaloacetate transaminase (GOT) and glutamate pyruvate transaminase (GPT); lactate dehydrogenase (LDH) activities in gill, liver and muscle of a freshwater ﬁsh, Cyprinus carpio were investigated. The median lethal concentration (LC50) of CBZ to C. carpio for 24 h was determined (59.70 mg lÀl). 1/10th of LC50 value was taken as a sublethal concentration (5.97 mg lÀl). Fish were exposed to both acute and sublethal CBZ concentration for 24 h and 35 days (at weekly intervals), respectively. During acute treatment, GOT activity was decreased in all the organs (gill, liver and muscle); GPT and LDH activities were increased in liver and muscle while decreased in gill. During sublethal treatment, GOT activity was decreased in liver and muscle, whereas GPT activity was increased in these two organs. A biphasic trend was noted in GOT and GPT activity in gill and LDH activity in gill, liver and muscle. The present study indicates that CBZ induced alterations in the activities of GOT, GPT and LDH in various organs of ﬁsh; these enzymes may be used as logical candidates to monitor the toxic levels of pharmaceuticals in aquatic organisms.","container-title":"Journal of King Saud University - Science","DOI":"10.1016/j.jksus.2011.01.001","ISSN":"10183647","issue":"2","journalAbbreviation":"Journal of King Saud University - Science","language":"en","page":"179-186","source":"DOI.org (Crossref)","title":"Carbamazepine (CBZ) induced enzymatic stress in gill, liver and muscle of a common carp, Cyprinus carpio","volume":"24","author":[{"family":"Malarvizhi","given":"Annamalai"},{"family":"Kavitha","given":"Chokkalingam"},{"family":"Saravanan","given":"Manoharan"},{"family":"Ramesh","given":"Mathan"}],"issued":{"date-parts":[["2012",4]]}}}],"schema":"https://github.com/citation-style-language/schema/raw/master/csl-citation.json"} </w:instrText>
            </w:r>
            <w:r w:rsidRPr="001D0ADC">
              <w:rPr>
                <w:color w:val="auto"/>
                <w:lang w:val="en-GB" w:eastAsia="cs-CZ"/>
              </w:rPr>
              <w:fldChar w:fldCharType="separate"/>
            </w:r>
            <w:r w:rsidR="00BB3340" w:rsidRPr="001D0ADC">
              <w:rPr>
                <w:rFonts w:cs="Times New Roman"/>
                <w:color w:val="auto"/>
                <w:szCs w:val="24"/>
                <w:lang w:val="en-GB"/>
              </w:rPr>
              <w:t>(Malarvizhi et al. 2012)</w:t>
            </w:r>
            <w:r w:rsidRPr="001D0ADC">
              <w:rPr>
                <w:color w:val="auto"/>
                <w:lang w:val="en-GB" w:eastAsia="cs-CZ"/>
              </w:rPr>
              <w:fldChar w:fldCharType="end"/>
            </w:r>
          </w:p>
        </w:tc>
      </w:tr>
      <w:tr w:rsidR="001D0ADC" w:rsidRPr="001D0ADC" w14:paraId="1CC2C08C" w14:textId="77777777" w:rsidTr="009A0FE6">
        <w:trPr>
          <w:gridAfter w:val="4"/>
          <w:wAfter w:w="9200" w:type="dxa"/>
          <w:trHeight w:val="300"/>
        </w:trPr>
        <w:tc>
          <w:tcPr>
            <w:tcW w:w="760" w:type="dxa"/>
            <w:vMerge/>
            <w:tcBorders>
              <w:left w:val="single" w:sz="4" w:space="0" w:color="auto"/>
              <w:right w:val="single" w:sz="4" w:space="0" w:color="auto"/>
            </w:tcBorders>
            <w:vAlign w:val="center"/>
          </w:tcPr>
          <w:p w14:paraId="3003E240"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200B7117" w14:textId="1F1CDE6F" w:rsidR="008B399E" w:rsidRPr="001D0ADC" w:rsidRDefault="008B399E" w:rsidP="008B399E">
            <w:pPr>
              <w:pStyle w:val="NoSpacing"/>
              <w:ind w:firstLine="0"/>
              <w:rPr>
                <w:color w:val="auto"/>
                <w:lang w:val="en-GB" w:eastAsia="cs-CZ"/>
              </w:rPr>
            </w:pPr>
            <w:r w:rsidRPr="001D0ADC">
              <w:rPr>
                <w:color w:val="auto"/>
                <w:lang w:val="en-GB" w:eastAsia="cs-CZ"/>
              </w:rPr>
              <w:t>20</w:t>
            </w:r>
          </w:p>
        </w:tc>
        <w:tc>
          <w:tcPr>
            <w:tcW w:w="4520" w:type="dxa"/>
            <w:tcBorders>
              <w:top w:val="nil"/>
              <w:left w:val="nil"/>
              <w:bottom w:val="single" w:sz="4" w:space="0" w:color="auto"/>
              <w:right w:val="single" w:sz="4" w:space="0" w:color="auto"/>
            </w:tcBorders>
            <w:shd w:val="clear" w:color="auto" w:fill="auto"/>
            <w:vAlign w:val="bottom"/>
          </w:tcPr>
          <w:p w14:paraId="71FE4FE7" w14:textId="6575C3DE" w:rsidR="008B399E" w:rsidRPr="001D0ADC" w:rsidRDefault="008B399E" w:rsidP="008B399E">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444C34DF" w14:textId="5A9CDAE0" w:rsidR="008B399E" w:rsidRPr="001D0ADC" w:rsidRDefault="008B399E" w:rsidP="008B399E">
            <w:pPr>
              <w:pStyle w:val="NoSpacing"/>
              <w:ind w:firstLine="0"/>
              <w:rPr>
                <w:color w:val="auto"/>
                <w:lang w:val="en-GB" w:eastAsia="cs-CZ"/>
              </w:rPr>
            </w:pPr>
            <w:r w:rsidRPr="001D0ADC">
              <w:rPr>
                <w:color w:val="auto"/>
                <w:lang w:val="en-GB" w:eastAsia="cs-CZ"/>
              </w:rPr>
              <w:t>A</w:t>
            </w:r>
            <w:r w:rsidR="00CC5B19" w:rsidRPr="001D0ADC">
              <w:rPr>
                <w:color w:val="auto"/>
                <w:lang w:val="en-GB" w:eastAsia="cs-CZ"/>
              </w:rPr>
              <w:t>FT</w:t>
            </w:r>
            <w:r w:rsidRPr="001D0ADC">
              <w:rPr>
                <w:color w:val="auto"/>
                <w:lang w:val="en-GB" w:eastAsia="cs-CZ"/>
              </w:rPr>
              <w:t xml:space="preserve"> (OL)(OECD203)</w:t>
            </w:r>
          </w:p>
        </w:tc>
        <w:tc>
          <w:tcPr>
            <w:tcW w:w="1967" w:type="dxa"/>
            <w:tcBorders>
              <w:top w:val="single" w:sz="4" w:space="0" w:color="auto"/>
              <w:left w:val="single" w:sz="4" w:space="0" w:color="auto"/>
              <w:bottom w:val="single" w:sz="4" w:space="0" w:color="auto"/>
              <w:right w:val="single" w:sz="4" w:space="0" w:color="auto"/>
            </w:tcBorders>
          </w:tcPr>
          <w:p w14:paraId="3A9534D7" w14:textId="6CF7D49A" w:rsidR="008B399E" w:rsidRPr="001D0ADC" w:rsidRDefault="008B399E" w:rsidP="008B399E">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918F02E" w14:textId="6A6F53A0"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00BB3340" w:rsidRPr="001D0ADC">
              <w:rPr>
                <w:color w:val="auto"/>
                <w:lang w:val="en-GB" w:eastAsia="cs-CZ"/>
              </w:rPr>
              <w:instrText xml:space="preserve"> ADDIN ZOTERO_ITEM CSL_CITATION {"citationID":"a2g94h70fh2","properties":{"formattedCitation":"(Yamamoto et al. 2007)","plainCitation":"(Yamamoto et al. 2007)","noteIndex":0},"citationItems":[{"id":1924,"uris":["http://zotero.org/users/11614927/items/WHW8LC7T"],"itemData":{"id":1924,"type":"article-journal","container-title":"Environmental Sciences","issue":"4","language":"en","source":"Zotero","title":"Initial Ecological Risk Assessment of Eight Selected Human Pharmaceuticals in Japan","volume":"14","author":[{"family":"Yamamoto","given":"Hiroshi"},{"family":"Nakamura","given":"Yudai"},{"family":"Nakamura","given":"Yuki"},{"family":"Kitani","given":"Chise"},{"family":"Imari","given":"Tetsuya"},{"family":"Sekizawa","given":"Jun"},{"family":"Takao","given":"Yuji"},{"family":"Yamashita","given":"Naoyuki"},{"family":"Hirai","given":"Narisato"},{"family":"Oda","given":"Shigeto"},{"family":"Tatarazako","given":"Norihisa"}],"issued":{"date-parts":[["2007"]]}}}],"schema":"https://github.com/citation-style-language/schema/raw/master/csl-citation.json"} </w:instrText>
            </w:r>
            <w:r w:rsidRPr="001D0ADC">
              <w:rPr>
                <w:color w:val="auto"/>
                <w:lang w:val="en-GB" w:eastAsia="cs-CZ"/>
              </w:rPr>
              <w:fldChar w:fldCharType="separate"/>
            </w:r>
            <w:r w:rsidR="00BB3340" w:rsidRPr="001D0ADC">
              <w:rPr>
                <w:rFonts w:cs="Times New Roman"/>
                <w:color w:val="auto"/>
                <w:szCs w:val="24"/>
                <w:lang w:val="en-GB"/>
              </w:rPr>
              <w:t>(Yamamoto et al. 2007)</w:t>
            </w:r>
            <w:r w:rsidRPr="001D0ADC">
              <w:rPr>
                <w:color w:val="auto"/>
                <w:lang w:val="en-GB" w:eastAsia="cs-CZ"/>
              </w:rPr>
              <w:fldChar w:fldCharType="end"/>
            </w:r>
          </w:p>
        </w:tc>
      </w:tr>
      <w:tr w:rsidR="001D0ADC" w:rsidRPr="001D0ADC" w14:paraId="4B28D62A"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6A3FBF41" w14:textId="77777777" w:rsidR="008B399E" w:rsidRPr="001D0ADC" w:rsidRDefault="008B399E" w:rsidP="008B399E">
            <w:pPr>
              <w:pStyle w:val="NoSpacing"/>
              <w:ind w:firstLine="0"/>
              <w:rPr>
                <w:color w:val="auto"/>
                <w:lang w:val="en-GB" w:eastAsia="cs-CZ"/>
              </w:rPr>
            </w:pPr>
          </w:p>
        </w:tc>
        <w:tc>
          <w:tcPr>
            <w:tcW w:w="13122" w:type="dxa"/>
            <w:gridSpan w:val="5"/>
            <w:tcBorders>
              <w:top w:val="nil"/>
              <w:left w:val="single" w:sz="4" w:space="0" w:color="auto"/>
              <w:bottom w:val="single" w:sz="4" w:space="0" w:color="000000"/>
              <w:right w:val="single" w:sz="4" w:space="0" w:color="auto"/>
            </w:tcBorders>
            <w:shd w:val="clear" w:color="auto" w:fill="auto"/>
            <w:vAlign w:val="center"/>
          </w:tcPr>
          <w:p w14:paraId="2A990385" w14:textId="50B0165E" w:rsidR="008B399E" w:rsidRPr="001D0ADC" w:rsidRDefault="00CC5B19" w:rsidP="006C31A6">
            <w:pPr>
              <w:pStyle w:val="NoSpacing"/>
              <w:ind w:firstLine="0"/>
              <w:jc w:val="left"/>
              <w:rPr>
                <w:b/>
                <w:bCs/>
                <w:color w:val="auto"/>
                <w:lang w:val="en-GB" w:eastAsia="cs-CZ"/>
              </w:rPr>
            </w:pPr>
            <w:r w:rsidRPr="001D0ADC">
              <w:rPr>
                <w:b/>
                <w:bCs/>
                <w:color w:val="auto"/>
                <w:lang w:val="en-GB" w:eastAsia="cs-CZ"/>
              </w:rPr>
              <w:t>N</w:t>
            </w:r>
            <w:r w:rsidR="008B399E" w:rsidRPr="001D0ADC">
              <w:rPr>
                <w:b/>
                <w:bCs/>
                <w:color w:val="auto"/>
                <w:lang w:val="en-GB" w:eastAsia="cs-CZ"/>
              </w:rPr>
              <w:t>on-</w:t>
            </w:r>
            <w:r w:rsidRPr="001D0ADC">
              <w:rPr>
                <w:b/>
                <w:bCs/>
                <w:color w:val="auto"/>
                <w:lang w:val="en-GB" w:eastAsia="cs-CZ"/>
              </w:rPr>
              <w:t>l</w:t>
            </w:r>
            <w:r w:rsidR="008B399E" w:rsidRPr="001D0ADC">
              <w:rPr>
                <w:b/>
                <w:bCs/>
                <w:color w:val="auto"/>
                <w:lang w:val="en-GB" w:eastAsia="cs-CZ"/>
              </w:rPr>
              <w:t>ethal effects</w:t>
            </w:r>
            <w:r w:rsidRPr="001D0ADC">
              <w:rPr>
                <w:b/>
                <w:bCs/>
                <w:color w:val="auto"/>
                <w:lang w:val="en-GB" w:eastAsia="cs-CZ"/>
              </w:rPr>
              <w:t xml:space="preserve"> after acute exposure (adults or juvenile)</w:t>
            </w:r>
            <w:r w:rsidR="000F6A8E" w:rsidRPr="001D0ADC">
              <w:rPr>
                <w:b/>
                <w:bCs/>
                <w:color w:val="auto"/>
                <w:lang w:val="en-GB" w:eastAsia="cs-CZ"/>
              </w:rPr>
              <w:t xml:space="preserve"> (mg/l)</w:t>
            </w:r>
          </w:p>
        </w:tc>
      </w:tr>
      <w:tr w:rsidR="001D0ADC" w:rsidRPr="001D0ADC" w14:paraId="746F9C48"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78ACE2B8"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1B82A867" w14:textId="5C0E0996" w:rsidR="008B399E" w:rsidRPr="001D0ADC" w:rsidRDefault="00CF2036" w:rsidP="008B399E">
            <w:pPr>
              <w:pStyle w:val="NoSpacing"/>
              <w:ind w:firstLine="0"/>
              <w:rPr>
                <w:color w:val="auto"/>
                <w:lang w:val="en-GB" w:eastAsia="cs-CZ"/>
              </w:rPr>
            </w:pPr>
            <w:r w:rsidRPr="001D0ADC">
              <w:rPr>
                <w:color w:val="auto"/>
                <w:lang w:val="en-GB" w:eastAsia="cs-CZ"/>
              </w:rPr>
              <w:t>6.</w:t>
            </w:r>
            <w:r w:rsidR="008B399E" w:rsidRPr="001D0ADC">
              <w:rPr>
                <w:color w:val="auto"/>
                <w:lang w:val="en-GB" w:eastAsia="cs-CZ"/>
              </w:rPr>
              <w:t>15</w:t>
            </w:r>
          </w:p>
        </w:tc>
        <w:tc>
          <w:tcPr>
            <w:tcW w:w="4520" w:type="dxa"/>
            <w:tcBorders>
              <w:top w:val="nil"/>
              <w:left w:val="nil"/>
              <w:bottom w:val="single" w:sz="4" w:space="0" w:color="auto"/>
              <w:right w:val="single" w:sz="4" w:space="0" w:color="auto"/>
            </w:tcBorders>
            <w:shd w:val="clear" w:color="auto" w:fill="auto"/>
            <w:vAlign w:val="bottom"/>
          </w:tcPr>
          <w:p w14:paraId="7E833F1F" w14:textId="77777777" w:rsidR="008B399E" w:rsidRPr="001D0ADC" w:rsidRDefault="008B399E" w:rsidP="008B399E">
            <w:pPr>
              <w:pStyle w:val="NoSpacing"/>
              <w:ind w:firstLine="0"/>
              <w:rPr>
                <w:color w:val="auto"/>
                <w:lang w:val="en-GB" w:eastAsia="cs-CZ"/>
              </w:rPr>
            </w:pPr>
            <w:r w:rsidRPr="001D0ADC">
              <w:rPr>
                <w:color w:val="auto"/>
                <w:lang w:val="en-GB" w:eastAsia="cs-CZ"/>
              </w:rPr>
              <w:t>LOEC for time to eat from d5</w:t>
            </w:r>
          </w:p>
        </w:tc>
        <w:tc>
          <w:tcPr>
            <w:tcW w:w="2633" w:type="dxa"/>
            <w:vMerge w:val="restart"/>
            <w:tcBorders>
              <w:top w:val="single" w:sz="4" w:space="0" w:color="auto"/>
              <w:left w:val="nil"/>
              <w:right w:val="single" w:sz="4" w:space="0" w:color="auto"/>
            </w:tcBorders>
          </w:tcPr>
          <w:p w14:paraId="0C1981F3" w14:textId="77777777" w:rsidR="008B399E" w:rsidRPr="001D0ADC" w:rsidRDefault="008B399E" w:rsidP="008B399E">
            <w:pPr>
              <w:pStyle w:val="NoSpacing"/>
              <w:ind w:firstLine="0"/>
              <w:rPr>
                <w:color w:val="auto"/>
                <w:lang w:val="en-GB" w:eastAsia="cs-CZ"/>
              </w:rPr>
            </w:pPr>
            <w:r w:rsidRPr="001D0ADC">
              <w:rPr>
                <w:color w:val="auto"/>
                <w:lang w:val="en-GB" w:eastAsia="cs-CZ"/>
              </w:rPr>
              <w:t>Acute (OL)</w:t>
            </w:r>
          </w:p>
        </w:tc>
        <w:tc>
          <w:tcPr>
            <w:tcW w:w="1967" w:type="dxa"/>
            <w:vMerge w:val="restart"/>
            <w:tcBorders>
              <w:top w:val="single" w:sz="4" w:space="0" w:color="auto"/>
              <w:left w:val="single" w:sz="4" w:space="0" w:color="auto"/>
              <w:right w:val="single" w:sz="4" w:space="0" w:color="auto"/>
            </w:tcBorders>
          </w:tcPr>
          <w:p w14:paraId="499AFA27" w14:textId="77777777" w:rsidR="008B399E" w:rsidRPr="001D0ADC" w:rsidRDefault="008B399E" w:rsidP="008B399E">
            <w:pPr>
              <w:pStyle w:val="NoSpacing"/>
              <w:ind w:firstLine="0"/>
              <w:rPr>
                <w:color w:val="auto"/>
                <w:lang w:val="en-GB" w:eastAsia="cs-CZ"/>
              </w:rPr>
            </w:pPr>
            <w:r w:rsidRPr="001D0ADC">
              <w:rPr>
                <w:color w:val="auto"/>
                <w:lang w:val="en-GB" w:eastAsia="cs-CZ"/>
              </w:rPr>
              <w:t>9d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97B90D2"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{"citationID":"TvTyZJfk","properties":{"formattedCitation":"(Nassef, Matsumoto, et al. 2010)","plainCitation":"(Nassef, Matsumoto, et al. 2010)","noteIndex":0},"citationItems":[{"id":1167,"uris":["http://zotero.org/users/11614927/items/9YZHW5AC"],"itemData":{"id":1167,"type":"article-journal","abstract":"The toxicity of three pharmaceutical and personal care products (PPCPs) – carbamazepine (CBMZ), diclofenac (DCF), and triclosan (TCS) – was examined by measuring their effects on feeding behavior and swimming speed of adult Japanese medaka ﬁsh (Oryzias latipes). Medaka were exposed to 6.15 mg LÀ1 CBMZ, 1.0 mg LÀ1 DCF, 0.17 mg LÀ1 TCS, or no PPCP (control) for 9 d. Fish behaviors were monitored during days 5–9 of the exposure period. Feeding behavior (time to eat midge larvae, TE) and swimming speed (SS) of individual exposed and control ﬁsh were tracked in two dimensions, using an automated system with a digital charge-coupled device camera. As a result, feeding behavior was affected by exposure to CBMZ and DCF, while SS was altered by exposure to CBMZ and TCS. Thus, TCS, DCF and CBMZ appear to affect ﬁsh behaviors through different mechanisms. Overall, the results suggest that behavioral changes may provide a sensitive indicator for assessing the toxicity of PPCPs to aquatic organisms.","container-title":"Chemosphere","DOI":"10.1016/j.chemosphere.2010.04.073","ISSN":"00456535","issue":"9","journalAbbreviation":"Chemosphere","language":"en","page":"1095-1100","source":"DOI.org (Crossref)","title":"Acute effects of triclosan, diclofenac and carbamazepine on feeding performance of Japanese medaka fish (Oryzias latipes)","volume":"80","author":[{"family":"Nassef","given":"Mohamed"},{"family":"Matsumoto","given":"Shuhei"},{"family":"Seki","given":"Masanori"},{"family":"Khalil","given":"Fatma"},{"family":"Kang","given":"Ik Joon"},{"family":"Shimasaki","given":"Yohei"},{"family":"Oshima","given":"Yuji"},{"family":"Honjo","given":"Tsuneo"}],"issued":{"date-parts":[["2010",8]]}}}],"schema":"https://github.com/citation-style-language/schema/raw/master/csl-citation.json"}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(Nassef, Matsumoto, et al. 2010)</w:t>
            </w:r>
            <w:r w:rsidRPr="001D0ADC">
              <w:rPr>
                <w:color w:val="auto"/>
                <w:lang w:val="en-GB" w:eastAsia="cs-CZ"/>
              </w:rPr>
              <w:fldChar w:fldCharType="end"/>
            </w:r>
          </w:p>
        </w:tc>
      </w:tr>
      <w:tr w:rsidR="001D0ADC" w:rsidRPr="001D0ADC" w14:paraId="3807AFC3"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78CB67BF"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2E57F250" w14:textId="105BE031" w:rsidR="008B399E" w:rsidRPr="001D0ADC" w:rsidRDefault="00CF2036" w:rsidP="008B399E">
            <w:pPr>
              <w:pStyle w:val="NoSpacing"/>
              <w:ind w:firstLine="0"/>
              <w:rPr>
                <w:color w:val="auto"/>
                <w:lang w:val="en-GB" w:eastAsia="cs-CZ"/>
              </w:rPr>
            </w:pPr>
            <w:r w:rsidRPr="001D0ADC">
              <w:rPr>
                <w:color w:val="auto"/>
                <w:lang w:val="en-GB" w:eastAsia="cs-CZ"/>
              </w:rPr>
              <w:t>6.</w:t>
            </w:r>
            <w:r w:rsidR="008B399E" w:rsidRPr="001D0ADC">
              <w:rPr>
                <w:color w:val="auto"/>
                <w:lang w:val="en-GB" w:eastAsia="cs-CZ"/>
              </w:rPr>
              <w:t>15</w:t>
            </w:r>
          </w:p>
        </w:tc>
        <w:tc>
          <w:tcPr>
            <w:tcW w:w="4520" w:type="dxa"/>
            <w:tcBorders>
              <w:top w:val="nil"/>
              <w:left w:val="nil"/>
              <w:bottom w:val="single" w:sz="4" w:space="0" w:color="auto"/>
              <w:right w:val="single" w:sz="4" w:space="0" w:color="auto"/>
            </w:tcBorders>
            <w:shd w:val="clear" w:color="auto" w:fill="auto"/>
            <w:vAlign w:val="bottom"/>
          </w:tcPr>
          <w:p w14:paraId="7EF7BE80" w14:textId="77777777" w:rsidR="008B399E" w:rsidRPr="001D0ADC" w:rsidRDefault="008B399E" w:rsidP="008B399E">
            <w:pPr>
              <w:pStyle w:val="NoSpacing"/>
              <w:ind w:firstLine="0"/>
              <w:rPr>
                <w:color w:val="auto"/>
                <w:lang w:val="en-GB" w:eastAsia="cs-CZ"/>
              </w:rPr>
            </w:pPr>
            <w:r w:rsidRPr="001D0ADC">
              <w:rPr>
                <w:color w:val="auto"/>
                <w:lang w:val="en-GB" w:eastAsia="cs-CZ"/>
              </w:rPr>
              <w:t>LOEC swimming speed from d8</w:t>
            </w:r>
          </w:p>
        </w:tc>
        <w:tc>
          <w:tcPr>
            <w:tcW w:w="2633" w:type="dxa"/>
            <w:vMerge/>
            <w:tcBorders>
              <w:left w:val="nil"/>
              <w:bottom w:val="single" w:sz="4" w:space="0" w:color="auto"/>
              <w:right w:val="single" w:sz="4" w:space="0" w:color="auto"/>
            </w:tcBorders>
          </w:tcPr>
          <w:p w14:paraId="015433BB"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65150E5"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899315E" w14:textId="77777777" w:rsidR="008B399E" w:rsidRPr="001D0ADC" w:rsidRDefault="008B399E" w:rsidP="008B399E">
            <w:pPr>
              <w:pStyle w:val="NoSpacing"/>
              <w:ind w:firstLine="0"/>
              <w:rPr>
                <w:color w:val="auto"/>
                <w:lang w:val="en-GB" w:eastAsia="cs-CZ"/>
              </w:rPr>
            </w:pPr>
          </w:p>
        </w:tc>
      </w:tr>
      <w:tr w:rsidR="001D0ADC" w:rsidRPr="001D0ADC" w14:paraId="1D391438"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19EEAE73"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74A726C0" w14:textId="77777777" w:rsidR="008B399E" w:rsidRPr="001D0ADC" w:rsidRDefault="008B399E" w:rsidP="008B399E">
            <w:pPr>
              <w:pStyle w:val="NoSpacing"/>
              <w:ind w:firstLine="0"/>
              <w:rPr>
                <w:color w:val="auto"/>
                <w:lang w:val="en-GB" w:eastAsia="cs-CZ"/>
              </w:rPr>
            </w:pPr>
            <w:r w:rsidRPr="001D0ADC">
              <w:rPr>
                <w:color w:val="auto"/>
                <w:lang w:val="en-GB" w:eastAsia="cs-CZ"/>
              </w:rPr>
              <w:t>30</w:t>
            </w:r>
          </w:p>
        </w:tc>
        <w:tc>
          <w:tcPr>
            <w:tcW w:w="4520" w:type="dxa"/>
            <w:tcBorders>
              <w:top w:val="nil"/>
              <w:left w:val="nil"/>
              <w:bottom w:val="single" w:sz="4" w:space="0" w:color="auto"/>
              <w:right w:val="single" w:sz="4" w:space="0" w:color="auto"/>
            </w:tcBorders>
            <w:shd w:val="clear" w:color="auto" w:fill="auto"/>
            <w:vAlign w:val="bottom"/>
          </w:tcPr>
          <w:p w14:paraId="4B867DB3" w14:textId="77777777" w:rsidR="008B399E" w:rsidRPr="001D0ADC" w:rsidRDefault="008B399E" w:rsidP="008B399E">
            <w:pPr>
              <w:pStyle w:val="NoSpacing"/>
              <w:ind w:firstLine="0"/>
              <w:rPr>
                <w:color w:val="auto"/>
                <w:lang w:val="en-GB" w:eastAsia="cs-CZ"/>
              </w:rPr>
            </w:pPr>
            <w:r w:rsidRPr="001D0ADC">
              <w:rPr>
                <w:color w:val="auto"/>
                <w:lang w:val="en-GB" w:eastAsia="cs-CZ"/>
              </w:rPr>
              <w:t>NOEC condition factor, TBARS and CD in intestine, muscle and liver</w:t>
            </w:r>
          </w:p>
        </w:tc>
        <w:tc>
          <w:tcPr>
            <w:tcW w:w="2633" w:type="dxa"/>
            <w:tcBorders>
              <w:top w:val="single" w:sz="4" w:space="0" w:color="auto"/>
              <w:left w:val="nil"/>
              <w:bottom w:val="single" w:sz="4" w:space="0" w:color="auto"/>
              <w:right w:val="single" w:sz="4" w:space="0" w:color="auto"/>
            </w:tcBorders>
          </w:tcPr>
          <w:p w14:paraId="01910FE0" w14:textId="77777777" w:rsidR="008B399E" w:rsidRPr="001D0ADC" w:rsidRDefault="008B399E" w:rsidP="008B399E">
            <w:pPr>
              <w:pStyle w:val="NoSpacing"/>
              <w:ind w:firstLine="0"/>
              <w:rPr>
                <w:color w:val="auto"/>
                <w:lang w:val="en-GB" w:eastAsia="cs-CZ"/>
              </w:rPr>
            </w:pPr>
            <w:r w:rsidRPr="001D0ADC">
              <w:rPr>
                <w:color w:val="auto"/>
                <w:lang w:val="en-GB" w:eastAsia="cs-CZ"/>
              </w:rPr>
              <w:t>acute</w:t>
            </w:r>
          </w:p>
        </w:tc>
        <w:tc>
          <w:tcPr>
            <w:tcW w:w="1967" w:type="dxa"/>
            <w:vMerge w:val="restart"/>
            <w:tcBorders>
              <w:top w:val="single" w:sz="4" w:space="0" w:color="auto"/>
              <w:left w:val="single" w:sz="4" w:space="0" w:color="auto"/>
              <w:right w:val="single" w:sz="4" w:space="0" w:color="auto"/>
            </w:tcBorders>
          </w:tcPr>
          <w:p w14:paraId="351AC1AB" w14:textId="77777777" w:rsidR="008B399E" w:rsidRPr="001D0ADC" w:rsidRDefault="008B399E" w:rsidP="008B399E">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E8486ED"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{"citationID":"G6GZSyPi","properties":{"formattedCitation":"(Z.-H. Li et al. 2011)","plainCitation":"(Z.-H. Li et al. 2011)","noteIndex":0},"citationItems":[{"id":1293,"uris":["http://zotero.org/users/11614927/items/IYNDM9TE"],"itemData":{"id":1293,"type":"article-journal","abstract":"Awareness of residual pharmaceutically active compounds (PhACs) in the aquatic environment is growing as investigations into these pollutants are increasing and analytical detection techniques are improving. However, the toxicological effects of PhACs have not been adequately researched. In this study, the toxic effects of carbamazepine (CBZ), an anticonvulsant drug commonly present in surface and groundwater, was studied in juvenile rainbow trout, Oncorhynchus mykiss, by acute semi-static bioassay. Bood parameters, liver xenobiotic-metabolizing response and tissue antioxidant status were evaluated. Compared to the control group, ﬁsh exposed to CBZ (96 h LC50) showed signiﬁcantly higher Er, Hb, MCHC, monocytes, neutrophil granulocytes and plasma enzymes activity, and signiﬁcantly lower MCV and lymphocytes. CF and HSI were not signiﬁcantly different among groups such as hepatic EROD. SOD, CAT, GPx and GR activity was signiﬁcantly higher in liver of experimental groups, but decreased signiﬁcantly in brain and gill. In general, antioxidant enzyme activity in intestine and muscle was less evident than in liver. Oxidative stress indices (levels of LPO and CP) were signiﬁcantly higher in gill and brain, despite a trend to increased values were manifested in the remaining tissues. In short, CBZ-induced stress responses in different tissues were reﬂected in the oxidant stress indices and hematological parameters. However, before those parameters are used as special biomarkers for monitoring residual pharmaceuticals in aquatic environment, more detailed experiments in laboratory need to be performed in the future.","container-title":"Ecotoxicology and Environmental Safety","DOI":"10.1016/j.ecoenv.2010.09.008","ISSN":"01476513","issue":"3","journalAbbreviation":"Ecotoxicology and Environmental Safety","language":"en","page":"319-327","source":"DOI.org (Crossref)","title":"Acute toxicity of carbamazepine to juvenile rainbow trout (Oncorhynchus mykiss): Effects on antioxidant responses, hematological parameters and hepatic EROD","title-short":"Acute toxicity of carbamazepine to juvenile rainbow trout (Oncorhynchus mykiss)","volume":"74","author":[{"family":"Li","given":"Zhi-Hua"},{"family":"Zlabek","given":"Vladimir"},{"family":"Velisek","given":"Josef"},{"family":"Grabic","given":"Roman"},{"family":"Machova","given":"Jana"},{"family":"Kolarova","given":"Jitka"},{"family":"Li","given":"Ping"},{"family":"Randak","given":"Tomas"}],"issued":{"date-parts":[["2011",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(Z.-H. Li et al. 2011)</w:t>
            </w:r>
            <w:r w:rsidRPr="001D0ADC">
              <w:rPr>
                <w:color w:val="auto"/>
                <w:lang w:val="en-GB" w:eastAsia="cs-CZ"/>
              </w:rPr>
              <w:fldChar w:fldCharType="end"/>
            </w:r>
          </w:p>
        </w:tc>
      </w:tr>
      <w:tr w:rsidR="001D0ADC" w:rsidRPr="001D0ADC" w14:paraId="2B070786"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31C96988"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16E2614C" w14:textId="67B66438" w:rsidR="008B399E" w:rsidRPr="001D0ADC" w:rsidRDefault="008B399E" w:rsidP="008B399E">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9.</w:t>
            </w:r>
            <w:r w:rsidRPr="001D0ADC">
              <w:rPr>
                <w:color w:val="auto"/>
                <w:lang w:val="en-GB" w:eastAsia="cs-CZ"/>
              </w:rPr>
              <w:t>9</w:t>
            </w:r>
          </w:p>
        </w:tc>
        <w:tc>
          <w:tcPr>
            <w:tcW w:w="4520" w:type="dxa"/>
            <w:tcBorders>
              <w:top w:val="nil"/>
              <w:left w:val="nil"/>
              <w:bottom w:val="single" w:sz="4" w:space="0" w:color="auto"/>
              <w:right w:val="single" w:sz="4" w:space="0" w:color="auto"/>
            </w:tcBorders>
            <w:shd w:val="clear" w:color="auto" w:fill="auto"/>
            <w:vAlign w:val="bottom"/>
          </w:tcPr>
          <w:p w14:paraId="05BB60C0" w14:textId="77777777" w:rsidR="008B399E" w:rsidRPr="001D0ADC" w:rsidRDefault="008B399E" w:rsidP="008B399E">
            <w:pPr>
              <w:pStyle w:val="NoSpacing"/>
              <w:ind w:firstLine="0"/>
              <w:rPr>
                <w:color w:val="auto"/>
                <w:lang w:val="en-GB" w:eastAsia="cs-CZ"/>
              </w:rPr>
            </w:pPr>
            <w:r w:rsidRPr="001D0ADC">
              <w:rPr>
                <w:color w:val="auto"/>
                <w:lang w:val="en-GB" w:eastAsia="cs-CZ"/>
              </w:rPr>
              <w:t>LOEC hematological and biochem. Param., TBARS and carbonyl derivates in brain and gills, antioxidant enzymes</w:t>
            </w:r>
          </w:p>
        </w:tc>
        <w:tc>
          <w:tcPr>
            <w:tcW w:w="2633" w:type="dxa"/>
            <w:tcBorders>
              <w:top w:val="single" w:sz="4" w:space="0" w:color="auto"/>
              <w:left w:val="nil"/>
              <w:bottom w:val="single" w:sz="4" w:space="0" w:color="auto"/>
              <w:right w:val="single" w:sz="4" w:space="0" w:color="auto"/>
            </w:tcBorders>
          </w:tcPr>
          <w:p w14:paraId="007B6BD0" w14:textId="77777777" w:rsidR="008B399E" w:rsidRPr="001D0ADC" w:rsidRDefault="008B399E" w:rsidP="008B399E">
            <w:pPr>
              <w:pStyle w:val="NoSpacing"/>
              <w:ind w:firstLine="0"/>
              <w:rPr>
                <w:color w:val="auto"/>
                <w:lang w:val="en-GB" w:eastAsia="cs-CZ"/>
              </w:rPr>
            </w:pPr>
            <w:r w:rsidRPr="001D0ADC">
              <w:rPr>
                <w:color w:val="auto"/>
                <w:lang w:val="en-GB" w:eastAsia="cs-CZ"/>
              </w:rPr>
              <w:t>acute</w:t>
            </w:r>
          </w:p>
        </w:tc>
        <w:tc>
          <w:tcPr>
            <w:tcW w:w="1967" w:type="dxa"/>
            <w:vMerge/>
            <w:tcBorders>
              <w:left w:val="single" w:sz="4" w:space="0" w:color="auto"/>
              <w:bottom w:val="single" w:sz="4" w:space="0" w:color="auto"/>
              <w:right w:val="single" w:sz="4" w:space="0" w:color="auto"/>
            </w:tcBorders>
          </w:tcPr>
          <w:p w14:paraId="19E3B7AC"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00A024C" w14:textId="77777777" w:rsidR="008B399E" w:rsidRPr="001D0ADC" w:rsidRDefault="008B399E" w:rsidP="008B399E">
            <w:pPr>
              <w:pStyle w:val="NoSpacing"/>
              <w:ind w:firstLine="0"/>
              <w:rPr>
                <w:color w:val="auto"/>
                <w:lang w:val="en-GB" w:eastAsia="cs-CZ"/>
              </w:rPr>
            </w:pPr>
          </w:p>
        </w:tc>
      </w:tr>
      <w:tr w:rsidR="001D0ADC" w:rsidRPr="001D0ADC" w14:paraId="1376FAC5"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47B85CAC"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06C806C8" w14:textId="30A05696"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00785</w:t>
            </w:r>
          </w:p>
        </w:tc>
        <w:tc>
          <w:tcPr>
            <w:tcW w:w="4520" w:type="dxa"/>
            <w:tcBorders>
              <w:top w:val="nil"/>
              <w:left w:val="nil"/>
              <w:bottom w:val="single" w:sz="4" w:space="0" w:color="auto"/>
              <w:right w:val="single" w:sz="4" w:space="0" w:color="auto"/>
            </w:tcBorders>
            <w:shd w:val="clear" w:color="auto" w:fill="auto"/>
            <w:vAlign w:val="bottom"/>
          </w:tcPr>
          <w:p w14:paraId="42B8E765" w14:textId="77777777" w:rsidR="008B399E" w:rsidRPr="001D0ADC" w:rsidRDefault="008B399E" w:rsidP="008B399E">
            <w:pPr>
              <w:pStyle w:val="NoSpacing"/>
              <w:ind w:firstLine="0"/>
              <w:rPr>
                <w:color w:val="auto"/>
                <w:lang w:val="en-GB" w:eastAsia="cs-CZ"/>
              </w:rPr>
            </w:pPr>
            <w:r w:rsidRPr="001D0ADC">
              <w:rPr>
                <w:color w:val="auto"/>
                <w:lang w:val="en-GB" w:eastAsia="cs-CZ"/>
              </w:rPr>
              <w:t>LOEC for gene expression alteration</w:t>
            </w:r>
          </w:p>
        </w:tc>
        <w:tc>
          <w:tcPr>
            <w:tcW w:w="2633" w:type="dxa"/>
            <w:tcBorders>
              <w:top w:val="single" w:sz="4" w:space="0" w:color="auto"/>
              <w:left w:val="nil"/>
              <w:bottom w:val="single" w:sz="4" w:space="0" w:color="auto"/>
              <w:right w:val="single" w:sz="4" w:space="0" w:color="auto"/>
            </w:tcBorders>
          </w:tcPr>
          <w:p w14:paraId="4A91E522" w14:textId="77777777" w:rsidR="008B399E" w:rsidRPr="001D0ADC" w:rsidRDefault="008B399E" w:rsidP="008B399E">
            <w:pPr>
              <w:pStyle w:val="NoSpacing"/>
              <w:ind w:firstLine="0"/>
              <w:rPr>
                <w:color w:val="auto"/>
                <w:lang w:val="en-GB" w:eastAsia="cs-CZ"/>
              </w:rPr>
            </w:pPr>
            <w:r w:rsidRPr="001D0ADC">
              <w:rPr>
                <w:color w:val="auto"/>
                <w:lang w:val="en-GB" w:eastAsia="cs-CZ"/>
              </w:rPr>
              <w:t>Acute (SS) (OECD 203 and 204)</w:t>
            </w:r>
          </w:p>
        </w:tc>
        <w:tc>
          <w:tcPr>
            <w:tcW w:w="1967" w:type="dxa"/>
            <w:tcBorders>
              <w:top w:val="single" w:sz="4" w:space="0" w:color="auto"/>
              <w:left w:val="single" w:sz="4" w:space="0" w:color="auto"/>
              <w:bottom w:val="single" w:sz="4" w:space="0" w:color="auto"/>
              <w:right w:val="single" w:sz="4" w:space="0" w:color="auto"/>
            </w:tcBorders>
          </w:tcPr>
          <w:p w14:paraId="5A102237" w14:textId="77777777" w:rsidR="008B399E" w:rsidRPr="001D0ADC" w:rsidRDefault="008B399E" w:rsidP="008B399E">
            <w:pPr>
              <w:pStyle w:val="NoSpacing"/>
              <w:ind w:firstLine="0"/>
              <w:rPr>
                <w:color w:val="auto"/>
                <w:lang w:val="en-GB" w:eastAsia="cs-CZ"/>
              </w:rPr>
            </w:pPr>
            <w:r w:rsidRPr="001D0ADC">
              <w:rPr>
                <w:color w:val="auto"/>
                <w:lang w:val="en-GB" w:eastAsia="cs-CZ"/>
              </w:rPr>
              <w:t>5d</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37FD8228"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{"citationID":"SaqlZ7ls","properties":{"formattedCitation":"(Hampel et al. 2010)","plainCitation":"(Hampel et al. 2010)","noteIndex":0},"citationItems":[{"id":1186,"uris":["http://zotero.org/users/11614927/items/XFYBW49F"],"itemData":{"id":1186,"type":"article-journal","container-title":"Environmental Science and Pollution Research","DOI":"10.1007/s11356-009-0282-6","ISSN":"0944-1344, 1614-7499","issue":"4","journalAbbreviation":"Environ Sci Pollut Res","language":"en","page":"917-933","source":"DOI.org (Crossref)","title":"Potential physiological effects of pharmaceutical compounds in Atlantic salmon (Salmo salar) implied by transcriptomic analysis","volume":"17","author":[{"family":"Hampel","given":"Miriam"},{"family":"Alonso","given":"Esteban"},{"family":"Aparicio","given":"Irene"},{"family":"Bron","given":"James E."},{"family":"Santos","given":"Juan Luis"},{"family":"Taggart","given":"John B."},{"family":"Leaver","given":"Michael J."}],"issued":{"date-parts":[["2010",5]]}}}],"schema":"https://github.com/citation-style-language/schema/raw/master/csl-citation.json"}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(Hampel et al. 2010)</w:t>
            </w:r>
            <w:r w:rsidRPr="001D0ADC">
              <w:rPr>
                <w:color w:val="auto"/>
                <w:lang w:val="en-GB" w:eastAsia="cs-CZ"/>
              </w:rPr>
              <w:fldChar w:fldCharType="end"/>
            </w:r>
          </w:p>
        </w:tc>
      </w:tr>
      <w:tr w:rsidR="001D0ADC" w:rsidRPr="001D0ADC" w14:paraId="3B96396C"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67F20EC"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661ED0E7" w14:textId="77777777" w:rsidR="008B399E" w:rsidRPr="001D0ADC" w:rsidRDefault="008B399E" w:rsidP="008B399E">
            <w:pPr>
              <w:pStyle w:val="NoSpacing"/>
              <w:ind w:firstLine="0"/>
              <w:rPr>
                <w:color w:val="auto"/>
                <w:lang w:val="en-GB" w:eastAsia="cs-CZ"/>
              </w:rPr>
            </w:pPr>
            <w:r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47411F96" w14:textId="77777777" w:rsidR="008B399E" w:rsidRPr="001D0ADC" w:rsidRDefault="008B399E" w:rsidP="008B399E">
            <w:pPr>
              <w:pStyle w:val="NoSpacing"/>
              <w:ind w:firstLine="0"/>
              <w:rPr>
                <w:color w:val="auto"/>
                <w:lang w:val="en-GB" w:eastAsia="cs-CZ"/>
              </w:rPr>
            </w:pPr>
            <w:r w:rsidRPr="001D0ADC">
              <w:rPr>
                <w:color w:val="auto"/>
                <w:lang w:val="en-GB" w:eastAsia="cs-CZ"/>
              </w:rPr>
              <w:t>NOEC for mortality, for TBARS in gill and liver, GST in gill and liver, behaviour</w:t>
            </w:r>
          </w:p>
        </w:tc>
        <w:tc>
          <w:tcPr>
            <w:tcW w:w="2633" w:type="dxa"/>
            <w:vMerge w:val="restart"/>
            <w:tcBorders>
              <w:top w:val="single" w:sz="4" w:space="0" w:color="auto"/>
              <w:left w:val="nil"/>
              <w:right w:val="single" w:sz="4" w:space="0" w:color="auto"/>
            </w:tcBorders>
          </w:tcPr>
          <w:p w14:paraId="28658606" w14:textId="77777777" w:rsidR="008B399E" w:rsidRPr="001D0ADC" w:rsidRDefault="008B399E" w:rsidP="008B399E">
            <w:pPr>
              <w:pStyle w:val="NoSpacing"/>
              <w:ind w:firstLine="0"/>
              <w:rPr>
                <w:color w:val="auto"/>
                <w:lang w:val="en-GB" w:eastAsia="cs-CZ"/>
              </w:rPr>
            </w:pPr>
            <w:r w:rsidRPr="001D0ADC">
              <w:rPr>
                <w:color w:val="auto"/>
                <w:lang w:val="en-GB" w:eastAsia="cs-CZ"/>
              </w:rPr>
              <w:t>Acute (OECD 203)(LG)</w:t>
            </w:r>
          </w:p>
        </w:tc>
        <w:tc>
          <w:tcPr>
            <w:tcW w:w="1967" w:type="dxa"/>
            <w:vMerge w:val="restart"/>
            <w:tcBorders>
              <w:top w:val="single" w:sz="4" w:space="0" w:color="auto"/>
              <w:left w:val="single" w:sz="4" w:space="0" w:color="auto"/>
              <w:right w:val="single" w:sz="4" w:space="0" w:color="auto"/>
            </w:tcBorders>
          </w:tcPr>
          <w:p w14:paraId="59D3676C" w14:textId="77777777" w:rsidR="008B399E" w:rsidRPr="001D0ADC" w:rsidRDefault="008B399E" w:rsidP="008B399E">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E3392DF"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{"citationID":"pyC3D9uZ","properties":{"formattedCitation":"(Brand\\uc0\\u227{}o et al. 2013)","plainCitation":"(Brandão et al. 2013)","noteIndex":0},"citationItems":[{"id":1268,"uris":["http://zotero.org/users/11614927/items/DSRUGDA3"],"itemData":{"id":1268,"type":"article-journal","container-title":"Aquatic Toxicology","DOI":"10.1016/j.aquatox.2013.10.005","ISSN":"0166445X","journalAbbreviation":"Aquatic Toxicology","language":"en","page":"218-229","source":"DOI.org (Crossref)","title":"Short-term effects of neuroactive pharmaceutical drugs on a fish species: Biochemical and behavioural effects","title-short":"Short-term effects of neuroactive pharmaceutical drugs on a fish species","volume":"144-145","author":[{"family":"Brandão","given":"F.P."},{"family":"Rodrigues","given":"S."},{"family":"Castro","given":"B.B."},{"family":"Gonçalves","given":"F."},{"family":"Antunes","given":"S.C."},{"family":"Nunes","given":"B."}],"issued":{"date-parts":[["2013",11]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(Brandão et al. 2013)</w:t>
            </w:r>
            <w:r w:rsidRPr="001D0ADC">
              <w:rPr>
                <w:color w:val="auto"/>
                <w:lang w:val="en-GB" w:eastAsia="cs-CZ"/>
              </w:rPr>
              <w:fldChar w:fldCharType="end"/>
            </w:r>
          </w:p>
        </w:tc>
      </w:tr>
      <w:tr w:rsidR="001D0ADC" w:rsidRPr="001D0ADC" w14:paraId="0FF5C5BB"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0D25B7DC"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7B0B1B4E" w14:textId="6BCE83CD"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0625</w:t>
            </w:r>
          </w:p>
        </w:tc>
        <w:tc>
          <w:tcPr>
            <w:tcW w:w="4520" w:type="dxa"/>
            <w:tcBorders>
              <w:top w:val="nil"/>
              <w:left w:val="nil"/>
              <w:bottom w:val="single" w:sz="4" w:space="0" w:color="auto"/>
              <w:right w:val="single" w:sz="4" w:space="0" w:color="auto"/>
            </w:tcBorders>
            <w:shd w:val="clear" w:color="auto" w:fill="auto"/>
            <w:vAlign w:val="bottom"/>
          </w:tcPr>
          <w:p w14:paraId="74237BDD" w14:textId="77777777" w:rsidR="008B399E" w:rsidRPr="001D0ADC" w:rsidRDefault="008B399E" w:rsidP="008B399E">
            <w:pPr>
              <w:pStyle w:val="NoSpacing"/>
              <w:ind w:firstLine="0"/>
              <w:rPr>
                <w:color w:val="auto"/>
                <w:lang w:val="en-GB" w:eastAsia="cs-CZ"/>
              </w:rPr>
            </w:pPr>
            <w:r w:rsidRPr="001D0ADC">
              <w:rPr>
                <w:color w:val="auto"/>
                <w:lang w:val="en-GB" w:eastAsia="cs-CZ"/>
              </w:rPr>
              <w:t xml:space="preserve">LOEC for Gred in gill and gut, </w:t>
            </w:r>
          </w:p>
        </w:tc>
        <w:tc>
          <w:tcPr>
            <w:tcW w:w="2633" w:type="dxa"/>
            <w:vMerge/>
            <w:tcBorders>
              <w:left w:val="nil"/>
              <w:right w:val="single" w:sz="4" w:space="0" w:color="auto"/>
            </w:tcBorders>
          </w:tcPr>
          <w:p w14:paraId="1053C94B"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right w:val="single" w:sz="4" w:space="0" w:color="auto"/>
            </w:tcBorders>
          </w:tcPr>
          <w:p w14:paraId="795E0D65"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834E304" w14:textId="77777777" w:rsidR="008B399E" w:rsidRPr="001D0ADC" w:rsidRDefault="008B399E" w:rsidP="008B399E">
            <w:pPr>
              <w:pStyle w:val="NoSpacing"/>
              <w:ind w:firstLine="0"/>
              <w:rPr>
                <w:color w:val="auto"/>
                <w:lang w:val="en-GB" w:eastAsia="cs-CZ"/>
              </w:rPr>
            </w:pPr>
          </w:p>
        </w:tc>
      </w:tr>
      <w:tr w:rsidR="001D0ADC" w:rsidRPr="001D0ADC" w14:paraId="1F0DA7D4"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62AF5007"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7A9E061D" w14:textId="4C603DC5"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25</w:t>
            </w:r>
          </w:p>
        </w:tc>
        <w:tc>
          <w:tcPr>
            <w:tcW w:w="4520" w:type="dxa"/>
            <w:tcBorders>
              <w:top w:val="nil"/>
              <w:left w:val="nil"/>
              <w:bottom w:val="single" w:sz="4" w:space="0" w:color="auto"/>
              <w:right w:val="single" w:sz="4" w:space="0" w:color="auto"/>
            </w:tcBorders>
            <w:shd w:val="clear" w:color="auto" w:fill="auto"/>
            <w:vAlign w:val="bottom"/>
          </w:tcPr>
          <w:p w14:paraId="1B5D841E" w14:textId="77777777" w:rsidR="008B399E" w:rsidRPr="001D0ADC" w:rsidRDefault="008B399E" w:rsidP="008B399E">
            <w:pPr>
              <w:pStyle w:val="NoSpacing"/>
              <w:ind w:firstLine="0"/>
              <w:rPr>
                <w:color w:val="auto"/>
                <w:lang w:val="en-GB" w:eastAsia="cs-CZ"/>
              </w:rPr>
            </w:pPr>
            <w:r w:rsidRPr="001D0ADC">
              <w:rPr>
                <w:color w:val="auto"/>
                <w:lang w:val="en-GB" w:eastAsia="cs-CZ"/>
              </w:rPr>
              <w:t>LOEC for GST activity in gut</w:t>
            </w:r>
          </w:p>
        </w:tc>
        <w:tc>
          <w:tcPr>
            <w:tcW w:w="2633" w:type="dxa"/>
            <w:vMerge/>
            <w:tcBorders>
              <w:left w:val="nil"/>
              <w:bottom w:val="single" w:sz="4" w:space="0" w:color="auto"/>
              <w:right w:val="single" w:sz="4" w:space="0" w:color="auto"/>
            </w:tcBorders>
          </w:tcPr>
          <w:p w14:paraId="6DA236DB"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31F6619"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69C8E58" w14:textId="77777777" w:rsidR="008B399E" w:rsidRPr="001D0ADC" w:rsidRDefault="008B399E" w:rsidP="008B399E">
            <w:pPr>
              <w:pStyle w:val="NoSpacing"/>
              <w:ind w:firstLine="0"/>
              <w:rPr>
                <w:color w:val="auto"/>
                <w:lang w:val="en-GB" w:eastAsia="cs-CZ"/>
              </w:rPr>
            </w:pPr>
          </w:p>
        </w:tc>
      </w:tr>
      <w:tr w:rsidR="001D0ADC" w:rsidRPr="001D0ADC" w14:paraId="224EE094"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69EC4309"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27D49400" w14:textId="50A24636" w:rsidR="008B399E" w:rsidRPr="001D0ADC" w:rsidRDefault="008B399E" w:rsidP="008B399E">
            <w:pPr>
              <w:pStyle w:val="NoSpacing"/>
              <w:ind w:firstLine="0"/>
              <w:rPr>
                <w:color w:val="auto"/>
                <w:lang w:val="en-GB" w:eastAsia="cs-CZ"/>
              </w:rPr>
            </w:pPr>
            <w:r w:rsidRPr="001D0ADC">
              <w:rPr>
                <w:color w:val="auto"/>
                <w:lang w:val="en-GB" w:eastAsia="cs-CZ"/>
              </w:rPr>
              <w:t>5</w:t>
            </w:r>
            <w:r w:rsidR="00CF2036" w:rsidRPr="001D0ADC">
              <w:rPr>
                <w:color w:val="auto"/>
                <w:lang w:val="en-GB" w:eastAsia="cs-CZ"/>
              </w:rPr>
              <w:t>9.</w:t>
            </w:r>
            <w:r w:rsidRPr="001D0ADC">
              <w:rPr>
                <w:color w:val="auto"/>
                <w:lang w:val="en-GB" w:eastAsia="cs-CZ"/>
              </w:rPr>
              <w:t>7</w:t>
            </w:r>
          </w:p>
        </w:tc>
        <w:tc>
          <w:tcPr>
            <w:tcW w:w="4520" w:type="dxa"/>
            <w:tcBorders>
              <w:top w:val="nil"/>
              <w:left w:val="nil"/>
              <w:bottom w:val="single" w:sz="4" w:space="0" w:color="auto"/>
              <w:right w:val="single" w:sz="4" w:space="0" w:color="auto"/>
            </w:tcBorders>
            <w:shd w:val="clear" w:color="auto" w:fill="auto"/>
            <w:vAlign w:val="bottom"/>
          </w:tcPr>
          <w:p w14:paraId="213E94C6" w14:textId="3C816268" w:rsidR="008B399E" w:rsidRPr="001D0ADC" w:rsidRDefault="008B399E" w:rsidP="008B399E">
            <w:pPr>
              <w:pStyle w:val="NoSpacing"/>
              <w:ind w:firstLine="0"/>
              <w:rPr>
                <w:color w:val="auto"/>
                <w:lang w:val="en-GB" w:eastAsia="cs-CZ"/>
              </w:rPr>
            </w:pPr>
            <w:r w:rsidRPr="001D0ADC">
              <w:rPr>
                <w:color w:val="auto"/>
                <w:lang w:val="en-GB" w:eastAsia="cs-CZ"/>
              </w:rPr>
              <w:t>GOT, GPT, and LDH acitivty alteration in gill, liver, and muscle</w:t>
            </w:r>
          </w:p>
        </w:tc>
        <w:tc>
          <w:tcPr>
            <w:tcW w:w="2633" w:type="dxa"/>
            <w:tcBorders>
              <w:top w:val="single" w:sz="4" w:space="0" w:color="auto"/>
              <w:left w:val="nil"/>
              <w:bottom w:val="single" w:sz="4" w:space="0" w:color="auto"/>
              <w:right w:val="single" w:sz="4" w:space="0" w:color="auto"/>
            </w:tcBorders>
          </w:tcPr>
          <w:p w14:paraId="78DE426C" w14:textId="1BF300CD" w:rsidR="008B399E" w:rsidRPr="001D0ADC" w:rsidRDefault="008B399E" w:rsidP="008B399E">
            <w:pPr>
              <w:pStyle w:val="NoSpacing"/>
              <w:ind w:firstLine="0"/>
              <w:rPr>
                <w:color w:val="auto"/>
                <w:lang w:val="en-GB" w:eastAsia="cs-CZ"/>
              </w:rPr>
            </w:pPr>
            <w:r w:rsidRPr="001D0ADC">
              <w:rPr>
                <w:color w:val="auto"/>
                <w:lang w:val="en-GB" w:eastAsia="cs-CZ"/>
              </w:rPr>
              <w:t>AFT (CC)</w:t>
            </w:r>
          </w:p>
        </w:tc>
        <w:tc>
          <w:tcPr>
            <w:tcW w:w="1967" w:type="dxa"/>
            <w:tcBorders>
              <w:top w:val="single" w:sz="4" w:space="0" w:color="auto"/>
              <w:left w:val="single" w:sz="4" w:space="0" w:color="auto"/>
              <w:bottom w:val="single" w:sz="4" w:space="0" w:color="auto"/>
              <w:right w:val="single" w:sz="4" w:space="0" w:color="auto"/>
            </w:tcBorders>
          </w:tcPr>
          <w:p w14:paraId="01A728EB" w14:textId="547283ED" w:rsidR="008B399E" w:rsidRPr="001D0ADC" w:rsidRDefault="008B399E" w:rsidP="008B399E">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4D96045" w14:textId="4370A69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00BB3340" w:rsidRPr="001D0ADC">
              <w:rPr>
                <w:color w:val="auto"/>
                <w:lang w:val="en-GB" w:eastAsia="cs-CZ"/>
              </w:rPr>
              <w:instrText xml:space="preserve"> ADDIN ZOTERO_ITEM CSL_CITATION {"citationID":"FXaBFfYF","properties":{"formattedCitation":"(Malarvizhi et al. 2012)","plainCitation":"(Malarvizhi et al. 2012)","noteIndex":0},"citationItems":[{"id":1407,"uris":["http://zotero.org/users/11614927/items/EDGUADUU"],"itemData":{"id":1407,"type":"article-journal","abstract":"Toxicity and effects of an antiepileptic drug, carbamazepine (CBZ) on transaminases like glutamate oxaloacetate transaminase (GOT) and glutamate pyruvate transaminase (GPT); lactate dehydrogenase (LDH) activities in gill, liver and muscle of a freshwater ﬁsh, Cyprinus carpio were investigated. The median lethal concentration (LC50) of CBZ to C. carpio for 24 h was determined (59.70 mg lÀl). 1/10th of LC50 value was taken as a sublethal concentration (5.97 mg lÀl). Fish were exposed to both acute and sublethal CBZ concentration for 24 h and 35 days (at weekly intervals), respectively. During acute treatment, GOT activity was decreased in all the organs (gill, liver and muscle); GPT and LDH activities were increased in liver and muscle while decreased in gill. During sublethal treatment, GOT activity was decreased in liver and muscle, whereas GPT activity was increased in these two organs. A biphasic trend was noted in GOT and GPT activity in gill and LDH activity in gill, liver and muscle. The present study indicates that CBZ induced alterations in the activities of GOT, GPT and LDH in various organs of ﬁsh; these enzymes may be used as logical candidates to monitor the toxic levels of pharmaceuticals in aquatic organisms.","container-title":"Journal of King Saud University - Science","DOI":"10.1016/j.jksus.2011.01.001","ISSN":"10183647","issue":"2","journalAbbreviation":"Journal of King Saud University - Science","language":"en","page":"179-186","source":"DOI.org (Crossref)","title":"Carbamazepine (CBZ) induced enzymatic stress in gill, liver and muscle of a common carp, Cyprinus carpio","volume":"24","author":[{"family":"Malarvizhi","given":"Annamalai"},{"family":"Kavitha","given":"Chokkalingam"},{"family":"Saravanan","given":"Manoharan"},{"family":"Ramesh","given":"Mathan"}],"issued":{"date-parts":[["2012",4]]}}}],"schema":"https://github.com/citation-style-language/schema/raw/master/csl-citation.json"} </w:instrText>
            </w:r>
            <w:r w:rsidRPr="001D0ADC">
              <w:rPr>
                <w:color w:val="auto"/>
                <w:lang w:val="en-GB" w:eastAsia="cs-CZ"/>
              </w:rPr>
              <w:fldChar w:fldCharType="separate"/>
            </w:r>
            <w:r w:rsidR="00BB3340" w:rsidRPr="001D0ADC">
              <w:rPr>
                <w:rFonts w:cs="Times New Roman"/>
                <w:color w:val="auto"/>
                <w:szCs w:val="24"/>
                <w:lang w:val="en-GB"/>
              </w:rPr>
              <w:t>(Malarvizhi et al. 2012)</w:t>
            </w:r>
            <w:r w:rsidRPr="001D0ADC">
              <w:rPr>
                <w:color w:val="auto"/>
                <w:lang w:val="en-GB" w:eastAsia="cs-CZ"/>
              </w:rPr>
              <w:fldChar w:fldCharType="end"/>
            </w:r>
          </w:p>
        </w:tc>
      </w:tr>
      <w:tr w:rsidR="001D0ADC" w:rsidRPr="001D0ADC" w14:paraId="391A6CE9"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470A64DD"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74CC5DB1" w14:textId="4B1CD07D"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01</w:t>
            </w:r>
          </w:p>
        </w:tc>
        <w:tc>
          <w:tcPr>
            <w:tcW w:w="4520" w:type="dxa"/>
            <w:tcBorders>
              <w:top w:val="nil"/>
              <w:left w:val="nil"/>
              <w:bottom w:val="single" w:sz="4" w:space="0" w:color="auto"/>
              <w:right w:val="single" w:sz="4" w:space="0" w:color="auto"/>
            </w:tcBorders>
            <w:shd w:val="clear" w:color="auto" w:fill="auto"/>
            <w:vAlign w:val="bottom"/>
          </w:tcPr>
          <w:p w14:paraId="5F334AEE" w14:textId="1182C527" w:rsidR="008B399E" w:rsidRPr="001D0ADC" w:rsidRDefault="008B399E" w:rsidP="008B399E">
            <w:pPr>
              <w:pStyle w:val="NoSpacing"/>
              <w:ind w:firstLine="0"/>
              <w:rPr>
                <w:color w:val="auto"/>
                <w:lang w:val="en-GB" w:eastAsia="cs-CZ"/>
              </w:rPr>
            </w:pPr>
            <w:r w:rsidRPr="001D0ADC">
              <w:rPr>
                <w:color w:val="auto"/>
                <w:lang w:val="en-GB" w:eastAsia="cs-CZ"/>
              </w:rPr>
              <w:t>LOEC for Ach content</w:t>
            </w:r>
          </w:p>
        </w:tc>
        <w:tc>
          <w:tcPr>
            <w:tcW w:w="2633" w:type="dxa"/>
            <w:vMerge w:val="restart"/>
            <w:tcBorders>
              <w:top w:val="single" w:sz="4" w:space="0" w:color="auto"/>
              <w:left w:val="nil"/>
              <w:right w:val="single" w:sz="4" w:space="0" w:color="auto"/>
            </w:tcBorders>
          </w:tcPr>
          <w:p w14:paraId="4DCE8193" w14:textId="6384952B" w:rsidR="008B399E" w:rsidRPr="001D0ADC" w:rsidRDefault="008B399E" w:rsidP="008B399E">
            <w:pPr>
              <w:pStyle w:val="NoSpacing"/>
              <w:ind w:firstLine="0"/>
              <w:rPr>
                <w:color w:val="auto"/>
                <w:lang w:val="en-GB" w:eastAsia="cs-CZ"/>
              </w:rPr>
            </w:pPr>
            <w:r w:rsidRPr="001D0ADC">
              <w:rPr>
                <w:color w:val="auto"/>
                <w:lang w:val="en-GB" w:eastAsia="cs-CZ"/>
              </w:rPr>
              <w:t>Acute (ZF)</w:t>
            </w:r>
          </w:p>
        </w:tc>
        <w:tc>
          <w:tcPr>
            <w:tcW w:w="1967" w:type="dxa"/>
            <w:vMerge w:val="restart"/>
            <w:tcBorders>
              <w:top w:val="single" w:sz="4" w:space="0" w:color="auto"/>
              <w:left w:val="single" w:sz="4" w:space="0" w:color="auto"/>
              <w:right w:val="single" w:sz="4" w:space="0" w:color="auto"/>
            </w:tcBorders>
          </w:tcPr>
          <w:p w14:paraId="064DBA93" w14:textId="023F4FCC" w:rsidR="008B399E" w:rsidRPr="001D0ADC" w:rsidRDefault="008B399E" w:rsidP="008B399E">
            <w:pPr>
              <w:pStyle w:val="NoSpacing"/>
              <w:ind w:firstLine="0"/>
              <w:rPr>
                <w:color w:val="auto"/>
                <w:lang w:val="en-GB" w:eastAsia="cs-CZ"/>
              </w:rPr>
            </w:pPr>
            <w:r w:rsidRPr="001D0ADC">
              <w:rPr>
                <w:color w:val="auto"/>
                <w:lang w:val="en-GB" w:eastAsia="cs-CZ"/>
              </w:rPr>
              <w:t>7d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EFB4888" w14:textId="1185E941"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00CD3522" w:rsidRPr="001D0ADC">
              <w:rPr>
                <w:color w:val="auto"/>
                <w:lang w:val="en-GB" w:eastAsia="cs-CZ"/>
              </w:rPr>
              <w:instrText xml:space="preserve"> ADDIN ZOTERO_ITEM CSL_CITATION {"citationID":"a1jhvk8hsks","properties":{"formattedCitation":"(W. Yang et al. 2023)","plainCitation":"(W. Yang et al. 2023)","noteIndex":0},"citationItems":[{"id":1393,"uris":["http://zotero.org/users/11614927/items/A8G594FY"],"itemData":{"id":1393,"type":"article-journal","abstract":"The ﬁsh plasma model (FPM) facilitated the environmental risk assessment of human drugs by using existing data on human therapeutic plasma concentrations (HTPCs) and predicted ﬁsh plasma concentrations (FPCs). However, studies on carbamazepine (CMZ) with both the mode of action (MOA) based biological effects at molecular level (such as neurotransmitter and gene level) and measured FPCs are lacking. Bioconcentration of CMZ in adult zebraﬁsh demonstrated that the FPM underestimated the bioconcentration factors (BCFs) in plasma at environmental CMZ exposure concentrations (1–100 mg/L). CMZ signiﬁcantly increased Glu and GABA, decreased ACh and AChE as well as inhibited the transcription levels of gabra1, grin1b, grin2b, gad1b, and abat when the actual FPCs were in the ranges of 1/1000 HTPC to HTPC. It is the ﬁrst read-across study of CMZ integrating MOA-based biological effects at molecular level and FPCs. This study facilitates model performance against a range of different drug classes.","container-title":"iScience","DOI":"10.1016/j.isci.2023.107688","ISSN":"25890042","issue":"10","journalAbbreviation":"iScience","language":"en","page":"107688","source":"DOI.org (Crossref)","title":"Effects of carbamazepine on the central nervous system of zebrafish at human therapeutic plasma levels","volume":"26","author":[{"family":"Yang","given":"Weiwei"},{"family":"Bao","given":"Yifan"},{"family":"Hao","given":"Jiaoyang"},{"family":"Hu","given":"Xialin"},{"family":"Xu","given":"Ting"},{"family":"Yin","given":"Daqiang"}],"issued":{"date-parts":[["2023",10]]}}}],"schema":"https://github.com/citation-style-language/schema/raw/master/csl-citation.json"} </w:instrText>
            </w:r>
            <w:r w:rsidRPr="001D0ADC">
              <w:rPr>
                <w:color w:val="auto"/>
                <w:lang w:val="en-GB" w:eastAsia="cs-CZ"/>
              </w:rPr>
              <w:fldChar w:fldCharType="separate"/>
            </w:r>
            <w:r w:rsidR="00CD3522" w:rsidRPr="001D0ADC">
              <w:rPr>
                <w:rFonts w:cs="Times New Roman"/>
                <w:color w:val="auto"/>
                <w:szCs w:val="24"/>
                <w:lang w:val="en-GB"/>
              </w:rPr>
              <w:t>(W. Yang et al. 2023)</w:t>
            </w:r>
            <w:r w:rsidRPr="001D0ADC">
              <w:rPr>
                <w:color w:val="auto"/>
                <w:lang w:val="en-GB" w:eastAsia="cs-CZ"/>
              </w:rPr>
              <w:fldChar w:fldCharType="end"/>
            </w:r>
          </w:p>
        </w:tc>
      </w:tr>
      <w:tr w:rsidR="001D0ADC" w:rsidRPr="001D0ADC" w14:paraId="050586DB"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56163582"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2D0FA79A" w14:textId="13FCA403"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001</w:t>
            </w:r>
          </w:p>
        </w:tc>
        <w:tc>
          <w:tcPr>
            <w:tcW w:w="4520" w:type="dxa"/>
            <w:tcBorders>
              <w:top w:val="nil"/>
              <w:left w:val="nil"/>
              <w:bottom w:val="single" w:sz="4" w:space="0" w:color="auto"/>
              <w:right w:val="single" w:sz="4" w:space="0" w:color="auto"/>
            </w:tcBorders>
            <w:shd w:val="clear" w:color="auto" w:fill="auto"/>
            <w:vAlign w:val="bottom"/>
          </w:tcPr>
          <w:p w14:paraId="4C9D7D96" w14:textId="08748F48" w:rsidR="008B399E" w:rsidRPr="001D0ADC" w:rsidRDefault="008B399E" w:rsidP="008B399E">
            <w:pPr>
              <w:pStyle w:val="NoSpacing"/>
              <w:ind w:firstLine="0"/>
              <w:rPr>
                <w:color w:val="auto"/>
                <w:lang w:val="en-GB" w:eastAsia="cs-CZ"/>
              </w:rPr>
            </w:pPr>
            <w:r w:rsidRPr="001D0ADC">
              <w:rPr>
                <w:color w:val="auto"/>
                <w:lang w:val="en-GB" w:eastAsia="cs-CZ"/>
              </w:rPr>
              <w:t>LOEC for Glu, GABA content and AChE activity, neurotransmitter- related gene expression</w:t>
            </w:r>
          </w:p>
        </w:tc>
        <w:tc>
          <w:tcPr>
            <w:tcW w:w="2633" w:type="dxa"/>
            <w:vMerge/>
            <w:tcBorders>
              <w:left w:val="nil"/>
              <w:bottom w:val="single" w:sz="4" w:space="0" w:color="auto"/>
              <w:right w:val="single" w:sz="4" w:space="0" w:color="auto"/>
            </w:tcBorders>
          </w:tcPr>
          <w:p w14:paraId="50E7B7A3"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47CC161"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11385ED" w14:textId="77777777" w:rsidR="008B399E" w:rsidRPr="001D0ADC" w:rsidRDefault="008B399E" w:rsidP="008B399E">
            <w:pPr>
              <w:pStyle w:val="NoSpacing"/>
              <w:ind w:firstLine="0"/>
              <w:rPr>
                <w:color w:val="auto"/>
                <w:lang w:val="en-GB" w:eastAsia="cs-CZ"/>
              </w:rPr>
            </w:pPr>
          </w:p>
        </w:tc>
      </w:tr>
      <w:tr w:rsidR="001D0ADC" w:rsidRPr="001D0ADC" w14:paraId="2DB06834"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0EA4151B"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47CA756A" w14:textId="771A8608" w:rsidR="008B399E" w:rsidRPr="001D0ADC" w:rsidRDefault="00CF2036" w:rsidP="008B399E">
            <w:pPr>
              <w:pStyle w:val="NoSpacing"/>
              <w:ind w:firstLine="0"/>
              <w:rPr>
                <w:color w:val="auto"/>
                <w:lang w:val="en-GB" w:eastAsia="cs-CZ"/>
              </w:rPr>
            </w:pPr>
            <w:r w:rsidRPr="001D0ADC">
              <w:rPr>
                <w:color w:val="auto"/>
                <w:lang w:val="en-GB" w:eastAsia="cs-CZ"/>
              </w:rPr>
              <w:t>0.</w:t>
            </w:r>
            <w:r w:rsidR="00F624A4" w:rsidRPr="001D0ADC">
              <w:rPr>
                <w:color w:val="auto"/>
                <w:lang w:val="en-GB" w:eastAsia="cs-CZ"/>
              </w:rPr>
              <w:t>025</w:t>
            </w:r>
          </w:p>
        </w:tc>
        <w:tc>
          <w:tcPr>
            <w:tcW w:w="4520" w:type="dxa"/>
            <w:tcBorders>
              <w:top w:val="nil"/>
              <w:left w:val="nil"/>
              <w:bottom w:val="single" w:sz="4" w:space="0" w:color="auto"/>
              <w:right w:val="single" w:sz="4" w:space="0" w:color="auto"/>
            </w:tcBorders>
            <w:shd w:val="clear" w:color="auto" w:fill="auto"/>
            <w:vAlign w:val="bottom"/>
          </w:tcPr>
          <w:p w14:paraId="3D073DB9" w14:textId="6CF2ECD5" w:rsidR="008B399E" w:rsidRPr="001D0ADC" w:rsidRDefault="00F624A4" w:rsidP="008B399E">
            <w:pPr>
              <w:pStyle w:val="NoSpacing"/>
              <w:ind w:firstLine="0"/>
              <w:rPr>
                <w:color w:val="auto"/>
                <w:lang w:val="en-GB" w:eastAsia="cs-CZ"/>
              </w:rPr>
            </w:pPr>
            <w:r w:rsidRPr="001D0ADC">
              <w:rPr>
                <w:color w:val="auto"/>
                <w:lang w:val="en-GB" w:eastAsia="cs-CZ"/>
              </w:rPr>
              <w:t>NOEC for mortality, CAT activity, GST act. In liver, LOEC for GST activity in brain, total thiols, MT, and MDA content in brain and liver, essential element homeostasis</w:t>
            </w:r>
          </w:p>
        </w:tc>
        <w:tc>
          <w:tcPr>
            <w:tcW w:w="2633" w:type="dxa"/>
            <w:tcBorders>
              <w:top w:val="single" w:sz="4" w:space="0" w:color="auto"/>
              <w:left w:val="nil"/>
              <w:bottom w:val="single" w:sz="4" w:space="0" w:color="auto"/>
              <w:right w:val="single" w:sz="4" w:space="0" w:color="auto"/>
            </w:tcBorders>
          </w:tcPr>
          <w:p w14:paraId="59D7B05B" w14:textId="3B1DD974" w:rsidR="008B399E" w:rsidRPr="001D0ADC" w:rsidRDefault="00F624A4" w:rsidP="008B399E">
            <w:pPr>
              <w:pStyle w:val="NoSpacing"/>
              <w:ind w:firstLine="0"/>
              <w:rPr>
                <w:color w:val="auto"/>
                <w:lang w:val="en-GB" w:eastAsia="cs-CZ"/>
              </w:rPr>
            </w:pPr>
            <w:r w:rsidRPr="001D0ADC">
              <w:rPr>
                <w:color w:val="auto"/>
                <w:lang w:val="en-GB" w:eastAsia="cs-CZ"/>
              </w:rPr>
              <w:t>Acute (ZF)(OECD203)</w:t>
            </w:r>
          </w:p>
        </w:tc>
        <w:tc>
          <w:tcPr>
            <w:tcW w:w="1967" w:type="dxa"/>
            <w:tcBorders>
              <w:top w:val="single" w:sz="4" w:space="0" w:color="auto"/>
              <w:left w:val="single" w:sz="4" w:space="0" w:color="auto"/>
              <w:bottom w:val="single" w:sz="4" w:space="0" w:color="auto"/>
              <w:right w:val="single" w:sz="4" w:space="0" w:color="auto"/>
            </w:tcBorders>
          </w:tcPr>
          <w:p w14:paraId="42957E35" w14:textId="3B91E439" w:rsidR="008B399E" w:rsidRPr="001D0ADC" w:rsidRDefault="00F624A4" w:rsidP="008B399E">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C178759" w14:textId="114B665F" w:rsidR="008B399E" w:rsidRPr="001D0ADC" w:rsidRDefault="00F624A4" w:rsidP="008B399E">
            <w:pPr>
              <w:pStyle w:val="NoSpacing"/>
              <w:ind w:firstLine="0"/>
              <w:rPr>
                <w:color w:val="auto"/>
                <w:lang w:val="en-GB" w:eastAsia="cs-CZ"/>
              </w:rPr>
            </w:pPr>
            <w:r w:rsidRPr="001D0ADC">
              <w:rPr>
                <w:color w:val="auto"/>
                <w:lang w:val="en-GB" w:eastAsia="cs-CZ"/>
              </w:rPr>
              <w:fldChar w:fldCharType="begin"/>
            </w:r>
            <w:r w:rsidR="00CD3522" w:rsidRPr="001D0ADC">
              <w:rPr>
                <w:color w:val="auto"/>
                <w:lang w:val="en-GB" w:eastAsia="cs-CZ"/>
              </w:rPr>
              <w:instrText xml:space="preserve"> ADDIN ZOTERO_ITEM CSL_CITATION {"citationID":"a2kl2mrdj6s","properties":{"formattedCitation":"(Araujo et al. 2022)","plainCitation":"(Araujo et al. 2022)","noteIndex":0},"citationItems":[{"id":1423,"uris":["http://zotero.org/users/11614927/items/DFC5VG9W"],"itemData":{"id":1423,"type":"article-journal","abstract":"Contaminants of emerging concern (CEC) are routinely detected in aquatic environments, especially pharma­ ceuticals, such as carbamazepine (CBZ), and neonicotinoid pesticides, like acetamiprid (ACT). CECs can interact with each other and with other legislated contaminants like Cd, resulting in unknown effects. Most studies evaluate only the effects of single contaminant exposures on aquatic biota. Therefore, the aim of the present study was to assess the effects of both single and combined CBZ, ACT and Cd exposures on zebrafish brain and liver oxidative stress parameters and metal homeostasis. The biomarkers catalase (CAT), glutathione-Stransferase (GST), total thiols (TOT), metallothionein (MT) and malondialdehyde (MDA) and the essential ele­ ments Ca, Cu, K, Na, Mg, Mn and Zn were evaluated after 96-hour static exposures. CBZ, ACT and Cd single (brain and liver) and combined (liver) treatments resulted in oxidative effects in both fish organs, also leading to metal (Ca, Mg, K, Mn, Zn and Cu) homeostasis alterations. ACT exposure resulted in the greatest adverse effects in the brain, while CBZ was the cause of major element homeostasis and oxidative stress alterations in the liver. Lower LPO levels were observed in the combined treatments compared to single treatments, suggesting in­ teractions and contaminant effect attenuation. This study is the first to evaluate the initial effects of combined CBZ, ACT and Cd exposures in zebrafish, paving the way for further investigations concerning other biomarkers during longer exposure times.","container-title":"Aquatic Toxicology","DOI":"10.1016/j.aquatox.2022.106122","ISSN":"0166445X","journalAbbreviation":"Aquatic Toxicology","language":"en","page":"106122","source":"DOI.org (Crossref)","title":"Oxidative stress and metal homeostasis alterations in Danio rerio (zebrafish) under single and combined carbamazepine, acetamiprid and cadmium exposures","volume":"245","author":[{"family":"Araujo","given":"Gabriel De Farias"},{"family":"Soares","given":"Lorena Oliveira Souza"},{"family":"Junior","given":"Sidney Fernandes Sales"},{"family":"Barreto De Carvalho","given":"Leandro Vargas"},{"family":"Rocha","given":"Rafael Christian Chávez"},{"family":"Saint'Pierre","given":"Tatiana"},{"family":"Hauser-Davis","given":"Rachel Ann"},{"family":"Correia","given":"Fábio Veríssimo"},{"family":"Saggioro","given":"Enrico Mendes"}],"issued":{"date-parts":[["2022",4]]}}}],"schema":"https://github.com/citation-style-language/schema/raw/master/csl-citation.json"} </w:instrText>
            </w:r>
            <w:r w:rsidRPr="001D0ADC">
              <w:rPr>
                <w:color w:val="auto"/>
                <w:lang w:val="en-GB" w:eastAsia="cs-CZ"/>
              </w:rPr>
              <w:fldChar w:fldCharType="separate"/>
            </w:r>
            <w:r w:rsidR="00CD3522" w:rsidRPr="001D0ADC">
              <w:rPr>
                <w:rFonts w:cs="Times New Roman"/>
                <w:color w:val="auto"/>
                <w:szCs w:val="24"/>
                <w:lang w:val="en-GB"/>
              </w:rPr>
              <w:t>(Araujo et al. 2022)</w:t>
            </w:r>
            <w:r w:rsidRPr="001D0ADC">
              <w:rPr>
                <w:color w:val="auto"/>
                <w:lang w:val="en-GB" w:eastAsia="cs-CZ"/>
              </w:rPr>
              <w:fldChar w:fldCharType="end"/>
            </w:r>
          </w:p>
        </w:tc>
      </w:tr>
      <w:tr w:rsidR="001D0ADC" w:rsidRPr="001D0ADC" w14:paraId="313F2190"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5574A130"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000000"/>
              <w:right w:val="single" w:sz="4" w:space="0" w:color="auto"/>
            </w:tcBorders>
            <w:shd w:val="clear" w:color="auto" w:fill="auto"/>
            <w:vAlign w:val="center"/>
          </w:tcPr>
          <w:p w14:paraId="76587EC2" w14:textId="1DEF9AA1" w:rsidR="008B399E" w:rsidRPr="001D0ADC" w:rsidRDefault="00CA6526" w:rsidP="008B399E">
            <w:pPr>
              <w:pStyle w:val="NoSpacing"/>
              <w:ind w:firstLine="0"/>
              <w:rPr>
                <w:color w:val="auto"/>
                <w:lang w:val="en-GB" w:eastAsia="cs-CZ"/>
              </w:rPr>
            </w:pPr>
            <w:r w:rsidRPr="001D0ADC">
              <w:rPr>
                <w:color w:val="auto"/>
                <w:lang w:val="en-GB" w:eastAsia="cs-CZ"/>
              </w:rPr>
              <w:t>2</w:t>
            </w:r>
          </w:p>
        </w:tc>
        <w:tc>
          <w:tcPr>
            <w:tcW w:w="4520" w:type="dxa"/>
            <w:tcBorders>
              <w:top w:val="nil"/>
              <w:left w:val="nil"/>
              <w:bottom w:val="single" w:sz="4" w:space="0" w:color="auto"/>
              <w:right w:val="single" w:sz="4" w:space="0" w:color="auto"/>
            </w:tcBorders>
            <w:shd w:val="clear" w:color="auto" w:fill="auto"/>
            <w:vAlign w:val="bottom"/>
          </w:tcPr>
          <w:p w14:paraId="3C03CDE4" w14:textId="5FD77678" w:rsidR="008B399E" w:rsidRPr="001D0ADC" w:rsidRDefault="00CA6526" w:rsidP="008B399E">
            <w:pPr>
              <w:pStyle w:val="NoSpacing"/>
              <w:ind w:firstLine="0"/>
              <w:rPr>
                <w:color w:val="auto"/>
                <w:lang w:val="en-GB" w:eastAsia="cs-CZ"/>
              </w:rPr>
            </w:pPr>
            <w:r w:rsidRPr="001D0ADC">
              <w:rPr>
                <w:color w:val="auto"/>
                <w:lang w:val="en-GB" w:eastAsia="cs-CZ"/>
              </w:rPr>
              <w:t>LOEC for L</w:t>
            </w:r>
            <w:r w:rsidR="00BB3340" w:rsidRPr="001D0ADC">
              <w:rPr>
                <w:color w:val="auto"/>
                <w:lang w:val="en-GB" w:eastAsia="cs-CZ"/>
              </w:rPr>
              <w:t>PO</w:t>
            </w:r>
            <w:r w:rsidRPr="001D0ADC">
              <w:rPr>
                <w:color w:val="auto"/>
                <w:lang w:val="en-GB" w:eastAsia="cs-CZ"/>
              </w:rPr>
              <w:t>, HPC content, PCC, SOD, CAT, GPx activity change</w:t>
            </w:r>
          </w:p>
        </w:tc>
        <w:tc>
          <w:tcPr>
            <w:tcW w:w="2633" w:type="dxa"/>
            <w:tcBorders>
              <w:top w:val="single" w:sz="4" w:space="0" w:color="auto"/>
              <w:left w:val="nil"/>
              <w:bottom w:val="single" w:sz="4" w:space="0" w:color="auto"/>
              <w:right w:val="single" w:sz="4" w:space="0" w:color="auto"/>
            </w:tcBorders>
          </w:tcPr>
          <w:p w14:paraId="78FE6F94" w14:textId="47CC3D33" w:rsidR="008B399E" w:rsidRPr="001D0ADC" w:rsidRDefault="00CA6526" w:rsidP="008B399E">
            <w:pPr>
              <w:pStyle w:val="NoSpacing"/>
              <w:ind w:firstLine="0"/>
              <w:rPr>
                <w:color w:val="auto"/>
                <w:lang w:val="en-GB" w:eastAsia="cs-CZ"/>
              </w:rPr>
            </w:pPr>
            <w:r w:rsidRPr="001D0ADC">
              <w:rPr>
                <w:color w:val="auto"/>
                <w:lang w:val="en-GB" w:eastAsia="cs-CZ"/>
              </w:rPr>
              <w:t>Acute (CC)</w:t>
            </w:r>
          </w:p>
        </w:tc>
        <w:tc>
          <w:tcPr>
            <w:tcW w:w="1967" w:type="dxa"/>
            <w:tcBorders>
              <w:top w:val="single" w:sz="4" w:space="0" w:color="auto"/>
              <w:left w:val="single" w:sz="4" w:space="0" w:color="auto"/>
              <w:bottom w:val="single" w:sz="4" w:space="0" w:color="auto"/>
              <w:right w:val="single" w:sz="4" w:space="0" w:color="auto"/>
            </w:tcBorders>
          </w:tcPr>
          <w:p w14:paraId="540B731B" w14:textId="6C98490E" w:rsidR="008B399E" w:rsidRPr="001D0ADC" w:rsidRDefault="00CA6526" w:rsidP="008B399E">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64BB3D7" w14:textId="3A6724A9" w:rsidR="008B399E" w:rsidRPr="001D0ADC" w:rsidRDefault="00CA6526" w:rsidP="008B399E">
            <w:pPr>
              <w:pStyle w:val="NoSpacing"/>
              <w:ind w:firstLine="0"/>
              <w:rPr>
                <w:color w:val="auto"/>
                <w:lang w:val="en-GB" w:eastAsia="cs-CZ"/>
              </w:rPr>
            </w:pPr>
            <w:r w:rsidRPr="001D0ADC">
              <w:rPr>
                <w:color w:val="auto"/>
                <w:lang w:val="en-GB" w:eastAsia="cs-CZ"/>
              </w:rPr>
              <w:fldChar w:fldCharType="begin"/>
            </w:r>
            <w:r w:rsidR="00CD3522" w:rsidRPr="001D0ADC">
              <w:rPr>
                <w:color w:val="auto"/>
                <w:lang w:val="en-GB" w:eastAsia="cs-CZ"/>
              </w:rPr>
              <w:instrText xml:space="preserve"> ADDIN ZOTERO_ITEM CSL_CITATION {"citationID":"a195hdo5fvt","properties":{"formattedCitation":"(Gasca-P\\uc0\\u233{}rez et al. 2019)","plainCitation":"(Gasca-Pérez et al. 2019)","noteIndex":0},"citationItems":[{"id":1399,"uris":["http://zotero.org/users/11614927/items/2T8FJ6GY"],"itemData":{"id":1399,"type":"article-journal","abstract":"The aim of this research was to determine the bioconcentration factor and if subacute exposure to carbamazepine (2 mg L−1) modiﬁes the oxidative state of liver, gills and brain of Cyprinus carpio. This was measured through the following biomarkers: hydroperoxide and protein carbonyl content, lipid peroxidation degree, as well as superoxide dismutase, catalase and glutathione peroxidase activity. Carbamazepine concentration in carp’s tissue was also determined by liquid chromatography with a diode arrangement detector. An increase in lipid peroxidation degree, hydroperoxide and protein carbonyl content, and a decrease in the activity of the antioxidant enzymes (P &lt; 0.05) with respect to control was observed. Also, there is an increase in the concentration of carbamazepina present in the organs with respect to the water in the system, which denotes bioconcentration of the drug. In conclusion, carbamazepine is bioconcentrated and produces oxidative stress on the common carp (C. carpio).","container-title":"Environmental Toxicology and Pharmacology","DOI":"10.1016/j.etap.2018.12.017","ISSN":"13826689","journalAbbreviation":"Environmental Toxicology and Pharmacology","language":"en","page":"96-103","source":"DOI.org (Crossref)","title":"Short-term exposure to carbamazepine causes oxidative stress on common carp (Cyprinus carpio)","volume":"66","author":[{"family":"Gasca-Pérez","given":"Eloy"},{"family":"Galar-Martínez","given":"Marcela"},{"family":"García-Medina","given":"Sandra"},{"family":"Pérez-Coyotl","given":"Isabel A."},{"family":"Ruiz-Lara","given":"Karina"},{"family":"Cano-Viveros","given":"Selene"},{"family":"Pérez-Pastén Borja","given":"Ricardo"},{"family":"Gómez-Oliván","given":"Leobardo M."}],"issued":{"date-parts":[["2019",2]]}}}],"schema":"https://github.com/citation-style-language/schema/raw/master/csl-citation.json"} </w:instrText>
            </w:r>
            <w:r w:rsidRPr="001D0ADC">
              <w:rPr>
                <w:color w:val="auto"/>
                <w:lang w:val="en-GB" w:eastAsia="cs-CZ"/>
              </w:rPr>
              <w:fldChar w:fldCharType="separate"/>
            </w:r>
            <w:r w:rsidR="00CD3522" w:rsidRPr="001D0ADC">
              <w:rPr>
                <w:rFonts w:cs="Times New Roman"/>
                <w:color w:val="auto"/>
                <w:szCs w:val="24"/>
                <w:lang w:val="en-GB"/>
              </w:rPr>
              <w:t>(Gasca-Pérez et al. 2019)</w:t>
            </w:r>
            <w:r w:rsidRPr="001D0ADC">
              <w:rPr>
                <w:color w:val="auto"/>
                <w:lang w:val="en-GB" w:eastAsia="cs-CZ"/>
              </w:rPr>
              <w:fldChar w:fldCharType="end"/>
            </w:r>
          </w:p>
        </w:tc>
      </w:tr>
      <w:tr w:rsidR="001D0ADC" w:rsidRPr="001D0ADC" w14:paraId="4F6DA987"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0E044A8A" w14:textId="77777777" w:rsidR="008B399E" w:rsidRPr="001D0ADC" w:rsidRDefault="008B399E" w:rsidP="008B399E">
            <w:pPr>
              <w:pStyle w:val="NoSpacing"/>
              <w:ind w:firstLine="0"/>
              <w:rPr>
                <w:color w:val="auto"/>
                <w:lang w:val="en-GB" w:eastAsia="cs-CZ"/>
              </w:rPr>
            </w:pPr>
          </w:p>
        </w:tc>
        <w:tc>
          <w:tcPr>
            <w:tcW w:w="13122" w:type="dxa"/>
            <w:gridSpan w:val="5"/>
            <w:tcBorders>
              <w:top w:val="nil"/>
              <w:left w:val="single" w:sz="4" w:space="0" w:color="auto"/>
              <w:bottom w:val="single" w:sz="4" w:space="0" w:color="000000"/>
              <w:right w:val="single" w:sz="4" w:space="0" w:color="auto"/>
            </w:tcBorders>
            <w:shd w:val="clear" w:color="auto" w:fill="auto"/>
            <w:vAlign w:val="center"/>
          </w:tcPr>
          <w:p w14:paraId="55AC560A" w14:textId="383131DE" w:rsidR="008B399E" w:rsidRPr="001D0ADC" w:rsidRDefault="00CC5B19" w:rsidP="006C31A6">
            <w:pPr>
              <w:pStyle w:val="NoSpacing"/>
              <w:ind w:firstLine="0"/>
              <w:jc w:val="left"/>
              <w:rPr>
                <w:b/>
                <w:bCs/>
                <w:color w:val="auto"/>
                <w:lang w:val="en-GB" w:eastAsia="cs-CZ"/>
              </w:rPr>
            </w:pPr>
            <w:r w:rsidRPr="001D0ADC">
              <w:rPr>
                <w:b/>
                <w:bCs/>
                <w:color w:val="auto"/>
                <w:lang w:val="en-GB" w:eastAsia="cs-CZ"/>
              </w:rPr>
              <w:t>FET or comparable early life-stage test with ZF</w:t>
            </w:r>
            <w:r w:rsidR="000F6A8E" w:rsidRPr="001D0ADC">
              <w:rPr>
                <w:b/>
                <w:bCs/>
                <w:color w:val="auto"/>
                <w:lang w:val="en-GB" w:eastAsia="cs-CZ"/>
              </w:rPr>
              <w:t xml:space="preserve"> (mg/l)</w:t>
            </w:r>
          </w:p>
        </w:tc>
      </w:tr>
      <w:tr w:rsidR="001D0ADC" w:rsidRPr="001D0ADC" w14:paraId="76EDBBCC"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3D0D8F76"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4C457F87" w14:textId="429DC0B3" w:rsidR="008B399E" w:rsidRPr="001D0ADC" w:rsidRDefault="008B399E" w:rsidP="008B399E">
            <w:pPr>
              <w:pStyle w:val="NoSpacing"/>
              <w:ind w:firstLine="0"/>
              <w:rPr>
                <w:color w:val="auto"/>
                <w:lang w:val="en-GB" w:eastAsia="cs-CZ"/>
              </w:rPr>
            </w:pPr>
            <w:r w:rsidRPr="001D0ADC">
              <w:rPr>
                <w:color w:val="auto"/>
                <w:lang w:val="en-GB" w:eastAsia="cs-CZ"/>
              </w:rPr>
              <w:t>10</w:t>
            </w:r>
            <w:r w:rsidR="00CF2036" w:rsidRPr="001D0ADC">
              <w:rPr>
                <w:color w:val="auto"/>
                <w:lang w:val="en-GB" w:eastAsia="cs-CZ"/>
              </w:rPr>
              <w:t>4.</w:t>
            </w:r>
            <w:r w:rsidRPr="001D0ADC">
              <w:rPr>
                <w:color w:val="auto"/>
                <w:lang w:val="en-GB" w:eastAsia="cs-CZ"/>
              </w:rPr>
              <w:t>9</w:t>
            </w:r>
          </w:p>
        </w:tc>
        <w:tc>
          <w:tcPr>
            <w:tcW w:w="4520" w:type="dxa"/>
            <w:tcBorders>
              <w:top w:val="nil"/>
              <w:left w:val="nil"/>
              <w:bottom w:val="single" w:sz="4" w:space="0" w:color="auto"/>
              <w:right w:val="single" w:sz="4" w:space="0" w:color="auto"/>
            </w:tcBorders>
            <w:shd w:val="clear" w:color="auto" w:fill="auto"/>
            <w:vAlign w:val="bottom"/>
          </w:tcPr>
          <w:p w14:paraId="213A39D5" w14:textId="77777777" w:rsidR="008B399E" w:rsidRPr="001D0ADC" w:rsidRDefault="008B399E" w:rsidP="008B399E">
            <w:pPr>
              <w:pStyle w:val="NoSpacing"/>
              <w:ind w:firstLine="0"/>
              <w:rPr>
                <w:color w:val="auto"/>
                <w:lang w:val="en-GB" w:eastAsia="cs-CZ"/>
              </w:rPr>
            </w:pPr>
            <w:r w:rsidRPr="001D0ADC">
              <w:rPr>
                <w:color w:val="auto"/>
                <w:lang w:val="en-GB" w:eastAsia="cs-CZ"/>
              </w:rPr>
              <w:t>LC50-48/72</w:t>
            </w:r>
          </w:p>
        </w:tc>
        <w:tc>
          <w:tcPr>
            <w:tcW w:w="2633" w:type="dxa"/>
            <w:vMerge w:val="restart"/>
            <w:tcBorders>
              <w:top w:val="single" w:sz="4" w:space="0" w:color="auto"/>
              <w:left w:val="nil"/>
              <w:right w:val="single" w:sz="4" w:space="0" w:color="auto"/>
            </w:tcBorders>
          </w:tcPr>
          <w:p w14:paraId="51C96769" w14:textId="77777777" w:rsidR="008B399E" w:rsidRPr="001D0ADC" w:rsidRDefault="008B399E" w:rsidP="008B399E">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3691087A" w14:textId="77777777" w:rsidR="008B399E" w:rsidRPr="001D0ADC" w:rsidRDefault="008B399E" w:rsidP="008B399E">
            <w:pPr>
              <w:pStyle w:val="NoSpacing"/>
              <w:ind w:firstLine="0"/>
              <w:rPr>
                <w:color w:val="auto"/>
                <w:lang w:val="en-GB" w:eastAsia="cs-CZ"/>
              </w:rPr>
            </w:pPr>
            <w:r w:rsidRPr="001D0ADC">
              <w:rPr>
                <w:color w:val="auto"/>
                <w:lang w:val="en-GB" w:eastAsia="cs-CZ"/>
              </w:rPr>
              <w:t>24h 2dpf to 3dpf</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4FF0849"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{"citationID":"Q6RUNbB8","properties":{"formattedCitation":"(Pruvot et al. 2012)","plainCitation":"(Pruvot et al. 2012)","noteIndex":0},"citationItems":[{"id":1271,"uris":["http://zotero.org/users/11614927/items/5HN5TQMM"],"itemData":{"id":1271,"type":"article-journal","container-title":"Reproductive Toxicology","DOI":"10.1016/j.reprotox.2012.07.010","ISSN":"08906238","issue":"4","journalAbbreviation":"Reproductive Toxicology","language":"en","page":"568-583","source":"DOI.org (Crossref)","title":"A panel of biological tests reveals developmental effects of pharmaceutical pollutants on late stage zebrafish embryos","volume":"34","author":[{"family":"Pruvot","given":"Benoist"},{"family":"Quiroz","given":"Yobhana"},{"family":"Voncken","given":"Audrey"},{"family":"Jeanray","given":"Nathalie"},{"family":"Piot","given":"Amandine"},{"family":"Martial","given":"Joseph A."},{"family":"Muller","given":"Marc"}],"issued":{"date-parts":[["2012",12]]}}}],"schema":"https://github.com/citation-style-language/schema/raw/master/csl-citation.json"}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(Pruvot et al. 2012)</w:t>
            </w:r>
            <w:r w:rsidRPr="001D0ADC">
              <w:rPr>
                <w:color w:val="auto"/>
                <w:lang w:val="en-GB" w:eastAsia="cs-CZ"/>
              </w:rPr>
              <w:fldChar w:fldCharType="end"/>
            </w:r>
          </w:p>
        </w:tc>
      </w:tr>
      <w:tr w:rsidR="001D0ADC" w:rsidRPr="001D0ADC" w14:paraId="14AC5254"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194A74E0"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8728147" w14:textId="1C5C0EA1" w:rsidR="008B399E" w:rsidRPr="001D0ADC" w:rsidRDefault="008B399E" w:rsidP="008B399E">
            <w:pPr>
              <w:pStyle w:val="NoSpacing"/>
              <w:ind w:firstLine="0"/>
              <w:rPr>
                <w:color w:val="auto"/>
                <w:lang w:val="en-GB" w:eastAsia="cs-CZ"/>
              </w:rPr>
            </w:pPr>
            <w:r w:rsidRPr="001D0ADC">
              <w:rPr>
                <w:color w:val="auto"/>
                <w:lang w:val="en-GB" w:eastAsia="cs-CZ"/>
              </w:rPr>
              <w:t>10</w:t>
            </w:r>
            <w:r w:rsidR="00CF2036" w:rsidRPr="001D0ADC">
              <w:rPr>
                <w:color w:val="auto"/>
                <w:lang w:val="en-GB" w:eastAsia="cs-CZ"/>
              </w:rPr>
              <w:t>0.</w:t>
            </w:r>
            <w:r w:rsidRPr="001D0ADC">
              <w:rPr>
                <w:color w:val="auto"/>
                <w:lang w:val="en-GB" w:eastAsia="cs-CZ"/>
              </w:rPr>
              <w:t>9</w:t>
            </w:r>
          </w:p>
        </w:tc>
        <w:tc>
          <w:tcPr>
            <w:tcW w:w="4520" w:type="dxa"/>
            <w:tcBorders>
              <w:top w:val="nil"/>
              <w:left w:val="nil"/>
              <w:bottom w:val="single" w:sz="4" w:space="0" w:color="auto"/>
              <w:right w:val="single" w:sz="4" w:space="0" w:color="auto"/>
            </w:tcBorders>
            <w:shd w:val="clear" w:color="auto" w:fill="auto"/>
            <w:vAlign w:val="bottom"/>
          </w:tcPr>
          <w:p w14:paraId="3BD65AB5" w14:textId="77777777" w:rsidR="008B399E" w:rsidRPr="001D0ADC" w:rsidRDefault="008B399E" w:rsidP="008B399E">
            <w:pPr>
              <w:pStyle w:val="NoSpacing"/>
              <w:ind w:firstLine="0"/>
              <w:rPr>
                <w:color w:val="auto"/>
                <w:lang w:val="en-GB" w:eastAsia="cs-CZ"/>
              </w:rPr>
            </w:pPr>
            <w:r w:rsidRPr="001D0ADC">
              <w:rPr>
                <w:color w:val="auto"/>
                <w:lang w:val="en-GB" w:eastAsia="cs-CZ"/>
              </w:rPr>
              <w:t>LC50-48/144 -delayed lethality after 24h exp.</w:t>
            </w:r>
          </w:p>
        </w:tc>
        <w:tc>
          <w:tcPr>
            <w:tcW w:w="2633" w:type="dxa"/>
            <w:vMerge/>
            <w:tcBorders>
              <w:left w:val="nil"/>
              <w:right w:val="single" w:sz="4" w:space="0" w:color="auto"/>
            </w:tcBorders>
          </w:tcPr>
          <w:p w14:paraId="2962AA65"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92FB9F6"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6FDE0F8" w14:textId="77777777" w:rsidR="008B399E" w:rsidRPr="001D0ADC" w:rsidRDefault="008B399E" w:rsidP="008B399E">
            <w:pPr>
              <w:pStyle w:val="NoSpacing"/>
              <w:ind w:firstLine="0"/>
              <w:rPr>
                <w:color w:val="auto"/>
                <w:lang w:val="en-GB" w:eastAsia="cs-CZ"/>
              </w:rPr>
            </w:pPr>
          </w:p>
        </w:tc>
      </w:tr>
      <w:tr w:rsidR="001D0ADC" w:rsidRPr="001D0ADC" w14:paraId="16076416"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31DF17E4"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6A44238" w14:textId="1EB4B58C" w:rsidR="008B399E" w:rsidRPr="001D0ADC" w:rsidRDefault="008B399E" w:rsidP="008B399E">
            <w:pPr>
              <w:pStyle w:val="NoSpacing"/>
              <w:ind w:firstLine="0"/>
              <w:rPr>
                <w:color w:val="auto"/>
                <w:lang w:val="en-GB" w:eastAsia="cs-CZ"/>
              </w:rPr>
            </w:pPr>
            <w:r w:rsidRPr="001D0ADC">
              <w:rPr>
                <w:color w:val="auto"/>
                <w:lang w:val="en-GB" w:eastAsia="cs-CZ"/>
              </w:rPr>
              <w:t>5</w:t>
            </w:r>
            <w:r w:rsidR="00CF2036" w:rsidRPr="001D0ADC">
              <w:rPr>
                <w:color w:val="auto"/>
                <w:lang w:val="en-GB" w:eastAsia="cs-CZ"/>
              </w:rPr>
              <w:t>0.</w:t>
            </w:r>
            <w:r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768D479D" w14:textId="77777777" w:rsidR="008B399E" w:rsidRPr="001D0ADC" w:rsidRDefault="008B399E" w:rsidP="008B399E">
            <w:pPr>
              <w:pStyle w:val="NoSpacing"/>
              <w:ind w:firstLine="0"/>
              <w:rPr>
                <w:color w:val="auto"/>
                <w:lang w:val="en-GB" w:eastAsia="cs-CZ"/>
              </w:rPr>
            </w:pPr>
            <w:r w:rsidRPr="001D0ADC">
              <w:rPr>
                <w:color w:val="auto"/>
                <w:lang w:val="en-GB" w:eastAsia="cs-CZ"/>
              </w:rPr>
              <w:t>LC50-4/24</w:t>
            </w:r>
          </w:p>
        </w:tc>
        <w:tc>
          <w:tcPr>
            <w:tcW w:w="2633" w:type="dxa"/>
            <w:vMerge/>
            <w:tcBorders>
              <w:left w:val="nil"/>
              <w:right w:val="single" w:sz="4" w:space="0" w:color="auto"/>
            </w:tcBorders>
          </w:tcPr>
          <w:p w14:paraId="25015A1B" w14:textId="77777777" w:rsidR="008B399E" w:rsidRPr="001D0ADC" w:rsidRDefault="008B399E" w:rsidP="008B399E">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3FEA9241" w14:textId="77777777" w:rsidR="008B399E" w:rsidRPr="001D0ADC" w:rsidRDefault="008B399E" w:rsidP="008B399E">
            <w:pPr>
              <w:pStyle w:val="NoSpacing"/>
              <w:ind w:firstLine="0"/>
              <w:rPr>
                <w:color w:val="auto"/>
                <w:lang w:val="en-GB" w:eastAsia="cs-CZ"/>
              </w:rPr>
            </w:pPr>
            <w:r w:rsidRPr="001D0ADC">
              <w:rPr>
                <w:color w:val="auto"/>
                <w:lang w:val="en-GB" w:eastAsia="cs-CZ"/>
              </w:rPr>
              <w:t>20h 4hpf to 24hpf</w:t>
            </w:r>
          </w:p>
        </w:tc>
        <w:tc>
          <w:tcPr>
            <w:tcW w:w="2300" w:type="dxa"/>
            <w:vMerge/>
            <w:tcBorders>
              <w:left w:val="single" w:sz="4" w:space="0" w:color="auto"/>
              <w:right w:val="single" w:sz="4" w:space="0" w:color="auto"/>
            </w:tcBorders>
            <w:shd w:val="clear" w:color="auto" w:fill="auto"/>
            <w:vAlign w:val="bottom"/>
          </w:tcPr>
          <w:p w14:paraId="24F9964A" w14:textId="77777777" w:rsidR="008B399E" w:rsidRPr="001D0ADC" w:rsidRDefault="008B399E" w:rsidP="008B399E">
            <w:pPr>
              <w:pStyle w:val="NoSpacing"/>
              <w:ind w:firstLine="0"/>
              <w:rPr>
                <w:color w:val="auto"/>
                <w:lang w:val="en-GB" w:eastAsia="cs-CZ"/>
              </w:rPr>
            </w:pPr>
          </w:p>
        </w:tc>
      </w:tr>
      <w:tr w:rsidR="001D0ADC" w:rsidRPr="001D0ADC" w14:paraId="4E856E80"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3497533F"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C6154A8" w14:textId="7F8F4D5F" w:rsidR="008B399E" w:rsidRPr="001D0ADC" w:rsidRDefault="008B399E" w:rsidP="008B399E">
            <w:pPr>
              <w:pStyle w:val="NoSpacing"/>
              <w:ind w:firstLine="0"/>
              <w:rPr>
                <w:color w:val="auto"/>
                <w:lang w:val="en-GB" w:eastAsia="cs-CZ"/>
              </w:rPr>
            </w:pPr>
            <w:r w:rsidRPr="001D0ADC">
              <w:rPr>
                <w:color w:val="auto"/>
                <w:lang w:val="en-GB" w:eastAsia="cs-CZ"/>
              </w:rPr>
              <w:t>4</w:t>
            </w:r>
            <w:r w:rsidR="00CF2036" w:rsidRPr="001D0ADC">
              <w:rPr>
                <w:color w:val="auto"/>
                <w:lang w:val="en-GB" w:eastAsia="cs-CZ"/>
              </w:rPr>
              <w:t>2.</w:t>
            </w:r>
            <w:r w:rsidRPr="001D0ADC">
              <w:rPr>
                <w:color w:val="auto"/>
                <w:lang w:val="en-GB" w:eastAsia="cs-CZ"/>
              </w:rPr>
              <w:t>8</w:t>
            </w:r>
          </w:p>
        </w:tc>
        <w:tc>
          <w:tcPr>
            <w:tcW w:w="4520" w:type="dxa"/>
            <w:tcBorders>
              <w:top w:val="nil"/>
              <w:left w:val="nil"/>
              <w:bottom w:val="single" w:sz="4" w:space="0" w:color="auto"/>
              <w:right w:val="single" w:sz="4" w:space="0" w:color="auto"/>
            </w:tcBorders>
            <w:shd w:val="clear" w:color="auto" w:fill="auto"/>
            <w:vAlign w:val="bottom"/>
          </w:tcPr>
          <w:p w14:paraId="2CF9706C" w14:textId="77777777" w:rsidR="008B399E" w:rsidRPr="001D0ADC" w:rsidRDefault="008B399E" w:rsidP="008B399E">
            <w:pPr>
              <w:pStyle w:val="NoSpacing"/>
              <w:ind w:firstLine="0"/>
              <w:rPr>
                <w:color w:val="auto"/>
                <w:lang w:val="en-GB" w:eastAsia="cs-CZ"/>
              </w:rPr>
            </w:pPr>
            <w:r w:rsidRPr="001D0ADC">
              <w:rPr>
                <w:color w:val="auto"/>
                <w:lang w:val="en-GB" w:eastAsia="cs-CZ"/>
              </w:rPr>
              <w:t>LC50-4/48</w:t>
            </w:r>
          </w:p>
        </w:tc>
        <w:tc>
          <w:tcPr>
            <w:tcW w:w="2633" w:type="dxa"/>
            <w:vMerge/>
            <w:tcBorders>
              <w:left w:val="nil"/>
              <w:right w:val="single" w:sz="4" w:space="0" w:color="auto"/>
            </w:tcBorders>
          </w:tcPr>
          <w:p w14:paraId="785AAC55" w14:textId="77777777" w:rsidR="008B399E" w:rsidRPr="001D0ADC" w:rsidRDefault="008B399E" w:rsidP="008B399E">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4992358F" w14:textId="77777777" w:rsidR="008B399E" w:rsidRPr="001D0ADC" w:rsidRDefault="008B399E" w:rsidP="008B399E">
            <w:pPr>
              <w:pStyle w:val="NoSpacing"/>
              <w:ind w:firstLine="0"/>
              <w:rPr>
                <w:color w:val="auto"/>
                <w:lang w:val="en-GB" w:eastAsia="cs-CZ"/>
              </w:rPr>
            </w:pPr>
            <w:r w:rsidRPr="001D0ADC">
              <w:rPr>
                <w:color w:val="auto"/>
                <w:lang w:val="en-GB" w:eastAsia="cs-CZ"/>
              </w:rPr>
              <w:t>44h 4hpf to 48hpf</w:t>
            </w:r>
          </w:p>
        </w:tc>
        <w:tc>
          <w:tcPr>
            <w:tcW w:w="2300" w:type="dxa"/>
            <w:vMerge/>
            <w:tcBorders>
              <w:left w:val="single" w:sz="4" w:space="0" w:color="auto"/>
              <w:right w:val="single" w:sz="4" w:space="0" w:color="auto"/>
            </w:tcBorders>
            <w:shd w:val="clear" w:color="auto" w:fill="auto"/>
            <w:vAlign w:val="bottom"/>
          </w:tcPr>
          <w:p w14:paraId="091D9262" w14:textId="77777777" w:rsidR="008B399E" w:rsidRPr="001D0ADC" w:rsidRDefault="008B399E" w:rsidP="008B399E">
            <w:pPr>
              <w:pStyle w:val="NoSpacing"/>
              <w:ind w:firstLine="0"/>
              <w:rPr>
                <w:color w:val="auto"/>
                <w:lang w:val="en-GB" w:eastAsia="cs-CZ"/>
              </w:rPr>
            </w:pPr>
          </w:p>
        </w:tc>
      </w:tr>
      <w:tr w:rsidR="001D0ADC" w:rsidRPr="001D0ADC" w14:paraId="4B073187"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6FED077A"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7344D17F" w14:textId="77777777" w:rsidR="008B399E" w:rsidRPr="001D0ADC" w:rsidRDefault="008B399E" w:rsidP="008B399E">
            <w:pPr>
              <w:pStyle w:val="NoSpacing"/>
              <w:ind w:firstLine="0"/>
              <w:rPr>
                <w:color w:val="auto"/>
                <w:lang w:val="en-GB" w:eastAsia="cs-CZ"/>
              </w:rPr>
            </w:pPr>
            <w:r w:rsidRPr="001D0ADC">
              <w:rPr>
                <w:color w:val="auto"/>
                <w:lang w:val="en-GB" w:eastAsia="cs-CZ"/>
              </w:rPr>
              <w:t>72</w:t>
            </w:r>
          </w:p>
        </w:tc>
        <w:tc>
          <w:tcPr>
            <w:tcW w:w="4520" w:type="dxa"/>
            <w:tcBorders>
              <w:top w:val="nil"/>
              <w:left w:val="nil"/>
              <w:bottom w:val="single" w:sz="4" w:space="0" w:color="auto"/>
              <w:right w:val="single" w:sz="4" w:space="0" w:color="auto"/>
            </w:tcBorders>
            <w:shd w:val="clear" w:color="auto" w:fill="auto"/>
            <w:vAlign w:val="bottom"/>
          </w:tcPr>
          <w:p w14:paraId="3225F0D8" w14:textId="67260A38" w:rsidR="008B399E" w:rsidRPr="001D0ADC" w:rsidRDefault="008B399E" w:rsidP="008B399E">
            <w:pPr>
              <w:pStyle w:val="NoSpacing"/>
              <w:ind w:firstLine="0"/>
              <w:rPr>
                <w:color w:val="auto"/>
                <w:lang w:val="en-GB" w:eastAsia="cs-CZ"/>
              </w:rPr>
            </w:pPr>
            <w:r w:rsidRPr="001D0ADC">
              <w:rPr>
                <w:color w:val="auto"/>
                <w:lang w:val="en-GB" w:eastAsia="cs-CZ"/>
              </w:rPr>
              <w:t>EC50-48/7</w:t>
            </w:r>
            <w:r w:rsidR="00CF2036" w:rsidRPr="001D0ADC">
              <w:rPr>
                <w:color w:val="auto"/>
                <w:lang w:val="en-GB" w:eastAsia="cs-CZ"/>
              </w:rPr>
              <w:t>2.</w:t>
            </w:r>
            <w:r w:rsidRPr="001D0ADC">
              <w:rPr>
                <w:color w:val="auto"/>
                <w:lang w:val="en-GB" w:eastAsia="cs-CZ"/>
              </w:rPr>
              <w:t xml:space="preserve"> malformations</w:t>
            </w:r>
          </w:p>
        </w:tc>
        <w:tc>
          <w:tcPr>
            <w:tcW w:w="2633" w:type="dxa"/>
            <w:vMerge/>
            <w:tcBorders>
              <w:left w:val="nil"/>
              <w:right w:val="single" w:sz="4" w:space="0" w:color="auto"/>
            </w:tcBorders>
          </w:tcPr>
          <w:p w14:paraId="7495641C" w14:textId="77777777" w:rsidR="008B399E" w:rsidRPr="001D0ADC" w:rsidRDefault="008B399E" w:rsidP="008B399E">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222E779E" w14:textId="77777777" w:rsidR="008B399E" w:rsidRPr="001D0ADC" w:rsidRDefault="008B399E" w:rsidP="008B399E">
            <w:pPr>
              <w:pStyle w:val="NoSpacing"/>
              <w:ind w:firstLine="0"/>
              <w:rPr>
                <w:color w:val="auto"/>
                <w:lang w:val="en-GB" w:eastAsia="cs-CZ"/>
              </w:rPr>
            </w:pPr>
            <w:r w:rsidRPr="001D0ADC">
              <w:rPr>
                <w:color w:val="auto"/>
                <w:lang w:val="en-GB" w:eastAsia="cs-CZ"/>
              </w:rPr>
              <w:t>24h 2dpf to 3dpf</w:t>
            </w:r>
          </w:p>
        </w:tc>
        <w:tc>
          <w:tcPr>
            <w:tcW w:w="2300" w:type="dxa"/>
            <w:vMerge/>
            <w:tcBorders>
              <w:left w:val="single" w:sz="4" w:space="0" w:color="auto"/>
              <w:right w:val="single" w:sz="4" w:space="0" w:color="auto"/>
            </w:tcBorders>
            <w:shd w:val="clear" w:color="auto" w:fill="auto"/>
            <w:vAlign w:val="bottom"/>
          </w:tcPr>
          <w:p w14:paraId="6BAF9C2C" w14:textId="77777777" w:rsidR="008B399E" w:rsidRPr="001D0ADC" w:rsidRDefault="008B399E" w:rsidP="008B399E">
            <w:pPr>
              <w:pStyle w:val="NoSpacing"/>
              <w:ind w:firstLine="0"/>
              <w:rPr>
                <w:color w:val="auto"/>
                <w:lang w:val="en-GB" w:eastAsia="cs-CZ"/>
              </w:rPr>
            </w:pPr>
          </w:p>
        </w:tc>
      </w:tr>
      <w:tr w:rsidR="001D0ADC" w:rsidRPr="001D0ADC" w14:paraId="08C27269"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6E03F775"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9394787" w14:textId="26162502" w:rsidR="008B399E" w:rsidRPr="001D0ADC" w:rsidRDefault="008B399E" w:rsidP="008B399E">
            <w:pPr>
              <w:pStyle w:val="NoSpacing"/>
              <w:ind w:firstLine="0"/>
              <w:rPr>
                <w:color w:val="auto"/>
                <w:lang w:val="en-GB" w:eastAsia="cs-CZ"/>
              </w:rPr>
            </w:pPr>
            <w:r w:rsidRPr="001D0ADC">
              <w:rPr>
                <w:color w:val="auto"/>
                <w:lang w:val="en-GB" w:eastAsia="cs-CZ"/>
              </w:rPr>
              <w:t>8</w:t>
            </w:r>
            <w:r w:rsidR="00CF2036" w:rsidRPr="001D0ADC">
              <w:rPr>
                <w:color w:val="auto"/>
                <w:lang w:val="en-GB" w:eastAsia="cs-CZ"/>
              </w:rPr>
              <w:t>2.</w:t>
            </w:r>
            <w:r w:rsidRPr="001D0ADC">
              <w:rPr>
                <w:color w:val="auto"/>
                <w:lang w:val="en-GB" w:eastAsia="cs-CZ"/>
              </w:rPr>
              <w:t>7</w:t>
            </w:r>
          </w:p>
        </w:tc>
        <w:tc>
          <w:tcPr>
            <w:tcW w:w="4520" w:type="dxa"/>
            <w:tcBorders>
              <w:top w:val="nil"/>
              <w:left w:val="nil"/>
              <w:bottom w:val="single" w:sz="4" w:space="0" w:color="auto"/>
              <w:right w:val="single" w:sz="4" w:space="0" w:color="auto"/>
            </w:tcBorders>
            <w:shd w:val="clear" w:color="auto" w:fill="auto"/>
            <w:vAlign w:val="bottom"/>
          </w:tcPr>
          <w:p w14:paraId="1579E1FC" w14:textId="77777777" w:rsidR="008B399E" w:rsidRPr="001D0ADC" w:rsidRDefault="008B399E" w:rsidP="008B399E">
            <w:pPr>
              <w:pStyle w:val="NoSpacing"/>
              <w:ind w:firstLine="0"/>
              <w:rPr>
                <w:color w:val="auto"/>
                <w:lang w:val="en-GB" w:eastAsia="cs-CZ"/>
              </w:rPr>
            </w:pPr>
            <w:r w:rsidRPr="001D0ADC">
              <w:rPr>
                <w:color w:val="auto"/>
                <w:lang w:val="en-GB" w:eastAsia="cs-CZ"/>
              </w:rPr>
              <w:t>LOEC heartbeat</w:t>
            </w:r>
          </w:p>
        </w:tc>
        <w:tc>
          <w:tcPr>
            <w:tcW w:w="2633" w:type="dxa"/>
            <w:vMerge/>
            <w:tcBorders>
              <w:left w:val="nil"/>
              <w:right w:val="single" w:sz="4" w:space="0" w:color="auto"/>
            </w:tcBorders>
          </w:tcPr>
          <w:p w14:paraId="7FDF2F26" w14:textId="77777777" w:rsidR="008B399E" w:rsidRPr="001D0ADC" w:rsidRDefault="008B399E" w:rsidP="008B399E">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3020C442" w14:textId="77777777" w:rsidR="008B399E" w:rsidRPr="001D0ADC" w:rsidRDefault="008B399E" w:rsidP="008B399E">
            <w:pPr>
              <w:pStyle w:val="NoSpacing"/>
              <w:ind w:firstLine="0"/>
              <w:rPr>
                <w:color w:val="auto"/>
                <w:lang w:val="en-GB" w:eastAsia="cs-CZ"/>
              </w:rPr>
            </w:pPr>
            <w:r w:rsidRPr="001D0ADC">
              <w:rPr>
                <w:color w:val="auto"/>
                <w:lang w:val="en-GB" w:eastAsia="cs-CZ"/>
              </w:rPr>
              <w:t>24h 2dpf to 3dpf</w:t>
            </w:r>
          </w:p>
        </w:tc>
        <w:tc>
          <w:tcPr>
            <w:tcW w:w="2300" w:type="dxa"/>
            <w:vMerge/>
            <w:tcBorders>
              <w:left w:val="single" w:sz="4" w:space="0" w:color="auto"/>
              <w:right w:val="single" w:sz="4" w:space="0" w:color="auto"/>
            </w:tcBorders>
            <w:shd w:val="clear" w:color="auto" w:fill="auto"/>
            <w:vAlign w:val="bottom"/>
          </w:tcPr>
          <w:p w14:paraId="7415F0C4" w14:textId="77777777" w:rsidR="008B399E" w:rsidRPr="001D0ADC" w:rsidRDefault="008B399E" w:rsidP="008B399E">
            <w:pPr>
              <w:pStyle w:val="NoSpacing"/>
              <w:ind w:firstLine="0"/>
              <w:rPr>
                <w:color w:val="auto"/>
                <w:lang w:val="en-GB" w:eastAsia="cs-CZ"/>
              </w:rPr>
            </w:pPr>
          </w:p>
        </w:tc>
      </w:tr>
      <w:tr w:rsidR="001D0ADC" w:rsidRPr="001D0ADC" w14:paraId="7F749FB1"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26ABEC81"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C9CD9D8" w14:textId="5F961F83" w:rsidR="008B399E" w:rsidRPr="001D0ADC" w:rsidRDefault="008B399E" w:rsidP="008B399E">
            <w:pPr>
              <w:pStyle w:val="NoSpacing"/>
              <w:ind w:firstLine="0"/>
              <w:rPr>
                <w:color w:val="auto"/>
                <w:lang w:val="en-GB" w:eastAsia="cs-CZ"/>
              </w:rPr>
            </w:pPr>
            <w:r w:rsidRPr="001D0ADC">
              <w:rPr>
                <w:color w:val="auto"/>
                <w:lang w:val="en-GB" w:eastAsia="cs-CZ"/>
              </w:rPr>
              <w:t>9</w:t>
            </w:r>
            <w:r w:rsidR="00CF2036" w:rsidRPr="001D0ADC">
              <w:rPr>
                <w:color w:val="auto"/>
                <w:lang w:val="en-GB" w:eastAsia="cs-CZ"/>
              </w:rPr>
              <w:t>4.</w:t>
            </w:r>
            <w:r w:rsidRPr="001D0ADC">
              <w:rPr>
                <w:color w:val="auto"/>
                <w:lang w:val="en-GB" w:eastAsia="cs-CZ"/>
              </w:rPr>
              <w:t>5</w:t>
            </w:r>
          </w:p>
        </w:tc>
        <w:tc>
          <w:tcPr>
            <w:tcW w:w="4520" w:type="dxa"/>
            <w:tcBorders>
              <w:top w:val="nil"/>
              <w:left w:val="nil"/>
              <w:bottom w:val="single" w:sz="4" w:space="0" w:color="auto"/>
              <w:right w:val="single" w:sz="4" w:space="0" w:color="auto"/>
            </w:tcBorders>
            <w:shd w:val="clear" w:color="auto" w:fill="auto"/>
            <w:vAlign w:val="bottom"/>
          </w:tcPr>
          <w:p w14:paraId="185E0A2A" w14:textId="77777777" w:rsidR="008B399E" w:rsidRPr="001D0ADC" w:rsidRDefault="008B399E" w:rsidP="008B399E">
            <w:pPr>
              <w:pStyle w:val="NoSpacing"/>
              <w:ind w:firstLine="0"/>
              <w:rPr>
                <w:color w:val="auto"/>
                <w:lang w:val="en-GB" w:eastAsia="cs-CZ"/>
              </w:rPr>
            </w:pPr>
            <w:r w:rsidRPr="001D0ADC">
              <w:rPr>
                <w:color w:val="auto"/>
                <w:lang w:val="en-GB" w:eastAsia="cs-CZ"/>
              </w:rPr>
              <w:t>LOEC locomotor activity</w:t>
            </w:r>
          </w:p>
        </w:tc>
        <w:tc>
          <w:tcPr>
            <w:tcW w:w="2633" w:type="dxa"/>
            <w:vMerge/>
            <w:tcBorders>
              <w:left w:val="nil"/>
              <w:right w:val="single" w:sz="4" w:space="0" w:color="auto"/>
            </w:tcBorders>
          </w:tcPr>
          <w:p w14:paraId="6AB8A6CD" w14:textId="77777777" w:rsidR="008B399E" w:rsidRPr="001D0ADC" w:rsidRDefault="008B399E" w:rsidP="008B399E">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48E3F37E" w14:textId="77777777" w:rsidR="008B399E" w:rsidRPr="001D0ADC" w:rsidRDefault="008B399E" w:rsidP="008B399E">
            <w:pPr>
              <w:pStyle w:val="NoSpacing"/>
              <w:ind w:firstLine="0"/>
              <w:rPr>
                <w:color w:val="auto"/>
                <w:lang w:val="en-GB" w:eastAsia="cs-CZ"/>
              </w:rPr>
            </w:pPr>
            <w:r w:rsidRPr="001D0ADC">
              <w:rPr>
                <w:color w:val="auto"/>
                <w:lang w:val="en-GB" w:eastAsia="cs-CZ"/>
              </w:rPr>
              <w:t>24h 2dpf to 3dpf</w:t>
            </w:r>
          </w:p>
        </w:tc>
        <w:tc>
          <w:tcPr>
            <w:tcW w:w="2300" w:type="dxa"/>
            <w:vMerge/>
            <w:tcBorders>
              <w:left w:val="single" w:sz="4" w:space="0" w:color="auto"/>
              <w:right w:val="single" w:sz="4" w:space="0" w:color="auto"/>
            </w:tcBorders>
            <w:shd w:val="clear" w:color="auto" w:fill="auto"/>
            <w:vAlign w:val="bottom"/>
          </w:tcPr>
          <w:p w14:paraId="6C010DA0" w14:textId="77777777" w:rsidR="008B399E" w:rsidRPr="001D0ADC" w:rsidRDefault="008B399E" w:rsidP="008B399E">
            <w:pPr>
              <w:pStyle w:val="NoSpacing"/>
              <w:ind w:firstLine="0"/>
              <w:rPr>
                <w:color w:val="auto"/>
                <w:lang w:val="en-GB" w:eastAsia="cs-CZ"/>
              </w:rPr>
            </w:pPr>
          </w:p>
        </w:tc>
      </w:tr>
      <w:tr w:rsidR="001D0ADC" w:rsidRPr="001D0ADC" w14:paraId="6149D881"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381F5126"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478DE6C" w14:textId="3C785BE9" w:rsidR="008B399E" w:rsidRPr="001D0ADC" w:rsidRDefault="008B399E" w:rsidP="008B399E">
            <w:pPr>
              <w:pStyle w:val="NoSpacing"/>
              <w:ind w:firstLine="0"/>
              <w:rPr>
                <w:color w:val="auto"/>
                <w:lang w:val="en-GB" w:eastAsia="cs-CZ"/>
              </w:rPr>
            </w:pPr>
            <w:r w:rsidRPr="001D0ADC">
              <w:rPr>
                <w:color w:val="auto"/>
                <w:lang w:val="en-GB" w:eastAsia="cs-CZ"/>
              </w:rPr>
              <w:t>7</w:t>
            </w:r>
            <w:r w:rsidR="00CF2036" w:rsidRPr="001D0ADC">
              <w:rPr>
                <w:color w:val="auto"/>
                <w:lang w:val="en-GB" w:eastAsia="cs-CZ"/>
              </w:rPr>
              <w:t>2.</w:t>
            </w:r>
            <w:r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4BF990E0" w14:textId="77777777" w:rsidR="008B399E" w:rsidRPr="001D0ADC" w:rsidRDefault="008B399E" w:rsidP="008B399E">
            <w:pPr>
              <w:pStyle w:val="NoSpacing"/>
              <w:ind w:firstLine="0"/>
              <w:rPr>
                <w:color w:val="auto"/>
                <w:lang w:val="en-GB" w:eastAsia="cs-CZ"/>
              </w:rPr>
            </w:pPr>
            <w:r w:rsidRPr="001D0ADC">
              <w:rPr>
                <w:color w:val="auto"/>
                <w:lang w:val="en-GB" w:eastAsia="cs-CZ"/>
              </w:rPr>
              <w:t>LOEC gene expression</w:t>
            </w:r>
          </w:p>
        </w:tc>
        <w:tc>
          <w:tcPr>
            <w:tcW w:w="2633" w:type="dxa"/>
            <w:vMerge/>
            <w:tcBorders>
              <w:left w:val="nil"/>
              <w:bottom w:val="single" w:sz="4" w:space="0" w:color="auto"/>
              <w:right w:val="single" w:sz="4" w:space="0" w:color="auto"/>
            </w:tcBorders>
          </w:tcPr>
          <w:p w14:paraId="4037D1B1" w14:textId="77777777" w:rsidR="008B399E" w:rsidRPr="001D0ADC" w:rsidRDefault="008B399E" w:rsidP="008B399E">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387457DB" w14:textId="77777777" w:rsidR="008B399E" w:rsidRPr="001D0ADC" w:rsidRDefault="008B399E" w:rsidP="008B399E">
            <w:pPr>
              <w:pStyle w:val="NoSpacing"/>
              <w:ind w:firstLine="0"/>
              <w:rPr>
                <w:color w:val="auto"/>
                <w:lang w:val="en-GB" w:eastAsia="cs-CZ"/>
              </w:rPr>
            </w:pPr>
            <w:r w:rsidRPr="001D0ADC">
              <w:rPr>
                <w:color w:val="auto"/>
                <w:lang w:val="en-GB" w:eastAsia="cs-CZ"/>
              </w:rPr>
              <w:t>24h 2dpf to 3dpf</w:t>
            </w:r>
          </w:p>
        </w:tc>
        <w:tc>
          <w:tcPr>
            <w:tcW w:w="2300" w:type="dxa"/>
            <w:vMerge/>
            <w:tcBorders>
              <w:left w:val="single" w:sz="4" w:space="0" w:color="auto"/>
              <w:bottom w:val="single" w:sz="4" w:space="0" w:color="auto"/>
              <w:right w:val="single" w:sz="4" w:space="0" w:color="auto"/>
            </w:tcBorders>
            <w:shd w:val="clear" w:color="auto" w:fill="auto"/>
            <w:vAlign w:val="bottom"/>
          </w:tcPr>
          <w:p w14:paraId="625B3D41" w14:textId="77777777" w:rsidR="008B399E" w:rsidRPr="001D0ADC" w:rsidRDefault="008B399E" w:rsidP="008B399E">
            <w:pPr>
              <w:pStyle w:val="NoSpacing"/>
              <w:ind w:firstLine="0"/>
              <w:rPr>
                <w:color w:val="auto"/>
                <w:lang w:val="en-GB" w:eastAsia="cs-CZ"/>
              </w:rPr>
            </w:pPr>
          </w:p>
        </w:tc>
      </w:tr>
      <w:tr w:rsidR="001D0ADC" w:rsidRPr="001D0ADC" w14:paraId="0408973E"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6903AA4C"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4CA912DB" w14:textId="77777777" w:rsidR="008B399E" w:rsidRPr="001D0ADC" w:rsidRDefault="008B399E" w:rsidP="008B399E">
            <w:pPr>
              <w:pStyle w:val="NoSpacing"/>
              <w:ind w:firstLine="0"/>
              <w:rPr>
                <w:color w:val="auto"/>
                <w:lang w:val="en-GB" w:eastAsia="cs-CZ"/>
              </w:rPr>
            </w:pPr>
            <w:r w:rsidRPr="001D0ADC">
              <w:rPr>
                <w:color w:val="auto"/>
                <w:lang w:val="en-GB" w:eastAsia="cs-CZ"/>
              </w:rPr>
              <w:t>25</w:t>
            </w:r>
          </w:p>
        </w:tc>
        <w:tc>
          <w:tcPr>
            <w:tcW w:w="4520" w:type="dxa"/>
            <w:tcBorders>
              <w:top w:val="nil"/>
              <w:left w:val="nil"/>
              <w:bottom w:val="single" w:sz="4" w:space="0" w:color="auto"/>
              <w:right w:val="single" w:sz="4" w:space="0" w:color="auto"/>
            </w:tcBorders>
            <w:shd w:val="clear" w:color="auto" w:fill="auto"/>
            <w:vAlign w:val="bottom"/>
          </w:tcPr>
          <w:p w14:paraId="0D452EF5" w14:textId="77777777" w:rsidR="008B399E" w:rsidRPr="001D0ADC" w:rsidRDefault="008B399E" w:rsidP="008B399E">
            <w:pPr>
              <w:pStyle w:val="NoSpacing"/>
              <w:ind w:firstLine="0"/>
              <w:rPr>
                <w:color w:val="auto"/>
                <w:lang w:val="en-GB" w:eastAsia="cs-CZ"/>
              </w:rPr>
            </w:pPr>
            <w:r w:rsidRPr="001D0ADC">
              <w:rPr>
                <w:color w:val="auto"/>
                <w:lang w:val="en-GB" w:eastAsia="cs-CZ"/>
              </w:rPr>
              <w:t>NOEC for mortality</w:t>
            </w:r>
          </w:p>
        </w:tc>
        <w:tc>
          <w:tcPr>
            <w:tcW w:w="2633" w:type="dxa"/>
            <w:vMerge w:val="restart"/>
            <w:tcBorders>
              <w:top w:val="single" w:sz="4" w:space="0" w:color="auto"/>
              <w:left w:val="nil"/>
              <w:right w:val="single" w:sz="4" w:space="0" w:color="auto"/>
            </w:tcBorders>
          </w:tcPr>
          <w:p w14:paraId="322726DA" w14:textId="77777777" w:rsidR="008B399E" w:rsidRPr="001D0ADC" w:rsidRDefault="008B399E" w:rsidP="008B399E">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230A355D" w14:textId="77777777" w:rsidR="008B399E" w:rsidRPr="001D0ADC" w:rsidRDefault="008B399E" w:rsidP="008B399E">
            <w:pPr>
              <w:pStyle w:val="NoSpacing"/>
              <w:ind w:firstLine="0"/>
              <w:rPr>
                <w:color w:val="auto"/>
                <w:lang w:val="en-GB" w:eastAsia="cs-CZ"/>
              </w:rPr>
            </w:pPr>
            <w:r w:rsidRPr="001D0ADC">
              <w:rPr>
                <w:color w:val="auto"/>
                <w:lang w:val="en-GB" w:eastAsia="cs-CZ"/>
              </w:rPr>
              <w:t>10d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9AE0527"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{"citationID":"MOa7RDTs","properties":{"formattedCitation":"(Ferrari et al. 2003)","plainCitation":"(Ferrari et al. 2003)","noteIndex":0},"citationItems":[{"id":1287,"uris":["http://zotero.org/users/11614927/items/Y95S6W2C"],"itemData":{"id":1287,"type":"article-journal","abstract":"In four countries (France, Greece, Italy, and Sweden) occurrence in sewage treatment plant (STP) efﬂuents and ecotoxicity of the pharmaceuticals carbamazepine, cloﬁbric acid, and diclofenac were investigated. Bioassays were performed on bacteria, algae, microcrustaceans, and ﬁshes in order to calculate their predicted no-effect concentrations (PNEC) and to perform a ﬁrst approach of risk characterization. For this aim, risk has been estimated by the predicted environmental concentration/PNEC ratio and the measured environmental concentration/PNEC ratio. First, regarding the PNEC, carbamazepine appears to be the more hazardous compound. Second, even though it is demonstrated that carbamazepine, cloﬁbric acid, and diclofenac have been detected in efﬂuents, only carbamazepine have been detected in all sewage treatment plants with the greatest concentrations. Third, risk quotients greater than unity were calculated only for carbamazepine, suggesting that risk for the water compartment is expected. r 2003 Elsevier Science (USA). All rights reserved.","container-title":"Ecotoxicology and Environmental Safety","DOI":"10.1016/S0147-6513(02)00082-9","ISSN":"01476513","issue":"3","journalAbbreviation":"Ecotoxicology and Environmental Safety","language":"en","page":"359-370","source":"DOI.org (Crossref)","title":"Ecotoxicological impact of pharmaceuticals found in treated wastewaters: study of carbamazepine, clofibric acid, and diclofenac","title-short":"Ecotoxicological impact of pharmaceuticals found in treated wastewaters","volume":"55","author":[{"family":"Ferrari","given":"Benoı̂t"},{"family":"Paxéus","given":"Nicklas"},{"family":"Giudice","given":"Roberto Lo"},{"family":"Pollio","given":"Antonino"},{"family":"Garric","given":"Jeanne"}],"issued":{"date-parts":[["2003",7]]}}}],"schema":"https://github.com/citation-style-language/schema/raw/master/csl-citation.json"}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(Ferrari et al. 2003)</w:t>
            </w:r>
            <w:r w:rsidRPr="001D0ADC">
              <w:rPr>
                <w:color w:val="auto"/>
                <w:lang w:val="en-GB" w:eastAsia="cs-CZ"/>
              </w:rPr>
              <w:fldChar w:fldCharType="end"/>
            </w:r>
          </w:p>
        </w:tc>
      </w:tr>
      <w:tr w:rsidR="001D0ADC" w:rsidRPr="001D0ADC" w14:paraId="4C98EBCF"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89ED27B"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FFD91EC" w14:textId="77777777" w:rsidR="008B399E" w:rsidRPr="001D0ADC" w:rsidRDefault="008B399E" w:rsidP="008B399E">
            <w:pPr>
              <w:pStyle w:val="NoSpacing"/>
              <w:ind w:firstLine="0"/>
              <w:rPr>
                <w:color w:val="auto"/>
                <w:lang w:val="en-GB" w:eastAsia="cs-CZ"/>
              </w:rPr>
            </w:pPr>
            <w:r w:rsidRPr="001D0ADC">
              <w:rPr>
                <w:color w:val="auto"/>
                <w:lang w:val="en-GB" w:eastAsia="cs-CZ"/>
              </w:rPr>
              <w:t>50</w:t>
            </w:r>
          </w:p>
        </w:tc>
        <w:tc>
          <w:tcPr>
            <w:tcW w:w="4520" w:type="dxa"/>
            <w:tcBorders>
              <w:top w:val="nil"/>
              <w:left w:val="nil"/>
              <w:bottom w:val="single" w:sz="4" w:space="0" w:color="auto"/>
              <w:right w:val="single" w:sz="4" w:space="0" w:color="auto"/>
            </w:tcBorders>
            <w:shd w:val="clear" w:color="auto" w:fill="auto"/>
            <w:vAlign w:val="bottom"/>
          </w:tcPr>
          <w:p w14:paraId="1DD3F163" w14:textId="77777777" w:rsidR="008B399E" w:rsidRPr="001D0ADC" w:rsidRDefault="008B399E" w:rsidP="008B399E">
            <w:pPr>
              <w:pStyle w:val="NoSpacing"/>
              <w:ind w:firstLine="0"/>
              <w:rPr>
                <w:color w:val="auto"/>
                <w:lang w:val="en-GB" w:eastAsia="cs-CZ"/>
              </w:rPr>
            </w:pPr>
            <w:r w:rsidRPr="001D0ADC">
              <w:rPr>
                <w:color w:val="auto"/>
                <w:lang w:val="en-GB" w:eastAsia="cs-CZ"/>
              </w:rPr>
              <w:t>LOEC for mortality</w:t>
            </w:r>
          </w:p>
        </w:tc>
        <w:tc>
          <w:tcPr>
            <w:tcW w:w="2633" w:type="dxa"/>
            <w:vMerge/>
            <w:tcBorders>
              <w:left w:val="nil"/>
              <w:bottom w:val="single" w:sz="4" w:space="0" w:color="auto"/>
              <w:right w:val="single" w:sz="4" w:space="0" w:color="auto"/>
            </w:tcBorders>
          </w:tcPr>
          <w:p w14:paraId="66E036F5"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2A94698"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3061D24" w14:textId="77777777" w:rsidR="008B399E" w:rsidRPr="001D0ADC" w:rsidRDefault="008B399E" w:rsidP="008B399E">
            <w:pPr>
              <w:pStyle w:val="NoSpacing"/>
              <w:ind w:firstLine="0"/>
              <w:rPr>
                <w:color w:val="auto"/>
                <w:lang w:val="en-GB" w:eastAsia="cs-CZ"/>
              </w:rPr>
            </w:pPr>
          </w:p>
        </w:tc>
      </w:tr>
      <w:tr w:rsidR="001D0ADC" w:rsidRPr="001D0ADC" w14:paraId="49282729"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219B363F" w14:textId="77777777" w:rsidR="008B399E" w:rsidRPr="001D0ADC" w:rsidRDefault="008B399E" w:rsidP="008B399E">
            <w:pPr>
              <w:pStyle w:val="NoSpacing"/>
              <w:ind w:firstLine="0"/>
              <w:rPr>
                <w:color w:val="auto"/>
                <w:lang w:val="en-GB" w:eastAsia="cs-CZ"/>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A7CE4C1" w14:textId="08D20F37" w:rsidR="008B399E" w:rsidRPr="001D0ADC" w:rsidRDefault="008B399E" w:rsidP="008B399E">
            <w:pPr>
              <w:pStyle w:val="NoSpacing"/>
              <w:ind w:firstLine="0"/>
              <w:rPr>
                <w:color w:val="auto"/>
                <w:lang w:val="en-GB" w:eastAsia="cs-CZ"/>
              </w:rPr>
            </w:pPr>
            <w:r w:rsidRPr="001D0ADC">
              <w:rPr>
                <w:color w:val="auto"/>
                <w:lang w:val="en-GB" w:eastAsia="cs-CZ"/>
              </w:rPr>
              <w:t>3</w:t>
            </w:r>
            <w:r w:rsidR="00CF2036" w:rsidRPr="001D0ADC">
              <w:rPr>
                <w:color w:val="auto"/>
                <w:lang w:val="en-GB" w:eastAsia="cs-CZ"/>
              </w:rPr>
              <w:t>0.</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0460A01A" w14:textId="77777777" w:rsidR="008B399E" w:rsidRPr="001D0ADC" w:rsidRDefault="008B399E" w:rsidP="008B399E">
            <w:pPr>
              <w:pStyle w:val="NoSpacing"/>
              <w:ind w:firstLine="0"/>
              <w:rPr>
                <w:color w:val="auto"/>
                <w:lang w:val="en-GB" w:eastAsia="cs-CZ"/>
              </w:rPr>
            </w:pPr>
            <w:r w:rsidRPr="001D0ADC">
              <w:rPr>
                <w:color w:val="auto"/>
                <w:lang w:val="en-GB" w:eastAsia="cs-CZ"/>
              </w:rPr>
              <w:t>NOEC</w:t>
            </w:r>
          </w:p>
        </w:tc>
        <w:tc>
          <w:tcPr>
            <w:tcW w:w="2633" w:type="dxa"/>
            <w:vMerge w:val="restart"/>
            <w:tcBorders>
              <w:top w:val="single" w:sz="4" w:space="0" w:color="auto"/>
              <w:left w:val="nil"/>
              <w:right w:val="single" w:sz="4" w:space="0" w:color="auto"/>
            </w:tcBorders>
          </w:tcPr>
          <w:p w14:paraId="09EAACB6" w14:textId="77777777" w:rsidR="008B399E" w:rsidRPr="001D0ADC" w:rsidRDefault="008B399E" w:rsidP="008B399E">
            <w:pPr>
              <w:pStyle w:val="NoSpacing"/>
              <w:ind w:firstLine="0"/>
              <w:rPr>
                <w:color w:val="auto"/>
                <w:lang w:val="en-GB" w:eastAsia="cs-CZ"/>
              </w:rPr>
            </w:pPr>
            <w:r w:rsidRPr="001D0ADC">
              <w:rPr>
                <w:color w:val="auto"/>
                <w:lang w:val="en-GB" w:eastAsia="cs-CZ"/>
              </w:rPr>
              <w:t>FET (OECD draft)</w:t>
            </w:r>
          </w:p>
        </w:tc>
        <w:tc>
          <w:tcPr>
            <w:tcW w:w="1967" w:type="dxa"/>
            <w:vMerge w:val="restart"/>
            <w:tcBorders>
              <w:top w:val="single" w:sz="4" w:space="0" w:color="auto"/>
              <w:left w:val="single" w:sz="4" w:space="0" w:color="auto"/>
              <w:right w:val="single" w:sz="4" w:space="0" w:color="auto"/>
            </w:tcBorders>
          </w:tcPr>
          <w:p w14:paraId="0AF07C7D" w14:textId="77777777" w:rsidR="008B399E" w:rsidRPr="001D0ADC" w:rsidRDefault="008B399E" w:rsidP="008B399E">
            <w:pPr>
              <w:pStyle w:val="NoSpacing"/>
              <w:ind w:firstLine="0"/>
              <w:rPr>
                <w:color w:val="auto"/>
                <w:lang w:val="en-GB" w:eastAsia="cs-CZ"/>
              </w:rPr>
            </w:pPr>
            <w:r w:rsidRPr="001D0ADC">
              <w:rPr>
                <w:color w:val="auto"/>
                <w:lang w:val="en-GB" w:eastAsia="cs-CZ"/>
              </w:rPr>
              <w:t>72h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6E48DFE"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{"citationID":"4fv4WsXe","properties":{"formattedCitation":"(Van Den Brandhof and Montforts 2010)","plainCitation":"(Van Den Brandhof and Montforts 2010)","noteIndex":0},"citationItems":[{"id":1282,"uris":["http://zotero.org/users/11614927/items/9TSCRHEG"],"itemData":{"id":1282,"type":"article-journal","abstract":"Frequently measured pharmaceuticals in environmental samples were tested in ﬁsh embryo toxicity (FET) tests with Danio rerio, based on the draft OECD test protocol. In this FET test 2-h-old zebraﬁsh embryos were exposed for 72 h to carbamazepine, diclofenac and metoprolol to observe effects on embryo mortality, gastrulation, somite formation, tail movement and detachment, pigmentation, heartbeat, malformation of head, otoliths and heart, scoliosis, deformity of yolk, and hatching success at 24, 48 and 72 h. We found speciﬁc effects on growth retardation above 30.6 mg/l for carbamazepine, on hatching, yolk sac and tail deformation above 1.5 mg/l for diclofenac, and on scoliosis and growth retardation above 12.6 mg/l for metoprolol. Scoring all effect parameters, the 72-h-EC50 values were: for carbamazepine 86.5 mg/l, for diclofenac 5.3 mg/l and for metoprolol 31.0 mg/l (mean measured concentrations). In conclusion, our results for carbamazepine and metoprolol are in agreement with other ﬁndings for aquatic toxicity, and also ﬁsh embryos responded in much the same way as rat embryos did. For diclofenac, the FET test performs comparably to Early Life Stage testing.","container-title":"Ecotoxicology and Environmental Safety","DOI":"10.1016/j.ecoenv.2010.08.031","ISSN":"01476513","issue":"8","journalAbbreviation":"Ecotoxicology and Environmental Safety","language":"en","page":"1862-1866","source":"DOI.org (Crossref)","title":"Fish embryo toxicity of carbamazepine, diclofenac and metoprolol","volume":"73","author":[{"family":"Van Den Brandhof","given":"Evert-Jan"},{"family":"Montforts","given":"Mark"}],"issued":{"date-parts":[["2010",11]]}}}],"schema":"https://github.com/citation-style-language/schema/raw/master/csl-citation.json"}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(Van Den Brandhof and Montforts 2010)</w:t>
            </w:r>
            <w:r w:rsidRPr="001D0ADC">
              <w:rPr>
                <w:color w:val="auto"/>
                <w:lang w:val="en-GB" w:eastAsia="cs-CZ"/>
              </w:rPr>
              <w:fldChar w:fldCharType="end"/>
            </w:r>
          </w:p>
        </w:tc>
      </w:tr>
      <w:tr w:rsidR="001D0ADC" w:rsidRPr="001D0ADC" w14:paraId="4C781C0A"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24731A3A"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6EC1DDBD" w14:textId="38A3C788" w:rsidR="008B399E" w:rsidRPr="001D0ADC" w:rsidRDefault="008B399E" w:rsidP="008B399E">
            <w:pPr>
              <w:pStyle w:val="NoSpacing"/>
              <w:ind w:firstLine="0"/>
              <w:rPr>
                <w:color w:val="auto"/>
                <w:lang w:val="en-GB" w:eastAsia="cs-CZ"/>
              </w:rPr>
            </w:pPr>
            <w:r w:rsidRPr="001D0ADC">
              <w:rPr>
                <w:color w:val="auto"/>
                <w:lang w:val="en-GB" w:eastAsia="cs-CZ"/>
              </w:rPr>
              <w:t>8</w:t>
            </w:r>
            <w:r w:rsidR="00CF2036" w:rsidRPr="001D0ADC">
              <w:rPr>
                <w:color w:val="auto"/>
                <w:lang w:val="en-GB" w:eastAsia="cs-CZ"/>
              </w:rPr>
              <w:t>6.</w:t>
            </w:r>
            <w:r w:rsidRPr="001D0ADC">
              <w:rPr>
                <w:color w:val="auto"/>
                <w:lang w:val="en-GB" w:eastAsia="cs-CZ"/>
              </w:rPr>
              <w:t>5</w:t>
            </w:r>
          </w:p>
        </w:tc>
        <w:tc>
          <w:tcPr>
            <w:tcW w:w="4520" w:type="dxa"/>
            <w:tcBorders>
              <w:top w:val="nil"/>
              <w:left w:val="nil"/>
              <w:bottom w:val="single" w:sz="4" w:space="0" w:color="auto"/>
              <w:right w:val="single" w:sz="4" w:space="0" w:color="auto"/>
            </w:tcBorders>
            <w:shd w:val="clear" w:color="auto" w:fill="auto"/>
            <w:vAlign w:val="bottom"/>
          </w:tcPr>
          <w:p w14:paraId="1E647E1E" w14:textId="77777777" w:rsidR="008B399E" w:rsidRPr="001D0ADC" w:rsidRDefault="008B399E" w:rsidP="008B399E">
            <w:pPr>
              <w:pStyle w:val="NoSpacing"/>
              <w:ind w:firstLine="0"/>
              <w:rPr>
                <w:color w:val="auto"/>
                <w:lang w:val="en-GB" w:eastAsia="cs-CZ"/>
              </w:rPr>
            </w:pPr>
            <w:r w:rsidRPr="001D0ADC">
              <w:rPr>
                <w:color w:val="auto"/>
                <w:lang w:val="en-GB" w:eastAsia="cs-CZ"/>
              </w:rPr>
              <w:t>EC50</w:t>
            </w:r>
          </w:p>
        </w:tc>
        <w:tc>
          <w:tcPr>
            <w:tcW w:w="2633" w:type="dxa"/>
            <w:vMerge/>
            <w:tcBorders>
              <w:left w:val="nil"/>
              <w:right w:val="single" w:sz="4" w:space="0" w:color="auto"/>
            </w:tcBorders>
          </w:tcPr>
          <w:p w14:paraId="10471274"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right w:val="single" w:sz="4" w:space="0" w:color="auto"/>
            </w:tcBorders>
          </w:tcPr>
          <w:p w14:paraId="119B9F8B"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1A446234" w14:textId="77777777" w:rsidR="008B399E" w:rsidRPr="001D0ADC" w:rsidRDefault="008B399E" w:rsidP="008B399E">
            <w:pPr>
              <w:pStyle w:val="NoSpacing"/>
              <w:ind w:firstLine="0"/>
              <w:rPr>
                <w:color w:val="auto"/>
                <w:lang w:val="en-GB" w:eastAsia="cs-CZ"/>
              </w:rPr>
            </w:pPr>
          </w:p>
        </w:tc>
      </w:tr>
      <w:tr w:rsidR="001D0ADC" w:rsidRPr="001D0ADC" w14:paraId="4A4F4859"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36D8797C"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9B95953" w14:textId="77777777" w:rsidR="008B399E" w:rsidRPr="001D0ADC" w:rsidRDefault="008B399E" w:rsidP="008B399E">
            <w:pPr>
              <w:pStyle w:val="NoSpacing"/>
              <w:ind w:firstLine="0"/>
              <w:rPr>
                <w:color w:val="auto"/>
                <w:lang w:val="en-GB" w:eastAsia="cs-CZ"/>
              </w:rPr>
            </w:pPr>
            <w:r w:rsidRPr="001D0ADC">
              <w:rPr>
                <w:rFonts w:cs="Times New Roman"/>
                <w:color w:val="auto"/>
                <w:lang w:val="en-GB" w:eastAsia="cs-CZ"/>
              </w:rPr>
              <w:t>≥</w:t>
            </w:r>
            <w:r w:rsidRPr="001D0ADC">
              <w:rPr>
                <w:color w:val="auto"/>
                <w:lang w:val="en-GB" w:eastAsia="cs-CZ"/>
              </w:rPr>
              <w:t>245</w:t>
            </w:r>
          </w:p>
        </w:tc>
        <w:tc>
          <w:tcPr>
            <w:tcW w:w="4520" w:type="dxa"/>
            <w:tcBorders>
              <w:top w:val="nil"/>
              <w:left w:val="nil"/>
              <w:bottom w:val="single" w:sz="4" w:space="0" w:color="auto"/>
              <w:right w:val="single" w:sz="4" w:space="0" w:color="auto"/>
            </w:tcBorders>
            <w:shd w:val="clear" w:color="auto" w:fill="auto"/>
            <w:vAlign w:val="bottom"/>
          </w:tcPr>
          <w:p w14:paraId="46A47F5F" w14:textId="77777777" w:rsidR="008B399E" w:rsidRPr="001D0ADC" w:rsidRDefault="008B399E" w:rsidP="008B399E">
            <w:pPr>
              <w:pStyle w:val="NoSpacing"/>
              <w:ind w:firstLine="0"/>
              <w:rPr>
                <w:color w:val="auto"/>
                <w:lang w:val="en-GB" w:eastAsia="cs-CZ"/>
              </w:rPr>
            </w:pPr>
            <w:r w:rsidRPr="001D0ADC">
              <w:rPr>
                <w:color w:val="auto"/>
                <w:lang w:val="en-GB" w:eastAsia="cs-CZ"/>
              </w:rPr>
              <w:t>LC50</w:t>
            </w:r>
          </w:p>
        </w:tc>
        <w:tc>
          <w:tcPr>
            <w:tcW w:w="2633" w:type="dxa"/>
            <w:vMerge/>
            <w:tcBorders>
              <w:left w:val="nil"/>
              <w:bottom w:val="single" w:sz="4" w:space="0" w:color="auto"/>
              <w:right w:val="single" w:sz="4" w:space="0" w:color="auto"/>
            </w:tcBorders>
          </w:tcPr>
          <w:p w14:paraId="2FB73E86"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3E65A72"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72890FE" w14:textId="77777777" w:rsidR="008B399E" w:rsidRPr="001D0ADC" w:rsidRDefault="008B399E" w:rsidP="008B399E">
            <w:pPr>
              <w:pStyle w:val="NoSpacing"/>
              <w:ind w:firstLine="0"/>
              <w:rPr>
                <w:color w:val="auto"/>
                <w:lang w:val="en-GB" w:eastAsia="cs-CZ"/>
              </w:rPr>
            </w:pPr>
          </w:p>
        </w:tc>
      </w:tr>
      <w:tr w:rsidR="001D0ADC" w:rsidRPr="001D0ADC" w14:paraId="5519DCA7"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E9763A2"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70D62DDE" w14:textId="43356F02"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0005</w:t>
            </w:r>
          </w:p>
        </w:tc>
        <w:tc>
          <w:tcPr>
            <w:tcW w:w="4520" w:type="dxa"/>
            <w:tcBorders>
              <w:top w:val="nil"/>
              <w:left w:val="nil"/>
              <w:bottom w:val="single" w:sz="4" w:space="0" w:color="auto"/>
              <w:right w:val="single" w:sz="4" w:space="0" w:color="auto"/>
            </w:tcBorders>
            <w:shd w:val="clear" w:color="auto" w:fill="auto"/>
            <w:vAlign w:val="bottom"/>
          </w:tcPr>
          <w:p w14:paraId="63AA8CB1" w14:textId="77777777" w:rsidR="008B399E" w:rsidRPr="001D0ADC" w:rsidRDefault="008B399E" w:rsidP="008B399E">
            <w:pPr>
              <w:pStyle w:val="NoSpacing"/>
              <w:ind w:firstLine="0"/>
              <w:rPr>
                <w:color w:val="auto"/>
                <w:lang w:val="en-GB" w:eastAsia="cs-CZ"/>
              </w:rPr>
            </w:pPr>
            <w:r w:rsidRPr="001D0ADC">
              <w:rPr>
                <w:color w:val="auto"/>
                <w:lang w:val="en-GB" w:eastAsia="cs-CZ"/>
              </w:rPr>
              <w:t>LOEC for mortality, NOEC for abnormalities</w:t>
            </w:r>
          </w:p>
        </w:tc>
        <w:tc>
          <w:tcPr>
            <w:tcW w:w="2633" w:type="dxa"/>
            <w:tcBorders>
              <w:top w:val="single" w:sz="4" w:space="0" w:color="auto"/>
              <w:left w:val="nil"/>
              <w:bottom w:val="single" w:sz="4" w:space="0" w:color="auto"/>
              <w:right w:val="single" w:sz="4" w:space="0" w:color="auto"/>
            </w:tcBorders>
          </w:tcPr>
          <w:p w14:paraId="20E443A3" w14:textId="77777777" w:rsidR="008B399E" w:rsidRPr="001D0ADC" w:rsidRDefault="008B399E" w:rsidP="008B399E">
            <w:pPr>
              <w:pStyle w:val="NoSpacing"/>
              <w:ind w:firstLine="0"/>
              <w:rPr>
                <w:color w:val="auto"/>
                <w:lang w:val="en-GB" w:eastAsia="cs-CZ"/>
              </w:rPr>
            </w:pPr>
            <w:r w:rsidRPr="001D0ADC">
              <w:rPr>
                <w:color w:val="auto"/>
                <w:lang w:val="en-GB" w:eastAsia="cs-CZ"/>
              </w:rPr>
              <w:t>ELT (ZF)</w:t>
            </w:r>
          </w:p>
        </w:tc>
        <w:tc>
          <w:tcPr>
            <w:tcW w:w="1967" w:type="dxa"/>
            <w:tcBorders>
              <w:top w:val="single" w:sz="4" w:space="0" w:color="auto"/>
              <w:left w:val="single" w:sz="4" w:space="0" w:color="auto"/>
              <w:bottom w:val="single" w:sz="4" w:space="0" w:color="auto"/>
              <w:right w:val="single" w:sz="4" w:space="0" w:color="auto"/>
            </w:tcBorders>
          </w:tcPr>
          <w:p w14:paraId="700375D1" w14:textId="77777777" w:rsidR="008B399E" w:rsidRPr="001D0ADC" w:rsidRDefault="008B399E" w:rsidP="008B399E">
            <w:pPr>
              <w:pStyle w:val="NoSpacing"/>
              <w:ind w:firstLine="0"/>
              <w:rPr>
                <w:color w:val="auto"/>
                <w:lang w:val="en-GB" w:eastAsia="cs-CZ"/>
              </w:rPr>
            </w:pPr>
            <w:r w:rsidRPr="001D0ADC">
              <w:rPr>
                <w:color w:val="auto"/>
                <w:lang w:val="en-GB" w:eastAsia="cs-CZ"/>
              </w:rPr>
              <w:t>72h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4FCBB635"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{"citationID":"SFGBmZUx","properties":{"formattedCitation":"(Galus et al. 2013)","plainCitation":"(Galus et al. 2013)","noteIndex":0},"citationItems":[{"id":1266,"uris":["http://zotero.org/users/11614927/items/HIXDKLD5"],"itemData":{"id":1266,"type":"article-journal","container-title":"Aquatic Toxicology","DOI":"10.1016/j.aquatox.2012.12.021","ISSN":"0166445X","journalAbbreviation":"Aquatic Toxicology","language":"en","page":"200-211","source":"DOI.org (Crossref)","title":"Chronic, low concentration exposure to pharmaceuticals impacts multiple organ systems in zebrafish","volume":"132-133","author":[{"family":"Galus","given":"Michal"},{"family":"Kirischian","given":"Nina"},{"family":"Higgins","given":"Sarah"},{"family":"Purdy","given":"James"},{"family":"Chow","given":"Justin"},{"family":"Rangaranjan","given":"Sahaana"},{"family":"Li","given":"Hongxia"},{"family":"Metcalfe","given":"Chris"},{"family":"Wilson","given":"Joanna Y."}],"issued":{"date-parts":[["2013",5]]}}}],"schema":"https://github.com/citation-style-language/schema/raw/master/csl-citation.json"}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(Galus et al. 2013)</w:t>
            </w:r>
            <w:r w:rsidRPr="001D0ADC">
              <w:rPr>
                <w:color w:val="auto"/>
                <w:lang w:val="en-GB" w:eastAsia="cs-CZ"/>
              </w:rPr>
              <w:fldChar w:fldCharType="end"/>
            </w:r>
          </w:p>
        </w:tc>
      </w:tr>
      <w:tr w:rsidR="001D0ADC" w:rsidRPr="001D0ADC" w14:paraId="0BD49325"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C32E4DB"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7829EDF" w14:textId="4A9CD741" w:rsidR="008B399E" w:rsidRPr="001D0ADC" w:rsidRDefault="008B399E" w:rsidP="008B399E">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4.</w:t>
            </w:r>
            <w:r w:rsidRPr="001D0ADC">
              <w:rPr>
                <w:color w:val="auto"/>
                <w:lang w:val="en-GB" w:eastAsia="cs-CZ"/>
              </w:rPr>
              <w:t>8</w:t>
            </w:r>
          </w:p>
        </w:tc>
        <w:tc>
          <w:tcPr>
            <w:tcW w:w="4520" w:type="dxa"/>
            <w:tcBorders>
              <w:top w:val="nil"/>
              <w:left w:val="nil"/>
              <w:bottom w:val="single" w:sz="4" w:space="0" w:color="auto"/>
              <w:right w:val="single" w:sz="4" w:space="0" w:color="auto"/>
            </w:tcBorders>
            <w:shd w:val="clear" w:color="auto" w:fill="auto"/>
            <w:vAlign w:val="bottom"/>
          </w:tcPr>
          <w:p w14:paraId="59158769" w14:textId="77777777" w:rsidR="008B399E" w:rsidRPr="001D0ADC" w:rsidRDefault="008B399E" w:rsidP="008B399E">
            <w:pPr>
              <w:pStyle w:val="NoSpacing"/>
              <w:ind w:firstLine="0"/>
              <w:rPr>
                <w:color w:val="auto"/>
                <w:lang w:val="en-GB" w:eastAsia="cs-CZ"/>
              </w:rPr>
            </w:pPr>
            <w:r w:rsidRPr="001D0ADC">
              <w:rPr>
                <w:color w:val="auto"/>
                <w:lang w:val="en-GB" w:eastAsia="cs-CZ"/>
              </w:rPr>
              <w:t>LOEC for teratogenicity</w:t>
            </w:r>
          </w:p>
        </w:tc>
        <w:tc>
          <w:tcPr>
            <w:tcW w:w="2633" w:type="dxa"/>
            <w:vMerge w:val="restart"/>
            <w:tcBorders>
              <w:top w:val="single" w:sz="4" w:space="0" w:color="auto"/>
              <w:left w:val="nil"/>
              <w:right w:val="single" w:sz="4" w:space="0" w:color="auto"/>
            </w:tcBorders>
          </w:tcPr>
          <w:p w14:paraId="29F89C0A" w14:textId="77777777" w:rsidR="008B399E" w:rsidRPr="001D0ADC" w:rsidRDefault="008B399E" w:rsidP="008B399E">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4186FDC1" w14:textId="77777777" w:rsidR="008B399E" w:rsidRPr="001D0ADC" w:rsidRDefault="008B399E" w:rsidP="008B399E">
            <w:pPr>
              <w:pStyle w:val="NoSpacing"/>
              <w:ind w:firstLine="0"/>
              <w:rPr>
                <w:color w:val="auto"/>
                <w:lang w:val="en-GB" w:eastAsia="cs-CZ"/>
              </w:rPr>
            </w:pPr>
            <w:r w:rsidRPr="001D0ADC">
              <w:rPr>
                <w:color w:val="auto"/>
                <w:lang w:val="en-GB" w:eastAsia="cs-CZ"/>
              </w:rPr>
              <w:t>72h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2C1B1F2"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{"citationID":"M6NWAxmB","properties":{"formattedCitation":"(Weigt et al. 2011)","plainCitation":"(Weigt et al. 2011)","noteIndex":0},"citationItems":[{"id":1273,"uris":["http://zotero.org/users/11614927/items/LXP8PAWL"],"itemData":{"id":1273,"type":"article-journal","abstract":"Zebraﬁsh embryos have been shown to be a useful model for the detection of direct acting teratogens. This communication presents a protocol for a 3-day in vitro zebraﬁsh embryo teratogenicity assay and describes results obtained for 10 proteratogens: 2-acetylaminoﬂuorene, benzo[a]pyrene, aﬂatoxin B1, carbamazepine, phenytoin, trimethadione, cyclophosphamide, ifosfamide, tegafur and thio-TEPA. The selection of the test substances accounts for differences in structure, origin, metabolism and water solubility. Apart from 2-acetylaminoﬂuorene, which mainly produces lethal effects, all proteratogens tested were teratogenic in zebraﬁsh embryos exposed for 3 days. The test substances and/or the substance class produced characteristic patterns of ﬁngerprint endpoints. Several substances produced effects that could be identiﬁed already at 1 dpf (days post fertilization), whereas the effects of others could only be identiﬁed unambiguously after hatching at ≥3 dpf. The LC50 and EC50 values were used to calculate the teratogenicity index (TI) for the different substances, and the EC20 values were related to human plasma concentrations. Results lead to the conclusion that zebraﬁsh embryos are able to activate proteratogenic substances without addition of an exogenous metabolic activation system. Moreover, the teratogenic effects were observed at concentrations relevant to human exposure data. Along with other ﬁndings, our results indicate that zebraﬁsh embryos are a useful alternative method for traditional teratogenicity testing with mammalian species.","container-title":"Toxicology","DOI":"10.1016/j.tox.2011.01.004","ISSN":"0300483X","issue":"1-3","journalAbbreviation":"Toxicology","language":"en","page":"25-36","source":"DOI.org (Crossref)","title":"Zebrafish (Danio rerio) embryos as a model for testing proteratogens","volume":"281","author":[{"family":"Weigt","given":"Stefan"},{"family":"Huebler","given":"Nicole"},{"family":"Strecker","given":"Ruben"},{"family":"Braunbeck","given":"Thomas"},{"family":"Broschard","given":"Thomas H."}],"issued":{"date-parts":[["2011",3]]}}}],"schema":"https://github.com/citation-style-language/schema/raw/master/csl-citation.json"}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(Weigt et al. 2011)</w:t>
            </w:r>
            <w:r w:rsidRPr="001D0ADC">
              <w:rPr>
                <w:color w:val="auto"/>
                <w:lang w:val="en-GB" w:eastAsia="cs-CZ"/>
              </w:rPr>
              <w:fldChar w:fldCharType="end"/>
            </w:r>
          </w:p>
        </w:tc>
      </w:tr>
      <w:tr w:rsidR="001D0ADC" w:rsidRPr="001D0ADC" w14:paraId="363AC2D7"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751D9A3A"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0BB28E39" w14:textId="4DA4A931" w:rsidR="008B399E" w:rsidRPr="001D0ADC" w:rsidRDefault="008B399E" w:rsidP="008B399E">
            <w:pPr>
              <w:pStyle w:val="NoSpacing"/>
              <w:ind w:firstLine="0"/>
              <w:rPr>
                <w:color w:val="auto"/>
                <w:lang w:val="en-GB" w:eastAsia="cs-CZ"/>
              </w:rPr>
            </w:pPr>
            <w:r w:rsidRPr="001D0ADC">
              <w:rPr>
                <w:color w:val="auto"/>
                <w:lang w:val="en-GB" w:eastAsia="cs-CZ"/>
              </w:rPr>
              <w:t>5</w:t>
            </w:r>
            <w:r w:rsidR="00CF2036" w:rsidRPr="001D0ADC">
              <w:rPr>
                <w:color w:val="auto"/>
                <w:lang w:val="en-GB" w:eastAsia="cs-CZ"/>
              </w:rPr>
              <w:t>2.</w:t>
            </w:r>
            <w:r w:rsidRPr="001D0ADC">
              <w:rPr>
                <w:color w:val="auto"/>
                <w:lang w:val="en-GB" w:eastAsia="cs-CZ"/>
              </w:rPr>
              <w:t>5</w:t>
            </w:r>
          </w:p>
        </w:tc>
        <w:tc>
          <w:tcPr>
            <w:tcW w:w="4520" w:type="dxa"/>
            <w:tcBorders>
              <w:top w:val="nil"/>
              <w:left w:val="nil"/>
              <w:bottom w:val="single" w:sz="4" w:space="0" w:color="auto"/>
              <w:right w:val="single" w:sz="4" w:space="0" w:color="auto"/>
            </w:tcBorders>
            <w:shd w:val="clear" w:color="auto" w:fill="auto"/>
            <w:vAlign w:val="bottom"/>
          </w:tcPr>
          <w:p w14:paraId="5C06CA97" w14:textId="77777777" w:rsidR="008B399E" w:rsidRPr="001D0ADC" w:rsidRDefault="008B399E" w:rsidP="008B399E">
            <w:pPr>
              <w:pStyle w:val="NoSpacing"/>
              <w:ind w:firstLine="0"/>
              <w:rPr>
                <w:color w:val="auto"/>
                <w:lang w:val="en-GB" w:eastAsia="cs-CZ"/>
              </w:rPr>
            </w:pPr>
            <w:r w:rsidRPr="001D0ADC">
              <w:rPr>
                <w:color w:val="auto"/>
                <w:lang w:val="en-GB" w:eastAsia="cs-CZ"/>
              </w:rPr>
              <w:t>EC50</w:t>
            </w:r>
          </w:p>
        </w:tc>
        <w:tc>
          <w:tcPr>
            <w:tcW w:w="2633" w:type="dxa"/>
            <w:vMerge/>
            <w:tcBorders>
              <w:left w:val="nil"/>
              <w:right w:val="single" w:sz="4" w:space="0" w:color="auto"/>
            </w:tcBorders>
          </w:tcPr>
          <w:p w14:paraId="0B96F14E"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right w:val="single" w:sz="4" w:space="0" w:color="auto"/>
            </w:tcBorders>
          </w:tcPr>
          <w:p w14:paraId="38B3E6C6"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8A8FE90" w14:textId="77777777" w:rsidR="008B399E" w:rsidRPr="001D0ADC" w:rsidRDefault="008B399E" w:rsidP="008B399E">
            <w:pPr>
              <w:pStyle w:val="NoSpacing"/>
              <w:ind w:firstLine="0"/>
              <w:rPr>
                <w:color w:val="auto"/>
                <w:lang w:val="en-GB" w:eastAsia="cs-CZ"/>
              </w:rPr>
            </w:pPr>
          </w:p>
        </w:tc>
      </w:tr>
      <w:tr w:rsidR="001D0ADC" w:rsidRPr="001D0ADC" w14:paraId="34D9629C"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0751747F"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AEEDD10" w14:textId="77777777" w:rsidR="008B399E" w:rsidRPr="001D0ADC" w:rsidRDefault="008B399E" w:rsidP="008B399E">
            <w:pPr>
              <w:pStyle w:val="NoSpacing"/>
              <w:ind w:firstLine="0"/>
              <w:rPr>
                <w:color w:val="auto"/>
                <w:lang w:val="en-GB" w:eastAsia="cs-CZ"/>
              </w:rPr>
            </w:pPr>
            <w:r w:rsidRPr="001D0ADC">
              <w:rPr>
                <w:color w:val="auto"/>
                <w:lang w:val="en-GB" w:eastAsia="cs-CZ"/>
              </w:rPr>
              <w:t>118</w:t>
            </w:r>
          </w:p>
        </w:tc>
        <w:tc>
          <w:tcPr>
            <w:tcW w:w="4520" w:type="dxa"/>
            <w:tcBorders>
              <w:top w:val="nil"/>
              <w:left w:val="nil"/>
              <w:bottom w:val="single" w:sz="4" w:space="0" w:color="auto"/>
              <w:right w:val="single" w:sz="4" w:space="0" w:color="auto"/>
            </w:tcBorders>
            <w:shd w:val="clear" w:color="auto" w:fill="auto"/>
            <w:vAlign w:val="bottom"/>
          </w:tcPr>
          <w:p w14:paraId="18A3A01B" w14:textId="77777777" w:rsidR="008B399E" w:rsidRPr="001D0ADC" w:rsidRDefault="008B399E" w:rsidP="008B399E">
            <w:pPr>
              <w:pStyle w:val="NoSpacing"/>
              <w:ind w:firstLine="0"/>
              <w:rPr>
                <w:color w:val="auto"/>
                <w:lang w:val="en-GB" w:eastAsia="cs-CZ"/>
              </w:rPr>
            </w:pPr>
            <w:r w:rsidRPr="001D0ADC">
              <w:rPr>
                <w:color w:val="auto"/>
                <w:lang w:val="en-GB" w:eastAsia="cs-CZ"/>
              </w:rPr>
              <w:t>NOEC for mortality</w:t>
            </w:r>
          </w:p>
        </w:tc>
        <w:tc>
          <w:tcPr>
            <w:tcW w:w="2633" w:type="dxa"/>
            <w:vMerge/>
            <w:tcBorders>
              <w:left w:val="nil"/>
              <w:bottom w:val="single" w:sz="4" w:space="0" w:color="auto"/>
              <w:right w:val="single" w:sz="4" w:space="0" w:color="auto"/>
            </w:tcBorders>
          </w:tcPr>
          <w:p w14:paraId="5841F7DC"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5CE9AC5"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2146E55" w14:textId="77777777" w:rsidR="008B399E" w:rsidRPr="001D0ADC" w:rsidRDefault="008B399E" w:rsidP="008B399E">
            <w:pPr>
              <w:pStyle w:val="NoSpacing"/>
              <w:ind w:firstLine="0"/>
              <w:rPr>
                <w:color w:val="auto"/>
                <w:lang w:val="en-GB" w:eastAsia="cs-CZ"/>
              </w:rPr>
            </w:pPr>
          </w:p>
        </w:tc>
      </w:tr>
      <w:tr w:rsidR="001D0ADC" w:rsidRPr="001D0ADC" w14:paraId="646A41EF"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12A8C933"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703B6ACA" w14:textId="6C09FA9F"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327CA93E" w14:textId="5BC7DB1C" w:rsidR="008B399E" w:rsidRPr="001D0ADC" w:rsidRDefault="008B399E" w:rsidP="008B399E">
            <w:pPr>
              <w:pStyle w:val="NoSpacing"/>
              <w:ind w:firstLine="0"/>
              <w:rPr>
                <w:color w:val="auto"/>
                <w:lang w:val="en-GB" w:eastAsia="cs-CZ"/>
              </w:rPr>
            </w:pPr>
            <w:r w:rsidRPr="001D0ADC">
              <w:rPr>
                <w:color w:val="auto"/>
                <w:lang w:val="en-GB" w:eastAsia="cs-CZ"/>
              </w:rPr>
              <w:t>NOEC for mortality, LOEC for swimming frequency</w:t>
            </w:r>
          </w:p>
        </w:tc>
        <w:tc>
          <w:tcPr>
            <w:tcW w:w="2633" w:type="dxa"/>
            <w:vMerge w:val="restart"/>
            <w:tcBorders>
              <w:top w:val="single" w:sz="4" w:space="0" w:color="auto"/>
              <w:left w:val="nil"/>
              <w:right w:val="single" w:sz="4" w:space="0" w:color="auto"/>
            </w:tcBorders>
          </w:tcPr>
          <w:p w14:paraId="73756BB0" w14:textId="43F22E80" w:rsidR="008B399E" w:rsidRPr="001D0ADC" w:rsidRDefault="008B399E" w:rsidP="008B399E">
            <w:pPr>
              <w:pStyle w:val="NoSpacing"/>
              <w:ind w:firstLine="0"/>
              <w:rPr>
                <w:color w:val="auto"/>
                <w:lang w:val="en-GB" w:eastAsia="cs-CZ"/>
              </w:rPr>
            </w:pPr>
            <w:r w:rsidRPr="001D0ADC">
              <w:rPr>
                <w:color w:val="auto"/>
                <w:lang w:val="en-GB" w:eastAsia="cs-CZ"/>
              </w:rPr>
              <w:t>ELS (ZF) from 24 hpf (OECD 212 and 236)</w:t>
            </w:r>
          </w:p>
        </w:tc>
        <w:tc>
          <w:tcPr>
            <w:tcW w:w="1967" w:type="dxa"/>
            <w:vMerge w:val="restart"/>
            <w:tcBorders>
              <w:top w:val="single" w:sz="4" w:space="0" w:color="auto"/>
              <w:left w:val="single" w:sz="4" w:space="0" w:color="auto"/>
              <w:right w:val="single" w:sz="4" w:space="0" w:color="auto"/>
            </w:tcBorders>
          </w:tcPr>
          <w:p w14:paraId="7AB139AB" w14:textId="6EF08AC0" w:rsidR="008B399E" w:rsidRPr="001D0ADC" w:rsidRDefault="008B399E" w:rsidP="008B399E">
            <w:pPr>
              <w:pStyle w:val="NoSpacing"/>
              <w:ind w:firstLine="0"/>
              <w:rPr>
                <w:color w:val="auto"/>
                <w:lang w:val="en-GB" w:eastAsia="cs-CZ"/>
              </w:rPr>
            </w:pPr>
            <w:r w:rsidRPr="001D0ADC">
              <w:rPr>
                <w:color w:val="auto"/>
                <w:lang w:val="en-GB" w:eastAsia="cs-CZ"/>
              </w:rPr>
              <w:t>144h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BFE4356" w14:textId="5519931D"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009B3C36" w:rsidRPr="001D0ADC">
              <w:rPr>
                <w:color w:val="auto"/>
                <w:lang w:val="en-GB" w:eastAsia="cs-CZ"/>
              </w:rPr>
              <w:instrText xml:space="preserve"> ADDIN ZOTERO_ITEM CSL_CITATION {"citationID":"a1gv7fovi6","properties":{"formattedCitation":"(Rodrigues et al. 2023)","plainCitation":"(Rodrigues et al. 2023)","noteIndex":0},"citationItems":[{"id":1386,"uris":["http://zotero.org/users/11614927/items/FZQTNLZC"],"itemData":{"id":1386,"type":"article-journal","abstract":"Pharmaceutical compounds and their metabolites are found in natural and wastewater. However, investigation of their toxic effects on aquatic animals has been neglected, especially for metabolites. This work investigated the effects of the main metabolites of carbamazepine, venlafaxine and tramadol. Zebrafish embryos were exposed (0.1− 100 µg/L) for 168hpf exposures to each metabolite (carbamazepine-10,11-epoxide, 10,11-dihydrocarbama­ zepine, O-desmethylvenlafaxine, N-desmethylvenlafaxine, O-desmethyltramadol, N-desmethyltramadol) or the parental compound. A concentration-response relationship was found for the effects of some embryonic mal­ formations. Carbamazepine-10,11-epoxide, O-desmethylvenlafaxine and tramadol elicited the highest malfor­ mation rates. All compounds significantly decreased larvae responses on a sensorimotor assay compared to controls. Altered expression was found for most of the 32 tested genes. In particular, abcc1, abcc2, abcg2a, nrf2, pparg and raraa were found to be affected by all three drug groups. For each group, the modelled expression patterns showed differences in expression between parental compounds and metabolites. Potential biomarkers of exposure were identified for the venlafaxine and carbamazepine groups. These results are worrying, indicating that such contamination in aquatic systems may put natural populations at significant risk. Furthermore, me­ tabolites represent a real risk that needs more scrutinising by the scientific community.","container-title":"Journal of Hazardous Materials","DOI":"10.1016/j.jhazmat.2023.130909","ISSN":"03043894","journalAbbreviation":"Journal of Hazardous Materials","language":"en","page":"130909","source":"DOI.org (Crossref)","title":"Carbamazepine, venlafaxine, tramadol, and their main metabolites: Toxicological effects on zebrafish embryos and larvae","title-short":"Carbamazepine, venlafaxine, tramadol, and their main metabolites","volume":"448","author":[{"family":"Rodrigues","given":"P."},{"family":"Guimarães","given":"L."},{"family":"Carvalho","given":"Ap."},{"family":"Oliva-Teles","given":"L."}],"issued":{"date-parts":[["2023",4]]}}}],"schema":"https://github.com/citation-style-language/schema/raw/master/csl-citation.json"} </w:instrText>
            </w:r>
            <w:r w:rsidRPr="001D0ADC">
              <w:rPr>
                <w:color w:val="auto"/>
                <w:lang w:val="en-GB" w:eastAsia="cs-CZ"/>
              </w:rPr>
              <w:fldChar w:fldCharType="separate"/>
            </w:r>
            <w:r w:rsidR="009B3C36" w:rsidRPr="001D0ADC">
              <w:rPr>
                <w:rFonts w:cs="Times New Roman"/>
                <w:color w:val="auto"/>
                <w:szCs w:val="24"/>
                <w:lang w:val="en-GB"/>
              </w:rPr>
              <w:t>(Rodrigues et al. 2023)</w:t>
            </w:r>
            <w:r w:rsidRPr="001D0ADC">
              <w:rPr>
                <w:color w:val="auto"/>
                <w:lang w:val="en-GB" w:eastAsia="cs-CZ"/>
              </w:rPr>
              <w:fldChar w:fldCharType="end"/>
            </w:r>
          </w:p>
        </w:tc>
      </w:tr>
      <w:tr w:rsidR="001D0ADC" w:rsidRPr="001D0ADC" w14:paraId="680957B7"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366A69B6"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B66403D" w14:textId="22E1EDCB"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01</w:t>
            </w:r>
          </w:p>
        </w:tc>
        <w:tc>
          <w:tcPr>
            <w:tcW w:w="4520" w:type="dxa"/>
            <w:tcBorders>
              <w:top w:val="nil"/>
              <w:left w:val="nil"/>
              <w:bottom w:val="single" w:sz="4" w:space="0" w:color="auto"/>
              <w:right w:val="single" w:sz="4" w:space="0" w:color="auto"/>
            </w:tcBorders>
            <w:shd w:val="clear" w:color="auto" w:fill="auto"/>
            <w:vAlign w:val="bottom"/>
          </w:tcPr>
          <w:p w14:paraId="0CBB24D4" w14:textId="104D211C" w:rsidR="008B399E" w:rsidRPr="001D0ADC" w:rsidRDefault="008B399E" w:rsidP="008B399E">
            <w:pPr>
              <w:pStyle w:val="NoSpacing"/>
              <w:ind w:firstLine="0"/>
              <w:rPr>
                <w:color w:val="auto"/>
                <w:lang w:val="en-GB" w:eastAsia="cs-CZ"/>
              </w:rPr>
            </w:pPr>
            <w:r w:rsidRPr="001D0ADC">
              <w:rPr>
                <w:color w:val="auto"/>
                <w:lang w:val="en-GB" w:eastAsia="cs-CZ"/>
              </w:rPr>
              <w:t>LOEC for sublethal malformations</w:t>
            </w:r>
          </w:p>
        </w:tc>
        <w:tc>
          <w:tcPr>
            <w:tcW w:w="2633" w:type="dxa"/>
            <w:vMerge/>
            <w:tcBorders>
              <w:left w:val="nil"/>
              <w:right w:val="single" w:sz="4" w:space="0" w:color="auto"/>
            </w:tcBorders>
          </w:tcPr>
          <w:p w14:paraId="02808321"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right w:val="single" w:sz="4" w:space="0" w:color="auto"/>
            </w:tcBorders>
          </w:tcPr>
          <w:p w14:paraId="17333F9D"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41C2D7A" w14:textId="77777777" w:rsidR="008B399E" w:rsidRPr="001D0ADC" w:rsidRDefault="008B399E" w:rsidP="008B399E">
            <w:pPr>
              <w:pStyle w:val="NoSpacing"/>
              <w:ind w:firstLine="0"/>
              <w:rPr>
                <w:color w:val="auto"/>
                <w:lang w:val="en-GB" w:eastAsia="cs-CZ"/>
              </w:rPr>
            </w:pPr>
          </w:p>
        </w:tc>
      </w:tr>
      <w:tr w:rsidR="001D0ADC" w:rsidRPr="001D0ADC" w14:paraId="31AA12CD"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48947E29"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03B8C5DD" w14:textId="67759DAC"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0001</w:t>
            </w:r>
          </w:p>
        </w:tc>
        <w:tc>
          <w:tcPr>
            <w:tcW w:w="4520" w:type="dxa"/>
            <w:tcBorders>
              <w:top w:val="nil"/>
              <w:left w:val="nil"/>
              <w:bottom w:val="single" w:sz="4" w:space="0" w:color="auto"/>
              <w:right w:val="single" w:sz="4" w:space="0" w:color="auto"/>
            </w:tcBorders>
            <w:shd w:val="clear" w:color="auto" w:fill="auto"/>
            <w:vAlign w:val="bottom"/>
          </w:tcPr>
          <w:p w14:paraId="628B5007" w14:textId="671C7A55" w:rsidR="008B399E" w:rsidRPr="001D0ADC" w:rsidRDefault="008B399E" w:rsidP="008B399E">
            <w:pPr>
              <w:pStyle w:val="NoSpacing"/>
              <w:ind w:firstLine="0"/>
              <w:rPr>
                <w:color w:val="auto"/>
                <w:lang w:val="en-GB" w:eastAsia="cs-CZ"/>
              </w:rPr>
            </w:pPr>
            <w:r w:rsidRPr="001D0ADC">
              <w:rPr>
                <w:color w:val="auto"/>
                <w:lang w:val="en-GB" w:eastAsia="cs-CZ"/>
              </w:rPr>
              <w:t>LOEC for gene expression</w:t>
            </w:r>
          </w:p>
        </w:tc>
        <w:tc>
          <w:tcPr>
            <w:tcW w:w="2633" w:type="dxa"/>
            <w:vMerge/>
            <w:tcBorders>
              <w:left w:val="nil"/>
              <w:bottom w:val="single" w:sz="4" w:space="0" w:color="auto"/>
              <w:right w:val="single" w:sz="4" w:space="0" w:color="auto"/>
            </w:tcBorders>
          </w:tcPr>
          <w:p w14:paraId="158A04D9"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AE8A650"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A412EB7" w14:textId="77777777" w:rsidR="008B399E" w:rsidRPr="001D0ADC" w:rsidRDefault="008B399E" w:rsidP="008B399E">
            <w:pPr>
              <w:pStyle w:val="NoSpacing"/>
              <w:ind w:firstLine="0"/>
              <w:rPr>
                <w:color w:val="auto"/>
                <w:lang w:val="en-GB" w:eastAsia="cs-CZ"/>
              </w:rPr>
            </w:pPr>
          </w:p>
        </w:tc>
      </w:tr>
      <w:tr w:rsidR="001D0ADC" w:rsidRPr="001D0ADC" w14:paraId="7E7A4BA5"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1E329338"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15469C45" w14:textId="6A4A627B"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50E5BD23" w14:textId="532BFC2D" w:rsidR="008B399E" w:rsidRPr="001D0ADC" w:rsidRDefault="008B399E" w:rsidP="008B399E">
            <w:pPr>
              <w:pStyle w:val="NoSpacing"/>
              <w:ind w:firstLine="0"/>
              <w:rPr>
                <w:color w:val="auto"/>
                <w:lang w:val="en-GB" w:eastAsia="cs-CZ"/>
              </w:rPr>
            </w:pPr>
            <w:r w:rsidRPr="001D0ADC">
              <w:rPr>
                <w:color w:val="auto"/>
                <w:lang w:val="en-GB" w:eastAsia="cs-CZ"/>
              </w:rPr>
              <w:t>NOEC for mortality, hatching, heart rate, and body length</w:t>
            </w:r>
          </w:p>
        </w:tc>
        <w:tc>
          <w:tcPr>
            <w:tcW w:w="2633" w:type="dxa"/>
            <w:vMerge w:val="restart"/>
            <w:tcBorders>
              <w:top w:val="single" w:sz="4" w:space="0" w:color="auto"/>
              <w:left w:val="nil"/>
              <w:right w:val="single" w:sz="4" w:space="0" w:color="auto"/>
            </w:tcBorders>
          </w:tcPr>
          <w:p w14:paraId="1895B8CA" w14:textId="3917162E" w:rsidR="008B399E" w:rsidRPr="001D0ADC" w:rsidRDefault="008B399E" w:rsidP="008B399E">
            <w:pPr>
              <w:pStyle w:val="NoSpacing"/>
              <w:ind w:firstLine="0"/>
              <w:rPr>
                <w:color w:val="auto"/>
                <w:lang w:val="en-GB" w:eastAsia="cs-CZ"/>
              </w:rPr>
            </w:pPr>
            <w:r w:rsidRPr="001D0ADC">
              <w:rPr>
                <w:color w:val="auto"/>
                <w:lang w:val="en-GB" w:eastAsia="cs-CZ"/>
              </w:rPr>
              <w:t>ELS (ZF) from 6hpf</w:t>
            </w:r>
          </w:p>
        </w:tc>
        <w:tc>
          <w:tcPr>
            <w:tcW w:w="1967" w:type="dxa"/>
            <w:vMerge w:val="restart"/>
            <w:tcBorders>
              <w:top w:val="single" w:sz="4" w:space="0" w:color="auto"/>
              <w:left w:val="single" w:sz="4" w:space="0" w:color="auto"/>
              <w:right w:val="single" w:sz="4" w:space="0" w:color="auto"/>
            </w:tcBorders>
          </w:tcPr>
          <w:p w14:paraId="42DEE564" w14:textId="4A905594" w:rsidR="008B399E" w:rsidRPr="001D0ADC" w:rsidRDefault="008B399E" w:rsidP="008B399E">
            <w:pPr>
              <w:pStyle w:val="NoSpacing"/>
              <w:ind w:firstLine="0"/>
              <w:rPr>
                <w:color w:val="auto"/>
                <w:lang w:val="en-GB" w:eastAsia="cs-CZ"/>
              </w:rPr>
            </w:pPr>
            <w:r w:rsidRPr="001D0ADC">
              <w:rPr>
                <w:color w:val="auto"/>
                <w:lang w:val="en-GB" w:eastAsia="cs-CZ"/>
              </w:rPr>
              <w:t>144h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C12F628" w14:textId="58937860"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009B3C36" w:rsidRPr="001D0ADC">
              <w:rPr>
                <w:color w:val="auto"/>
                <w:lang w:val="en-GB" w:eastAsia="cs-CZ"/>
              </w:rPr>
              <w:instrText xml:space="preserve"> ADDIN ZOTERO_ITEM CSL_CITATION {"citationID":"aub81s90it","properties":{"formattedCitation":"(H. Chen et al. 2020)","plainCitation":"(H. Chen et al. 2020)","noteIndex":0},"citationItems":[{"id":1402,"uris":["http://zotero.org/users/11614927/items/CEFGWNLR"],"itemData":{"id":1402,"type":"article-journal","abstract":"Concerns regarding environmental exposures and the impacts of pharmaceuticals on non-target aquatic organisms continue to increase. The antiepileptic drug carbamazepine (CBZ) is often detected as an aquatic contaminant and can disrupt various behaviors of ﬁshes. However, there are few reports which investigate the mechanism of CBZ action in ﬁsh. The aim of the current study was to evaluate the eﬀects of CBZ on embryonic development (i.e., hatching rate, heart rate, and body length) and early spontaneous movement. Moreover, we sought to investigate potential mechanisms by focusing on the gamma-aminobutyric acid (GABA) neurotransmitter system in zebraﬁsh 6 days after of exposure. The results show that CBZ exposure did not cause signiﬁcant eﬀects on embryo development (hatching rate, heart rate, nor body length) at the test concentrations. However, the early spontaneous movement of embryos was inhibited following 10 µg/L CBZ exposure at 28–29 h post-fertilization (hpf). In addition, acetylcholinesterase (AChE) activity and GABA concentrations were increased with exposure, whereas glutamate (Glu) concentrations were decreased in larval zebraﬁsh. Gene expression analysis revealed that GABA and glutamate metabolic pathways in zebraﬁsh larvae were altered following exposure to CBZ. GABA transaminase (abat) and glutamic acid decarboxylase (gad1b) decreased to 100 µg/L, and glutamate receptor, ionotropic, N-methyl D-aspartate 1b (grin1b) as well as the glutamate receptor, ionotropic, α-amino-3hydroxy-5methylisoxazole-4propionic 2b (gria2b) were down-regulated with exposure to 1 µg/L CBZ. Our study suggests that CBZ, which can act as an agonist of the GABAA receptor in humans, can also induce alterations in the GABAergic system in ﬁsh. Overall, this study improves understanding of the neurotoxicity and behavioral toxicity of zebraﬁsh exposed to CBZ and generates data to be used to understand mechanisms of action that may underlie antiepileptic drug exposures.","container-title":"International Journal of Environmental Research and Public Health","DOI":"10.3390/ijerph17238882","ISSN":"1660-4601","issue":"23","journalAbbreviation":"IJERPH","language":"en","page":"8882","source":"DOI.org (Crossref)","title":"Development and Molecular Investigation into the Effects of Carbamazepine Exposure in the Zebrafish (Danio rerio)","volume":"17","author":[{"family":"Chen","given":"Huihui"},{"family":"Yang","given":"Huiting"},{"family":"Zhao","given":"Yanyan"},{"family":"Gu","given":"Xiaohong"},{"family":"Martyniuk","given":"Christopher J."}],"issued":{"date-parts":[["2020",11,29]]}}}],"schema":"https://github.com/citation-style-language/schema/raw/master/csl-citation.json"} </w:instrText>
            </w:r>
            <w:r w:rsidRPr="001D0ADC">
              <w:rPr>
                <w:color w:val="auto"/>
                <w:lang w:val="en-GB" w:eastAsia="cs-CZ"/>
              </w:rPr>
              <w:fldChar w:fldCharType="separate"/>
            </w:r>
            <w:r w:rsidR="009B3C36" w:rsidRPr="001D0ADC">
              <w:rPr>
                <w:rFonts w:cs="Times New Roman"/>
                <w:color w:val="auto"/>
                <w:szCs w:val="24"/>
                <w:lang w:val="en-GB"/>
              </w:rPr>
              <w:t>(H. Chen et al. 2020)</w:t>
            </w:r>
            <w:r w:rsidRPr="001D0ADC">
              <w:rPr>
                <w:color w:val="auto"/>
                <w:lang w:val="en-GB" w:eastAsia="cs-CZ"/>
              </w:rPr>
              <w:fldChar w:fldCharType="end"/>
            </w:r>
          </w:p>
        </w:tc>
      </w:tr>
      <w:tr w:rsidR="001D0ADC" w:rsidRPr="001D0ADC" w14:paraId="086A46E5"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47A2DB18"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4DBC1470" w14:textId="1B8C6B33"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001</w:t>
            </w:r>
          </w:p>
        </w:tc>
        <w:tc>
          <w:tcPr>
            <w:tcW w:w="4520" w:type="dxa"/>
            <w:tcBorders>
              <w:top w:val="nil"/>
              <w:left w:val="nil"/>
              <w:bottom w:val="single" w:sz="4" w:space="0" w:color="auto"/>
              <w:right w:val="single" w:sz="4" w:space="0" w:color="auto"/>
            </w:tcBorders>
            <w:shd w:val="clear" w:color="auto" w:fill="auto"/>
            <w:vAlign w:val="bottom"/>
          </w:tcPr>
          <w:p w14:paraId="4368FC08" w14:textId="2B4572F1" w:rsidR="008B399E" w:rsidRPr="001D0ADC" w:rsidRDefault="008B399E" w:rsidP="008B399E">
            <w:pPr>
              <w:pStyle w:val="NoSpacing"/>
              <w:ind w:firstLine="0"/>
              <w:rPr>
                <w:color w:val="auto"/>
                <w:lang w:val="en-GB" w:eastAsia="cs-CZ"/>
              </w:rPr>
            </w:pPr>
            <w:r w:rsidRPr="001D0ADC">
              <w:rPr>
                <w:color w:val="auto"/>
                <w:lang w:val="en-GB" w:eastAsia="cs-CZ"/>
              </w:rPr>
              <w:t>LOEC for gene expression, AChE activity, GABA conc., and Glutamate conc.</w:t>
            </w:r>
          </w:p>
        </w:tc>
        <w:tc>
          <w:tcPr>
            <w:tcW w:w="2633" w:type="dxa"/>
            <w:vMerge/>
            <w:tcBorders>
              <w:left w:val="nil"/>
              <w:bottom w:val="single" w:sz="4" w:space="0" w:color="auto"/>
              <w:right w:val="single" w:sz="4" w:space="0" w:color="auto"/>
            </w:tcBorders>
          </w:tcPr>
          <w:p w14:paraId="2D99959A"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80CEE7D"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3261E6F" w14:textId="77777777" w:rsidR="008B399E" w:rsidRPr="001D0ADC" w:rsidRDefault="008B399E" w:rsidP="008B399E">
            <w:pPr>
              <w:pStyle w:val="NoSpacing"/>
              <w:ind w:firstLine="0"/>
              <w:rPr>
                <w:color w:val="auto"/>
                <w:lang w:val="en-GB" w:eastAsia="cs-CZ"/>
              </w:rPr>
            </w:pPr>
          </w:p>
        </w:tc>
      </w:tr>
      <w:tr w:rsidR="001D0ADC" w:rsidRPr="001D0ADC" w14:paraId="2F8EF278"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7A4C2835"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6AF7556" w14:textId="5E9749F1" w:rsidR="008B399E" w:rsidRPr="001D0ADC" w:rsidRDefault="008B399E" w:rsidP="008B399E">
            <w:pPr>
              <w:pStyle w:val="NoSpacing"/>
              <w:ind w:firstLine="0"/>
              <w:rPr>
                <w:color w:val="auto"/>
                <w:lang w:val="en-GB" w:eastAsia="cs-CZ"/>
              </w:rPr>
            </w:pPr>
            <w:r w:rsidRPr="001D0ADC">
              <w:rPr>
                <w:color w:val="auto"/>
                <w:lang w:val="en-GB" w:eastAsia="cs-CZ"/>
              </w:rPr>
              <w:t>20</w:t>
            </w:r>
          </w:p>
        </w:tc>
        <w:tc>
          <w:tcPr>
            <w:tcW w:w="4520" w:type="dxa"/>
            <w:tcBorders>
              <w:top w:val="nil"/>
              <w:left w:val="nil"/>
              <w:bottom w:val="single" w:sz="4" w:space="0" w:color="auto"/>
              <w:right w:val="single" w:sz="4" w:space="0" w:color="auto"/>
            </w:tcBorders>
            <w:shd w:val="clear" w:color="auto" w:fill="auto"/>
            <w:vAlign w:val="bottom"/>
          </w:tcPr>
          <w:p w14:paraId="2435364A" w14:textId="5AC438CA" w:rsidR="008B399E" w:rsidRPr="001D0ADC" w:rsidRDefault="008B399E" w:rsidP="008B399E">
            <w:pPr>
              <w:pStyle w:val="NoSpacing"/>
              <w:ind w:firstLine="0"/>
              <w:rPr>
                <w:color w:val="auto"/>
                <w:lang w:val="en-GB" w:eastAsia="cs-CZ"/>
              </w:rPr>
            </w:pPr>
            <w:r w:rsidRPr="001D0ADC">
              <w:rPr>
                <w:color w:val="auto"/>
                <w:lang w:val="en-GB" w:eastAsia="cs-CZ"/>
              </w:rPr>
              <w:t>LOEC for delay in hatching</w:t>
            </w:r>
          </w:p>
        </w:tc>
        <w:tc>
          <w:tcPr>
            <w:tcW w:w="2633" w:type="dxa"/>
            <w:vMerge w:val="restart"/>
            <w:tcBorders>
              <w:top w:val="single" w:sz="4" w:space="0" w:color="auto"/>
              <w:left w:val="nil"/>
              <w:right w:val="single" w:sz="4" w:space="0" w:color="auto"/>
            </w:tcBorders>
          </w:tcPr>
          <w:p w14:paraId="28708AC1" w14:textId="768267CE" w:rsidR="008B399E" w:rsidRPr="001D0ADC" w:rsidRDefault="008B399E" w:rsidP="008B399E">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0087C7BD" w14:textId="2DB95ABF" w:rsidR="008B399E" w:rsidRPr="001D0ADC" w:rsidRDefault="008B399E" w:rsidP="008B399E">
            <w:pPr>
              <w:pStyle w:val="NoSpacing"/>
              <w:ind w:firstLine="0"/>
              <w:rPr>
                <w:color w:val="auto"/>
                <w:lang w:val="en-GB" w:eastAsia="cs-CZ"/>
              </w:rPr>
            </w:pPr>
            <w:r w:rsidRPr="001D0ADC">
              <w:rPr>
                <w:color w:val="auto"/>
                <w:lang w:val="en-GB" w:eastAsia="cs-CZ"/>
              </w:rPr>
              <w:t>120h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40644EB" w14:textId="76B73AF8"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009B3C36" w:rsidRPr="001D0ADC">
              <w:rPr>
                <w:color w:val="auto"/>
                <w:lang w:val="en-GB" w:eastAsia="cs-CZ"/>
              </w:rPr>
              <w:instrText xml:space="preserve"> ADDIN ZOTERO_ITEM CSL_CITATION {"citationID":"a6722octrt","properties":{"formattedCitation":"(Bars et al. 2021)","plainCitation":"(Bars et al. 2021)","noteIndex":0},"citationItems":[{"id":1389,"uris":["http://zotero.org/users/11614927/items/7KSB7K79"],"itemData":{"id":1389,"type":"article-journal","abstract":"The zebraﬁsh (Danio rerio) embryo is gaining interest as a bridging tool between in-vitro and in-vivo developmental toxicity studies. However, cytochrome P450 (CYP)-mediated drug metabolism in this model is still under debate. Therefore, we investigated the potential of zebraﬁsh embryos and larvae to bioactivate two known anti-epileptics, carbamazepine (CBZ) and phenytoin (PHE), to carbamazepine-10,11-epoxide (E-CBZ) and 5-(4-hydroxyphenyl)-5-phenylhydantoin (HPPH), respectively.","container-title":"International Journal of Molecular Sciences","DOI":"10.3390/ijms222312696","ISSN":"1422-0067","issue":"23","journalAbbreviation":"IJMS","language":"en","page":"12696","source":"DOI.org (Crossref)","title":"Developmental Toxicity and Biotransformation of Two Anti-Epileptics in Zebrafish Embryos and Early Larvae","volume":"22","author":[{"family":"Bars","given":"Chloé"},{"family":"Hoyberghs","given":"Jente"},{"family":"Valenzuela","given":"Allan"},{"family":"Buyssens","given":"Laura"},{"family":"Ayuso","given":"Miriam"},{"family":"Van Ginneken","given":"Chris"},{"family":"Labro","given":"Alain J."},{"family":"Foubert","given":"Kenn"},{"family":"Van Cruchten","given":"Steven J."}],"issued":{"date-parts":[["2021",11,24]]}}}],"schema":"https://github.com/citation-style-language/schema/raw/master/csl-citation.json"} </w:instrText>
            </w:r>
            <w:r w:rsidRPr="001D0ADC">
              <w:rPr>
                <w:color w:val="auto"/>
                <w:lang w:val="en-GB" w:eastAsia="cs-CZ"/>
              </w:rPr>
              <w:fldChar w:fldCharType="separate"/>
            </w:r>
            <w:r w:rsidR="009B3C36" w:rsidRPr="001D0ADC">
              <w:rPr>
                <w:rFonts w:cs="Times New Roman"/>
                <w:color w:val="auto"/>
                <w:szCs w:val="24"/>
                <w:lang w:val="en-GB"/>
              </w:rPr>
              <w:t>(Bars et al. 2021)</w:t>
            </w:r>
            <w:r w:rsidRPr="001D0ADC">
              <w:rPr>
                <w:color w:val="auto"/>
                <w:lang w:val="en-GB" w:eastAsia="cs-CZ"/>
              </w:rPr>
              <w:fldChar w:fldCharType="end"/>
            </w:r>
          </w:p>
        </w:tc>
      </w:tr>
      <w:tr w:rsidR="001D0ADC" w:rsidRPr="001D0ADC" w14:paraId="460DFCB5"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20A1146D"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E996400" w14:textId="4D762CB3" w:rsidR="008B399E" w:rsidRPr="001D0ADC" w:rsidRDefault="008B399E" w:rsidP="008B399E">
            <w:pPr>
              <w:pStyle w:val="NoSpacing"/>
              <w:ind w:firstLine="0"/>
              <w:rPr>
                <w:color w:val="auto"/>
                <w:lang w:val="en-GB" w:eastAsia="cs-CZ"/>
              </w:rPr>
            </w:pPr>
            <w:r w:rsidRPr="001D0ADC">
              <w:rPr>
                <w:color w:val="auto"/>
                <w:lang w:val="en-GB" w:eastAsia="cs-CZ"/>
              </w:rPr>
              <w:t>59</w:t>
            </w:r>
          </w:p>
        </w:tc>
        <w:tc>
          <w:tcPr>
            <w:tcW w:w="4520" w:type="dxa"/>
            <w:tcBorders>
              <w:top w:val="nil"/>
              <w:left w:val="nil"/>
              <w:bottom w:val="single" w:sz="4" w:space="0" w:color="auto"/>
              <w:right w:val="single" w:sz="4" w:space="0" w:color="auto"/>
            </w:tcBorders>
            <w:shd w:val="clear" w:color="auto" w:fill="auto"/>
            <w:vAlign w:val="bottom"/>
          </w:tcPr>
          <w:p w14:paraId="3D9E3C00" w14:textId="57F7637A" w:rsidR="008B399E" w:rsidRPr="001D0ADC" w:rsidRDefault="008B399E" w:rsidP="008B399E">
            <w:pPr>
              <w:pStyle w:val="NoSpacing"/>
              <w:ind w:firstLine="0"/>
              <w:rPr>
                <w:color w:val="auto"/>
                <w:lang w:val="en-GB" w:eastAsia="cs-CZ"/>
              </w:rPr>
            </w:pPr>
            <w:r w:rsidRPr="001D0ADC">
              <w:rPr>
                <w:color w:val="auto"/>
                <w:lang w:val="en-GB" w:eastAsia="cs-CZ"/>
              </w:rPr>
              <w:t>LOEC for swim bladder, heart, head and eye malformations</w:t>
            </w:r>
          </w:p>
        </w:tc>
        <w:tc>
          <w:tcPr>
            <w:tcW w:w="2633" w:type="dxa"/>
            <w:vMerge/>
            <w:tcBorders>
              <w:left w:val="nil"/>
              <w:bottom w:val="single" w:sz="4" w:space="0" w:color="auto"/>
              <w:right w:val="single" w:sz="4" w:space="0" w:color="auto"/>
            </w:tcBorders>
          </w:tcPr>
          <w:p w14:paraId="7A70AA55"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F437304"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9A04F45" w14:textId="77777777" w:rsidR="008B399E" w:rsidRPr="001D0ADC" w:rsidRDefault="008B399E" w:rsidP="008B399E">
            <w:pPr>
              <w:pStyle w:val="NoSpacing"/>
              <w:ind w:firstLine="0"/>
              <w:rPr>
                <w:color w:val="auto"/>
                <w:lang w:val="en-GB" w:eastAsia="cs-CZ"/>
              </w:rPr>
            </w:pPr>
          </w:p>
        </w:tc>
      </w:tr>
      <w:tr w:rsidR="001D0ADC" w:rsidRPr="001D0ADC" w14:paraId="1F8B23E0"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0BAD0CFD"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08D7F86A" w14:textId="491E2A12" w:rsidR="008B399E" w:rsidRPr="001D0ADC" w:rsidRDefault="008B399E" w:rsidP="008B399E">
            <w:pPr>
              <w:pStyle w:val="NoSpacing"/>
              <w:ind w:firstLine="0"/>
              <w:rPr>
                <w:color w:val="auto"/>
                <w:lang w:val="en-GB" w:eastAsia="cs-CZ"/>
              </w:rPr>
            </w:pPr>
            <w:r w:rsidRPr="001D0ADC">
              <w:rPr>
                <w:color w:val="auto"/>
                <w:lang w:val="en-GB" w:eastAsia="cs-CZ"/>
              </w:rPr>
              <w:t>50</w:t>
            </w:r>
          </w:p>
        </w:tc>
        <w:tc>
          <w:tcPr>
            <w:tcW w:w="4520" w:type="dxa"/>
            <w:tcBorders>
              <w:top w:val="nil"/>
              <w:left w:val="nil"/>
              <w:bottom w:val="single" w:sz="4" w:space="0" w:color="auto"/>
              <w:right w:val="single" w:sz="4" w:space="0" w:color="auto"/>
            </w:tcBorders>
            <w:shd w:val="clear" w:color="auto" w:fill="auto"/>
            <w:vAlign w:val="bottom"/>
          </w:tcPr>
          <w:p w14:paraId="6061BE51" w14:textId="6C356EFE" w:rsidR="008B399E" w:rsidRPr="001D0ADC" w:rsidRDefault="008B399E" w:rsidP="008B399E">
            <w:pPr>
              <w:pStyle w:val="NoSpacing"/>
              <w:ind w:firstLine="0"/>
              <w:rPr>
                <w:color w:val="auto"/>
                <w:lang w:val="en-GB" w:eastAsia="cs-CZ"/>
              </w:rPr>
            </w:pPr>
            <w:r w:rsidRPr="001D0ADC">
              <w:rPr>
                <w:color w:val="auto"/>
                <w:lang w:val="en-GB" w:eastAsia="cs-CZ"/>
              </w:rPr>
              <w:t>EC85 (malformations + deaths), LC50</w:t>
            </w:r>
          </w:p>
        </w:tc>
        <w:tc>
          <w:tcPr>
            <w:tcW w:w="2633" w:type="dxa"/>
            <w:vMerge w:val="restart"/>
            <w:tcBorders>
              <w:top w:val="single" w:sz="4" w:space="0" w:color="auto"/>
              <w:left w:val="nil"/>
              <w:right w:val="single" w:sz="4" w:space="0" w:color="auto"/>
            </w:tcBorders>
          </w:tcPr>
          <w:p w14:paraId="20CF1207" w14:textId="3EBC97C5" w:rsidR="008B399E" w:rsidRPr="001D0ADC" w:rsidRDefault="008B399E" w:rsidP="008B399E">
            <w:pPr>
              <w:pStyle w:val="NoSpacing"/>
              <w:ind w:firstLine="0"/>
              <w:rPr>
                <w:color w:val="auto"/>
                <w:lang w:val="en-GB" w:eastAsia="cs-CZ"/>
              </w:rPr>
            </w:pPr>
            <w:r w:rsidRPr="001D0ADC">
              <w:rPr>
                <w:color w:val="auto"/>
                <w:lang w:val="en-GB" w:eastAsia="cs-CZ"/>
              </w:rPr>
              <w:t>ELS(ZF)</w:t>
            </w:r>
          </w:p>
        </w:tc>
        <w:tc>
          <w:tcPr>
            <w:tcW w:w="1967" w:type="dxa"/>
            <w:vMerge w:val="restart"/>
            <w:tcBorders>
              <w:top w:val="single" w:sz="4" w:space="0" w:color="auto"/>
              <w:left w:val="single" w:sz="4" w:space="0" w:color="auto"/>
              <w:right w:val="single" w:sz="4" w:space="0" w:color="auto"/>
            </w:tcBorders>
          </w:tcPr>
          <w:p w14:paraId="42F35FE6" w14:textId="391CE749" w:rsidR="008B399E" w:rsidRPr="001D0ADC" w:rsidRDefault="008B399E" w:rsidP="008B399E">
            <w:pPr>
              <w:pStyle w:val="NoSpacing"/>
              <w:ind w:firstLine="0"/>
              <w:rPr>
                <w:color w:val="auto"/>
                <w:lang w:val="en-GB" w:eastAsia="cs-CZ"/>
              </w:rPr>
            </w:pPr>
            <w:r w:rsidRPr="001D0ADC">
              <w:rPr>
                <w:color w:val="auto"/>
                <w:lang w:val="en-GB" w:eastAsia="cs-CZ"/>
              </w:rPr>
              <w:t>144h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DB2CDBA" w14:textId="28C9D71E"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009B3C36" w:rsidRPr="001D0ADC">
              <w:rPr>
                <w:color w:val="auto"/>
                <w:lang w:val="en-GB" w:eastAsia="cs-CZ"/>
              </w:rPr>
              <w:instrText xml:space="preserve"> ADDIN ZOTERO_ITEM CSL_CITATION {"citationID":"a217sjtu4js","properties":{"formattedCitation":"(Pohl et al. 2019)","plainCitation":"(Pohl et al. 2019)","noteIndex":0},"citationItems":[{"id":1424,"uris":["http://zotero.org/users/11614927/items/H6MZTBJC"],"itemData":{"id":1424,"type":"article-journal","abstract":"Pharmaceutical residues are polluting the surface water environments worldwide. Sewage and wastewater treatment, therefore, needs to be improved in order to remove pharmaceutical residues from the efﬂuent. One such treatment improvement is efﬂuent ozonation. Even though ozonation has proven to be very efﬁcient in reducing pharmaceutical parent compound concentrations in wastewater efﬂuents, much remains unclear regarding potentially toxic ozonation by-product (OBP) formation. In this study, we sought to elucidate the aquatic toxicity of ozonated pharmaceuticals in zebraﬁsh (Danio rerio) embryos in a static 144 h post fertilization (hpf) ﬁsh embryotoxicity (ZFET) assay. Three pharmaceuticals commonly detected in wastewater efﬂuents, i.e. carbamazepine, diclofenac, and oxazepam, were selected for testing. Toxicity was assessed before and after 1 min ozonation (0.053 mg LÀ1 peak O3 concentration) and 10 min ozonation (0.147 mg LÀ1 peak O3 concentration). Chemical analysis showed that carbamazepine and diclofenac were largely removed by ozone (90 ± 11% and 97 ± 3.8%), whereas oxazepam was removed to a lesser extent (19 ± 5.7%). The ZFET assay revealed diverging toxicities. Diclofenac embryotoxicity decreased with increasing ozonation. Oxazepam did not cause embryotoxicity in the ZFET assay either pre- or post ozonation, but larvae swimming activity was affected at 144 hpf. Carbamazepine embryotoxicity, on the other hand, increased with increasing ozonation. Chemical analysis showed the formation of two OBPs (carbamazepine-10,11-epoxide and 10,11-dihydrocarbamazepine), possibly explaining the increased embryotoxicity. The results of this study highlight the importance of new chemical and toxicological knowledge regarding the formation of OBPs in post-ozonated efﬂuents.","container-title":"Chemosphere","DOI":"10.1016/j.chemosphere.2019.03.034","ISSN":"00456535","journalAbbreviation":"Chemosphere","language":"en","page":"191-199","source":"DOI.org (Crossref)","title":"Embryotoxicity of ozonated diclofenac, carbamazepine, and oxazepam in zebrafish (Danio rerio)","volume":"225","author":[{"family":"Pohl","given":"Johannes"},{"family":"Ahrens","given":"Lutz"},{"family":"Carlsson","given":"Gunnar"},{"family":"Golovko","given":"Oksana"},{"family":"Norrgren","given":"Leif"},{"family":"Weiss","given":"Jana"},{"family":"Örn","given":"Stefan"}],"issued":{"date-parts":[["2019",6]]}}}],"schema":"https://github.com/citation-style-language/schema/raw/master/csl-citation.json"} </w:instrText>
            </w:r>
            <w:r w:rsidRPr="001D0ADC">
              <w:rPr>
                <w:color w:val="auto"/>
                <w:lang w:val="en-GB" w:eastAsia="cs-CZ"/>
              </w:rPr>
              <w:fldChar w:fldCharType="separate"/>
            </w:r>
            <w:r w:rsidR="009B3C36" w:rsidRPr="001D0ADC">
              <w:rPr>
                <w:rFonts w:cs="Times New Roman"/>
                <w:color w:val="auto"/>
                <w:szCs w:val="24"/>
                <w:lang w:val="en-GB"/>
              </w:rPr>
              <w:t>(Pohl et al. 2019)</w:t>
            </w:r>
            <w:r w:rsidRPr="001D0ADC">
              <w:rPr>
                <w:color w:val="auto"/>
                <w:lang w:val="en-GB" w:eastAsia="cs-CZ"/>
              </w:rPr>
              <w:fldChar w:fldCharType="end"/>
            </w:r>
          </w:p>
        </w:tc>
      </w:tr>
      <w:tr w:rsidR="001D0ADC" w:rsidRPr="001D0ADC" w14:paraId="6FEA6B45"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20C50671"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4194DF83" w14:textId="4DBB92B8" w:rsidR="008B399E" w:rsidRPr="001D0ADC" w:rsidRDefault="008B399E" w:rsidP="008B399E">
            <w:pPr>
              <w:pStyle w:val="NoSpacing"/>
              <w:ind w:firstLine="0"/>
              <w:rPr>
                <w:color w:val="auto"/>
                <w:lang w:val="en-GB" w:eastAsia="cs-CZ"/>
              </w:rPr>
            </w:pPr>
            <w:r w:rsidRPr="001D0ADC">
              <w:rPr>
                <w:color w:val="auto"/>
                <w:lang w:val="en-GB" w:eastAsia="cs-CZ"/>
              </w:rPr>
              <w:t>100</w:t>
            </w:r>
          </w:p>
        </w:tc>
        <w:tc>
          <w:tcPr>
            <w:tcW w:w="4520" w:type="dxa"/>
            <w:tcBorders>
              <w:top w:val="nil"/>
              <w:left w:val="nil"/>
              <w:bottom w:val="single" w:sz="4" w:space="0" w:color="auto"/>
              <w:right w:val="single" w:sz="4" w:space="0" w:color="auto"/>
            </w:tcBorders>
            <w:shd w:val="clear" w:color="auto" w:fill="auto"/>
            <w:vAlign w:val="bottom"/>
          </w:tcPr>
          <w:p w14:paraId="074F82DA" w14:textId="7219F7E8" w:rsidR="008B399E" w:rsidRPr="001D0ADC" w:rsidRDefault="008B399E" w:rsidP="008B399E">
            <w:pPr>
              <w:pStyle w:val="NoSpacing"/>
              <w:ind w:firstLine="0"/>
              <w:rPr>
                <w:color w:val="auto"/>
                <w:lang w:val="en-GB" w:eastAsia="cs-CZ"/>
              </w:rPr>
            </w:pPr>
            <w:r w:rsidRPr="001D0ADC">
              <w:rPr>
                <w:color w:val="auto"/>
                <w:lang w:val="en-GB" w:eastAsia="cs-CZ"/>
              </w:rPr>
              <w:t>LOEC for heartbeat decrease</w:t>
            </w:r>
          </w:p>
        </w:tc>
        <w:tc>
          <w:tcPr>
            <w:tcW w:w="2633" w:type="dxa"/>
            <w:vMerge/>
            <w:tcBorders>
              <w:left w:val="nil"/>
              <w:bottom w:val="single" w:sz="4" w:space="0" w:color="auto"/>
              <w:right w:val="single" w:sz="4" w:space="0" w:color="auto"/>
            </w:tcBorders>
          </w:tcPr>
          <w:p w14:paraId="105BAC01"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7E26ECB"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4C11FB6" w14:textId="77777777" w:rsidR="008B399E" w:rsidRPr="001D0ADC" w:rsidRDefault="008B399E" w:rsidP="008B399E">
            <w:pPr>
              <w:pStyle w:val="NoSpacing"/>
              <w:ind w:firstLine="0"/>
              <w:rPr>
                <w:color w:val="auto"/>
                <w:lang w:val="en-GB" w:eastAsia="cs-CZ"/>
              </w:rPr>
            </w:pPr>
          </w:p>
        </w:tc>
      </w:tr>
      <w:tr w:rsidR="001D0ADC" w:rsidRPr="001D0ADC" w14:paraId="431C3768"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686BE3B0"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0E0ACFE0" w14:textId="1C911B8F"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005</w:t>
            </w:r>
          </w:p>
        </w:tc>
        <w:tc>
          <w:tcPr>
            <w:tcW w:w="4520" w:type="dxa"/>
            <w:tcBorders>
              <w:top w:val="nil"/>
              <w:left w:val="nil"/>
              <w:bottom w:val="single" w:sz="4" w:space="0" w:color="auto"/>
              <w:right w:val="single" w:sz="4" w:space="0" w:color="auto"/>
            </w:tcBorders>
            <w:shd w:val="clear" w:color="auto" w:fill="auto"/>
            <w:vAlign w:val="bottom"/>
          </w:tcPr>
          <w:p w14:paraId="4FD57E4B" w14:textId="389ACDE2" w:rsidR="008B399E" w:rsidRPr="001D0ADC" w:rsidRDefault="008B399E" w:rsidP="008B399E">
            <w:pPr>
              <w:pStyle w:val="NoSpacing"/>
              <w:ind w:firstLine="0"/>
              <w:rPr>
                <w:color w:val="auto"/>
                <w:lang w:val="en-GB" w:eastAsia="cs-CZ"/>
              </w:rPr>
            </w:pPr>
            <w:r w:rsidRPr="001D0ADC">
              <w:rPr>
                <w:color w:val="auto"/>
                <w:lang w:val="en-GB" w:eastAsia="cs-CZ"/>
              </w:rPr>
              <w:t>NOEC for mortality and malformations, LOEC for spontaneous movement (27h)pf, response to light stimuli, gene expression</w:t>
            </w:r>
          </w:p>
        </w:tc>
        <w:tc>
          <w:tcPr>
            <w:tcW w:w="2633" w:type="dxa"/>
            <w:vMerge w:val="restart"/>
            <w:tcBorders>
              <w:top w:val="single" w:sz="4" w:space="0" w:color="auto"/>
              <w:left w:val="nil"/>
              <w:right w:val="single" w:sz="4" w:space="0" w:color="auto"/>
            </w:tcBorders>
          </w:tcPr>
          <w:p w14:paraId="4C5AECBF" w14:textId="1C0E858C" w:rsidR="008B399E" w:rsidRPr="001D0ADC" w:rsidRDefault="008B399E" w:rsidP="008B399E">
            <w:pPr>
              <w:pStyle w:val="NoSpacing"/>
              <w:ind w:firstLine="0"/>
              <w:rPr>
                <w:color w:val="auto"/>
                <w:lang w:val="en-GB" w:eastAsia="cs-CZ"/>
              </w:rPr>
            </w:pPr>
            <w:r w:rsidRPr="001D0ADC">
              <w:rPr>
                <w:color w:val="auto"/>
                <w:lang w:val="en-GB" w:eastAsia="cs-CZ"/>
              </w:rPr>
              <w:t>ELS(ZF) 4hpf</w:t>
            </w:r>
          </w:p>
        </w:tc>
        <w:tc>
          <w:tcPr>
            <w:tcW w:w="1967" w:type="dxa"/>
            <w:vMerge w:val="restart"/>
            <w:tcBorders>
              <w:top w:val="single" w:sz="4" w:space="0" w:color="auto"/>
              <w:left w:val="single" w:sz="4" w:space="0" w:color="auto"/>
              <w:right w:val="single" w:sz="4" w:space="0" w:color="auto"/>
            </w:tcBorders>
          </w:tcPr>
          <w:p w14:paraId="57392BA2" w14:textId="387AB1A2" w:rsidR="008B399E" w:rsidRPr="001D0ADC" w:rsidRDefault="008B399E" w:rsidP="008B399E">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74BD44C" w14:textId="54ADE95D"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009B3C36" w:rsidRPr="001D0ADC">
              <w:rPr>
                <w:color w:val="auto"/>
                <w:lang w:val="en-GB" w:eastAsia="cs-CZ"/>
              </w:rPr>
              <w:instrText xml:space="preserve"> ADDIN ZOTERO_ITEM CSL_CITATION {"citationID":"a1bbmbifa5i","properties":{"formattedCitation":"(Qiang et al. 2016)","plainCitation":"(Qiang et al. 2016)","noteIndex":0},"citationItems":[{"id":1387,"uris":["http://zotero.org/users/11614927/items/25WAXY3S"],"itemData":{"id":1387,"type":"article-journal","container-title":"Ecotoxicology","DOI":"10.1007/s10646-016-1694-y","ISSN":"0963-9292, 1573-3017","issue":"7","journalAbbreviation":"Ecotoxicology","language":"en","page":"1426-1437","source":"DOI.org (Crossref)","title":"Environmental concentration of carbamazepine accelerates fish embryonic development and disturbs larvae behavior","volume":"25","author":[{"family":"Qiang","given":"Liyuan"},{"family":"Cheng","given":"Jinping"},{"family":"Yi","given":"Jun"},{"family":"Rotchell","given":"Jeanette M."},{"family":"Zhu","given":"Xiaotong"},{"family":"Zhou","given":"Junliang"}],"issued":{"date-parts":[["2016",9]]}}}],"schema":"https://github.com/citation-style-language/schema/raw/master/csl-citation.json"} </w:instrText>
            </w:r>
            <w:r w:rsidRPr="001D0ADC">
              <w:rPr>
                <w:color w:val="auto"/>
                <w:lang w:val="en-GB" w:eastAsia="cs-CZ"/>
              </w:rPr>
              <w:fldChar w:fldCharType="separate"/>
            </w:r>
            <w:r w:rsidR="009B3C36" w:rsidRPr="001D0ADC">
              <w:rPr>
                <w:rFonts w:cs="Times New Roman"/>
                <w:color w:val="auto"/>
                <w:szCs w:val="24"/>
                <w:lang w:val="en-GB"/>
              </w:rPr>
              <w:t>(Qiang et al. 2016)</w:t>
            </w:r>
            <w:r w:rsidRPr="001D0ADC">
              <w:rPr>
                <w:color w:val="auto"/>
                <w:lang w:val="en-GB" w:eastAsia="cs-CZ"/>
              </w:rPr>
              <w:fldChar w:fldCharType="end"/>
            </w:r>
          </w:p>
        </w:tc>
      </w:tr>
      <w:tr w:rsidR="001D0ADC" w:rsidRPr="001D0ADC" w14:paraId="01E1BDB6"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6DBF90A5"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691CE8F3" w14:textId="3ABC5D7A"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002</w:t>
            </w:r>
          </w:p>
        </w:tc>
        <w:tc>
          <w:tcPr>
            <w:tcW w:w="4520" w:type="dxa"/>
            <w:tcBorders>
              <w:top w:val="nil"/>
              <w:left w:val="nil"/>
              <w:bottom w:val="single" w:sz="4" w:space="0" w:color="auto"/>
              <w:right w:val="single" w:sz="4" w:space="0" w:color="auto"/>
            </w:tcBorders>
            <w:shd w:val="clear" w:color="auto" w:fill="auto"/>
            <w:vAlign w:val="bottom"/>
          </w:tcPr>
          <w:p w14:paraId="15219868" w14:textId="1AC6DA33" w:rsidR="008B399E" w:rsidRPr="001D0ADC" w:rsidRDefault="008B399E" w:rsidP="008B399E">
            <w:pPr>
              <w:pStyle w:val="NoSpacing"/>
              <w:ind w:firstLine="0"/>
              <w:rPr>
                <w:color w:val="auto"/>
                <w:lang w:val="en-GB" w:eastAsia="cs-CZ"/>
              </w:rPr>
            </w:pPr>
            <w:r w:rsidRPr="001D0ADC">
              <w:rPr>
                <w:color w:val="auto"/>
                <w:lang w:val="en-GB" w:eastAsia="cs-CZ"/>
              </w:rPr>
              <w:t xml:space="preserve">LOEC for length incr., swim bladder development earlier, response to touch </w:t>
            </w:r>
          </w:p>
        </w:tc>
        <w:tc>
          <w:tcPr>
            <w:tcW w:w="2633" w:type="dxa"/>
            <w:vMerge/>
            <w:tcBorders>
              <w:left w:val="nil"/>
              <w:right w:val="single" w:sz="4" w:space="0" w:color="auto"/>
            </w:tcBorders>
          </w:tcPr>
          <w:p w14:paraId="44E0975C"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right w:val="single" w:sz="4" w:space="0" w:color="auto"/>
            </w:tcBorders>
          </w:tcPr>
          <w:p w14:paraId="771B8C7F"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76E9C970" w14:textId="77777777" w:rsidR="008B399E" w:rsidRPr="001D0ADC" w:rsidRDefault="008B399E" w:rsidP="008B399E">
            <w:pPr>
              <w:pStyle w:val="NoSpacing"/>
              <w:ind w:firstLine="0"/>
              <w:rPr>
                <w:color w:val="auto"/>
                <w:lang w:val="en-GB" w:eastAsia="cs-CZ"/>
              </w:rPr>
            </w:pPr>
          </w:p>
        </w:tc>
      </w:tr>
      <w:tr w:rsidR="001D0ADC" w:rsidRPr="001D0ADC" w14:paraId="06819DE8"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1FB01E37"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4283EB3D" w14:textId="26D10C00"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001</w:t>
            </w:r>
          </w:p>
        </w:tc>
        <w:tc>
          <w:tcPr>
            <w:tcW w:w="4520" w:type="dxa"/>
            <w:tcBorders>
              <w:top w:val="nil"/>
              <w:left w:val="nil"/>
              <w:bottom w:val="single" w:sz="4" w:space="0" w:color="auto"/>
              <w:right w:val="single" w:sz="4" w:space="0" w:color="auto"/>
            </w:tcBorders>
            <w:shd w:val="clear" w:color="auto" w:fill="auto"/>
            <w:vAlign w:val="bottom"/>
          </w:tcPr>
          <w:p w14:paraId="59E46A09" w14:textId="6CF61510" w:rsidR="008B399E" w:rsidRPr="001D0ADC" w:rsidRDefault="008B399E" w:rsidP="008B399E">
            <w:pPr>
              <w:pStyle w:val="NoSpacing"/>
              <w:ind w:firstLine="0"/>
              <w:rPr>
                <w:color w:val="auto"/>
                <w:lang w:val="en-GB" w:eastAsia="cs-CZ"/>
              </w:rPr>
            </w:pPr>
            <w:r w:rsidRPr="001D0ADC">
              <w:rPr>
                <w:color w:val="auto"/>
                <w:lang w:val="en-GB" w:eastAsia="cs-CZ"/>
              </w:rPr>
              <w:t xml:space="preserve">LOEC for earlier yolk sack absorption </w:t>
            </w:r>
          </w:p>
        </w:tc>
        <w:tc>
          <w:tcPr>
            <w:tcW w:w="2633" w:type="dxa"/>
            <w:vMerge/>
            <w:tcBorders>
              <w:left w:val="nil"/>
              <w:bottom w:val="single" w:sz="4" w:space="0" w:color="auto"/>
              <w:right w:val="single" w:sz="4" w:space="0" w:color="auto"/>
            </w:tcBorders>
          </w:tcPr>
          <w:p w14:paraId="2AC4C42C" w14:textId="77777777" w:rsidR="008B399E" w:rsidRPr="001D0ADC" w:rsidRDefault="008B399E" w:rsidP="008B399E">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9A68AD9" w14:textId="77777777" w:rsidR="008B399E" w:rsidRPr="001D0ADC" w:rsidRDefault="008B399E" w:rsidP="008B399E">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5298FE1" w14:textId="77777777" w:rsidR="008B399E" w:rsidRPr="001D0ADC" w:rsidRDefault="008B399E" w:rsidP="008B399E">
            <w:pPr>
              <w:pStyle w:val="NoSpacing"/>
              <w:ind w:firstLine="0"/>
              <w:rPr>
                <w:color w:val="auto"/>
                <w:lang w:val="en-GB" w:eastAsia="cs-CZ"/>
              </w:rPr>
            </w:pPr>
          </w:p>
        </w:tc>
      </w:tr>
      <w:tr w:rsidR="001D0ADC" w:rsidRPr="001D0ADC" w14:paraId="5A577F38"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0B7A303A" w14:textId="77777777" w:rsidR="00E920E8" w:rsidRPr="001D0ADC" w:rsidRDefault="00E920E8"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6998CDA7" w14:textId="15860A69" w:rsidR="00E920E8" w:rsidRPr="001D0ADC" w:rsidRDefault="00CF2036" w:rsidP="008B399E">
            <w:pPr>
              <w:pStyle w:val="NoSpacing"/>
              <w:ind w:firstLine="0"/>
              <w:rPr>
                <w:color w:val="auto"/>
                <w:lang w:val="en-GB" w:eastAsia="cs-CZ"/>
              </w:rPr>
            </w:pPr>
            <w:r w:rsidRPr="001D0ADC">
              <w:rPr>
                <w:color w:val="auto"/>
                <w:lang w:val="en-GB" w:eastAsia="cs-CZ"/>
              </w:rPr>
              <w:t>0.</w:t>
            </w:r>
            <w:r w:rsidR="009A0FE6" w:rsidRPr="001D0ADC">
              <w:rPr>
                <w:color w:val="auto"/>
                <w:lang w:val="en-GB" w:eastAsia="cs-CZ"/>
              </w:rPr>
              <w:t>00046</w:t>
            </w:r>
          </w:p>
        </w:tc>
        <w:tc>
          <w:tcPr>
            <w:tcW w:w="4520" w:type="dxa"/>
            <w:tcBorders>
              <w:top w:val="nil"/>
              <w:left w:val="nil"/>
              <w:bottom w:val="single" w:sz="4" w:space="0" w:color="auto"/>
              <w:right w:val="single" w:sz="4" w:space="0" w:color="auto"/>
            </w:tcBorders>
            <w:shd w:val="clear" w:color="auto" w:fill="auto"/>
            <w:vAlign w:val="bottom"/>
          </w:tcPr>
          <w:p w14:paraId="26165C6E" w14:textId="6F35EC10" w:rsidR="00E920E8" w:rsidRPr="001D0ADC" w:rsidRDefault="009A0FE6" w:rsidP="008B399E">
            <w:pPr>
              <w:pStyle w:val="NoSpacing"/>
              <w:ind w:firstLine="0"/>
              <w:rPr>
                <w:color w:val="auto"/>
                <w:lang w:val="en-GB" w:eastAsia="cs-CZ"/>
              </w:rPr>
            </w:pPr>
            <w:r w:rsidRPr="001D0ADC">
              <w:rPr>
                <w:color w:val="auto"/>
                <w:lang w:val="en-GB" w:eastAsia="cs-CZ"/>
              </w:rPr>
              <w:t>LOEC for hatching delay</w:t>
            </w:r>
          </w:p>
        </w:tc>
        <w:tc>
          <w:tcPr>
            <w:tcW w:w="2633" w:type="dxa"/>
            <w:tcBorders>
              <w:left w:val="nil"/>
              <w:bottom w:val="single" w:sz="4" w:space="0" w:color="auto"/>
              <w:right w:val="single" w:sz="4" w:space="0" w:color="auto"/>
            </w:tcBorders>
          </w:tcPr>
          <w:p w14:paraId="42E4BCDB" w14:textId="4F66FA63" w:rsidR="00E920E8" w:rsidRPr="001D0ADC" w:rsidRDefault="009A0FE6" w:rsidP="008B399E">
            <w:pPr>
              <w:pStyle w:val="NoSpacing"/>
              <w:ind w:firstLine="0"/>
              <w:rPr>
                <w:color w:val="auto"/>
                <w:lang w:val="en-GB" w:eastAsia="cs-CZ"/>
              </w:rPr>
            </w:pPr>
            <w:r w:rsidRPr="001D0ADC">
              <w:rPr>
                <w:color w:val="auto"/>
                <w:lang w:val="en-GB" w:eastAsia="cs-CZ"/>
              </w:rPr>
              <w:t>ELS(ZF) (OECD236)</w:t>
            </w:r>
          </w:p>
        </w:tc>
        <w:tc>
          <w:tcPr>
            <w:tcW w:w="1967" w:type="dxa"/>
            <w:tcBorders>
              <w:left w:val="single" w:sz="4" w:space="0" w:color="auto"/>
              <w:bottom w:val="single" w:sz="4" w:space="0" w:color="auto"/>
              <w:right w:val="single" w:sz="4" w:space="0" w:color="auto"/>
            </w:tcBorders>
          </w:tcPr>
          <w:p w14:paraId="5C2DEFAE" w14:textId="0B962C97" w:rsidR="00E920E8" w:rsidRPr="001D0ADC" w:rsidRDefault="009A0FE6" w:rsidP="008B399E">
            <w:pPr>
              <w:pStyle w:val="NoSpacing"/>
              <w:ind w:firstLine="0"/>
              <w:rPr>
                <w:color w:val="auto"/>
                <w:lang w:val="en-GB" w:eastAsia="cs-CZ"/>
              </w:rPr>
            </w:pPr>
            <w:r w:rsidRPr="001D0ADC">
              <w:rPr>
                <w:color w:val="auto"/>
                <w:lang w:val="en-GB" w:eastAsia="cs-CZ"/>
              </w:rPr>
              <w:t>120h</w:t>
            </w:r>
          </w:p>
        </w:tc>
        <w:tc>
          <w:tcPr>
            <w:tcW w:w="2300" w:type="dxa"/>
            <w:tcBorders>
              <w:left w:val="single" w:sz="4" w:space="0" w:color="auto"/>
              <w:bottom w:val="single" w:sz="4" w:space="0" w:color="auto"/>
              <w:right w:val="single" w:sz="4" w:space="0" w:color="auto"/>
            </w:tcBorders>
            <w:shd w:val="clear" w:color="auto" w:fill="auto"/>
            <w:vAlign w:val="bottom"/>
          </w:tcPr>
          <w:p w14:paraId="6950C30B" w14:textId="5ADB1A0F" w:rsidR="00E920E8" w:rsidRPr="001D0ADC" w:rsidRDefault="009A0FE6" w:rsidP="008B399E">
            <w:pPr>
              <w:pStyle w:val="NoSpacing"/>
              <w:ind w:firstLine="0"/>
              <w:rPr>
                <w:color w:val="auto"/>
                <w:lang w:val="en-GB" w:eastAsia="cs-CZ"/>
              </w:rPr>
            </w:pPr>
            <w:r w:rsidRPr="001D0ADC">
              <w:rPr>
                <w:color w:val="auto"/>
                <w:lang w:val="en-GB" w:eastAsia="cs-CZ"/>
              </w:rPr>
              <w:fldChar w:fldCharType="begin"/>
            </w:r>
            <w:r w:rsidR="009B3C36" w:rsidRPr="001D0ADC">
              <w:rPr>
                <w:color w:val="auto"/>
                <w:lang w:val="en-GB" w:eastAsia="cs-CZ"/>
              </w:rPr>
              <w:instrText xml:space="preserve"> ADDIN ZOTERO_ITEM CSL_CITATION {"citationID":"a1js7ekftvi","properties":{"formattedCitation":"(Ribbenstedt, Posselt, and Benskin 2022)","plainCitation":"(Ribbenstedt, Posselt, and Benskin 2022)","noteIndex":0},"citationItems":[{"id":1411,"uris":["http://zotero.org/users/11614927/items/P8PPVSTM"],"itemData":{"id":1411,"type":"article-journal","abstract":"Toxicometabolomics and biotransformation product (bioTP) elucidation were carried out in single zebraﬁsh (ZF) embryos exposed to carbamazepine (CBZ). Exposures were conducted in 96-well plates containing six CBZ concentrations ranging from 0.5 μg/L to 50 mg/L (n = 12 embryos per dose). In the 50 mg/L dose group, 33% of embryos developed edema during the exposure (120 hpf), while hatching was signiﬁcantly delayed in three of the lower-dose groups (0.46, 3.85, and 445 μg/L) compared to the control at 48 hpf. Toxicometabolomic analysis together with random forest modeling revealed a total of 80 signiﬁcantly aﬀected metabolites (22 identiﬁed via targeted lipidomics and 58 via nontarget analysis). The wide range of doses enabled the observation of both monotonic and nonmonotonic dose responses in the metabolome, which ultimately produced a unique and comprehensive biochemical picture that aligns with existing knowledge on the mode of action of CBZ. The combination of high dose exposures and apical endpoint assessment in single embryos also enabled hypothesis generation regarding the target organ for the morphologically altering insult. In addition, two CBZ bioTPs were identiﬁed without additional exposure experiments. Overall, this work showcases the potential of toxicometabolomics and bioTP determination in single ZF embryos for rapid and comprehensive chemical hazard assessment.","container-title":"Chemical Research in Toxicology","DOI":"10.1021/acs.chemrestox.1c00335","ISSN":"0893-228X, 1520-5010","issue":"3","journalAbbreviation":"Chem. Res. Toxicol.","language":"en","page":"431-439","source":"DOI.org (Crossref)","title":"Toxicometabolomics and Biotransformation Product Elucidation in Single Zebrafish Embryos Exposed to Carbamazepine from Environmentally-Relevant to Morphologically Altering Doses","volume":"35","author":[{"family":"Ribbenstedt","given":"Anton"},{"family":"Posselt","given":"Malte"},{"family":"Benskin","given":"Jonathan P."}],"issued":{"date-parts":[["2022",3,21]]}}}],"schema":"https://github.com/citation-style-language/schema/raw/master/csl-citation.json"} </w:instrText>
            </w:r>
            <w:r w:rsidRPr="001D0ADC">
              <w:rPr>
                <w:color w:val="auto"/>
                <w:lang w:val="en-GB" w:eastAsia="cs-CZ"/>
              </w:rPr>
              <w:fldChar w:fldCharType="separate"/>
            </w:r>
            <w:r w:rsidR="009B3C36" w:rsidRPr="001D0ADC">
              <w:rPr>
                <w:rFonts w:cs="Times New Roman"/>
                <w:color w:val="auto"/>
                <w:szCs w:val="24"/>
                <w:lang w:val="en-GB"/>
              </w:rPr>
              <w:t>(Ribbenstedt, Posselt, and Benskin 2022)</w:t>
            </w:r>
            <w:r w:rsidRPr="001D0ADC">
              <w:rPr>
                <w:color w:val="auto"/>
                <w:lang w:val="en-GB" w:eastAsia="cs-CZ"/>
              </w:rPr>
              <w:fldChar w:fldCharType="end"/>
            </w:r>
          </w:p>
        </w:tc>
      </w:tr>
      <w:tr w:rsidR="001D0ADC" w:rsidRPr="001D0ADC" w14:paraId="500D716B"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7072859" w14:textId="77777777" w:rsidR="008B399E" w:rsidRPr="001D0ADC" w:rsidRDefault="008B399E" w:rsidP="008B399E">
            <w:pPr>
              <w:pStyle w:val="NoSpacing"/>
              <w:ind w:firstLine="0"/>
              <w:rPr>
                <w:color w:val="auto"/>
                <w:lang w:val="en-GB" w:eastAsia="cs-CZ"/>
              </w:rPr>
            </w:pPr>
          </w:p>
        </w:tc>
        <w:tc>
          <w:tcPr>
            <w:tcW w:w="13122" w:type="dxa"/>
            <w:gridSpan w:val="5"/>
            <w:tcBorders>
              <w:top w:val="nil"/>
              <w:left w:val="single" w:sz="4" w:space="0" w:color="auto"/>
              <w:bottom w:val="single" w:sz="4" w:space="0" w:color="auto"/>
              <w:right w:val="single" w:sz="4" w:space="0" w:color="auto"/>
            </w:tcBorders>
            <w:shd w:val="clear" w:color="auto" w:fill="auto"/>
            <w:vAlign w:val="center"/>
          </w:tcPr>
          <w:p w14:paraId="48A3D41E" w14:textId="50971DCD" w:rsidR="008B399E" w:rsidRPr="001D0ADC" w:rsidRDefault="00CC5B19" w:rsidP="006C31A6">
            <w:pPr>
              <w:pStyle w:val="NoSpacing"/>
              <w:ind w:firstLine="0"/>
              <w:jc w:val="left"/>
              <w:rPr>
                <w:b/>
                <w:bCs/>
                <w:color w:val="auto"/>
                <w:lang w:val="en-GB" w:eastAsia="cs-CZ"/>
              </w:rPr>
            </w:pPr>
            <w:r w:rsidRPr="001D0ADC">
              <w:rPr>
                <w:b/>
                <w:bCs/>
                <w:color w:val="auto"/>
                <w:lang w:val="en-GB" w:eastAsia="cs-CZ"/>
              </w:rPr>
              <w:t xml:space="preserve">FET or comparable early life-stage test </w:t>
            </w:r>
            <w:r w:rsidR="008B399E" w:rsidRPr="001D0ADC">
              <w:rPr>
                <w:b/>
                <w:bCs/>
                <w:color w:val="auto"/>
                <w:lang w:val="en-GB" w:eastAsia="cs-CZ"/>
              </w:rPr>
              <w:t>(other</w:t>
            </w:r>
            <w:r w:rsidRPr="001D0ADC">
              <w:rPr>
                <w:b/>
                <w:bCs/>
                <w:color w:val="auto"/>
                <w:lang w:val="en-GB" w:eastAsia="cs-CZ"/>
              </w:rPr>
              <w:t xml:space="preserve"> than ZF</w:t>
            </w:r>
            <w:r w:rsidR="008B399E" w:rsidRPr="001D0ADC">
              <w:rPr>
                <w:b/>
                <w:bCs/>
                <w:color w:val="auto"/>
                <w:lang w:val="en-GB" w:eastAsia="cs-CZ"/>
              </w:rPr>
              <w:t>)</w:t>
            </w:r>
            <w:r w:rsidR="000F6A8E" w:rsidRPr="001D0ADC">
              <w:rPr>
                <w:b/>
                <w:bCs/>
                <w:color w:val="auto"/>
                <w:lang w:val="en-GB" w:eastAsia="cs-CZ"/>
              </w:rPr>
              <w:t xml:space="preserve"> (mg/l)</w:t>
            </w:r>
          </w:p>
        </w:tc>
      </w:tr>
      <w:tr w:rsidR="001D0ADC" w:rsidRPr="001D0ADC" w14:paraId="1B0D8AB0"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2EC4ECA4"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3B71017" w14:textId="7DA71D09" w:rsidR="008B399E" w:rsidRPr="001D0ADC" w:rsidRDefault="00CF2036" w:rsidP="008B399E">
            <w:pPr>
              <w:pStyle w:val="NoSpacing"/>
              <w:ind w:firstLine="0"/>
              <w:rPr>
                <w:color w:val="auto"/>
                <w:lang w:val="en-GB" w:eastAsia="cs-CZ"/>
              </w:rPr>
            </w:pPr>
            <w:r w:rsidRPr="001D0ADC">
              <w:rPr>
                <w:color w:val="auto"/>
                <w:lang w:val="en-GB" w:eastAsia="cs-CZ"/>
              </w:rPr>
              <w:t>0.</w:t>
            </w:r>
            <w:r w:rsidR="008B399E" w:rsidRPr="001D0ADC">
              <w:rPr>
                <w:color w:val="auto"/>
                <w:lang w:val="en-GB" w:eastAsia="cs-CZ"/>
              </w:rPr>
              <w:t>862</w:t>
            </w:r>
          </w:p>
        </w:tc>
        <w:tc>
          <w:tcPr>
            <w:tcW w:w="4520" w:type="dxa"/>
            <w:tcBorders>
              <w:top w:val="nil"/>
              <w:left w:val="nil"/>
              <w:bottom w:val="single" w:sz="4" w:space="0" w:color="auto"/>
              <w:right w:val="single" w:sz="4" w:space="0" w:color="auto"/>
            </w:tcBorders>
            <w:shd w:val="clear" w:color="auto" w:fill="auto"/>
            <w:vAlign w:val="bottom"/>
          </w:tcPr>
          <w:p w14:paraId="30F12B42" w14:textId="77777777" w:rsidR="008B399E" w:rsidRPr="001D0ADC" w:rsidRDefault="008B399E" w:rsidP="008B399E">
            <w:pPr>
              <w:pStyle w:val="NoSpacing"/>
              <w:ind w:firstLine="0"/>
              <w:rPr>
                <w:color w:val="auto"/>
                <w:lang w:val="en-GB" w:eastAsia="cs-CZ"/>
              </w:rPr>
            </w:pPr>
            <w:r w:rsidRPr="001D0ADC">
              <w:rPr>
                <w:color w:val="auto"/>
                <w:lang w:val="en-GB" w:eastAsia="cs-CZ"/>
              </w:rPr>
              <w:t>NOEC for survival and growth</w:t>
            </w:r>
          </w:p>
        </w:tc>
        <w:tc>
          <w:tcPr>
            <w:tcW w:w="2633" w:type="dxa"/>
            <w:tcBorders>
              <w:top w:val="single" w:sz="4" w:space="0" w:color="auto"/>
              <w:left w:val="nil"/>
              <w:bottom w:val="single" w:sz="4" w:space="0" w:color="auto"/>
              <w:right w:val="single" w:sz="4" w:space="0" w:color="auto"/>
            </w:tcBorders>
          </w:tcPr>
          <w:p w14:paraId="2F1541D8" w14:textId="77777777" w:rsidR="008B399E" w:rsidRPr="001D0ADC" w:rsidRDefault="008B399E" w:rsidP="008B399E">
            <w:pPr>
              <w:pStyle w:val="NoSpacing"/>
              <w:ind w:firstLine="0"/>
              <w:rPr>
                <w:color w:val="auto"/>
                <w:lang w:val="en-GB" w:eastAsia="cs-CZ"/>
              </w:rPr>
            </w:pPr>
            <w:r w:rsidRPr="001D0ADC">
              <w:rPr>
                <w:color w:val="auto"/>
                <w:lang w:val="en-GB" w:eastAsia="cs-CZ"/>
              </w:rPr>
              <w:t>ELS (OECD210)(FM)</w:t>
            </w:r>
          </w:p>
        </w:tc>
        <w:tc>
          <w:tcPr>
            <w:tcW w:w="1967" w:type="dxa"/>
            <w:tcBorders>
              <w:top w:val="single" w:sz="4" w:space="0" w:color="auto"/>
              <w:left w:val="single" w:sz="4" w:space="0" w:color="auto"/>
              <w:bottom w:val="single" w:sz="4" w:space="0" w:color="auto"/>
              <w:right w:val="single" w:sz="4" w:space="0" w:color="auto"/>
            </w:tcBorders>
          </w:tcPr>
          <w:p w14:paraId="5D8BBE27" w14:textId="77777777" w:rsidR="008B399E" w:rsidRPr="001D0ADC" w:rsidRDefault="008B399E" w:rsidP="008B399E">
            <w:pPr>
              <w:pStyle w:val="NoSpacing"/>
              <w:ind w:firstLine="0"/>
              <w:rPr>
                <w:color w:val="auto"/>
                <w:lang w:val="en-GB" w:eastAsia="cs-CZ"/>
              </w:rPr>
            </w:pPr>
            <w:r w:rsidRPr="001D0ADC">
              <w:rPr>
                <w:color w:val="auto"/>
                <w:lang w:val="en-GB" w:eastAsia="cs-CZ"/>
              </w:rPr>
              <w:t>28d post hatch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50AD155"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{"citationID":"gWBjY81J","properties":{"formattedCitation":"(Overturf et al. 2012)","plainCitation":"(Overturf et al. 2012)","noteIndex":0},"citationItems":[{"id":1284,"uris":["http://zotero.org/users/11614927/items/ZAA6ICKR"],"itemData":{"id":1284,"type":"article-journal","container-title":"Archives of Environmental Contamination and Toxicology","DOI":"10.1007/s00244-011-9723-6","ISSN":"0090-4341, 1432-0703","issue":"3","journalAbbreviation":"Arch Environ Contam Toxicol","language":"en","page":"455-464","source":"DOI.org (Crossref)","title":"Early Life-Stage Toxicity of Eight Pharmaceuticals to the Fathead Minnow, Pimephales promelas","volume":"62","author":[{"family":"Overturf","given":"M. D."},{"family":"Overturf","given":"C. L."},{"family":"Baxter","given":"D."},{"family":"Hala","given":"D. N."},{"family":"Constantine","given":"L."},{"family":"Venables","given":"B."},{"family":"Huggett","given":"D. B."}],"issued":{"date-parts":[["2012",4]]}}}],"schema":"https://github.com/citation-style-language/schema/raw/master/csl-citation.json"}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(Overturf et al. 2012)</w:t>
            </w:r>
            <w:r w:rsidRPr="001D0ADC">
              <w:rPr>
                <w:color w:val="auto"/>
                <w:lang w:val="en-GB" w:eastAsia="cs-CZ"/>
              </w:rPr>
              <w:fldChar w:fldCharType="end"/>
            </w:r>
          </w:p>
        </w:tc>
      </w:tr>
      <w:tr w:rsidR="001D0ADC" w:rsidRPr="001D0ADC" w14:paraId="66F19449"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718E4F7C"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7B8C482C" w14:textId="77777777" w:rsidR="008B399E" w:rsidRPr="001D0ADC" w:rsidRDefault="008B399E" w:rsidP="008B399E">
            <w:pPr>
              <w:pStyle w:val="NoSpacing"/>
              <w:ind w:firstLine="0"/>
              <w:rPr>
                <w:color w:val="auto"/>
                <w:lang w:val="en-GB" w:eastAsia="cs-CZ"/>
              </w:rPr>
            </w:pPr>
            <w:r w:rsidRPr="001D0ADC">
              <w:rPr>
                <w:color w:val="auto"/>
                <w:lang w:val="en-GB" w:eastAsia="cs-CZ"/>
              </w:rPr>
              <w:t>12ng/egg</w:t>
            </w:r>
          </w:p>
        </w:tc>
        <w:tc>
          <w:tcPr>
            <w:tcW w:w="4520" w:type="dxa"/>
            <w:tcBorders>
              <w:top w:val="nil"/>
              <w:left w:val="nil"/>
              <w:bottom w:val="single" w:sz="4" w:space="0" w:color="auto"/>
              <w:right w:val="single" w:sz="4" w:space="0" w:color="auto"/>
            </w:tcBorders>
            <w:shd w:val="clear" w:color="auto" w:fill="auto"/>
            <w:vAlign w:val="bottom"/>
          </w:tcPr>
          <w:p w14:paraId="4FB9B133" w14:textId="77777777" w:rsidR="008B399E" w:rsidRPr="001D0ADC" w:rsidRDefault="008B399E" w:rsidP="008B399E">
            <w:pPr>
              <w:pStyle w:val="NoSpacing"/>
              <w:ind w:firstLine="0"/>
              <w:rPr>
                <w:color w:val="auto"/>
                <w:lang w:val="en-GB" w:eastAsia="cs-CZ"/>
              </w:rPr>
            </w:pPr>
            <w:r w:rsidRPr="001D0ADC">
              <w:rPr>
                <w:color w:val="auto"/>
                <w:lang w:val="en-GB" w:eastAsia="cs-CZ"/>
              </w:rPr>
              <w:t>LOEC for survival, hemorrhage and delay in development</w:t>
            </w:r>
          </w:p>
        </w:tc>
        <w:tc>
          <w:tcPr>
            <w:tcW w:w="2633" w:type="dxa"/>
            <w:tcBorders>
              <w:top w:val="single" w:sz="4" w:space="0" w:color="auto"/>
              <w:left w:val="nil"/>
              <w:bottom w:val="single" w:sz="4" w:space="0" w:color="auto"/>
              <w:right w:val="single" w:sz="4" w:space="0" w:color="auto"/>
            </w:tcBorders>
          </w:tcPr>
          <w:p w14:paraId="21CFDD0D" w14:textId="77777777" w:rsidR="008B399E" w:rsidRPr="001D0ADC" w:rsidRDefault="008B399E" w:rsidP="008B399E">
            <w:pPr>
              <w:pStyle w:val="NoSpacing"/>
              <w:ind w:firstLine="0"/>
              <w:rPr>
                <w:color w:val="auto"/>
                <w:lang w:val="en-GB" w:eastAsia="cs-CZ"/>
              </w:rPr>
            </w:pPr>
            <w:r w:rsidRPr="001D0ADC">
              <w:rPr>
                <w:color w:val="auto"/>
                <w:lang w:val="en-GB" w:eastAsia="cs-CZ"/>
              </w:rPr>
              <w:t>ELT (nanoinjection)</w:t>
            </w:r>
          </w:p>
        </w:tc>
        <w:tc>
          <w:tcPr>
            <w:tcW w:w="1967" w:type="dxa"/>
            <w:tcBorders>
              <w:top w:val="single" w:sz="4" w:space="0" w:color="auto"/>
              <w:left w:val="single" w:sz="4" w:space="0" w:color="auto"/>
              <w:bottom w:val="single" w:sz="4" w:space="0" w:color="auto"/>
              <w:right w:val="single" w:sz="4" w:space="0" w:color="auto"/>
            </w:tcBorders>
          </w:tcPr>
          <w:p w14:paraId="3E60084D" w14:textId="77777777" w:rsidR="008B399E" w:rsidRPr="001D0ADC" w:rsidRDefault="008B399E" w:rsidP="008B399E">
            <w:pPr>
              <w:pStyle w:val="NoSpacing"/>
              <w:ind w:firstLine="0"/>
              <w:rPr>
                <w:color w:val="auto"/>
                <w:lang w:val="en-GB" w:eastAsia="cs-CZ"/>
              </w:rPr>
            </w:pPr>
            <w:r w:rsidRPr="001D0ADC">
              <w:rPr>
                <w:color w:val="auto"/>
                <w:lang w:val="en-GB" w:eastAsia="cs-CZ"/>
              </w:rPr>
              <w:t>6dpf</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52B3DE1"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{"citationID":"bap6Nyw6","properties":{"formattedCitation":"(Nassef, Kim, et al. 2010)","plainCitation":"(Nassef, Kim, et al. 2010)","noteIndex":0},"citationItems":[{"id":1166,"uris":["http://zotero.org/users/11614927/items/BWG6NL95"],"itemData":{"id":1166,"type":"article-journal","abstract":"We examined the toxicity of three pharmaceuticals and personal care products (PPCPs) – triclosan (TCS), diclofenac (DCF), and carbamazepine (CBMZ) – on embryonic development of Japanese medaka (Oryzias latipes) using in ovo nanoinjection. Medaka eggs (8 h post-fertilization; late blastula stage) were injected with 0.5 nL of triolein (vehicle control) or 0.5 nL of PPCPs, using different doses of TCS (1, 5, or 9 ng), DCF (1, 5, or 12 ng), or CBMZ (1, 5, or 12 ng) per egg in triolein, in addition to uninjected control. Following injection, we recorded survival, embryonic lesions, delay in embryonic development (eye, embryonic body and internal organs), heart beat rate, hatchability, and hatching time of embryos and upward swimming of larvae. As a result, injected PPCPs caused toxic responses to medaka embryos during embryonic development and around the day of hatching. Based on estimated EC50 values of PPCPs doses on survival of injected embryos at hatching, TCS (at a dose of 4.2 ng egg–1) was generally more toxic to medaka embryos, followed by DCF (6.0 ng egg–1), and CBMZ (13.1 ng egg–1). We conclude that the nanoinjection medaka embryos model is a valuable tool for analyzing the effects of chemicals on the development of ﬁsh embryos and feasibility of nanoinjecting PPCPs into small ﬁsh eggs perhaps mimicking early exposure resulting from oocyte uptake of contaminants from maternal extra gonadal tissues.","container-title":"Chemosphere","DOI":"10.1016/j.chemosphere.2010.02.002","ISSN":"00456535","issue":"9","journalAbbreviation":"Chemosphere","language":"en","page":"966-973","source":"DOI.org (Crossref)","title":"In ovo nanoinjection of triclosan, diclofenac and carbamazepine affects embryonic development of medaka fish (Oryzias latipes)","volume":"79","author":[{"family":"Nassef","given":"Mohamed"},{"family":"Kim","given":"Sang Gyoon"},{"family":"Seki","given":"Masanori"},{"family":"Kang","given":"Ik Joon"},{"family":"Hano","given":"Takeshi"},{"family":"Shimasaki","given":"Yohei"},{"family":"Oshima","given":"Yuji"}],"issued":{"date-parts":[["2010",5]]}}}],"schema":"https://github.com/citation-style-language/schema/raw/master/csl-citation.json"}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(Nassef, Kim, et al. 2010)</w:t>
            </w:r>
            <w:r w:rsidRPr="001D0ADC">
              <w:rPr>
                <w:color w:val="auto"/>
                <w:lang w:val="en-GB" w:eastAsia="cs-CZ"/>
              </w:rPr>
              <w:fldChar w:fldCharType="end"/>
            </w:r>
          </w:p>
        </w:tc>
      </w:tr>
      <w:tr w:rsidR="001D0ADC" w:rsidRPr="001D0ADC" w14:paraId="0E0DFBD8"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CD2B386"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1A3DF0F3" w14:textId="26FBF19F" w:rsidR="008B399E" w:rsidRPr="001D0ADC" w:rsidRDefault="008B399E" w:rsidP="008B399E">
            <w:pPr>
              <w:pStyle w:val="NoSpacing"/>
              <w:ind w:firstLine="0"/>
              <w:rPr>
                <w:color w:val="auto"/>
                <w:lang w:val="en-GB" w:eastAsia="cs-CZ"/>
              </w:rPr>
            </w:pPr>
            <w:r w:rsidRPr="001D0ADC">
              <w:rPr>
                <w:color w:val="auto"/>
                <w:lang w:val="en-GB" w:eastAsia="cs-CZ"/>
              </w:rPr>
              <w:t>4</w:t>
            </w:r>
            <w:r w:rsidR="00CF2036" w:rsidRPr="001D0ADC">
              <w:rPr>
                <w:color w:val="auto"/>
                <w:lang w:val="en-GB" w:eastAsia="cs-CZ"/>
              </w:rPr>
              <w:t>5.</w:t>
            </w:r>
            <w:r w:rsidRPr="001D0ADC">
              <w:rPr>
                <w:color w:val="auto"/>
                <w:lang w:val="en-GB" w:eastAsia="cs-CZ"/>
              </w:rPr>
              <w:t>87</w:t>
            </w:r>
          </w:p>
        </w:tc>
        <w:tc>
          <w:tcPr>
            <w:tcW w:w="4520" w:type="dxa"/>
            <w:tcBorders>
              <w:top w:val="nil"/>
              <w:left w:val="nil"/>
              <w:bottom w:val="single" w:sz="4" w:space="0" w:color="auto"/>
              <w:right w:val="single" w:sz="4" w:space="0" w:color="auto"/>
            </w:tcBorders>
            <w:shd w:val="clear" w:color="auto" w:fill="auto"/>
            <w:vAlign w:val="bottom"/>
          </w:tcPr>
          <w:p w14:paraId="555168E0" w14:textId="77777777" w:rsidR="008B399E" w:rsidRPr="001D0ADC" w:rsidRDefault="008B399E" w:rsidP="008B399E">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2F3147F8" w14:textId="77777777" w:rsidR="008B399E" w:rsidRPr="001D0ADC" w:rsidRDefault="008B399E" w:rsidP="008B399E">
            <w:pPr>
              <w:pStyle w:val="NoSpacing"/>
              <w:ind w:firstLine="0"/>
              <w:rPr>
                <w:color w:val="auto"/>
                <w:lang w:val="en-GB" w:eastAsia="cs-CZ"/>
              </w:rPr>
            </w:pPr>
            <w:r w:rsidRPr="001D0ADC">
              <w:rPr>
                <w:color w:val="auto"/>
                <w:lang w:val="en-GB" w:eastAsia="cs-CZ"/>
              </w:rPr>
              <w:t>ELS (OL) 24hph</w:t>
            </w:r>
          </w:p>
        </w:tc>
        <w:tc>
          <w:tcPr>
            <w:tcW w:w="1967" w:type="dxa"/>
            <w:tcBorders>
              <w:top w:val="single" w:sz="4" w:space="0" w:color="auto"/>
              <w:left w:val="single" w:sz="4" w:space="0" w:color="auto"/>
              <w:bottom w:val="single" w:sz="4" w:space="0" w:color="auto"/>
              <w:right w:val="single" w:sz="4" w:space="0" w:color="auto"/>
            </w:tcBorders>
          </w:tcPr>
          <w:p w14:paraId="10A2D2D5" w14:textId="77777777" w:rsidR="008B399E" w:rsidRPr="001D0ADC" w:rsidRDefault="008B399E" w:rsidP="008B399E">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17EF1C5"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{"citationID":"hJrRKP4a","properties":{"formattedCitation":"(J. W. Kim et al. 2009)","plainCitation":"(J. W. Kim et al. 2009)","noteIndex":0},"citationItems":[{"id":1290,"uris":["http://zotero.org/users/11614927/items/66HSGT52"],"itemData":{"id":1290,"type":"article-journal","container-title":"The Journal of Toxicological Scieneces","issue":"2","language":"en","page":"227-232","source":"Zotero","title":"Acute toxicity of pharmaceutical and personal care products on freshwater crustacean (Thamnocephalus platyurus) and fish (Oryzias latipes)","volume":"34","author":[{"family":"Kim","given":"Joon Woo"},{"family":"Ishibashi","given":"Hiroshi"},{"family":"Yamauchi","given":"Ryoko"},{"family":"Ichikawa","given":"Nobuhiro"},{"family":"Takao","given":"Yuji"},{"family":"Hirano","given":"Masashi"},{"family":"Koga","given":"Minoru"},{"family":"Arizono","given":"Koji"}],"issued":{"date-parts":[["2009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(J. W. Kim et al. 2009)</w:t>
            </w:r>
            <w:r w:rsidRPr="001D0ADC">
              <w:rPr>
                <w:color w:val="auto"/>
                <w:lang w:val="en-GB" w:eastAsia="cs-CZ"/>
              </w:rPr>
              <w:fldChar w:fldCharType="end"/>
            </w:r>
          </w:p>
        </w:tc>
      </w:tr>
      <w:tr w:rsidR="001D0ADC" w:rsidRPr="001D0ADC" w14:paraId="04306098"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01717022" w14:textId="77777777" w:rsidR="008B399E" w:rsidRPr="001D0ADC" w:rsidRDefault="008B399E" w:rsidP="008B399E">
            <w:pPr>
              <w:pStyle w:val="NoSpacing"/>
              <w:ind w:firstLine="0"/>
              <w:rPr>
                <w:color w:val="auto"/>
                <w:lang w:val="en-GB" w:eastAsia="cs-CZ"/>
              </w:rPr>
            </w:pPr>
          </w:p>
        </w:tc>
        <w:tc>
          <w:tcPr>
            <w:tcW w:w="13122" w:type="dxa"/>
            <w:gridSpan w:val="5"/>
            <w:tcBorders>
              <w:top w:val="nil"/>
              <w:left w:val="single" w:sz="4" w:space="0" w:color="auto"/>
              <w:bottom w:val="single" w:sz="4" w:space="0" w:color="auto"/>
              <w:right w:val="single" w:sz="4" w:space="0" w:color="auto"/>
            </w:tcBorders>
            <w:shd w:val="clear" w:color="auto" w:fill="auto"/>
            <w:vAlign w:val="center"/>
          </w:tcPr>
          <w:p w14:paraId="77E76C3D" w14:textId="69F59143" w:rsidR="008B399E" w:rsidRPr="001D0ADC" w:rsidRDefault="008B399E" w:rsidP="006C31A6">
            <w:pPr>
              <w:pStyle w:val="NoSpacing"/>
              <w:ind w:firstLine="0"/>
              <w:jc w:val="left"/>
              <w:rPr>
                <w:b/>
                <w:bCs/>
                <w:color w:val="auto"/>
                <w:lang w:val="en-GB" w:eastAsia="cs-CZ"/>
              </w:rPr>
            </w:pPr>
            <w:r w:rsidRPr="001D0ADC">
              <w:rPr>
                <w:b/>
                <w:bCs/>
                <w:i/>
                <w:iCs/>
                <w:color w:val="auto"/>
                <w:lang w:val="en-GB" w:eastAsia="cs-CZ"/>
              </w:rPr>
              <w:t>In vitro</w:t>
            </w:r>
            <w:r w:rsidRPr="001D0ADC">
              <w:rPr>
                <w:b/>
                <w:bCs/>
                <w:color w:val="auto"/>
                <w:lang w:val="en-GB" w:eastAsia="cs-CZ"/>
              </w:rPr>
              <w:t xml:space="preserve"> (cell lines)</w:t>
            </w:r>
            <w:r w:rsidR="000F6A8E" w:rsidRPr="001D0ADC">
              <w:rPr>
                <w:b/>
                <w:bCs/>
                <w:color w:val="auto"/>
                <w:lang w:val="en-GB" w:eastAsia="cs-CZ"/>
              </w:rPr>
              <w:t xml:space="preserve"> (mg/l)</w:t>
            </w:r>
          </w:p>
        </w:tc>
      </w:tr>
      <w:tr w:rsidR="001D0ADC" w:rsidRPr="001D0ADC" w14:paraId="1ECF6698"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4EF64C9B"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9E5C8A6" w14:textId="102213FE" w:rsidR="008B399E" w:rsidRPr="001D0ADC" w:rsidRDefault="00CF2036" w:rsidP="008B399E">
            <w:pPr>
              <w:pStyle w:val="NoSpacing"/>
              <w:ind w:firstLine="0"/>
              <w:rPr>
                <w:color w:val="auto"/>
                <w:lang w:val="en-GB" w:eastAsia="cs-CZ"/>
              </w:rPr>
            </w:pPr>
            <w:r w:rsidRPr="001D0ADC">
              <w:rPr>
                <w:color w:val="auto"/>
                <w:lang w:val="en-GB" w:eastAsia="cs-CZ"/>
              </w:rPr>
              <w:t>2.</w:t>
            </w:r>
            <w:r w:rsidR="008B399E" w:rsidRPr="001D0ADC">
              <w:rPr>
                <w:color w:val="auto"/>
                <w:lang w:val="en-GB" w:eastAsia="cs-CZ"/>
              </w:rPr>
              <w:t>36</w:t>
            </w:r>
          </w:p>
        </w:tc>
        <w:tc>
          <w:tcPr>
            <w:tcW w:w="4520" w:type="dxa"/>
            <w:tcBorders>
              <w:top w:val="nil"/>
              <w:left w:val="nil"/>
              <w:bottom w:val="single" w:sz="4" w:space="0" w:color="auto"/>
              <w:right w:val="single" w:sz="4" w:space="0" w:color="auto"/>
            </w:tcBorders>
            <w:shd w:val="clear" w:color="auto" w:fill="auto"/>
            <w:vAlign w:val="bottom"/>
          </w:tcPr>
          <w:p w14:paraId="5F4F692F" w14:textId="77777777" w:rsidR="008B399E" w:rsidRPr="001D0ADC" w:rsidRDefault="008B399E" w:rsidP="008B399E">
            <w:pPr>
              <w:pStyle w:val="NoSpacing"/>
              <w:ind w:firstLine="0"/>
              <w:rPr>
                <w:color w:val="auto"/>
                <w:lang w:val="en-GB" w:eastAsia="cs-CZ"/>
              </w:rPr>
            </w:pPr>
            <w:r w:rsidRPr="001D0ADC">
              <w:rPr>
                <w:color w:val="auto"/>
                <w:lang w:val="en-GB" w:eastAsia="cs-CZ"/>
              </w:rPr>
              <w:t>LOEC for viability (MTT)</w:t>
            </w:r>
          </w:p>
        </w:tc>
        <w:tc>
          <w:tcPr>
            <w:tcW w:w="2633" w:type="dxa"/>
            <w:vMerge w:val="restart"/>
            <w:tcBorders>
              <w:top w:val="single" w:sz="4" w:space="0" w:color="auto"/>
              <w:left w:val="nil"/>
              <w:right w:val="single" w:sz="4" w:space="0" w:color="auto"/>
            </w:tcBorders>
          </w:tcPr>
          <w:p w14:paraId="04832AF6" w14:textId="77777777" w:rsidR="008B399E" w:rsidRPr="001D0ADC" w:rsidRDefault="008B399E" w:rsidP="008B399E">
            <w:pPr>
              <w:pStyle w:val="NoSpacing"/>
              <w:ind w:firstLine="0"/>
              <w:rPr>
                <w:color w:val="auto"/>
                <w:lang w:val="en-GB" w:eastAsia="cs-CZ"/>
              </w:rPr>
            </w:pPr>
            <w:r w:rsidRPr="001D0ADC">
              <w:rPr>
                <w:color w:val="auto"/>
                <w:lang w:val="en-GB" w:eastAsia="cs-CZ"/>
              </w:rPr>
              <w:t>In vitro, SAF-1</w:t>
            </w:r>
          </w:p>
        </w:tc>
        <w:tc>
          <w:tcPr>
            <w:tcW w:w="1967" w:type="dxa"/>
            <w:tcBorders>
              <w:top w:val="single" w:sz="4" w:space="0" w:color="auto"/>
              <w:left w:val="single" w:sz="4" w:space="0" w:color="auto"/>
              <w:bottom w:val="single" w:sz="4" w:space="0" w:color="auto"/>
              <w:right w:val="single" w:sz="4" w:space="0" w:color="auto"/>
            </w:tcBorders>
          </w:tcPr>
          <w:p w14:paraId="3713CEA6" w14:textId="77777777" w:rsidR="008B399E" w:rsidRPr="001D0ADC" w:rsidRDefault="008B399E" w:rsidP="008B399E">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DEB8163"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{"citationID":"RlbYPfUY","properties":{"formattedCitation":"(Ruiz et al. 2020)","plainCitation":"(Ruiz et al. 2020)","noteIndex":0},"citationItems":[{"id":1259,"uris":["http://zotero.org/users/11614927/items/VWQBU6IS"],"itemData":{"id":1259,"type":"article-journal","abstract":"A wide range of contaminants, industrial by-products, plastics, and pharmaceutics belonging to various cate­ gories, have been found in sea water. Although these compounds are detected at concentrations that might be considered as sub-lethal, under certain conditions they could act synergistically producing unexpected effects in term of toxicity or perturbation of biochemical markers leading to standard pathway. In this study, the Sparus aurata fibroblast cell line SAF-1, was exposed to increasing concentrations of carbamazepine (CBZ), poly­ brominated diphenyl ether 47 (BDE-47) and cadmium chloride (CdCl2) until 72 h, to evaluate the cytotoxicity and the expression of genes related to antioxidant defense, cell cycle and energetic balance. In general, both vitality and gene expression were affected by the exposure to the different toxicants, in terms of antioxidant defense and cell cycle control, showing the most significant effects in cells exposed to the mixture of the three compounds, respect to the single compounds separately. The synergic effect of the compounds on the analyzed biomarkers, underlie the potential negative impact of the contaminants on health of marine organisms.","container-title":"Marine Environmental Research","DOI":"10.1016/j.marenvres.2019.104844","ISSN":"01411136","journalAbbreviation":"Marine Environmental Research","language":"en","page":"104844","source":"DOI.org (Crossref)","title":"Carbamazepine, cadmium chloride and polybrominated diphenyl ether-47, synergistically modulate the expression of antioxidants and cell cycle biomarkers, in the marine fish cell line SAF-1","volume":"154","author":[{"family":"Ruiz","given":"Cristobal Espinosa"},{"family":"Manuguerra","given":"Simona"},{"family":"Curcuraci","given":"Eleonora"},{"family":"Santulli","given":"Andrea"},{"family":"Messina","given":"Concetta M."}],"issued":{"date-parts":[["2020",2]]}}}],"schema":"https://github.com/citation-style-language/schema/raw/master/csl-citation.json"}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(Ruiz et al. 2020)</w:t>
            </w:r>
            <w:r w:rsidRPr="001D0ADC">
              <w:rPr>
                <w:color w:val="auto"/>
                <w:lang w:val="en-GB" w:eastAsia="cs-CZ"/>
              </w:rPr>
              <w:fldChar w:fldCharType="end"/>
            </w:r>
          </w:p>
        </w:tc>
      </w:tr>
      <w:tr w:rsidR="001D0ADC" w:rsidRPr="001D0ADC" w14:paraId="492FCD85"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159F8E78"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5293C61" w14:textId="072044BC" w:rsidR="008B399E" w:rsidRPr="001D0ADC" w:rsidRDefault="00CF2036" w:rsidP="008B399E">
            <w:pPr>
              <w:pStyle w:val="NoSpacing"/>
              <w:ind w:firstLine="0"/>
              <w:rPr>
                <w:color w:val="auto"/>
                <w:lang w:val="en-GB" w:eastAsia="cs-CZ"/>
              </w:rPr>
            </w:pPr>
            <w:r w:rsidRPr="001D0ADC">
              <w:rPr>
                <w:color w:val="auto"/>
                <w:lang w:val="en-GB" w:eastAsia="cs-CZ"/>
              </w:rPr>
              <w:t>2.</w:t>
            </w:r>
            <w:r w:rsidR="008B399E" w:rsidRPr="001D0ADC">
              <w:rPr>
                <w:color w:val="auto"/>
                <w:lang w:val="en-GB" w:eastAsia="cs-CZ"/>
              </w:rPr>
              <w:t>36</w:t>
            </w:r>
          </w:p>
        </w:tc>
        <w:tc>
          <w:tcPr>
            <w:tcW w:w="4520" w:type="dxa"/>
            <w:tcBorders>
              <w:top w:val="nil"/>
              <w:left w:val="nil"/>
              <w:bottom w:val="single" w:sz="4" w:space="0" w:color="auto"/>
              <w:right w:val="single" w:sz="4" w:space="0" w:color="auto"/>
            </w:tcBorders>
            <w:shd w:val="clear" w:color="auto" w:fill="auto"/>
            <w:vAlign w:val="bottom"/>
          </w:tcPr>
          <w:p w14:paraId="39FE2437" w14:textId="27061D97" w:rsidR="008B399E" w:rsidRPr="001D0ADC" w:rsidRDefault="008B399E" w:rsidP="008B399E">
            <w:pPr>
              <w:pStyle w:val="NoSpacing"/>
              <w:ind w:firstLine="0"/>
              <w:rPr>
                <w:color w:val="auto"/>
                <w:lang w:val="en-GB" w:eastAsia="cs-CZ"/>
              </w:rPr>
            </w:pPr>
            <w:r w:rsidRPr="001D0ADC">
              <w:rPr>
                <w:color w:val="auto"/>
                <w:lang w:val="en-GB" w:eastAsia="cs-CZ"/>
              </w:rPr>
              <w:t>NOEC for gene expression of p5</w:t>
            </w:r>
            <w:r w:rsidR="00CF2036" w:rsidRPr="001D0ADC">
              <w:rPr>
                <w:color w:val="auto"/>
                <w:lang w:val="en-GB" w:eastAsia="cs-CZ"/>
              </w:rPr>
              <w:t>3.</w:t>
            </w:r>
            <w:r w:rsidRPr="001D0ADC">
              <w:rPr>
                <w:color w:val="auto"/>
                <w:lang w:val="en-GB" w:eastAsia="cs-CZ"/>
              </w:rPr>
              <w:t xml:space="preserve"> erk-</w:t>
            </w:r>
            <w:r w:rsidR="00CF2036" w:rsidRPr="001D0ADC">
              <w:rPr>
                <w:color w:val="auto"/>
                <w:lang w:val="en-GB" w:eastAsia="cs-CZ"/>
              </w:rPr>
              <w:t>1.</w:t>
            </w:r>
            <w:r w:rsidRPr="001D0ADC">
              <w:rPr>
                <w:color w:val="auto"/>
                <w:lang w:val="en-GB" w:eastAsia="cs-CZ"/>
              </w:rPr>
              <w:t xml:space="preserve"> hif-</w:t>
            </w:r>
            <w:r w:rsidR="00CF2036" w:rsidRPr="001D0ADC">
              <w:rPr>
                <w:color w:val="auto"/>
                <w:lang w:val="en-GB" w:eastAsia="cs-CZ"/>
              </w:rPr>
              <w:t>1.</w:t>
            </w:r>
            <w:r w:rsidRPr="001D0ADC">
              <w:rPr>
                <w:color w:val="auto"/>
                <w:lang w:val="en-GB" w:eastAsia="cs-CZ"/>
              </w:rPr>
              <w:t xml:space="preserve"> bcl-</w:t>
            </w:r>
            <w:r w:rsidR="00CF2036" w:rsidRPr="001D0ADC">
              <w:rPr>
                <w:color w:val="auto"/>
                <w:lang w:val="en-GB" w:eastAsia="cs-CZ"/>
              </w:rPr>
              <w:t>2.</w:t>
            </w:r>
            <w:r w:rsidRPr="001D0ADC">
              <w:rPr>
                <w:color w:val="auto"/>
                <w:lang w:val="en-GB" w:eastAsia="cs-CZ"/>
              </w:rPr>
              <w:t xml:space="preserve"> nrf-2 and sod genes</w:t>
            </w:r>
          </w:p>
        </w:tc>
        <w:tc>
          <w:tcPr>
            <w:tcW w:w="2633" w:type="dxa"/>
            <w:vMerge/>
            <w:tcBorders>
              <w:left w:val="nil"/>
              <w:bottom w:val="single" w:sz="4" w:space="0" w:color="auto"/>
              <w:right w:val="single" w:sz="4" w:space="0" w:color="auto"/>
            </w:tcBorders>
          </w:tcPr>
          <w:p w14:paraId="65C016B0" w14:textId="77777777" w:rsidR="008B399E" w:rsidRPr="001D0ADC" w:rsidRDefault="008B399E" w:rsidP="008B399E">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15334D6F" w14:textId="77777777" w:rsidR="008B399E" w:rsidRPr="001D0ADC" w:rsidRDefault="008B399E" w:rsidP="008B399E">
            <w:pPr>
              <w:pStyle w:val="NoSpacing"/>
              <w:ind w:firstLine="0"/>
              <w:rPr>
                <w:color w:val="auto"/>
                <w:lang w:val="en-GB" w:eastAsia="cs-CZ"/>
              </w:rPr>
            </w:pPr>
            <w:r w:rsidRPr="001D0ADC">
              <w:rPr>
                <w:color w:val="auto"/>
                <w:lang w:val="en-GB" w:eastAsia="cs-CZ"/>
              </w:rPr>
              <w:t>72h</w:t>
            </w:r>
          </w:p>
        </w:tc>
        <w:tc>
          <w:tcPr>
            <w:tcW w:w="2300" w:type="dxa"/>
            <w:vMerge/>
            <w:tcBorders>
              <w:left w:val="single" w:sz="4" w:space="0" w:color="auto"/>
              <w:bottom w:val="single" w:sz="4" w:space="0" w:color="auto"/>
              <w:right w:val="single" w:sz="4" w:space="0" w:color="auto"/>
            </w:tcBorders>
            <w:shd w:val="clear" w:color="auto" w:fill="auto"/>
            <w:vAlign w:val="bottom"/>
          </w:tcPr>
          <w:p w14:paraId="6C2E5996" w14:textId="77777777" w:rsidR="008B399E" w:rsidRPr="001D0ADC" w:rsidRDefault="008B399E" w:rsidP="008B399E">
            <w:pPr>
              <w:pStyle w:val="NoSpacing"/>
              <w:ind w:firstLine="0"/>
              <w:rPr>
                <w:color w:val="auto"/>
                <w:lang w:val="en-GB" w:eastAsia="cs-CZ"/>
              </w:rPr>
            </w:pPr>
          </w:p>
        </w:tc>
      </w:tr>
      <w:tr w:rsidR="001D0ADC" w:rsidRPr="001D0ADC" w14:paraId="6C570EB2"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49EC553C"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0A8ECA8C" w14:textId="66CD23B2" w:rsidR="008B399E" w:rsidRPr="001D0ADC" w:rsidRDefault="008B399E" w:rsidP="008B399E">
            <w:pPr>
              <w:pStyle w:val="NoSpacing"/>
              <w:ind w:firstLine="0"/>
              <w:rPr>
                <w:color w:val="auto"/>
                <w:lang w:val="en-GB" w:eastAsia="cs-CZ"/>
              </w:rPr>
            </w:pPr>
            <w:r w:rsidRPr="001D0ADC">
              <w:rPr>
                <w:color w:val="auto"/>
                <w:lang w:val="en-GB" w:eastAsia="cs-CZ"/>
              </w:rPr>
              <w:t>&gt; 5</w:t>
            </w:r>
            <w:r w:rsidR="00CF2036" w:rsidRPr="001D0ADC">
              <w:rPr>
                <w:color w:val="auto"/>
                <w:lang w:val="en-GB" w:eastAsia="cs-CZ"/>
              </w:rPr>
              <w:t>9.</w:t>
            </w:r>
            <w:r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22FD17FB" w14:textId="77777777" w:rsidR="008B399E" w:rsidRPr="001D0ADC" w:rsidRDefault="008B399E" w:rsidP="008B399E">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628DB7B9" w14:textId="77777777" w:rsidR="008B399E" w:rsidRPr="001D0ADC" w:rsidRDefault="008B399E" w:rsidP="008B399E">
            <w:pPr>
              <w:pStyle w:val="NoSpacing"/>
              <w:ind w:firstLine="0"/>
              <w:rPr>
                <w:color w:val="auto"/>
                <w:lang w:val="en-GB" w:eastAsia="cs-CZ"/>
              </w:rPr>
            </w:pPr>
            <w:r w:rsidRPr="001D0ADC">
              <w:rPr>
                <w:color w:val="auto"/>
                <w:lang w:val="en-GB" w:eastAsia="cs-CZ"/>
              </w:rPr>
              <w:t>In vitro RTG-2 MTT</w:t>
            </w:r>
          </w:p>
        </w:tc>
        <w:tc>
          <w:tcPr>
            <w:tcW w:w="1967" w:type="dxa"/>
            <w:tcBorders>
              <w:top w:val="single" w:sz="4" w:space="0" w:color="auto"/>
              <w:left w:val="single" w:sz="4" w:space="0" w:color="auto"/>
              <w:bottom w:val="single" w:sz="4" w:space="0" w:color="auto"/>
              <w:right w:val="single" w:sz="4" w:space="0" w:color="auto"/>
            </w:tcBorders>
          </w:tcPr>
          <w:p w14:paraId="71CE0F3E" w14:textId="77777777" w:rsidR="008B399E" w:rsidRPr="001D0ADC" w:rsidRDefault="008B399E" w:rsidP="008B399E">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92BB1F7"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{"citationID":"vqVeDzIO","properties":{"formattedCitation":"(Caminada, Escher, and Fent 2006)","plainCitation":"(Caminada, Escher, and Fent 2006)","noteIndex":0},"citationItems":[{"id":1190,"uris":["http://zotero.org/users/11614927/items/PF8NEWNG"],"itemData":{"id":1190,"type":"article-journal","abstract":"There is need for a better understanding of the ecotoxicity of pharmaceuticals present in aquatic systems as only little is known about their potential acute and chronic toxicity to aquatic organisms. In our work, we evaluate the in vitro cytotoxicity of 34 common pharmaceuticals from different classes and with different modes of action using the mitochondrial MTT reduction and neutral red uptake assays in the two ﬁsh cell lines, PLHC-1 and RTG-2. Cytotoxicity was found for 21 pharmaceuticals with EC50-values ranging from 2.1 </w:instrText>
            </w:r>
            <w:r w:rsidRPr="001D0ADC">
              <w:rPr>
                <w:rFonts w:cs="Times New Roman"/>
                <w:color w:val="auto"/>
                <w:lang w:val="en-GB" w:eastAsia="cs-CZ"/>
              </w:rPr>
              <w:instrText>␮</w:instrText>
            </w:r>
            <w:r w:rsidRPr="001D0ADC">
              <w:rPr>
                <w:color w:val="auto"/>
                <w:lang w:val="en-GB" w:eastAsia="cs-CZ"/>
              </w:rPr>
              <w:instrText>M (1.14 mg l</w:instrText>
            </w:r>
            <w:r w:rsidRPr="001D0ADC">
              <w:rPr>
                <w:rFonts w:cs="Times New Roman"/>
                <w:color w:val="auto"/>
                <w:lang w:val="en-GB" w:eastAsia="cs-CZ"/>
              </w:rPr>
              <w:instrText>−</w:instrText>
            </w:r>
            <w:r w:rsidRPr="001D0ADC">
              <w:rPr>
                <w:color w:val="auto"/>
                <w:lang w:val="en-GB" w:eastAsia="cs-CZ"/>
              </w:rPr>
              <w:instrText>1) (doxorubicin) to 8.66 mM (1200 mg l</w:instrText>
            </w:r>
            <w:r w:rsidRPr="001D0ADC">
              <w:rPr>
                <w:rFonts w:cs="Times New Roman"/>
                <w:color w:val="auto"/>
                <w:lang w:val="en-GB" w:eastAsia="cs-CZ"/>
              </w:rPr>
              <w:instrText>−</w:instrText>
            </w:r>
            <w:r w:rsidRPr="001D0ADC">
              <w:rPr>
                <w:color w:val="auto"/>
                <w:lang w:val="en-GB" w:eastAsia="cs-CZ"/>
              </w:rPr>
              <w:instrText xml:space="preserve">1) (salicylic acid). There was no signiﬁcant difference between the MTT and NR assays except for an increase in absorption observed with four pharmaceuticals at low concentrations in the MTT assay with PLHC-1 cells indicating a hormesis effect. The comparison of the cell lines revealed that the PLHC-1 cell line was slightly more sensitive than the RTG-2 cell line, showing cytotoxicity at smaller concentrations. The cytotoxicity of pharmaceuticals showed a correlation with their Log D-values at physiological conditions (pH 7.0). A correlation between the in vitro data and in vivo data was found for Daphnia, but not for ﬁsh due to insufﬁcient and heterogeneous data. Our work provides an indication that in vitro cytotoxicity assays with ﬁsh cell lines could be suited for the ﬁrst screening of the acute in vivo toxicity of pharmaceuticals, thereby contributing to the reduction of in vivo experiments. Further investigations with a larger set of pharmaceuticals are needed to strengthen the reliability of the assays and to validate the correlation with in vivo data.","container-title":"Aquatic Toxicology","DOI":"10.1016/j.aquatox.2006.05.010","ISSN":"0166445X","issue":"2","journalAbbreviation":"Aquatic Toxicology","language":"en","page":"114-123","source":"DOI.org (Crossref)","title":"Cytotoxicity of pharmaceuticals found in aquatic systems: Comparison of PLHC-1 and RTG-2 fish cell lines","title-short":"Cytotoxicity of pharmaceuticals found in aquatic systems","volume":"79","author":[{"family":"Caminada","given":"Daniel"},{"family":"Escher","given":"Claudia"},{"family":"Fent","given":"Karl"}],"issued":{"date-parts":[["2006",8]]}}}],"schema":"https://github.com/citation-style-language/schema/raw/master/csl-citation.json"}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(Caminada, Escher, and Fent 2006)</w:t>
            </w:r>
            <w:r w:rsidRPr="001D0ADC">
              <w:rPr>
                <w:color w:val="auto"/>
                <w:lang w:val="en-GB" w:eastAsia="cs-CZ"/>
              </w:rPr>
              <w:fldChar w:fldCharType="end"/>
            </w:r>
          </w:p>
        </w:tc>
      </w:tr>
      <w:tr w:rsidR="001D0ADC" w:rsidRPr="001D0ADC" w14:paraId="4C3EF7CD"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62DBA4D1"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1F4EE455" w14:textId="220A18B4" w:rsidR="008B399E" w:rsidRPr="001D0ADC" w:rsidRDefault="008B399E" w:rsidP="008B399E">
            <w:pPr>
              <w:pStyle w:val="NoSpacing"/>
              <w:ind w:firstLine="0"/>
              <w:rPr>
                <w:color w:val="auto"/>
                <w:lang w:val="en-GB" w:eastAsia="cs-CZ"/>
              </w:rPr>
            </w:pPr>
            <w:r w:rsidRPr="001D0ADC">
              <w:rPr>
                <w:color w:val="auto"/>
                <w:lang w:val="en-GB" w:eastAsia="cs-CZ"/>
              </w:rPr>
              <w:t>&gt; 5</w:t>
            </w:r>
            <w:r w:rsidR="00CF2036" w:rsidRPr="001D0ADC">
              <w:rPr>
                <w:color w:val="auto"/>
                <w:lang w:val="en-GB" w:eastAsia="cs-CZ"/>
              </w:rPr>
              <w:t>9.</w:t>
            </w:r>
            <w:r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309A54C4" w14:textId="77777777" w:rsidR="008B399E" w:rsidRPr="001D0ADC" w:rsidRDefault="008B399E" w:rsidP="008B399E">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2BB2AC69" w14:textId="77777777" w:rsidR="008B399E" w:rsidRPr="001D0ADC" w:rsidRDefault="008B399E" w:rsidP="008B399E">
            <w:pPr>
              <w:pStyle w:val="NoSpacing"/>
              <w:ind w:firstLine="0"/>
              <w:rPr>
                <w:color w:val="auto"/>
                <w:lang w:val="en-GB" w:eastAsia="cs-CZ"/>
              </w:rPr>
            </w:pPr>
            <w:r w:rsidRPr="001D0ADC">
              <w:rPr>
                <w:color w:val="auto"/>
                <w:lang w:val="en-GB" w:eastAsia="cs-CZ"/>
              </w:rPr>
              <w:t>In vitro PLHC-1 MTT</w:t>
            </w:r>
          </w:p>
        </w:tc>
        <w:tc>
          <w:tcPr>
            <w:tcW w:w="1967" w:type="dxa"/>
            <w:tcBorders>
              <w:top w:val="single" w:sz="4" w:space="0" w:color="auto"/>
              <w:left w:val="single" w:sz="4" w:space="0" w:color="auto"/>
              <w:bottom w:val="single" w:sz="4" w:space="0" w:color="auto"/>
              <w:right w:val="single" w:sz="4" w:space="0" w:color="auto"/>
            </w:tcBorders>
          </w:tcPr>
          <w:p w14:paraId="008CFD62" w14:textId="77777777" w:rsidR="008B399E" w:rsidRPr="001D0ADC" w:rsidRDefault="008B399E" w:rsidP="008B399E">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right w:val="single" w:sz="4" w:space="0" w:color="auto"/>
            </w:tcBorders>
            <w:shd w:val="clear" w:color="auto" w:fill="auto"/>
            <w:vAlign w:val="bottom"/>
          </w:tcPr>
          <w:p w14:paraId="3BE145C9" w14:textId="77777777" w:rsidR="008B399E" w:rsidRPr="001D0ADC" w:rsidRDefault="008B399E" w:rsidP="008B399E">
            <w:pPr>
              <w:pStyle w:val="NoSpacing"/>
              <w:ind w:firstLine="0"/>
              <w:rPr>
                <w:color w:val="auto"/>
                <w:lang w:val="en-GB" w:eastAsia="cs-CZ"/>
              </w:rPr>
            </w:pPr>
          </w:p>
        </w:tc>
      </w:tr>
      <w:tr w:rsidR="001D0ADC" w:rsidRPr="001D0ADC" w14:paraId="1ECBED9E"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26B5593A"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162CD32D" w14:textId="744E0D17" w:rsidR="008B399E" w:rsidRPr="001D0ADC" w:rsidRDefault="008B399E" w:rsidP="008B399E">
            <w:pPr>
              <w:pStyle w:val="NoSpacing"/>
              <w:ind w:firstLine="0"/>
              <w:rPr>
                <w:color w:val="auto"/>
                <w:lang w:val="en-GB" w:eastAsia="cs-CZ"/>
              </w:rPr>
            </w:pPr>
            <w:r w:rsidRPr="001D0ADC">
              <w:rPr>
                <w:color w:val="auto"/>
                <w:lang w:val="en-GB" w:eastAsia="cs-CZ"/>
              </w:rPr>
              <w:t>&gt; 5</w:t>
            </w:r>
            <w:r w:rsidR="00CF2036" w:rsidRPr="001D0ADC">
              <w:rPr>
                <w:color w:val="auto"/>
                <w:lang w:val="en-GB" w:eastAsia="cs-CZ"/>
              </w:rPr>
              <w:t>9.</w:t>
            </w:r>
            <w:r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50AE154D" w14:textId="77777777" w:rsidR="008B399E" w:rsidRPr="001D0ADC" w:rsidRDefault="008B399E" w:rsidP="008B399E">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41740E67" w14:textId="77777777" w:rsidR="008B399E" w:rsidRPr="001D0ADC" w:rsidRDefault="008B399E" w:rsidP="008B399E">
            <w:pPr>
              <w:pStyle w:val="NoSpacing"/>
              <w:ind w:firstLine="0"/>
              <w:rPr>
                <w:color w:val="auto"/>
                <w:lang w:val="en-GB" w:eastAsia="cs-CZ"/>
              </w:rPr>
            </w:pPr>
            <w:r w:rsidRPr="001D0ADC">
              <w:rPr>
                <w:color w:val="auto"/>
                <w:lang w:val="en-GB" w:eastAsia="cs-CZ"/>
              </w:rPr>
              <w:t>In vitro PLHC-1 NR</w:t>
            </w:r>
          </w:p>
        </w:tc>
        <w:tc>
          <w:tcPr>
            <w:tcW w:w="1967" w:type="dxa"/>
            <w:tcBorders>
              <w:top w:val="single" w:sz="4" w:space="0" w:color="auto"/>
              <w:left w:val="single" w:sz="4" w:space="0" w:color="auto"/>
              <w:bottom w:val="single" w:sz="4" w:space="0" w:color="auto"/>
              <w:right w:val="single" w:sz="4" w:space="0" w:color="auto"/>
            </w:tcBorders>
          </w:tcPr>
          <w:p w14:paraId="1C5960AF" w14:textId="77777777" w:rsidR="008B399E" w:rsidRPr="001D0ADC" w:rsidRDefault="008B399E" w:rsidP="008B399E">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bottom w:val="single" w:sz="4" w:space="0" w:color="auto"/>
              <w:right w:val="single" w:sz="4" w:space="0" w:color="auto"/>
            </w:tcBorders>
            <w:shd w:val="clear" w:color="auto" w:fill="auto"/>
            <w:vAlign w:val="bottom"/>
          </w:tcPr>
          <w:p w14:paraId="2BDED631" w14:textId="77777777" w:rsidR="008B399E" w:rsidRPr="001D0ADC" w:rsidRDefault="008B399E" w:rsidP="008B399E">
            <w:pPr>
              <w:pStyle w:val="NoSpacing"/>
              <w:ind w:firstLine="0"/>
              <w:rPr>
                <w:color w:val="auto"/>
                <w:lang w:val="en-GB" w:eastAsia="cs-CZ"/>
              </w:rPr>
            </w:pPr>
          </w:p>
        </w:tc>
      </w:tr>
      <w:tr w:rsidR="001D0ADC" w:rsidRPr="001D0ADC" w14:paraId="7E438522"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10679BBF" w14:textId="77777777" w:rsidR="008B399E" w:rsidRPr="001D0ADC" w:rsidRDefault="008B399E" w:rsidP="008B399E">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71CE9D97" w14:textId="0237B98D" w:rsidR="008B399E" w:rsidRPr="001D0ADC" w:rsidRDefault="008B399E" w:rsidP="008B399E">
            <w:pPr>
              <w:pStyle w:val="NoSpacing"/>
              <w:ind w:firstLine="0"/>
              <w:rPr>
                <w:color w:val="auto"/>
                <w:lang w:val="en-GB" w:eastAsia="cs-CZ"/>
              </w:rPr>
            </w:pPr>
            <w:r w:rsidRPr="001D0ADC">
              <w:rPr>
                <w:color w:val="auto"/>
                <w:lang w:val="en-GB" w:eastAsia="cs-CZ"/>
              </w:rPr>
              <w:t>15</w:t>
            </w:r>
            <w:r w:rsidR="00CF2036" w:rsidRPr="001D0ADC">
              <w:rPr>
                <w:color w:val="auto"/>
                <w:lang w:val="en-GB" w:eastAsia="cs-CZ"/>
              </w:rPr>
              <w:t>3.</w:t>
            </w:r>
            <w:r w:rsidRPr="001D0ADC">
              <w:rPr>
                <w:color w:val="auto"/>
                <w:lang w:val="en-GB" w:eastAsia="cs-CZ"/>
              </w:rPr>
              <w:t>8</w:t>
            </w:r>
          </w:p>
        </w:tc>
        <w:tc>
          <w:tcPr>
            <w:tcW w:w="4520" w:type="dxa"/>
            <w:tcBorders>
              <w:top w:val="nil"/>
              <w:left w:val="nil"/>
              <w:bottom w:val="single" w:sz="4" w:space="0" w:color="auto"/>
              <w:right w:val="single" w:sz="4" w:space="0" w:color="auto"/>
            </w:tcBorders>
            <w:shd w:val="clear" w:color="auto" w:fill="auto"/>
            <w:vAlign w:val="bottom"/>
          </w:tcPr>
          <w:p w14:paraId="1E809455" w14:textId="77777777" w:rsidR="008B399E" w:rsidRPr="001D0ADC" w:rsidRDefault="008B399E" w:rsidP="008B399E">
            <w:pPr>
              <w:pStyle w:val="NoSpacing"/>
              <w:ind w:firstLine="0"/>
              <w:rPr>
                <w:color w:val="auto"/>
                <w:lang w:val="en-GB" w:eastAsia="cs-CZ"/>
              </w:rPr>
            </w:pPr>
            <w:r w:rsidRPr="001D0ADC">
              <w:rPr>
                <w:color w:val="auto"/>
                <w:lang w:val="en-GB" w:eastAsia="cs-CZ"/>
              </w:rPr>
              <w:t>LOEC cytotoxicity MTT</w:t>
            </w:r>
          </w:p>
        </w:tc>
        <w:tc>
          <w:tcPr>
            <w:tcW w:w="2633" w:type="dxa"/>
            <w:tcBorders>
              <w:top w:val="single" w:sz="4" w:space="0" w:color="auto"/>
              <w:left w:val="nil"/>
              <w:bottom w:val="single" w:sz="4" w:space="0" w:color="auto"/>
              <w:right w:val="single" w:sz="4" w:space="0" w:color="auto"/>
            </w:tcBorders>
          </w:tcPr>
          <w:p w14:paraId="45C738B3" w14:textId="77777777" w:rsidR="008B399E" w:rsidRPr="001D0ADC" w:rsidRDefault="008B399E" w:rsidP="008B399E">
            <w:pPr>
              <w:pStyle w:val="NoSpacing"/>
              <w:ind w:firstLine="0"/>
              <w:rPr>
                <w:color w:val="auto"/>
                <w:lang w:val="en-GB" w:eastAsia="cs-CZ"/>
              </w:rPr>
            </w:pPr>
            <w:r w:rsidRPr="001D0ADC">
              <w:rPr>
                <w:color w:val="auto"/>
                <w:lang w:val="en-GB" w:eastAsia="cs-CZ"/>
              </w:rPr>
              <w:t>In vitro PLHC-1</w:t>
            </w:r>
          </w:p>
        </w:tc>
        <w:tc>
          <w:tcPr>
            <w:tcW w:w="1967" w:type="dxa"/>
            <w:tcBorders>
              <w:top w:val="single" w:sz="4" w:space="0" w:color="auto"/>
              <w:left w:val="single" w:sz="4" w:space="0" w:color="auto"/>
              <w:bottom w:val="single" w:sz="4" w:space="0" w:color="auto"/>
              <w:right w:val="single" w:sz="4" w:space="0" w:color="auto"/>
            </w:tcBorders>
          </w:tcPr>
          <w:p w14:paraId="06D7113C" w14:textId="77777777" w:rsidR="008B399E" w:rsidRPr="001D0ADC" w:rsidRDefault="008B399E" w:rsidP="008B399E">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3BCD4FC" w14:textId="77777777" w:rsidR="008B399E" w:rsidRPr="001D0ADC" w:rsidRDefault="008B399E" w:rsidP="008B399E">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{"citationID":"LRH6Uy7e","properties":{"formattedCitation":"(Laville et al. 2004)","plainCitation":"(Laville et al. 2004)","noteIndex":0},"citationItems":[{"id":1264,"uris":["http://zotero.org/users/11614927/items/42IL9Z9R"],"itemData":{"id":1264,"type":"article-journal","abstract":"Pharmaceuticals are found in the aquatic environment but their potential effects on non-target species like ﬁsh remain unknown. This in vitro study is a ﬁrst approach in the toxicity assessment of human drugs on ﬁsh. Nine pharmaceuticals were tested on two ﬁsh hepatocyte models: primary cultures of rainbow trout hepatocytes (PRTH) and PLHC-1 ﬁsh cell line. Cell viability, interaction with cytochrome P450 1A (CYP1A) enzyme and oxidative stress were assessed by using 3-(4,5-dimethylthiazol-2-yl)-2,5-diphenyltetrasodium bromide tetrazolium (MTT), 7-ethoxyresoruﬁn-o-deethylase (EROD) and dichloroﬂuorescein (DCFH-DA) assays, respectively. The tested drugs were cloﬁbrate (CF), fenoﬁbrate (FF), carbamazepine (CBZ), ﬂuoxetine (FX), diclofenac (DiCF), propranolol (POH), sulfamethoxazole (SFX), amoxicillin (AMX) and gadolinium chloride (GdCl3). All substances were cytotoxic, except AMX at concentration up to 500 </w:instrText>
            </w:r>
            <w:r w:rsidRPr="001D0ADC">
              <w:rPr>
                <w:rFonts w:cs="Times New Roman"/>
                <w:color w:val="auto"/>
                <w:lang w:val="en-GB" w:eastAsia="cs-CZ"/>
              </w:rPr>
              <w:instrText>␮</w:instrText>
            </w:r>
            <w:r w:rsidRPr="001D0ADC">
              <w:rPr>
                <w:color w:val="auto"/>
                <w:lang w:val="en-GB" w:eastAsia="cs-CZ"/>
              </w:rPr>
              <w:instrText xml:space="preserve">M. The calculated MTT EC50 values ranged from 2 </w:instrText>
            </w:r>
            <w:r w:rsidRPr="001D0ADC">
              <w:rPr>
                <w:rFonts w:cs="Times New Roman"/>
                <w:color w:val="auto"/>
                <w:lang w:val="en-GB" w:eastAsia="cs-CZ"/>
              </w:rPr>
              <w:instrText>␮</w:instrText>
            </w:r>
            <w:r w:rsidRPr="001D0ADC">
              <w:rPr>
                <w:color w:val="auto"/>
                <w:lang w:val="en-GB" w:eastAsia="cs-CZ"/>
              </w:rPr>
              <w:instrText xml:space="preserve">M (CF) to 651 </w:instrText>
            </w:r>
            <w:r w:rsidRPr="001D0ADC">
              <w:rPr>
                <w:rFonts w:cs="Times New Roman"/>
                <w:color w:val="auto"/>
                <w:lang w:val="en-GB" w:eastAsia="cs-CZ"/>
              </w:rPr>
              <w:instrText>␮</w:instrText>
            </w:r>
            <w:r w:rsidRPr="001D0ADC">
              <w:rPr>
                <w:color w:val="auto"/>
                <w:lang w:val="en-GB" w:eastAsia="cs-CZ"/>
              </w:rPr>
              <w:instrText xml:space="preserve">M (CBZ) in PLHC-1, and from 53 </w:instrText>
            </w:r>
            <w:r w:rsidRPr="001D0ADC">
              <w:rPr>
                <w:rFonts w:cs="Times New Roman"/>
                <w:color w:val="auto"/>
                <w:lang w:val="en-GB" w:eastAsia="cs-CZ"/>
              </w:rPr>
              <w:instrText>␮</w:instrText>
            </w:r>
            <w:r w:rsidRPr="001D0ADC">
              <w:rPr>
                <w:color w:val="auto"/>
                <w:lang w:val="en-GB" w:eastAsia="cs-CZ"/>
              </w:rPr>
              <w:instrText xml:space="preserve">M (FF) to 962 </w:instrText>
            </w:r>
            <w:r w:rsidRPr="001D0ADC">
              <w:rPr>
                <w:rFonts w:cs="Times New Roman"/>
                <w:color w:val="auto"/>
                <w:lang w:val="en-GB" w:eastAsia="cs-CZ"/>
              </w:rPr>
              <w:instrText>␮</w:instrText>
            </w:r>
            <w:r w:rsidRPr="001D0ADC">
              <w:rPr>
                <w:color w:val="auto"/>
                <w:lang w:val="en-GB" w:eastAsia="cs-CZ"/>
              </w:rPr>
              <w:instrText xml:space="preserve">M (GdCl3) in PRTH. CF, FF, and FX were the most cytotoxic drugs and induced oxidative stress before being cytotoxic. Compared to hepatocytes from human and dog, </w:instrText>
            </w:r>
            <w:r w:rsidRPr="001D0ADC">
              <w:rPr>
                <w:rFonts w:cs="Times New Roman"/>
                <w:color w:val="auto"/>
                <w:lang w:val="en-GB" w:eastAsia="cs-CZ"/>
              </w:rPr>
              <w:instrText>ﬁ</w:instrText>
            </w:r>
            <w:r w:rsidRPr="001D0ADC">
              <w:rPr>
                <w:color w:val="auto"/>
                <w:lang w:val="en-GB" w:eastAsia="cs-CZ"/>
              </w:rPr>
              <w:instrText xml:space="preserve">sh hepatocytes seemed to be more susceptible to the peroxisome proliferators (PPs) CF and FF. In PLHC-1 cells none of the tested drugs induced the EROD activity whereas POH appeared as a weak EROD inducer in PRTH. Moreover, in PRTH, SFX, DiCF, CBZ and to a lesser extend, FF and CF inhibited the basal EROD activity at clearly sublethal concentrations which may be of concern at the biological and chemical levels in a multipollution context.","container-title":"Toxicology","DOI":"10.1016/j.tox.2003.11.002","ISSN":"0300483X","issue":"1-2","journalAbbreviation":"Toxicology","language":"en","page":"41-55","source":"DOI.org (Crossref)","title":"Effects of human pharmaceuticals on cytotoxicity, EROD activity and ROS production in fish hepatocytes","volume":"196","author":[{"family":"Laville","given":"N"},{"family":"Aı̈t-Aı̈ssa","given":"S"},{"family":"Gomez","given":"E"},{"family":"Casellas","given":"C"},{"family":"Porcher","given":"J.M"}],"issued":{"date-parts":[["2004",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(Laville et al. 2004)</w:t>
            </w:r>
            <w:r w:rsidRPr="001D0ADC">
              <w:rPr>
                <w:color w:val="auto"/>
                <w:lang w:val="en-GB" w:eastAsia="cs-CZ"/>
              </w:rPr>
              <w:fldChar w:fldCharType="end"/>
            </w:r>
          </w:p>
        </w:tc>
      </w:tr>
      <w:tr w:rsidR="001D0ADC" w:rsidRPr="001D0ADC" w14:paraId="65BB69CA" w14:textId="77777777" w:rsidTr="005707F7">
        <w:trPr>
          <w:gridAfter w:val="4"/>
          <w:wAfter w:w="9200" w:type="dxa"/>
          <w:trHeight w:val="300"/>
        </w:trPr>
        <w:tc>
          <w:tcPr>
            <w:tcW w:w="760" w:type="dxa"/>
            <w:vMerge/>
            <w:tcBorders>
              <w:left w:val="single" w:sz="4" w:space="0" w:color="auto"/>
              <w:right w:val="single" w:sz="4" w:space="0" w:color="auto"/>
            </w:tcBorders>
            <w:vAlign w:val="center"/>
          </w:tcPr>
          <w:p w14:paraId="7F577564"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593F69E6" w14:textId="0149D9CA" w:rsidR="005707F7" w:rsidRPr="001D0ADC" w:rsidRDefault="00CF2036" w:rsidP="005707F7">
            <w:pPr>
              <w:pStyle w:val="NoSpacing"/>
              <w:ind w:firstLine="0"/>
              <w:rPr>
                <w:color w:val="auto"/>
                <w:lang w:val="en-GB" w:eastAsia="cs-CZ"/>
              </w:rPr>
            </w:pPr>
            <w:r w:rsidRPr="001D0ADC">
              <w:rPr>
                <w:color w:val="auto"/>
                <w:lang w:val="en-GB" w:eastAsia="cs-CZ"/>
              </w:rPr>
              <w:t>2.</w:t>
            </w:r>
            <w:r w:rsidR="005707F7" w:rsidRPr="001D0ADC">
              <w:rPr>
                <w:color w:val="auto"/>
                <w:lang w:val="en-GB" w:eastAsia="cs-CZ"/>
              </w:rPr>
              <w:t>4</w:t>
            </w:r>
          </w:p>
        </w:tc>
        <w:tc>
          <w:tcPr>
            <w:tcW w:w="4520" w:type="dxa"/>
            <w:tcBorders>
              <w:top w:val="nil"/>
              <w:left w:val="nil"/>
              <w:bottom w:val="single" w:sz="4" w:space="0" w:color="auto"/>
              <w:right w:val="single" w:sz="4" w:space="0" w:color="auto"/>
            </w:tcBorders>
            <w:shd w:val="clear" w:color="auto" w:fill="auto"/>
            <w:vAlign w:val="bottom"/>
          </w:tcPr>
          <w:p w14:paraId="70CE7E09" w14:textId="715CB0D7" w:rsidR="005707F7" w:rsidRPr="001D0ADC" w:rsidRDefault="005707F7" w:rsidP="005707F7">
            <w:pPr>
              <w:pStyle w:val="NoSpacing"/>
              <w:ind w:firstLine="0"/>
              <w:rPr>
                <w:color w:val="auto"/>
                <w:lang w:val="en-GB" w:eastAsia="cs-CZ"/>
              </w:rPr>
            </w:pPr>
            <w:r w:rsidRPr="001D0ADC">
              <w:rPr>
                <w:color w:val="auto"/>
                <w:lang w:val="en-GB" w:eastAsia="cs-CZ"/>
              </w:rPr>
              <w:t>EC50 cytotoxicity (AB)</w:t>
            </w:r>
          </w:p>
        </w:tc>
        <w:tc>
          <w:tcPr>
            <w:tcW w:w="2633" w:type="dxa"/>
            <w:tcBorders>
              <w:top w:val="single" w:sz="4" w:space="0" w:color="auto"/>
              <w:left w:val="nil"/>
              <w:bottom w:val="single" w:sz="4" w:space="0" w:color="auto"/>
              <w:right w:val="single" w:sz="4" w:space="0" w:color="auto"/>
            </w:tcBorders>
            <w:shd w:val="clear" w:color="auto" w:fill="auto"/>
          </w:tcPr>
          <w:p w14:paraId="3CC6052C" w14:textId="7B1AEF1B" w:rsidR="005707F7" w:rsidRPr="001D0ADC" w:rsidRDefault="005707F7" w:rsidP="005707F7">
            <w:pPr>
              <w:pStyle w:val="NoSpacing"/>
              <w:ind w:firstLine="0"/>
              <w:rPr>
                <w:color w:val="auto"/>
                <w:lang w:val="en-GB" w:eastAsia="cs-CZ"/>
              </w:rPr>
            </w:pPr>
            <w:r w:rsidRPr="001D0ADC">
              <w:rPr>
                <w:color w:val="auto"/>
                <w:lang w:val="en-GB" w:eastAsia="cs-CZ"/>
              </w:rPr>
              <w:t xml:space="preserve">In vitro (RTL-W1) </w:t>
            </w:r>
          </w:p>
        </w:tc>
        <w:tc>
          <w:tcPr>
            <w:tcW w:w="1967" w:type="dxa"/>
            <w:tcBorders>
              <w:top w:val="single" w:sz="4" w:space="0" w:color="auto"/>
              <w:left w:val="single" w:sz="4" w:space="0" w:color="auto"/>
              <w:bottom w:val="single" w:sz="4" w:space="0" w:color="auto"/>
              <w:right w:val="single" w:sz="4" w:space="0" w:color="auto"/>
            </w:tcBorders>
            <w:shd w:val="clear" w:color="auto" w:fill="auto"/>
          </w:tcPr>
          <w:p w14:paraId="13C14406" w14:textId="325C7E6C" w:rsidR="005707F7" w:rsidRPr="001D0ADC" w:rsidRDefault="005707F7" w:rsidP="005707F7">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85B6840" w14:textId="77777777" w:rsidR="005707F7" w:rsidRPr="001D0ADC" w:rsidRDefault="005707F7" w:rsidP="005707F7">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{"citationID":"x0fD74Ss","properties":{"formattedCitation":"(Stanic et al. 2021)","plainCitation":"(Stanic et al. 2021)","noteIndex":0},"citationItems":[{"id":1194,"uris":["http://zotero.org/users/11614927/items/A6F34KY3"],"itemData":{"id":1194,"type":"article-journal","abstract":"We developed phospho-ERK1/2 ELISA for human and rainbow trout liver cells, employing HepG2 and RTL-W1 cell lines as models. The assay was applied to detect changes in ERK1/2 activity for nine chemicals, added over a wide concentration range and time points. Cell viability was measured to separate ERK1/2 regulation from cytotoxicity. Perfluorooctane sulfonate and carbendazim did not change ERK1/2 activity; influence on ERK1/2 due to cytotoxicity was indicated for tributyltin and cypermethrin. Mancozeb, benzo[a]pyrene, and bisphenol A stimulated ERK1/2 up to ~2- (HepG2) and 1.5 (RTL-W1)-fold, though the kinetics differed between chemicals and cell lines. Bisphenol A and benzo[a]pyrene were the most potent concentration-wise, altering ERK1/2 ac­ tivity in pM (HepG2) to nM (RTL-W1) range. While atrazine and ibuprofen increased ERK1/2 activity by ~2-fold in HepG2, they did not initiate an appreciable response in RTL-W1. This assay proved to be a sensitive, mediumto high-throughput tool for detecting unrecognized ERK1/2-disrupting chemicals.","container-title":"Environmental Toxicology and Pharmacology","DOI":"10.1016/j.etap.2021.103749","ISSN":"13826689","journalAbbreviation":"Environmental Toxicology and Pharmacology","language":"en","page":"103749","source":"DOI.org (Crossref)","title":"Characterization of the ERK1/2 phosphorylation profile in human and fish liver cells upon exposure to chemicals of environmental concern","volume":"88","author":[{"family":"Stanic","given":"Bojana"},{"family":"Petrovic","given":"Jelena"},{"family":"Basica","given":"Branka"},{"family":"Kaisarevic","given":"Sonja"},{"family":"Schirmer","given":"Kristin"},{"family":"Andric","given":"Nebojsa"}],"issued":{"date-parts":[["2021",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(Stanic et al. 2021)</w:t>
            </w:r>
            <w:r w:rsidRPr="001D0ADC">
              <w:rPr>
                <w:color w:val="auto"/>
                <w:lang w:val="en-GB" w:eastAsia="cs-CZ"/>
              </w:rPr>
              <w:fldChar w:fldCharType="end"/>
            </w:r>
          </w:p>
        </w:tc>
      </w:tr>
      <w:tr w:rsidR="001D0ADC" w:rsidRPr="001D0ADC" w14:paraId="479815AB"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61D6650A"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78EF17BB" w14:textId="5CA3A8CF" w:rsidR="005707F7" w:rsidRPr="001D0ADC" w:rsidRDefault="005707F7" w:rsidP="005707F7">
            <w:pPr>
              <w:pStyle w:val="NoSpacing"/>
              <w:ind w:firstLine="0"/>
              <w:rPr>
                <w:color w:val="auto"/>
                <w:lang w:val="en-GB" w:eastAsia="cs-CZ"/>
              </w:rPr>
            </w:pPr>
            <w:r w:rsidRPr="001D0ADC">
              <w:rPr>
                <w:color w:val="auto"/>
                <w:lang w:val="en-GB" w:eastAsia="cs-CZ"/>
              </w:rPr>
              <w:t>168</w:t>
            </w:r>
          </w:p>
        </w:tc>
        <w:tc>
          <w:tcPr>
            <w:tcW w:w="4520" w:type="dxa"/>
            <w:tcBorders>
              <w:top w:val="nil"/>
              <w:left w:val="nil"/>
              <w:bottom w:val="single" w:sz="4" w:space="0" w:color="auto"/>
              <w:right w:val="single" w:sz="4" w:space="0" w:color="auto"/>
            </w:tcBorders>
            <w:shd w:val="clear" w:color="auto" w:fill="auto"/>
            <w:vAlign w:val="bottom"/>
          </w:tcPr>
          <w:p w14:paraId="076E5EBE" w14:textId="3CED2AC1" w:rsidR="005707F7" w:rsidRPr="001D0ADC" w:rsidRDefault="005707F7" w:rsidP="005707F7">
            <w:pPr>
              <w:pStyle w:val="NoSpacing"/>
              <w:ind w:firstLine="0"/>
              <w:rPr>
                <w:color w:val="auto"/>
                <w:lang w:val="en-GB" w:eastAsia="cs-CZ"/>
              </w:rPr>
            </w:pPr>
            <w:r w:rsidRPr="001D0ADC">
              <w:rPr>
                <w:color w:val="auto"/>
                <w:lang w:val="en-GB" w:eastAsia="cs-CZ"/>
              </w:rPr>
              <w:t>EC50 for total protein content</w:t>
            </w:r>
          </w:p>
        </w:tc>
        <w:tc>
          <w:tcPr>
            <w:tcW w:w="2633" w:type="dxa"/>
            <w:vMerge w:val="restart"/>
            <w:tcBorders>
              <w:top w:val="single" w:sz="4" w:space="0" w:color="auto"/>
              <w:left w:val="nil"/>
              <w:right w:val="single" w:sz="4" w:space="0" w:color="auto"/>
            </w:tcBorders>
          </w:tcPr>
          <w:p w14:paraId="3035519A" w14:textId="4215ED62" w:rsidR="005707F7" w:rsidRPr="001D0ADC" w:rsidRDefault="005707F7" w:rsidP="005707F7">
            <w:pPr>
              <w:pStyle w:val="NoSpacing"/>
              <w:ind w:firstLine="0"/>
              <w:rPr>
                <w:color w:val="auto"/>
                <w:lang w:val="en-GB" w:eastAsia="cs-CZ"/>
              </w:rPr>
            </w:pPr>
            <w:r w:rsidRPr="001D0ADC">
              <w:rPr>
                <w:color w:val="auto"/>
                <w:lang w:val="en-GB" w:eastAsia="cs-CZ"/>
              </w:rPr>
              <w:t>In vito RTG-2</w:t>
            </w:r>
          </w:p>
        </w:tc>
        <w:tc>
          <w:tcPr>
            <w:tcW w:w="1967" w:type="dxa"/>
            <w:vMerge w:val="restart"/>
            <w:tcBorders>
              <w:top w:val="single" w:sz="4" w:space="0" w:color="auto"/>
              <w:left w:val="single" w:sz="4" w:space="0" w:color="auto"/>
              <w:right w:val="single" w:sz="4" w:space="0" w:color="auto"/>
            </w:tcBorders>
          </w:tcPr>
          <w:p w14:paraId="08884BBA" w14:textId="77FACB80" w:rsidR="005707F7" w:rsidRPr="001D0ADC" w:rsidRDefault="005707F7" w:rsidP="005707F7">
            <w:pPr>
              <w:pStyle w:val="NoSpacing"/>
              <w:ind w:firstLine="0"/>
              <w:rPr>
                <w:color w:val="auto"/>
                <w:lang w:val="en-GB" w:eastAsia="cs-CZ"/>
              </w:rPr>
            </w:pPr>
            <w:r w:rsidRPr="001D0ADC">
              <w:rPr>
                <w:color w:val="auto"/>
                <w:lang w:val="en-GB" w:eastAsia="cs-CZ"/>
              </w:rPr>
              <w:t>48h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FCDDCAF" w14:textId="4687433E" w:rsidR="005707F7" w:rsidRPr="001D0ADC" w:rsidRDefault="005707F7" w:rsidP="005707F7">
            <w:pPr>
              <w:pStyle w:val="NoSpacing"/>
              <w:ind w:firstLine="0"/>
              <w:rPr>
                <w:color w:val="auto"/>
                <w:lang w:val="en-GB" w:eastAsia="cs-CZ"/>
              </w:rPr>
            </w:pPr>
            <w:r w:rsidRPr="001D0ADC">
              <w:rPr>
                <w:color w:val="auto"/>
                <w:lang w:val="en-GB" w:eastAsia="cs-CZ"/>
              </w:rPr>
              <w:fldChar w:fldCharType="begin"/>
            </w:r>
            <w:r w:rsidR="009B3C36" w:rsidRPr="001D0ADC">
              <w:rPr>
                <w:color w:val="auto"/>
                <w:lang w:val="en-GB" w:eastAsia="cs-CZ"/>
              </w:rPr>
              <w:instrText xml:space="preserve"> ADDIN ZOTERO_ITEM CSL_CITATION {"citationID":"ajftjmhkgm","properties":{"formattedCitation":"(Jos et al. 2003)","plainCitation":"(Jos et al. 2003)","noteIndex":0},"citationItems":[{"id":1391,"uris":["http://zotero.org/users/11614927/items/6UWPMTDH"],"itemData":{"id":1391,"type":"article-journal","abstract":"The occurrence of pharmaceutically active compounds in the aquatic environment has been recognized as one of the emerging issues in environmental chemistry. However, the ecotoxicological eﬀects of pharmaceuticals have still not been researched adequately. Carbamazepine, an anticonvulsant commonly present in surface and groundwater, was studied, using six ecotoxicological model systems with eighteen endpoints evaluated at diﬀerent exposure time periods. The battery included the immobilization of Daphnia magna, bioluminescence inhibition in the bacterium Vibrio ﬁscheri, growth inhibition of the alga Chlorella vulgaris, and micronuclei induction and root growth inhibition in the plant Allium cepa. Cell morphology, neutral red uptake, total protein content, MTS metabolization, lactate dehydrogenase leakage and activity and glucose-6-phosphate dehydrogenase activity were studied in the salmonid ﬁsh cell line RTG-2. The total protein content, LDH activity, neutral red uptake and MTT metabolization in Vero monkey kidney cells were also investigated. The most sensitive system to carbamazepine was the Vero cell line, followed by Chlorella vulgaris, Vibrio ﬁscheri, Daphnia magna, Allium cepa, and RTG-2 cells. EC50 values from 19 mm in Vero cells at 72 h to more than 1200 mm in other systems, were obtained. Comparing the concentrations in water and the toxicity quantiﬁed in our assay systems, carbamazepine is not expected to produce acute toxic eﬀects in the aquatic biota under these circumstances, but chronic and synergistic eﬀects with other chemicals cannot be excluded.","container-title":"Toxicology in Vitro","DOI":"10.1016/S0887-2333(03)00119-X","ISSN":"08872333","issue":"5-6","journalAbbreviation":"Toxicology in Vitro","language":"en","page":"525-532","source":"DOI.org (Crossref)","title":"Ecotoxicological evaluation of carbamazepine using six different model systems with eighteen endpoints","volume":"17","author":[{"family":"Jos","given":"A"},{"family":"Repetto","given":"G"},{"family":"Rios","given":"J.C"},{"family":"Hazen","given":"M.J"},{"family":"Molero","given":"M.L"},{"family":"Del Peso","given":"A"},{"family":"Salguero","given":"M"},{"family":"Fernández-Freire","given":"P"},{"family":"Pérez-Martı́n","given":"J.M"},{"family":"Cameán","given":"A"}],"issued":{"date-parts":[["2003",10]]}}}],"schema":"https://github.com/citation-style-language/schema/raw/master/csl-citation.json"} </w:instrText>
            </w:r>
            <w:r w:rsidRPr="001D0ADC">
              <w:rPr>
                <w:color w:val="auto"/>
                <w:lang w:val="en-GB" w:eastAsia="cs-CZ"/>
              </w:rPr>
              <w:fldChar w:fldCharType="separate"/>
            </w:r>
            <w:r w:rsidR="009B3C36" w:rsidRPr="001D0ADC">
              <w:rPr>
                <w:rFonts w:cs="Times New Roman"/>
                <w:color w:val="auto"/>
                <w:szCs w:val="24"/>
                <w:lang w:val="en-GB"/>
              </w:rPr>
              <w:t>(Jos et al. 2003)</w:t>
            </w:r>
            <w:r w:rsidRPr="001D0ADC">
              <w:rPr>
                <w:color w:val="auto"/>
                <w:lang w:val="en-GB" w:eastAsia="cs-CZ"/>
              </w:rPr>
              <w:fldChar w:fldCharType="end"/>
            </w:r>
          </w:p>
        </w:tc>
      </w:tr>
      <w:tr w:rsidR="001D0ADC" w:rsidRPr="001D0ADC" w14:paraId="50BB985E"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63FB4B49"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3A841D24" w14:textId="6F8B0BEC" w:rsidR="005707F7" w:rsidRPr="001D0ADC" w:rsidRDefault="005707F7" w:rsidP="005707F7">
            <w:pPr>
              <w:pStyle w:val="NoSpacing"/>
              <w:ind w:firstLine="0"/>
              <w:rPr>
                <w:color w:val="auto"/>
                <w:lang w:val="en-GB" w:eastAsia="cs-CZ"/>
              </w:rPr>
            </w:pPr>
            <w:r w:rsidRPr="001D0ADC">
              <w:rPr>
                <w:color w:val="auto"/>
                <w:lang w:val="en-GB" w:eastAsia="cs-CZ"/>
              </w:rPr>
              <w:t>112</w:t>
            </w:r>
          </w:p>
        </w:tc>
        <w:tc>
          <w:tcPr>
            <w:tcW w:w="4520" w:type="dxa"/>
            <w:tcBorders>
              <w:top w:val="nil"/>
              <w:left w:val="nil"/>
              <w:bottom w:val="single" w:sz="4" w:space="0" w:color="auto"/>
              <w:right w:val="single" w:sz="4" w:space="0" w:color="auto"/>
            </w:tcBorders>
            <w:shd w:val="clear" w:color="auto" w:fill="auto"/>
            <w:vAlign w:val="bottom"/>
          </w:tcPr>
          <w:p w14:paraId="795EBDF3" w14:textId="140E9052" w:rsidR="005707F7" w:rsidRPr="001D0ADC" w:rsidRDefault="005707F7" w:rsidP="005707F7">
            <w:pPr>
              <w:pStyle w:val="NoSpacing"/>
              <w:ind w:firstLine="0"/>
              <w:rPr>
                <w:color w:val="auto"/>
                <w:lang w:val="en-GB" w:eastAsia="cs-CZ"/>
              </w:rPr>
            </w:pPr>
            <w:r w:rsidRPr="001D0ADC">
              <w:rPr>
                <w:color w:val="auto"/>
                <w:lang w:val="en-GB" w:eastAsia="cs-CZ"/>
              </w:rPr>
              <w:t>EC50 for NR uptake</w:t>
            </w:r>
          </w:p>
        </w:tc>
        <w:tc>
          <w:tcPr>
            <w:tcW w:w="2633" w:type="dxa"/>
            <w:vMerge/>
            <w:tcBorders>
              <w:left w:val="nil"/>
              <w:right w:val="single" w:sz="4" w:space="0" w:color="auto"/>
            </w:tcBorders>
          </w:tcPr>
          <w:p w14:paraId="42AA053E" w14:textId="77777777" w:rsidR="005707F7" w:rsidRPr="001D0ADC" w:rsidRDefault="005707F7" w:rsidP="005707F7">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F980001" w14:textId="77777777" w:rsidR="005707F7" w:rsidRPr="001D0ADC" w:rsidRDefault="005707F7" w:rsidP="005707F7">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5544F017" w14:textId="77777777" w:rsidR="005707F7" w:rsidRPr="001D0ADC" w:rsidRDefault="005707F7" w:rsidP="005707F7">
            <w:pPr>
              <w:pStyle w:val="NoSpacing"/>
              <w:ind w:firstLine="0"/>
              <w:rPr>
                <w:color w:val="auto"/>
                <w:lang w:val="en-GB" w:eastAsia="cs-CZ"/>
              </w:rPr>
            </w:pPr>
          </w:p>
        </w:tc>
      </w:tr>
      <w:tr w:rsidR="001D0ADC" w:rsidRPr="001D0ADC" w14:paraId="519859E7"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1CF1307D"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6BDDE40E" w14:textId="65BF04E2" w:rsidR="005707F7" w:rsidRPr="001D0ADC" w:rsidRDefault="005707F7" w:rsidP="005707F7">
            <w:pPr>
              <w:pStyle w:val="NoSpacing"/>
              <w:ind w:firstLine="0"/>
              <w:rPr>
                <w:color w:val="auto"/>
                <w:lang w:val="en-GB" w:eastAsia="cs-CZ"/>
              </w:rPr>
            </w:pPr>
            <w:r w:rsidRPr="001D0ADC">
              <w:rPr>
                <w:color w:val="auto"/>
                <w:lang w:val="en-GB" w:eastAsia="cs-CZ"/>
              </w:rPr>
              <w:t>142</w:t>
            </w:r>
          </w:p>
        </w:tc>
        <w:tc>
          <w:tcPr>
            <w:tcW w:w="4520" w:type="dxa"/>
            <w:tcBorders>
              <w:top w:val="nil"/>
              <w:left w:val="nil"/>
              <w:bottom w:val="single" w:sz="4" w:space="0" w:color="auto"/>
              <w:right w:val="single" w:sz="4" w:space="0" w:color="auto"/>
            </w:tcBorders>
            <w:shd w:val="clear" w:color="auto" w:fill="auto"/>
            <w:vAlign w:val="bottom"/>
          </w:tcPr>
          <w:p w14:paraId="3A82D337" w14:textId="29FBECDE" w:rsidR="005707F7" w:rsidRPr="001D0ADC" w:rsidRDefault="005707F7" w:rsidP="005707F7">
            <w:pPr>
              <w:pStyle w:val="NoSpacing"/>
              <w:ind w:firstLine="0"/>
              <w:rPr>
                <w:color w:val="auto"/>
                <w:lang w:val="en-GB" w:eastAsia="cs-CZ"/>
              </w:rPr>
            </w:pPr>
            <w:r w:rsidRPr="001D0ADC">
              <w:rPr>
                <w:color w:val="auto"/>
                <w:lang w:val="en-GB" w:eastAsia="cs-CZ"/>
              </w:rPr>
              <w:t>EC50 for MTS metabolization</w:t>
            </w:r>
          </w:p>
        </w:tc>
        <w:tc>
          <w:tcPr>
            <w:tcW w:w="2633" w:type="dxa"/>
            <w:vMerge/>
            <w:tcBorders>
              <w:left w:val="nil"/>
              <w:right w:val="single" w:sz="4" w:space="0" w:color="auto"/>
            </w:tcBorders>
          </w:tcPr>
          <w:p w14:paraId="47EDAEA3" w14:textId="77777777" w:rsidR="005707F7" w:rsidRPr="001D0ADC" w:rsidRDefault="005707F7" w:rsidP="005707F7">
            <w:pPr>
              <w:pStyle w:val="NoSpacing"/>
              <w:ind w:firstLine="0"/>
              <w:rPr>
                <w:color w:val="auto"/>
                <w:lang w:val="en-GB" w:eastAsia="cs-CZ"/>
              </w:rPr>
            </w:pPr>
          </w:p>
        </w:tc>
        <w:tc>
          <w:tcPr>
            <w:tcW w:w="1967" w:type="dxa"/>
            <w:vMerge w:val="restart"/>
            <w:tcBorders>
              <w:top w:val="single" w:sz="4" w:space="0" w:color="auto"/>
              <w:left w:val="single" w:sz="4" w:space="0" w:color="auto"/>
              <w:right w:val="single" w:sz="4" w:space="0" w:color="auto"/>
            </w:tcBorders>
          </w:tcPr>
          <w:p w14:paraId="04516BE6" w14:textId="5FE2B2EE" w:rsidR="005707F7" w:rsidRPr="001D0ADC" w:rsidRDefault="005707F7" w:rsidP="005707F7">
            <w:pPr>
              <w:pStyle w:val="NoSpacing"/>
              <w:ind w:firstLine="0"/>
              <w:rPr>
                <w:color w:val="auto"/>
                <w:lang w:val="en-GB" w:eastAsia="cs-CZ"/>
              </w:rPr>
            </w:pPr>
            <w:r w:rsidRPr="001D0ADC">
              <w:rPr>
                <w:color w:val="auto"/>
                <w:lang w:val="en-GB" w:eastAsia="cs-CZ"/>
              </w:rPr>
              <w:t>72h</w:t>
            </w:r>
          </w:p>
        </w:tc>
        <w:tc>
          <w:tcPr>
            <w:tcW w:w="2300" w:type="dxa"/>
            <w:vMerge/>
            <w:tcBorders>
              <w:left w:val="single" w:sz="4" w:space="0" w:color="auto"/>
              <w:right w:val="single" w:sz="4" w:space="0" w:color="auto"/>
            </w:tcBorders>
            <w:shd w:val="clear" w:color="auto" w:fill="auto"/>
            <w:vAlign w:val="bottom"/>
          </w:tcPr>
          <w:p w14:paraId="42A51160" w14:textId="77777777" w:rsidR="005707F7" w:rsidRPr="001D0ADC" w:rsidRDefault="005707F7" w:rsidP="005707F7">
            <w:pPr>
              <w:pStyle w:val="NoSpacing"/>
              <w:ind w:firstLine="0"/>
              <w:rPr>
                <w:color w:val="auto"/>
                <w:lang w:val="en-GB" w:eastAsia="cs-CZ"/>
              </w:rPr>
            </w:pPr>
          </w:p>
        </w:tc>
      </w:tr>
      <w:tr w:rsidR="001D0ADC" w:rsidRPr="001D0ADC" w14:paraId="63FDBF6B" w14:textId="77777777" w:rsidTr="006C31A6">
        <w:trPr>
          <w:gridAfter w:val="4"/>
          <w:wAfter w:w="9200" w:type="dxa"/>
          <w:trHeight w:val="300"/>
        </w:trPr>
        <w:tc>
          <w:tcPr>
            <w:tcW w:w="760" w:type="dxa"/>
            <w:vMerge/>
            <w:tcBorders>
              <w:left w:val="single" w:sz="4" w:space="0" w:color="auto"/>
              <w:right w:val="single" w:sz="4" w:space="0" w:color="auto"/>
            </w:tcBorders>
            <w:vAlign w:val="center"/>
          </w:tcPr>
          <w:p w14:paraId="523785BC" w14:textId="77777777" w:rsidR="005707F7" w:rsidRPr="001D0ADC" w:rsidRDefault="005707F7" w:rsidP="005707F7">
            <w:pPr>
              <w:pStyle w:val="NoSpacing"/>
              <w:ind w:firstLine="0"/>
              <w:rPr>
                <w:color w:val="auto"/>
                <w:lang w:val="en-GB" w:eastAsia="cs-CZ"/>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371268BF" w14:textId="70828C4F" w:rsidR="005707F7" w:rsidRPr="001D0ADC" w:rsidRDefault="005707F7" w:rsidP="005707F7">
            <w:pPr>
              <w:pStyle w:val="NoSpacing"/>
              <w:ind w:firstLine="0"/>
              <w:rPr>
                <w:color w:val="auto"/>
                <w:lang w:val="en-GB" w:eastAsia="cs-CZ"/>
              </w:rPr>
            </w:pPr>
            <w:r w:rsidRPr="001D0ADC">
              <w:rPr>
                <w:color w:val="auto"/>
                <w:lang w:val="en-GB" w:eastAsia="cs-CZ"/>
              </w:rPr>
              <w:t>162</w:t>
            </w:r>
          </w:p>
        </w:tc>
        <w:tc>
          <w:tcPr>
            <w:tcW w:w="4520" w:type="dxa"/>
            <w:tcBorders>
              <w:top w:val="single" w:sz="4" w:space="0" w:color="auto"/>
              <w:left w:val="single" w:sz="4" w:space="0" w:color="auto"/>
              <w:bottom w:val="single" w:sz="4" w:space="0" w:color="auto"/>
              <w:right w:val="single" w:sz="4" w:space="0" w:color="auto"/>
            </w:tcBorders>
            <w:shd w:val="clear" w:color="auto" w:fill="auto"/>
            <w:vAlign w:val="bottom"/>
          </w:tcPr>
          <w:p w14:paraId="58492CFE" w14:textId="418E0436" w:rsidR="005707F7" w:rsidRPr="001D0ADC" w:rsidRDefault="005707F7" w:rsidP="005707F7">
            <w:pPr>
              <w:pStyle w:val="NoSpacing"/>
              <w:ind w:firstLine="0"/>
              <w:rPr>
                <w:color w:val="auto"/>
                <w:lang w:val="en-GB" w:eastAsia="cs-CZ"/>
              </w:rPr>
            </w:pPr>
            <w:r w:rsidRPr="001D0ADC">
              <w:rPr>
                <w:color w:val="auto"/>
                <w:lang w:val="en-GB" w:eastAsia="cs-CZ"/>
              </w:rPr>
              <w:t>EC50 for G6PDH activity</w:t>
            </w:r>
          </w:p>
        </w:tc>
        <w:tc>
          <w:tcPr>
            <w:tcW w:w="2633" w:type="dxa"/>
            <w:vMerge/>
            <w:tcBorders>
              <w:left w:val="single" w:sz="4" w:space="0" w:color="auto"/>
              <w:bottom w:val="single" w:sz="4" w:space="0" w:color="auto"/>
              <w:right w:val="single" w:sz="4" w:space="0" w:color="auto"/>
            </w:tcBorders>
          </w:tcPr>
          <w:p w14:paraId="0A5002AA" w14:textId="77777777" w:rsidR="005707F7" w:rsidRPr="001D0ADC" w:rsidRDefault="005707F7" w:rsidP="005707F7">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A82E6EF" w14:textId="77777777" w:rsidR="005707F7" w:rsidRPr="001D0ADC" w:rsidRDefault="005707F7" w:rsidP="005707F7">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AE23AFC" w14:textId="77777777" w:rsidR="005707F7" w:rsidRPr="001D0ADC" w:rsidRDefault="005707F7" w:rsidP="005707F7">
            <w:pPr>
              <w:pStyle w:val="NoSpacing"/>
              <w:ind w:firstLine="0"/>
              <w:rPr>
                <w:color w:val="auto"/>
                <w:lang w:val="en-GB" w:eastAsia="cs-CZ"/>
              </w:rPr>
            </w:pPr>
          </w:p>
        </w:tc>
      </w:tr>
      <w:tr w:rsidR="001D0ADC" w:rsidRPr="001D0ADC" w14:paraId="1FA71BC7"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23E454AC" w14:textId="77777777" w:rsidR="005707F7" w:rsidRPr="001D0ADC" w:rsidRDefault="005707F7" w:rsidP="005707F7">
            <w:pPr>
              <w:pStyle w:val="NoSpacing"/>
              <w:ind w:firstLine="0"/>
              <w:rPr>
                <w:color w:val="auto"/>
                <w:lang w:val="en-GB" w:eastAsia="cs-CZ"/>
              </w:rPr>
            </w:pPr>
          </w:p>
        </w:tc>
        <w:tc>
          <w:tcPr>
            <w:tcW w:w="13122" w:type="dxa"/>
            <w:gridSpan w:val="5"/>
            <w:tcBorders>
              <w:top w:val="nil"/>
              <w:left w:val="single" w:sz="4" w:space="0" w:color="auto"/>
              <w:bottom w:val="single" w:sz="4" w:space="0" w:color="auto"/>
              <w:right w:val="single" w:sz="4" w:space="0" w:color="auto"/>
            </w:tcBorders>
            <w:shd w:val="clear" w:color="auto" w:fill="auto"/>
            <w:vAlign w:val="center"/>
          </w:tcPr>
          <w:p w14:paraId="099120E1" w14:textId="064BF58C" w:rsidR="005707F7" w:rsidRPr="001D0ADC" w:rsidRDefault="005707F7" w:rsidP="005707F7">
            <w:pPr>
              <w:pStyle w:val="NoSpacing"/>
              <w:ind w:firstLine="0"/>
              <w:jc w:val="left"/>
              <w:rPr>
                <w:b/>
                <w:bCs/>
                <w:color w:val="auto"/>
                <w:lang w:val="en-GB" w:eastAsia="cs-CZ"/>
              </w:rPr>
            </w:pPr>
            <w:r w:rsidRPr="001D0ADC">
              <w:rPr>
                <w:b/>
                <w:bCs/>
                <w:i/>
                <w:iCs/>
                <w:color w:val="auto"/>
                <w:lang w:val="en-GB" w:eastAsia="cs-CZ"/>
              </w:rPr>
              <w:t>In vitro</w:t>
            </w:r>
            <w:r w:rsidRPr="001D0ADC">
              <w:rPr>
                <w:b/>
                <w:bCs/>
                <w:color w:val="auto"/>
                <w:lang w:val="en-GB" w:eastAsia="cs-CZ"/>
              </w:rPr>
              <w:t xml:space="preserve"> (primary cultures)</w:t>
            </w:r>
            <w:r w:rsidR="000F6A8E" w:rsidRPr="001D0ADC">
              <w:rPr>
                <w:b/>
                <w:bCs/>
                <w:color w:val="auto"/>
                <w:lang w:val="en-GB" w:eastAsia="cs-CZ"/>
              </w:rPr>
              <w:t xml:space="preserve"> (mg/l)</w:t>
            </w:r>
          </w:p>
        </w:tc>
      </w:tr>
      <w:tr w:rsidR="001D0ADC" w:rsidRPr="001D0ADC" w14:paraId="36225A13"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68E15212"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7165FE5" w14:textId="77777777" w:rsidR="005707F7" w:rsidRPr="001D0ADC" w:rsidRDefault="005707F7" w:rsidP="005707F7">
            <w:pPr>
              <w:pStyle w:val="NoSpacing"/>
              <w:ind w:firstLine="0"/>
              <w:rPr>
                <w:color w:val="auto"/>
                <w:lang w:val="en-GB" w:eastAsia="cs-CZ"/>
              </w:rPr>
            </w:pPr>
            <w:r w:rsidRPr="001D0ADC">
              <w:rPr>
                <w:color w:val="auto"/>
                <w:lang w:val="en-GB" w:eastAsia="cs-CZ"/>
              </w:rPr>
              <w:t>2</w:t>
            </w:r>
          </w:p>
        </w:tc>
        <w:tc>
          <w:tcPr>
            <w:tcW w:w="4520" w:type="dxa"/>
            <w:tcBorders>
              <w:top w:val="nil"/>
              <w:left w:val="nil"/>
              <w:bottom w:val="single" w:sz="4" w:space="0" w:color="auto"/>
              <w:right w:val="single" w:sz="4" w:space="0" w:color="auto"/>
            </w:tcBorders>
            <w:shd w:val="clear" w:color="auto" w:fill="auto"/>
            <w:vAlign w:val="bottom"/>
          </w:tcPr>
          <w:p w14:paraId="2069A87D" w14:textId="77777777" w:rsidR="005707F7" w:rsidRPr="001D0ADC" w:rsidRDefault="005707F7" w:rsidP="005707F7">
            <w:pPr>
              <w:pStyle w:val="NoSpacing"/>
              <w:ind w:firstLine="0"/>
              <w:rPr>
                <w:color w:val="auto"/>
                <w:lang w:val="en-GB" w:eastAsia="cs-CZ"/>
              </w:rPr>
            </w:pPr>
            <w:r w:rsidRPr="001D0ADC">
              <w:rPr>
                <w:color w:val="auto"/>
                <w:lang w:val="en-GB" w:eastAsia="cs-CZ"/>
              </w:rPr>
              <w:t>LOEC for impaired velocity and motility, SOD and GPx activity</w:t>
            </w:r>
          </w:p>
        </w:tc>
        <w:tc>
          <w:tcPr>
            <w:tcW w:w="2633" w:type="dxa"/>
            <w:vMerge w:val="restart"/>
            <w:tcBorders>
              <w:top w:val="single" w:sz="4" w:space="0" w:color="auto"/>
              <w:left w:val="nil"/>
              <w:right w:val="single" w:sz="4" w:space="0" w:color="auto"/>
            </w:tcBorders>
          </w:tcPr>
          <w:p w14:paraId="10718427" w14:textId="77777777" w:rsidR="005707F7" w:rsidRPr="001D0ADC" w:rsidRDefault="005707F7" w:rsidP="005707F7">
            <w:pPr>
              <w:pStyle w:val="NoSpacing"/>
              <w:ind w:firstLine="0"/>
              <w:rPr>
                <w:color w:val="auto"/>
                <w:lang w:val="en-GB" w:eastAsia="cs-CZ"/>
              </w:rPr>
            </w:pPr>
            <w:r w:rsidRPr="001D0ADC">
              <w:rPr>
                <w:color w:val="auto"/>
                <w:lang w:val="en-GB" w:eastAsia="cs-CZ"/>
              </w:rPr>
              <w:t>In vitro (spermatozoa CC)</w:t>
            </w:r>
          </w:p>
        </w:tc>
        <w:tc>
          <w:tcPr>
            <w:tcW w:w="1967" w:type="dxa"/>
            <w:vMerge w:val="restart"/>
            <w:tcBorders>
              <w:top w:val="single" w:sz="4" w:space="0" w:color="auto"/>
              <w:left w:val="single" w:sz="4" w:space="0" w:color="auto"/>
              <w:right w:val="single" w:sz="4" w:space="0" w:color="auto"/>
            </w:tcBorders>
          </w:tcPr>
          <w:p w14:paraId="6DE77D3E" w14:textId="77777777" w:rsidR="005707F7" w:rsidRPr="001D0ADC" w:rsidRDefault="005707F7" w:rsidP="005707F7">
            <w:pPr>
              <w:pStyle w:val="NoSpacing"/>
              <w:ind w:firstLine="0"/>
              <w:rPr>
                <w:color w:val="auto"/>
                <w:lang w:val="en-GB" w:eastAsia="cs-CZ"/>
              </w:rPr>
            </w:pPr>
            <w:r w:rsidRPr="001D0ADC">
              <w:rPr>
                <w:color w:val="auto"/>
                <w:lang w:val="en-GB" w:eastAsia="cs-CZ"/>
              </w:rPr>
              <w:t>2h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4BCB2C0" w14:textId="77777777" w:rsidR="005707F7" w:rsidRPr="001D0ADC" w:rsidRDefault="005707F7" w:rsidP="005707F7">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{"citationID":"pGA5eEWp","properties":{"formattedCitation":"(Z.-H. Li et al. 2010)","plainCitation":"(Z.-H. Li et al. 2010)","noteIndex":0},"citationItems":[{"id":1283,"uris":["http://zotero.org/users/11614927/items/TG2MD5XH"],"itemData":{"id":1283,"type":"article-journal","abstract":"The effects of CBZ (a human pharmaceutical commonly present in aquatic environment) on the quality parameters and oxidative stress of common carp spermatozoa were investigated in vitro. Fish spermatozoa were incubated with different concentration of CBZ (0.2, 2.0 and 20 mg LÀ1) for 2 h. Results revealed that the percentage of spermatozoa motile and velocity were decreased signiﬁcantly at higher concentration of CBZ (2.0 and 20 mg LÀ1) and a dose-dependent reduction was observed. But the viability of ﬁsh spermatozoa was not affected signiﬁcantly in all CBZ treatment groups. After 2 h exposure of CBZ at higher test concentration (2.0 or 20 mg LÀ1), oxidative stress was apparent as reﬂected by the signiﬁcant higher LPO and CP levels in ﬁsh spermatozoa, as well as the signiﬁcant inhibition of antioxidant enzymes activities including SOD, GR and GPx. In short, CBZ can induce ROS stress in ﬁsh spermatozoa, which could impair the sperm quality and antioxidant defense system. Our results suggested that the use of ﬁsh spermatozoa in vitro assays may provide a novel and efﬁciently means for monitoring residual pharmaceutical in aquatic environment.","container-title":"Chemosphere","DOI":"10.1016/j.chemosphere.2010.04.046","ISSN":"00456535","issue":"5","journalAbbreviation":"Chemosphere","language":"en","page":"530-534","source":"DOI.org (Crossref)","title":"Effect of human pharmaceutical Carbamazepine on the quality parameters and oxidative stress in common carp (Cyprinus carpio L.) spermatozoa","volume":"80","author":[{"family":"Li","given":"Zhi-Hua"},{"family":"Li","given":"Ping"},{"family":"Rodina","given":"Marek"},{"family":"Randak","given":"Tomas"}],"issued":{"date-parts":[["2010",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(Z.-H. Li et al. 2010)</w:t>
            </w:r>
            <w:r w:rsidRPr="001D0ADC">
              <w:rPr>
                <w:color w:val="auto"/>
                <w:lang w:val="en-GB" w:eastAsia="cs-CZ"/>
              </w:rPr>
              <w:fldChar w:fldCharType="end"/>
            </w:r>
          </w:p>
        </w:tc>
      </w:tr>
      <w:tr w:rsidR="001D0ADC" w:rsidRPr="001D0ADC" w14:paraId="5B742A9E"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EE65B13"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4640CF61" w14:textId="77777777" w:rsidR="005707F7" w:rsidRPr="001D0ADC" w:rsidRDefault="005707F7" w:rsidP="005707F7">
            <w:pPr>
              <w:pStyle w:val="NoSpacing"/>
              <w:ind w:firstLine="0"/>
              <w:rPr>
                <w:color w:val="auto"/>
                <w:lang w:val="en-GB" w:eastAsia="cs-CZ"/>
              </w:rPr>
            </w:pPr>
            <w:r w:rsidRPr="001D0ADC">
              <w:rPr>
                <w:color w:val="auto"/>
                <w:lang w:val="en-GB" w:eastAsia="cs-CZ"/>
              </w:rPr>
              <w:t>2</w:t>
            </w:r>
          </w:p>
        </w:tc>
        <w:tc>
          <w:tcPr>
            <w:tcW w:w="4520" w:type="dxa"/>
            <w:tcBorders>
              <w:top w:val="nil"/>
              <w:left w:val="nil"/>
              <w:bottom w:val="single" w:sz="4" w:space="0" w:color="auto"/>
              <w:right w:val="single" w:sz="4" w:space="0" w:color="auto"/>
            </w:tcBorders>
            <w:shd w:val="clear" w:color="auto" w:fill="auto"/>
            <w:vAlign w:val="bottom"/>
          </w:tcPr>
          <w:p w14:paraId="3F609029" w14:textId="77777777" w:rsidR="005707F7" w:rsidRPr="001D0ADC" w:rsidRDefault="005707F7" w:rsidP="005707F7">
            <w:pPr>
              <w:pStyle w:val="NoSpacing"/>
              <w:ind w:firstLine="0"/>
              <w:rPr>
                <w:color w:val="auto"/>
                <w:lang w:val="en-GB" w:eastAsia="cs-CZ"/>
              </w:rPr>
            </w:pPr>
            <w:r w:rsidRPr="001D0ADC">
              <w:rPr>
                <w:color w:val="auto"/>
                <w:lang w:val="en-GB" w:eastAsia="cs-CZ"/>
              </w:rPr>
              <w:t>NOEC for viability</w:t>
            </w:r>
          </w:p>
        </w:tc>
        <w:tc>
          <w:tcPr>
            <w:tcW w:w="2633" w:type="dxa"/>
            <w:vMerge/>
            <w:tcBorders>
              <w:left w:val="nil"/>
              <w:right w:val="single" w:sz="4" w:space="0" w:color="auto"/>
            </w:tcBorders>
          </w:tcPr>
          <w:p w14:paraId="76873927" w14:textId="77777777" w:rsidR="005707F7" w:rsidRPr="001D0ADC" w:rsidRDefault="005707F7" w:rsidP="005707F7">
            <w:pPr>
              <w:pStyle w:val="NoSpacing"/>
              <w:ind w:firstLine="0"/>
              <w:rPr>
                <w:color w:val="auto"/>
                <w:lang w:val="en-GB" w:eastAsia="cs-CZ"/>
              </w:rPr>
            </w:pPr>
          </w:p>
        </w:tc>
        <w:tc>
          <w:tcPr>
            <w:tcW w:w="1967" w:type="dxa"/>
            <w:vMerge/>
            <w:tcBorders>
              <w:left w:val="single" w:sz="4" w:space="0" w:color="auto"/>
              <w:right w:val="single" w:sz="4" w:space="0" w:color="auto"/>
            </w:tcBorders>
          </w:tcPr>
          <w:p w14:paraId="3CA87937" w14:textId="77777777" w:rsidR="005707F7" w:rsidRPr="001D0ADC" w:rsidRDefault="005707F7" w:rsidP="005707F7">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63F0A20" w14:textId="77777777" w:rsidR="005707F7" w:rsidRPr="001D0ADC" w:rsidRDefault="005707F7" w:rsidP="005707F7">
            <w:pPr>
              <w:pStyle w:val="NoSpacing"/>
              <w:ind w:firstLine="0"/>
              <w:rPr>
                <w:color w:val="auto"/>
                <w:lang w:val="en-GB" w:eastAsia="cs-CZ"/>
              </w:rPr>
            </w:pPr>
          </w:p>
        </w:tc>
      </w:tr>
      <w:tr w:rsidR="001D0ADC" w:rsidRPr="001D0ADC" w14:paraId="0104676E"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1293C3B2"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49C74467" w14:textId="77777777" w:rsidR="005707F7" w:rsidRPr="001D0ADC" w:rsidRDefault="005707F7" w:rsidP="005707F7">
            <w:pPr>
              <w:pStyle w:val="NoSpacing"/>
              <w:ind w:firstLine="0"/>
              <w:rPr>
                <w:color w:val="auto"/>
                <w:lang w:val="en-GB" w:eastAsia="cs-CZ"/>
              </w:rPr>
            </w:pPr>
            <w:r w:rsidRPr="001D0ADC">
              <w:rPr>
                <w:color w:val="auto"/>
                <w:lang w:val="en-GB" w:eastAsia="cs-CZ"/>
              </w:rPr>
              <w:t>20</w:t>
            </w:r>
          </w:p>
        </w:tc>
        <w:tc>
          <w:tcPr>
            <w:tcW w:w="4520" w:type="dxa"/>
            <w:tcBorders>
              <w:top w:val="nil"/>
              <w:left w:val="nil"/>
              <w:bottom w:val="single" w:sz="4" w:space="0" w:color="auto"/>
              <w:right w:val="single" w:sz="4" w:space="0" w:color="auto"/>
            </w:tcBorders>
            <w:shd w:val="clear" w:color="auto" w:fill="auto"/>
            <w:vAlign w:val="bottom"/>
          </w:tcPr>
          <w:p w14:paraId="7C97FADB" w14:textId="77777777" w:rsidR="005707F7" w:rsidRPr="001D0ADC" w:rsidRDefault="005707F7" w:rsidP="005707F7">
            <w:pPr>
              <w:pStyle w:val="NoSpacing"/>
              <w:ind w:firstLine="0"/>
              <w:rPr>
                <w:color w:val="auto"/>
                <w:lang w:val="en-GB" w:eastAsia="cs-CZ"/>
              </w:rPr>
            </w:pPr>
            <w:r w:rsidRPr="001D0ADC">
              <w:rPr>
                <w:color w:val="auto"/>
                <w:lang w:val="en-GB" w:eastAsia="cs-CZ"/>
              </w:rPr>
              <w:t>LOEC for CP content, GR activity</w:t>
            </w:r>
          </w:p>
        </w:tc>
        <w:tc>
          <w:tcPr>
            <w:tcW w:w="2633" w:type="dxa"/>
            <w:vMerge/>
            <w:tcBorders>
              <w:left w:val="nil"/>
              <w:right w:val="single" w:sz="4" w:space="0" w:color="auto"/>
            </w:tcBorders>
          </w:tcPr>
          <w:p w14:paraId="6D7FA2C9" w14:textId="77777777" w:rsidR="005707F7" w:rsidRPr="001D0ADC" w:rsidRDefault="005707F7" w:rsidP="005707F7">
            <w:pPr>
              <w:pStyle w:val="NoSpacing"/>
              <w:ind w:firstLine="0"/>
              <w:rPr>
                <w:color w:val="auto"/>
                <w:lang w:val="en-GB" w:eastAsia="cs-CZ"/>
              </w:rPr>
            </w:pPr>
          </w:p>
        </w:tc>
        <w:tc>
          <w:tcPr>
            <w:tcW w:w="1967" w:type="dxa"/>
            <w:vMerge/>
            <w:tcBorders>
              <w:left w:val="single" w:sz="4" w:space="0" w:color="auto"/>
              <w:right w:val="single" w:sz="4" w:space="0" w:color="auto"/>
            </w:tcBorders>
          </w:tcPr>
          <w:p w14:paraId="5494E358" w14:textId="77777777" w:rsidR="005707F7" w:rsidRPr="001D0ADC" w:rsidRDefault="005707F7" w:rsidP="005707F7">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EE27737" w14:textId="77777777" w:rsidR="005707F7" w:rsidRPr="001D0ADC" w:rsidRDefault="005707F7" w:rsidP="005707F7">
            <w:pPr>
              <w:pStyle w:val="NoSpacing"/>
              <w:ind w:firstLine="0"/>
              <w:rPr>
                <w:color w:val="auto"/>
                <w:lang w:val="en-GB" w:eastAsia="cs-CZ"/>
              </w:rPr>
            </w:pPr>
          </w:p>
        </w:tc>
      </w:tr>
      <w:tr w:rsidR="001D0ADC" w:rsidRPr="001D0ADC" w14:paraId="2A27F6FE"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2100908C"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DB61D6F" w14:textId="3AFF1B28" w:rsidR="005707F7" w:rsidRPr="001D0ADC" w:rsidRDefault="00CF2036" w:rsidP="005707F7">
            <w:pPr>
              <w:pStyle w:val="NoSpacing"/>
              <w:ind w:firstLine="0"/>
              <w:rPr>
                <w:color w:val="auto"/>
                <w:lang w:val="en-GB" w:eastAsia="cs-CZ"/>
              </w:rPr>
            </w:pPr>
            <w:r w:rsidRPr="001D0ADC">
              <w:rPr>
                <w:color w:val="auto"/>
                <w:lang w:val="en-GB" w:eastAsia="cs-CZ"/>
              </w:rPr>
              <w:t>0.</w:t>
            </w:r>
            <w:r w:rsidR="005707F7" w:rsidRPr="001D0ADC">
              <w:rPr>
                <w:color w:val="auto"/>
                <w:lang w:val="en-GB" w:eastAsia="cs-CZ"/>
              </w:rPr>
              <w:t>2</w:t>
            </w:r>
          </w:p>
        </w:tc>
        <w:tc>
          <w:tcPr>
            <w:tcW w:w="4520" w:type="dxa"/>
            <w:tcBorders>
              <w:top w:val="nil"/>
              <w:left w:val="nil"/>
              <w:bottom w:val="single" w:sz="4" w:space="0" w:color="auto"/>
              <w:right w:val="single" w:sz="4" w:space="0" w:color="auto"/>
            </w:tcBorders>
            <w:shd w:val="clear" w:color="auto" w:fill="auto"/>
            <w:vAlign w:val="bottom"/>
          </w:tcPr>
          <w:p w14:paraId="3E93F0BF" w14:textId="77777777" w:rsidR="005707F7" w:rsidRPr="001D0ADC" w:rsidRDefault="005707F7" w:rsidP="005707F7">
            <w:pPr>
              <w:pStyle w:val="NoSpacing"/>
              <w:ind w:firstLine="0"/>
              <w:rPr>
                <w:color w:val="auto"/>
                <w:lang w:val="en-GB" w:eastAsia="cs-CZ"/>
              </w:rPr>
            </w:pPr>
            <w:r w:rsidRPr="001D0ADC">
              <w:rPr>
                <w:color w:val="auto"/>
                <w:lang w:val="en-GB" w:eastAsia="cs-CZ"/>
              </w:rPr>
              <w:t>LOEC for LPO</w:t>
            </w:r>
          </w:p>
        </w:tc>
        <w:tc>
          <w:tcPr>
            <w:tcW w:w="2633" w:type="dxa"/>
            <w:vMerge/>
            <w:tcBorders>
              <w:left w:val="nil"/>
              <w:bottom w:val="single" w:sz="4" w:space="0" w:color="auto"/>
              <w:right w:val="single" w:sz="4" w:space="0" w:color="auto"/>
            </w:tcBorders>
          </w:tcPr>
          <w:p w14:paraId="4C87A12C" w14:textId="77777777" w:rsidR="005707F7" w:rsidRPr="001D0ADC" w:rsidRDefault="005707F7" w:rsidP="005707F7">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A3EE59C" w14:textId="77777777" w:rsidR="005707F7" w:rsidRPr="001D0ADC" w:rsidRDefault="005707F7" w:rsidP="005707F7">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9FB563C" w14:textId="77777777" w:rsidR="005707F7" w:rsidRPr="001D0ADC" w:rsidRDefault="005707F7" w:rsidP="005707F7">
            <w:pPr>
              <w:pStyle w:val="NoSpacing"/>
              <w:ind w:firstLine="0"/>
              <w:rPr>
                <w:color w:val="auto"/>
                <w:lang w:val="en-GB" w:eastAsia="cs-CZ"/>
              </w:rPr>
            </w:pPr>
          </w:p>
        </w:tc>
      </w:tr>
      <w:tr w:rsidR="001D0ADC" w:rsidRPr="001D0ADC" w14:paraId="2E5BFB3B" w14:textId="77777777" w:rsidTr="00CF4707">
        <w:trPr>
          <w:gridAfter w:val="4"/>
          <w:wAfter w:w="9200" w:type="dxa"/>
          <w:trHeight w:val="300"/>
        </w:trPr>
        <w:tc>
          <w:tcPr>
            <w:tcW w:w="760" w:type="dxa"/>
            <w:vMerge/>
            <w:tcBorders>
              <w:left w:val="single" w:sz="4" w:space="0" w:color="auto"/>
              <w:right w:val="single" w:sz="4" w:space="0" w:color="auto"/>
            </w:tcBorders>
            <w:vAlign w:val="center"/>
          </w:tcPr>
          <w:p w14:paraId="5A3B34C8"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2C64B393" w14:textId="50EE2524" w:rsidR="005707F7" w:rsidRPr="001D0ADC" w:rsidRDefault="005707F7" w:rsidP="005707F7">
            <w:pPr>
              <w:pStyle w:val="NoSpacing"/>
              <w:ind w:firstLine="0"/>
              <w:rPr>
                <w:color w:val="auto"/>
                <w:lang w:val="en-GB" w:eastAsia="cs-CZ"/>
              </w:rPr>
            </w:pPr>
            <w:r w:rsidRPr="001D0ADC">
              <w:rPr>
                <w:color w:val="auto"/>
                <w:lang w:val="en-GB" w:eastAsia="cs-CZ"/>
              </w:rPr>
              <w:t>7</w:t>
            </w:r>
            <w:r w:rsidR="00CF2036" w:rsidRPr="001D0ADC">
              <w:rPr>
                <w:color w:val="auto"/>
                <w:lang w:val="en-GB" w:eastAsia="cs-CZ"/>
              </w:rPr>
              <w:t>5.</w:t>
            </w:r>
            <w:r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2E49DCDB" w14:textId="77777777" w:rsidR="005707F7" w:rsidRPr="001D0ADC" w:rsidRDefault="005707F7" w:rsidP="005707F7">
            <w:pPr>
              <w:pStyle w:val="NoSpacing"/>
              <w:ind w:firstLine="0"/>
              <w:rPr>
                <w:color w:val="auto"/>
                <w:lang w:val="en-GB" w:eastAsia="cs-CZ"/>
              </w:rPr>
            </w:pPr>
            <w:r w:rsidRPr="001D0ADC">
              <w:rPr>
                <w:color w:val="auto"/>
                <w:lang w:val="en-GB" w:eastAsia="cs-CZ"/>
              </w:rPr>
              <w:t>LOEC cytotoxicity MTT</w:t>
            </w:r>
          </w:p>
        </w:tc>
        <w:tc>
          <w:tcPr>
            <w:tcW w:w="2633" w:type="dxa"/>
            <w:vMerge w:val="restart"/>
            <w:tcBorders>
              <w:top w:val="single" w:sz="4" w:space="0" w:color="auto"/>
              <w:left w:val="nil"/>
              <w:right w:val="single" w:sz="4" w:space="0" w:color="auto"/>
            </w:tcBorders>
          </w:tcPr>
          <w:p w14:paraId="62AA77DA" w14:textId="77777777" w:rsidR="005707F7" w:rsidRPr="001D0ADC" w:rsidRDefault="005707F7" w:rsidP="005707F7">
            <w:pPr>
              <w:pStyle w:val="NoSpacing"/>
              <w:ind w:firstLine="0"/>
              <w:rPr>
                <w:color w:val="auto"/>
                <w:lang w:val="en-GB" w:eastAsia="cs-CZ"/>
              </w:rPr>
            </w:pPr>
            <w:r w:rsidRPr="001D0ADC">
              <w:rPr>
                <w:color w:val="auto"/>
                <w:lang w:val="en-GB" w:eastAsia="cs-CZ"/>
              </w:rPr>
              <w:t>In vitro primary hepatocytes (OM)</w:t>
            </w:r>
          </w:p>
        </w:tc>
        <w:tc>
          <w:tcPr>
            <w:tcW w:w="1967" w:type="dxa"/>
            <w:vMerge w:val="restart"/>
            <w:tcBorders>
              <w:top w:val="single" w:sz="4" w:space="0" w:color="auto"/>
              <w:left w:val="single" w:sz="4" w:space="0" w:color="auto"/>
              <w:right w:val="single" w:sz="4" w:space="0" w:color="auto"/>
            </w:tcBorders>
          </w:tcPr>
          <w:p w14:paraId="40C4CC2C" w14:textId="77777777" w:rsidR="005707F7" w:rsidRPr="001D0ADC" w:rsidRDefault="005707F7" w:rsidP="005707F7">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8D995FD" w14:textId="77777777" w:rsidR="005707F7" w:rsidRPr="001D0ADC" w:rsidRDefault="005707F7" w:rsidP="005707F7">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{"citationID":"EGXWzDDX","properties":{"formattedCitation":"(Laville et al. 2004)","plainCitation":"(Laville et al. 2004)","noteIndex":0},"citationItems":[{"id":1264,"uris":["http://zotero.org/users/11614927/items/42IL9Z9R"],"itemData":{"id":1264,"type":"article-journal","abstract":"Pharmaceuticals are found in the aquatic environment but their potential effects on non-target species like ﬁsh remain unknown. This in vitro study is a ﬁrst approach in the toxicity assessment of human drugs on ﬁsh. Nine pharmaceuticals were tested on two ﬁsh hepatocyte models: primary cultures of rainbow trout hepatocytes (PRTH) and PLHC-1 ﬁsh cell line. Cell viability, interaction with cytochrome P450 1A (CYP1A) enzyme and oxidative stress were assessed by using 3-(4,5-dimethylthiazol-2-yl)-2,5-diphenyltetrasodium bromide tetrazolium (MTT), 7-ethoxyresoruﬁn-o-deethylase (EROD) and dichloroﬂuorescein (DCFH-DA) assays, respectively. The tested drugs were cloﬁbrate (CF), fenoﬁbrate (FF), carbamazepine (CBZ), ﬂuoxetine (FX), diclofenac (DiCF), propranolol (POH), sulfamethoxazole (SFX), amoxicillin (AMX) and gadolinium chloride (GdCl3). All substances were cytotoxic, except AMX at concentration up to 500 </w:instrText>
            </w:r>
            <w:r w:rsidRPr="001D0ADC">
              <w:rPr>
                <w:rFonts w:cs="Times New Roman"/>
                <w:color w:val="auto"/>
                <w:lang w:val="en-GB" w:eastAsia="cs-CZ"/>
              </w:rPr>
              <w:instrText>␮</w:instrText>
            </w:r>
            <w:r w:rsidRPr="001D0ADC">
              <w:rPr>
                <w:color w:val="auto"/>
                <w:lang w:val="en-GB" w:eastAsia="cs-CZ"/>
              </w:rPr>
              <w:instrText xml:space="preserve">M. The calculated MTT EC50 values ranged from 2 </w:instrText>
            </w:r>
            <w:r w:rsidRPr="001D0ADC">
              <w:rPr>
                <w:rFonts w:cs="Times New Roman"/>
                <w:color w:val="auto"/>
                <w:lang w:val="en-GB" w:eastAsia="cs-CZ"/>
              </w:rPr>
              <w:instrText>␮</w:instrText>
            </w:r>
            <w:r w:rsidRPr="001D0ADC">
              <w:rPr>
                <w:color w:val="auto"/>
                <w:lang w:val="en-GB" w:eastAsia="cs-CZ"/>
              </w:rPr>
              <w:instrText xml:space="preserve">M (CF) to 651 </w:instrText>
            </w:r>
            <w:r w:rsidRPr="001D0ADC">
              <w:rPr>
                <w:rFonts w:cs="Times New Roman"/>
                <w:color w:val="auto"/>
                <w:lang w:val="en-GB" w:eastAsia="cs-CZ"/>
              </w:rPr>
              <w:instrText>␮</w:instrText>
            </w:r>
            <w:r w:rsidRPr="001D0ADC">
              <w:rPr>
                <w:color w:val="auto"/>
                <w:lang w:val="en-GB" w:eastAsia="cs-CZ"/>
              </w:rPr>
              <w:instrText xml:space="preserve">M (CBZ) in PLHC-1, and from 53 </w:instrText>
            </w:r>
            <w:r w:rsidRPr="001D0ADC">
              <w:rPr>
                <w:rFonts w:cs="Times New Roman"/>
                <w:color w:val="auto"/>
                <w:lang w:val="en-GB" w:eastAsia="cs-CZ"/>
              </w:rPr>
              <w:instrText>␮</w:instrText>
            </w:r>
            <w:r w:rsidRPr="001D0ADC">
              <w:rPr>
                <w:color w:val="auto"/>
                <w:lang w:val="en-GB" w:eastAsia="cs-CZ"/>
              </w:rPr>
              <w:instrText xml:space="preserve">M (FF) to 962 </w:instrText>
            </w:r>
            <w:r w:rsidRPr="001D0ADC">
              <w:rPr>
                <w:rFonts w:cs="Times New Roman"/>
                <w:color w:val="auto"/>
                <w:lang w:val="en-GB" w:eastAsia="cs-CZ"/>
              </w:rPr>
              <w:instrText>␮</w:instrText>
            </w:r>
            <w:r w:rsidRPr="001D0ADC">
              <w:rPr>
                <w:color w:val="auto"/>
                <w:lang w:val="en-GB" w:eastAsia="cs-CZ"/>
              </w:rPr>
              <w:instrText xml:space="preserve">M (GdCl3) in PRTH. CF, FF, and FX were the most cytotoxic drugs and induced oxidative stress before being cytotoxic. Compared to hepatocytes from human and dog, ﬁsh hepatocytes seemed to be more susceptible to the peroxisome proliferators (PPs) CF and FF. In PLHC-1 cells none of the tested drugs induced the EROD activity whereas POH appeared as a weak EROD inducer in PRTH. Moreover, in PRTH, SFX, DiCF, CBZ and to a lesser extend, FF and CF inhibited the basal EROD activity at clearly sublethal concentrations which may be of concern at the biological and chemical levels in a multipollution context.","container-title":"Toxicology","DOI":"10.1016/j.tox.2003.11.002","ISSN":"0300483X","issue":"1-2","journalAbbreviation":"Toxicology","language":"en","page":"41-55","source":"DOI.org (Crossref)","title":"Effects of human pharmaceuticals on cytotoxicity, EROD activity and ROS production in fish hepatocytes","volume":"196","author":[{"family":"Laville","given":"N"},{"family":"Aı̈t-Aı̈ssa","given":"S"},{"family":"Gomez","given":"E"},{"family":"Casellas","given":"C"},{"family":"Porcher","given":"J.M"}],"issued":{"date-parts":[["2004",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(Laville et al. 2004)</w:t>
            </w:r>
            <w:r w:rsidRPr="001D0ADC">
              <w:rPr>
                <w:color w:val="auto"/>
                <w:lang w:val="en-GB" w:eastAsia="cs-CZ"/>
              </w:rPr>
              <w:fldChar w:fldCharType="end"/>
            </w:r>
          </w:p>
        </w:tc>
      </w:tr>
      <w:tr w:rsidR="001D0ADC" w:rsidRPr="001D0ADC" w14:paraId="07B63FFB" w14:textId="77777777" w:rsidTr="00CF4707">
        <w:trPr>
          <w:gridAfter w:val="4"/>
          <w:wAfter w:w="9200" w:type="dxa"/>
          <w:trHeight w:val="300"/>
        </w:trPr>
        <w:tc>
          <w:tcPr>
            <w:tcW w:w="760" w:type="dxa"/>
            <w:vMerge/>
            <w:tcBorders>
              <w:left w:val="single" w:sz="4" w:space="0" w:color="auto"/>
              <w:bottom w:val="single" w:sz="4" w:space="0" w:color="auto"/>
              <w:right w:val="single" w:sz="4" w:space="0" w:color="auto"/>
            </w:tcBorders>
            <w:vAlign w:val="center"/>
          </w:tcPr>
          <w:p w14:paraId="19C1C4A0" w14:textId="77777777" w:rsidR="005707F7" w:rsidRPr="001D0ADC" w:rsidRDefault="005707F7" w:rsidP="005707F7">
            <w:pPr>
              <w:pStyle w:val="NoSpacing"/>
              <w:ind w:firstLine="0"/>
              <w:rPr>
                <w:color w:val="auto"/>
                <w:lang w:val="en-GB" w:eastAsia="cs-CZ"/>
              </w:rPr>
            </w:pPr>
          </w:p>
        </w:tc>
        <w:tc>
          <w:tcPr>
            <w:tcW w:w="1702" w:type="dxa"/>
            <w:tcBorders>
              <w:top w:val="nil"/>
              <w:left w:val="single" w:sz="4" w:space="0" w:color="auto"/>
              <w:bottom w:val="single" w:sz="4" w:space="0" w:color="auto"/>
              <w:right w:val="single" w:sz="4" w:space="0" w:color="auto"/>
            </w:tcBorders>
            <w:shd w:val="clear" w:color="auto" w:fill="auto"/>
            <w:vAlign w:val="center"/>
          </w:tcPr>
          <w:p w14:paraId="39A0FED3" w14:textId="1C2B693D" w:rsidR="005707F7" w:rsidRPr="001D0ADC" w:rsidRDefault="005707F7" w:rsidP="005707F7">
            <w:pPr>
              <w:pStyle w:val="NoSpacing"/>
              <w:ind w:firstLine="0"/>
              <w:rPr>
                <w:color w:val="auto"/>
                <w:lang w:val="en-GB" w:eastAsia="cs-CZ"/>
              </w:rPr>
            </w:pPr>
            <w:r w:rsidRPr="001D0ADC">
              <w:rPr>
                <w:color w:val="auto"/>
                <w:lang w:val="en-GB" w:eastAsia="cs-CZ"/>
              </w:rPr>
              <w:t>7</w:t>
            </w:r>
            <w:r w:rsidR="00CF2036" w:rsidRPr="001D0ADC">
              <w:rPr>
                <w:color w:val="auto"/>
                <w:lang w:val="en-GB" w:eastAsia="cs-CZ"/>
              </w:rPr>
              <w:t>5.</w:t>
            </w:r>
            <w:r w:rsidRPr="001D0ADC">
              <w:rPr>
                <w:color w:val="auto"/>
                <w:lang w:val="en-GB" w:eastAsia="cs-CZ"/>
              </w:rPr>
              <w:t>1</w:t>
            </w:r>
          </w:p>
        </w:tc>
        <w:tc>
          <w:tcPr>
            <w:tcW w:w="4520" w:type="dxa"/>
            <w:tcBorders>
              <w:top w:val="nil"/>
              <w:left w:val="nil"/>
              <w:bottom w:val="single" w:sz="4" w:space="0" w:color="auto"/>
              <w:right w:val="single" w:sz="4" w:space="0" w:color="auto"/>
            </w:tcBorders>
            <w:shd w:val="clear" w:color="auto" w:fill="auto"/>
            <w:vAlign w:val="bottom"/>
          </w:tcPr>
          <w:p w14:paraId="705CB02D" w14:textId="77777777" w:rsidR="005707F7" w:rsidRPr="001D0ADC" w:rsidRDefault="005707F7" w:rsidP="005707F7">
            <w:pPr>
              <w:pStyle w:val="NoSpacing"/>
              <w:ind w:firstLine="0"/>
              <w:rPr>
                <w:color w:val="auto"/>
                <w:lang w:val="en-GB" w:eastAsia="cs-CZ"/>
              </w:rPr>
            </w:pPr>
            <w:r w:rsidRPr="001D0ADC">
              <w:rPr>
                <w:color w:val="auto"/>
                <w:lang w:val="en-GB" w:eastAsia="cs-CZ"/>
              </w:rPr>
              <w:t>IC50 for EROD inhibition</w:t>
            </w:r>
          </w:p>
        </w:tc>
        <w:tc>
          <w:tcPr>
            <w:tcW w:w="2633" w:type="dxa"/>
            <w:vMerge/>
            <w:tcBorders>
              <w:left w:val="nil"/>
              <w:bottom w:val="single" w:sz="4" w:space="0" w:color="auto"/>
              <w:right w:val="single" w:sz="4" w:space="0" w:color="auto"/>
            </w:tcBorders>
          </w:tcPr>
          <w:p w14:paraId="2EDFB226" w14:textId="77777777" w:rsidR="005707F7" w:rsidRPr="001D0ADC" w:rsidRDefault="005707F7" w:rsidP="005707F7">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6C222C3" w14:textId="77777777" w:rsidR="005707F7" w:rsidRPr="001D0ADC" w:rsidRDefault="005707F7" w:rsidP="005707F7">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0BC6D33" w14:textId="77777777" w:rsidR="005707F7" w:rsidRPr="001D0ADC" w:rsidRDefault="005707F7" w:rsidP="005707F7">
            <w:pPr>
              <w:pStyle w:val="NoSpacing"/>
              <w:ind w:firstLine="0"/>
              <w:rPr>
                <w:color w:val="auto"/>
                <w:lang w:val="en-GB" w:eastAsia="cs-CZ"/>
              </w:rPr>
            </w:pPr>
          </w:p>
        </w:tc>
      </w:tr>
      <w:tr w:rsidR="001D0ADC" w:rsidRPr="001D0ADC" w14:paraId="11465C4B" w14:textId="77777777" w:rsidTr="00CF4707">
        <w:trPr>
          <w:gridAfter w:val="4"/>
          <w:wAfter w:w="9200" w:type="dxa"/>
          <w:trHeight w:val="300"/>
        </w:trPr>
        <w:tc>
          <w:tcPr>
            <w:tcW w:w="13882" w:type="dxa"/>
            <w:gridSpan w:val="6"/>
            <w:tcBorders>
              <w:left w:val="single" w:sz="4" w:space="0" w:color="auto"/>
              <w:bottom w:val="single" w:sz="4" w:space="0" w:color="auto"/>
              <w:right w:val="single" w:sz="4" w:space="0" w:color="auto"/>
            </w:tcBorders>
            <w:vAlign w:val="center"/>
          </w:tcPr>
          <w:p w14:paraId="75C13CCC" w14:textId="77777777" w:rsidR="005707F7" w:rsidRPr="001D0ADC" w:rsidRDefault="005707F7" w:rsidP="005707F7">
            <w:pPr>
              <w:pStyle w:val="NoSpacing"/>
              <w:ind w:firstLine="0"/>
              <w:rPr>
                <w:color w:val="auto"/>
                <w:lang w:val="en-GB" w:eastAsia="cs-CZ"/>
              </w:rPr>
            </w:pPr>
          </w:p>
        </w:tc>
      </w:tr>
      <w:tr w:rsidR="001D0ADC" w:rsidRPr="001D0ADC" w14:paraId="6AC95A0E" w14:textId="77777777" w:rsidTr="00CF4707">
        <w:trPr>
          <w:gridAfter w:val="4"/>
          <w:wAfter w:w="9200" w:type="dxa"/>
          <w:trHeight w:val="300"/>
        </w:trPr>
        <w:tc>
          <w:tcPr>
            <w:tcW w:w="13882" w:type="dxa"/>
            <w:gridSpan w:val="6"/>
            <w:tcBorders>
              <w:left w:val="single" w:sz="4" w:space="0" w:color="auto"/>
              <w:bottom w:val="single" w:sz="4" w:space="0" w:color="auto"/>
              <w:right w:val="single" w:sz="4" w:space="0" w:color="auto"/>
            </w:tcBorders>
            <w:vAlign w:val="center"/>
          </w:tcPr>
          <w:p w14:paraId="5F3E0EC4" w14:textId="40C24C7E" w:rsidR="005707F7" w:rsidRPr="001D0ADC" w:rsidRDefault="005707F7" w:rsidP="005707F7">
            <w:pPr>
              <w:pStyle w:val="NoSpacing"/>
              <w:ind w:firstLine="0"/>
              <w:jc w:val="center"/>
              <w:rPr>
                <w:color w:val="auto"/>
                <w:lang w:val="en-GB" w:eastAsia="cs-CZ"/>
              </w:rPr>
            </w:pPr>
            <w:r w:rsidRPr="001D0ADC">
              <w:rPr>
                <w:color w:val="auto"/>
                <w:lang w:val="en-GB" w:eastAsia="cs-CZ"/>
              </w:rPr>
              <w:t>CIP</w:t>
            </w:r>
          </w:p>
        </w:tc>
      </w:tr>
      <w:tr w:rsidR="001D0ADC" w:rsidRPr="001D0ADC" w14:paraId="491F1DB0" w14:textId="77777777" w:rsidTr="0050129D">
        <w:trPr>
          <w:gridAfter w:val="4"/>
          <w:wAfter w:w="9200" w:type="dxa"/>
          <w:trHeight w:val="300"/>
        </w:trPr>
        <w:tc>
          <w:tcPr>
            <w:tcW w:w="760" w:type="dxa"/>
            <w:vMerge w:val="restart"/>
            <w:tcBorders>
              <w:top w:val="nil"/>
              <w:left w:val="single" w:sz="4" w:space="0" w:color="auto"/>
              <w:right w:val="single" w:sz="4" w:space="0" w:color="auto"/>
            </w:tcBorders>
            <w:shd w:val="clear" w:color="auto" w:fill="auto"/>
            <w:noWrap/>
            <w:vAlign w:val="bottom"/>
            <w:hideMark/>
          </w:tcPr>
          <w:p w14:paraId="534F583A" w14:textId="77777777" w:rsidR="004B6622" w:rsidRPr="001D0ADC" w:rsidRDefault="004B6622" w:rsidP="004B6622">
            <w:pPr>
              <w:pStyle w:val="NoSpacing"/>
              <w:ind w:firstLine="0"/>
              <w:rPr>
                <w:color w:val="auto"/>
                <w:lang w:val="en-GB" w:eastAsia="cs-CZ"/>
              </w:rPr>
            </w:pPr>
            <w:r w:rsidRPr="001D0ADC">
              <w:rPr>
                <w:color w:val="auto"/>
                <w:lang w:val="en-GB" w:eastAsia="cs-CZ"/>
              </w:rPr>
              <w:t>CIP</w:t>
            </w:r>
          </w:p>
        </w:tc>
        <w:tc>
          <w:tcPr>
            <w:tcW w:w="13122" w:type="dxa"/>
            <w:gridSpan w:val="5"/>
            <w:tcBorders>
              <w:top w:val="nil"/>
              <w:left w:val="nil"/>
              <w:bottom w:val="single" w:sz="4" w:space="0" w:color="auto"/>
              <w:right w:val="single" w:sz="4" w:space="0" w:color="auto"/>
            </w:tcBorders>
            <w:shd w:val="clear" w:color="auto" w:fill="auto"/>
            <w:noWrap/>
            <w:vAlign w:val="center"/>
          </w:tcPr>
          <w:p w14:paraId="25F87EA4" w14:textId="49858732" w:rsidR="004B6622" w:rsidRPr="001D0ADC" w:rsidRDefault="004B6622" w:rsidP="004B6622">
            <w:pPr>
              <w:pStyle w:val="NoSpacing"/>
              <w:ind w:firstLine="0"/>
              <w:rPr>
                <w:b/>
                <w:bCs/>
                <w:color w:val="auto"/>
                <w:lang w:val="en-GB" w:eastAsia="cs-CZ"/>
              </w:rPr>
            </w:pPr>
            <w:r w:rsidRPr="001D0ADC">
              <w:rPr>
                <w:b/>
                <w:bCs/>
                <w:color w:val="auto"/>
                <w:lang w:val="en-GB" w:eastAsia="cs-CZ"/>
              </w:rPr>
              <w:t>Acute Fish Toxicity (adults or juvenile)</w:t>
            </w:r>
            <w:r w:rsidR="000F6A8E" w:rsidRPr="001D0ADC">
              <w:rPr>
                <w:b/>
                <w:bCs/>
                <w:color w:val="auto"/>
                <w:lang w:val="en-GB" w:eastAsia="cs-CZ"/>
              </w:rPr>
              <w:t xml:space="preserve"> (mg/l)</w:t>
            </w:r>
          </w:p>
        </w:tc>
      </w:tr>
      <w:tr w:rsidR="001D0ADC" w:rsidRPr="001D0ADC" w14:paraId="4B1B867C"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9C2C70C" w14:textId="77777777" w:rsidR="004B6622" w:rsidRPr="001D0ADC" w:rsidRDefault="004B6622" w:rsidP="004B6622">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bottom"/>
          </w:tcPr>
          <w:p w14:paraId="505AF698" w14:textId="77777777" w:rsidR="004B6622" w:rsidRPr="001D0ADC" w:rsidRDefault="004B6622" w:rsidP="004B6622">
            <w:pPr>
              <w:pStyle w:val="NoSpacing"/>
              <w:ind w:firstLine="0"/>
              <w:rPr>
                <w:color w:val="auto"/>
                <w:lang w:val="en-GB" w:eastAsia="cs-CZ"/>
              </w:rPr>
            </w:pPr>
            <w:r w:rsidRPr="001D0ADC">
              <w:rPr>
                <w:color w:val="auto"/>
                <w:lang w:val="en-GB" w:eastAsia="cs-CZ"/>
              </w:rPr>
              <w:t>&gt; 60</w:t>
            </w:r>
          </w:p>
        </w:tc>
        <w:tc>
          <w:tcPr>
            <w:tcW w:w="4520" w:type="dxa"/>
            <w:tcBorders>
              <w:top w:val="nil"/>
              <w:left w:val="nil"/>
              <w:bottom w:val="single" w:sz="4" w:space="0" w:color="auto"/>
              <w:right w:val="single" w:sz="4" w:space="0" w:color="auto"/>
            </w:tcBorders>
            <w:shd w:val="clear" w:color="auto" w:fill="auto"/>
            <w:vAlign w:val="bottom"/>
          </w:tcPr>
          <w:p w14:paraId="4CB2F9E3" w14:textId="77777777" w:rsidR="004B6622" w:rsidRPr="001D0ADC" w:rsidRDefault="004B6622" w:rsidP="004B6622">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09295D0C" w14:textId="77777777" w:rsidR="004B6622" w:rsidRPr="001D0ADC" w:rsidRDefault="004B6622" w:rsidP="004B6622">
            <w:pPr>
              <w:pStyle w:val="NoSpacing"/>
              <w:ind w:firstLine="0"/>
              <w:rPr>
                <w:color w:val="auto"/>
                <w:lang w:val="en-GB" w:eastAsia="cs-CZ"/>
              </w:rPr>
            </w:pPr>
            <w:r w:rsidRPr="001D0ADC">
              <w:rPr>
                <w:color w:val="auto"/>
                <w:lang w:val="en-GB" w:eastAsia="cs-CZ"/>
              </w:rPr>
              <w:t>AFT (OECD203)(GH)</w:t>
            </w:r>
          </w:p>
        </w:tc>
        <w:tc>
          <w:tcPr>
            <w:tcW w:w="1967" w:type="dxa"/>
            <w:tcBorders>
              <w:top w:val="single" w:sz="4" w:space="0" w:color="auto"/>
              <w:left w:val="single" w:sz="4" w:space="0" w:color="auto"/>
              <w:bottom w:val="single" w:sz="4" w:space="0" w:color="auto"/>
              <w:right w:val="single" w:sz="4" w:space="0" w:color="auto"/>
            </w:tcBorders>
          </w:tcPr>
          <w:p w14:paraId="12E35833" w14:textId="77777777" w:rsidR="004B6622" w:rsidRPr="001D0ADC" w:rsidRDefault="004B6622" w:rsidP="004B6622">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36BB50E7" w14:textId="77777777" w:rsidR="004B6622" w:rsidRPr="001D0ADC" w:rsidRDefault="004B6622" w:rsidP="004B6622">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{"citationID":"Mj7CM3Xp","properties":{"formattedCitation":"(Martins et al. 2012)","plainCitation":"(Martins et al. 2012)","noteIndex":0},"citationItems":[{"id":1239,"uris":["http://zotero.org/users/11614927/items/D4WBMSVX"],"itemData":{"id":1239,"type":"article-journal","abstract":"Although antibiotics have been increasingly used and detected in natural samples, their ecotoxicological effects on aquatic wildlife are not yet extensively studied. Considering the environmental threat posed by the biological activity of antibiotics it is quite relevant to assess the resulting impact, especially on sub-lethal endpoints. As such, this study evaluated the effects of ciproﬂoxacin on Pseudokirchneriella subcapitata and Lemna minor growth, on the survival and reproduction of Daphnia magna and on Gambusia holbrooki survival. The risks associated with ciproﬂoxacin effects on non-target organisms were quantiﬁed through the calculation of the PEC/PNEC ratio. Overall, the toxicity values obtained (at the mg L-1 level) were higher than the environmental concentrations. P. subcapitata and L. minor were more sensitive under short-term exposures than D. magna and G. holbrooki. No acute toxicity was observed for ﬁsh. The chronic assay with D. magna evidenced that long term exposures to lower concentrations of this antibiotic induced impairments on its life-history parameters. Such outcome may pre-empt potential damages on the long-term maintenance of natural populations continuously exposed to the input of antibiotics. Indeed, the PEC/PNEC ratios showed that ciproﬂoxacin represents a risk for the most sensitive aquatic organisms, since the deﬁned threshold of an acceptable risk was considerably surpassed.","container-title":"Ecotoxicology","DOI":"10.1007/s10646-012-0871-x","ISSN":"0963-9292, 1573-3017","issue":"4","journalAbbreviation":"Ecotoxicology","language":"en","page":"1167-1176","source":"DOI.org (Crossref)","title":"Ecotoxicological effects of ciprofloxacin on freshwater species: data integration and derivation of toxicity thresholds for risk assessment","title-short":"Ecotoxicological effects of ciprofloxacin on freshwater species","volume":"21","author":[{"family":"Martins","given":"N."},{"family":"Pereira","given":"R."},{"family":"Abrantes","given":"N."},{"family":"Pereira","given":"J."},{"family":"Gonçalves","given":"F."},{"family":"Marques","given":"C. R."}],"issued":{"date-parts":[["2012",5]]}}}],"schema":"https://github.com/citation-style-language/schema/raw/master/csl-citation.json"}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(Martins et al. 2012)</w:t>
            </w:r>
            <w:r w:rsidRPr="001D0ADC">
              <w:rPr>
                <w:color w:val="auto"/>
                <w:lang w:val="en-GB" w:eastAsia="cs-CZ"/>
              </w:rPr>
              <w:fldChar w:fldCharType="end"/>
            </w:r>
          </w:p>
        </w:tc>
      </w:tr>
      <w:tr w:rsidR="001D0ADC" w:rsidRPr="001D0ADC" w14:paraId="790CB2A0"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A031158" w14:textId="77777777" w:rsidR="004B6622" w:rsidRPr="001D0ADC" w:rsidRDefault="004B6622" w:rsidP="004B6622">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bottom"/>
          </w:tcPr>
          <w:p w14:paraId="62BD560D" w14:textId="77777777" w:rsidR="004B6622" w:rsidRPr="001D0ADC" w:rsidRDefault="004B6622" w:rsidP="004B6622">
            <w:pPr>
              <w:pStyle w:val="NoSpacing"/>
              <w:ind w:firstLine="0"/>
              <w:rPr>
                <w:color w:val="auto"/>
                <w:lang w:val="en-GB" w:eastAsia="cs-CZ"/>
              </w:rPr>
            </w:pPr>
            <w:r w:rsidRPr="001D0ADC">
              <w:rPr>
                <w:color w:val="auto"/>
                <w:lang w:val="en-GB" w:eastAsia="cs-CZ"/>
              </w:rPr>
              <w:t>100</w:t>
            </w:r>
          </w:p>
        </w:tc>
        <w:tc>
          <w:tcPr>
            <w:tcW w:w="4520" w:type="dxa"/>
            <w:tcBorders>
              <w:top w:val="nil"/>
              <w:left w:val="nil"/>
              <w:bottom w:val="single" w:sz="4" w:space="0" w:color="auto"/>
              <w:right w:val="single" w:sz="4" w:space="0" w:color="auto"/>
            </w:tcBorders>
            <w:shd w:val="clear" w:color="auto" w:fill="auto"/>
            <w:vAlign w:val="bottom"/>
          </w:tcPr>
          <w:p w14:paraId="149B1EF2" w14:textId="77777777" w:rsidR="004B6622" w:rsidRPr="001D0ADC" w:rsidRDefault="004B6622" w:rsidP="004B6622">
            <w:pPr>
              <w:pStyle w:val="NoSpacing"/>
              <w:ind w:firstLine="0"/>
              <w:rPr>
                <w:color w:val="auto"/>
                <w:lang w:val="en-GB" w:eastAsia="cs-CZ"/>
              </w:rPr>
            </w:pPr>
            <w:r w:rsidRPr="001D0ADC">
              <w:rPr>
                <w:color w:val="auto"/>
                <w:lang w:val="en-GB" w:eastAsia="cs-CZ"/>
              </w:rPr>
              <w:t>NOEC</w:t>
            </w:r>
          </w:p>
        </w:tc>
        <w:tc>
          <w:tcPr>
            <w:tcW w:w="2633" w:type="dxa"/>
            <w:tcBorders>
              <w:top w:val="single" w:sz="4" w:space="0" w:color="auto"/>
              <w:left w:val="nil"/>
              <w:bottom w:val="single" w:sz="4" w:space="0" w:color="auto"/>
              <w:right w:val="single" w:sz="4" w:space="0" w:color="auto"/>
            </w:tcBorders>
          </w:tcPr>
          <w:p w14:paraId="1DFEE4CF" w14:textId="77777777" w:rsidR="004B6622" w:rsidRPr="001D0ADC" w:rsidRDefault="004B6622" w:rsidP="004B6622">
            <w:pPr>
              <w:pStyle w:val="NoSpacing"/>
              <w:ind w:firstLine="0"/>
              <w:rPr>
                <w:color w:val="auto"/>
                <w:lang w:val="en-GB" w:eastAsia="cs-CZ"/>
              </w:rPr>
            </w:pPr>
            <w:r w:rsidRPr="001D0ADC">
              <w:rPr>
                <w:color w:val="auto"/>
                <w:lang w:val="en-GB" w:eastAsia="cs-CZ"/>
              </w:rPr>
              <w:t>AFT (OECD203-1997) (ZF)</w:t>
            </w:r>
          </w:p>
        </w:tc>
        <w:tc>
          <w:tcPr>
            <w:tcW w:w="1967" w:type="dxa"/>
            <w:tcBorders>
              <w:top w:val="single" w:sz="4" w:space="0" w:color="auto"/>
              <w:left w:val="single" w:sz="4" w:space="0" w:color="auto"/>
              <w:bottom w:val="single" w:sz="4" w:space="0" w:color="auto"/>
              <w:right w:val="single" w:sz="4" w:space="0" w:color="auto"/>
            </w:tcBorders>
          </w:tcPr>
          <w:p w14:paraId="569CAA32" w14:textId="77777777" w:rsidR="004B6622" w:rsidRPr="001D0ADC" w:rsidRDefault="004B6622" w:rsidP="004B6622">
            <w:pPr>
              <w:pStyle w:val="NoSpacing"/>
              <w:ind w:firstLine="0"/>
              <w:rPr>
                <w:color w:val="auto"/>
                <w:lang w:val="en-GB" w:eastAsia="cs-CZ"/>
              </w:rPr>
            </w:pPr>
            <w:r w:rsidRPr="001D0ADC">
              <w:rPr>
                <w:color w:val="auto"/>
                <w:lang w:val="en-GB" w:eastAsia="cs-CZ"/>
              </w:rPr>
              <w:t>72h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33A2790" w14:textId="77777777" w:rsidR="004B6622" w:rsidRPr="001D0ADC" w:rsidRDefault="004B6622" w:rsidP="004B6622">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{"citationID":"iCeX4sBu","properties":{"formattedCitation":"(Halling-Sorensen 2000)","plainCitation":"(Halling-Sorensen 2000)","noteIndex":0},"citationItems":[{"id":1240,"uris":["http://zotero.org/users/11614927/items/J26BYW2J"],"itemData":{"id":1240,"type":"article-journal","container-title":"Journal of Antimicrobial Chemotherapy","DOI":"10.1093/jac/46.suppl_1.53","ISSN":"14602091","issue":"90001","language":"en","page":"53-58","source":"DOI.org (Crossref)","title":"Environmental risk assessment of antibiotics: comparison of mecillinam, trimethoprim and ciprofloxacin","title-short":"Environmental risk assessment of antibiotics","volume":"46","author":[{"family":"Halling-Sorensen","given":"B."}],"issued":{"date-parts":[["2000",8,1]]}}}],"schema":"https://github.com/citation-style-language/schema/raw/master/csl-citation.json"}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(Halling-Sorensen 2000)</w:t>
            </w:r>
            <w:r w:rsidRPr="001D0ADC">
              <w:rPr>
                <w:color w:val="auto"/>
                <w:lang w:val="en-GB" w:eastAsia="cs-CZ"/>
              </w:rPr>
              <w:fldChar w:fldCharType="end"/>
            </w:r>
          </w:p>
        </w:tc>
      </w:tr>
      <w:tr w:rsidR="001D0ADC" w:rsidRPr="001D0ADC" w14:paraId="2287A16D"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72D92DE" w14:textId="77777777" w:rsidR="004B6622" w:rsidRPr="001D0ADC" w:rsidRDefault="004B6622" w:rsidP="004B6622">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center"/>
          </w:tcPr>
          <w:p w14:paraId="2A683A79" w14:textId="77777777" w:rsidR="004B6622" w:rsidRPr="001D0ADC" w:rsidRDefault="004B6622" w:rsidP="004B6622">
            <w:pPr>
              <w:pStyle w:val="NoSpacing"/>
              <w:ind w:firstLine="0"/>
              <w:rPr>
                <w:color w:val="auto"/>
                <w:lang w:val="en-GB" w:eastAsia="cs-CZ"/>
              </w:rPr>
            </w:pPr>
            <w:r w:rsidRPr="001D0ADC">
              <w:rPr>
                <w:color w:val="auto"/>
                <w:lang w:val="en-GB" w:eastAsia="cs-CZ"/>
              </w:rPr>
              <w:t>100</w:t>
            </w:r>
          </w:p>
        </w:tc>
        <w:tc>
          <w:tcPr>
            <w:tcW w:w="4520" w:type="dxa"/>
            <w:tcBorders>
              <w:top w:val="nil"/>
              <w:left w:val="nil"/>
              <w:bottom w:val="single" w:sz="4" w:space="0" w:color="auto"/>
              <w:right w:val="single" w:sz="4" w:space="0" w:color="auto"/>
            </w:tcBorders>
            <w:shd w:val="clear" w:color="auto" w:fill="auto"/>
            <w:vAlign w:val="bottom"/>
          </w:tcPr>
          <w:p w14:paraId="7B97F61E" w14:textId="77777777" w:rsidR="004B6622" w:rsidRPr="001D0ADC" w:rsidRDefault="004B6622" w:rsidP="004B6622">
            <w:pPr>
              <w:pStyle w:val="NoSpacing"/>
              <w:ind w:firstLine="0"/>
              <w:rPr>
                <w:color w:val="auto"/>
                <w:lang w:val="en-GB" w:eastAsia="cs-CZ"/>
              </w:rPr>
            </w:pPr>
            <w:r w:rsidRPr="001D0ADC">
              <w:rPr>
                <w:color w:val="auto"/>
                <w:lang w:val="en-GB" w:eastAsia="cs-CZ"/>
              </w:rPr>
              <w:t>LC40</w:t>
            </w:r>
          </w:p>
        </w:tc>
        <w:tc>
          <w:tcPr>
            <w:tcW w:w="2633" w:type="dxa"/>
            <w:tcBorders>
              <w:top w:val="single" w:sz="4" w:space="0" w:color="auto"/>
              <w:left w:val="nil"/>
              <w:bottom w:val="single" w:sz="4" w:space="0" w:color="auto"/>
              <w:right w:val="single" w:sz="4" w:space="0" w:color="auto"/>
            </w:tcBorders>
          </w:tcPr>
          <w:p w14:paraId="0FC9C5A7" w14:textId="77777777" w:rsidR="004B6622" w:rsidRPr="001D0ADC" w:rsidRDefault="004B6622" w:rsidP="004B6622">
            <w:pPr>
              <w:pStyle w:val="NoSpacing"/>
              <w:ind w:firstLine="0"/>
              <w:rPr>
                <w:color w:val="auto"/>
                <w:lang w:val="en-GB" w:eastAsia="cs-CZ"/>
              </w:rPr>
            </w:pPr>
            <w:r w:rsidRPr="001D0ADC">
              <w:rPr>
                <w:color w:val="auto"/>
                <w:lang w:val="en-GB" w:eastAsia="cs-CZ"/>
              </w:rPr>
              <w:t>Acute (ZF)</w:t>
            </w:r>
          </w:p>
        </w:tc>
        <w:tc>
          <w:tcPr>
            <w:tcW w:w="1967" w:type="dxa"/>
            <w:tcBorders>
              <w:top w:val="single" w:sz="4" w:space="0" w:color="auto"/>
              <w:left w:val="single" w:sz="4" w:space="0" w:color="auto"/>
              <w:bottom w:val="single" w:sz="4" w:space="0" w:color="auto"/>
              <w:right w:val="single" w:sz="4" w:space="0" w:color="auto"/>
            </w:tcBorders>
          </w:tcPr>
          <w:p w14:paraId="4AB048BF" w14:textId="77777777" w:rsidR="004B6622" w:rsidRPr="001D0ADC" w:rsidRDefault="004B6622" w:rsidP="004B6622">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7E3A040" w14:textId="77777777" w:rsidR="004B6622" w:rsidRPr="001D0ADC" w:rsidRDefault="004B6622" w:rsidP="004B6622">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{"citationID":"2ZJcVkIT","properties":{"formattedCitation":"(Shahnaz et al. 2021)","plainCitation":"(Shahnaz et al. 2021)","noteIndex":0},"citationItems":[{"id":1241,"uris":["http://zotero.org/users/11614927/items/AU2SFJCC"],"itemData":{"id":1241,"type":"article-journal","abstract":"The present study deals with the adsorption of antibiotic Ciproﬂoxacin (CPXO) and anti-inﬂammatory agent Diclofenac (DCF) on Grass nanocellulose (GNC) extracted from Cyprus rotundas grass. The adsorbent GNC was characterised using various microscopic, elemental and spectroscopic analysis to monitor the physicochemical alterations of the surface before and after adsorption. The size of the converted nanocellulose was found to be 40e50 nm. The experimental measures inﬂuencing the adsorption of CPXO and DCF that were optimised are initial solution pH, GNC dosage, temperature and initial concentration of the adsorbate. Halsey isotherm model and pseudo-second order kinetic model agreed best with the experimental outcome for both the adsorbate. The maximum adsorption capacity of GNC were 227.223 and 192.307 mg/g for CPXO and DCF respectively. Phytotoxicity studies were performed using 6 different types of seeds to evaluate the effect of GNC treated efﬂuent on plants. Similarly, acute ﬁsh toxicity on zebra ﬁsh analysis showed to have lesser mortality rate of the efﬂuent after adsorption of CPXO and DCF on GNC.","container-title":"Environmental Pollution","DOI":"10.1016/j.envpol.2020.115494","ISSN":"02697491","journalAbbreviation":"Environmental Pollution","language":"en","page":"115494","source":"DOI.org (Crossref)","title":"Use of Nanocellulose extracted from grass for adsorption abatement of Ciprofloxacin and Diclofenac removal with phyto, and fish toxicity studies","volume":"268","author":[{"family":"Shahnaz","given":"Tasrin"},{"family":"Vishnu Priyan","given":"V."},{"family":"Pandian","given":"Sivakumar"},{"family":"Narayanasamy","given":"Selvaraju"}],"issued":{"date-parts":[["2021",1]]}}}],"schema":"https://github.com/citation-style-language/schema/raw/master/csl-citation.json"}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(Shahnaz et al. 2021)</w:t>
            </w:r>
            <w:r w:rsidRPr="001D0ADC">
              <w:rPr>
                <w:color w:val="auto"/>
                <w:lang w:val="en-GB" w:eastAsia="cs-CZ"/>
              </w:rPr>
              <w:fldChar w:fldCharType="end"/>
            </w:r>
          </w:p>
        </w:tc>
      </w:tr>
      <w:tr w:rsidR="001D0ADC" w:rsidRPr="001D0ADC" w14:paraId="2AAE6E9B" w14:textId="77777777" w:rsidTr="00CF4707">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484894D6" w14:textId="77777777" w:rsidR="004B6622" w:rsidRPr="001D0ADC" w:rsidRDefault="004B6622" w:rsidP="004B6622">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bottom"/>
          </w:tcPr>
          <w:p w14:paraId="23829F19" w14:textId="49ED0D59" w:rsidR="004B6622" w:rsidRPr="001D0ADC" w:rsidRDefault="004B6622" w:rsidP="004B6622">
            <w:pPr>
              <w:pStyle w:val="NoSpacing"/>
              <w:ind w:firstLine="0"/>
              <w:rPr>
                <w:color w:val="auto"/>
                <w:lang w:val="en-GB" w:eastAsia="cs-CZ"/>
              </w:rPr>
            </w:pPr>
            <w:r w:rsidRPr="001D0ADC">
              <w:rPr>
                <w:color w:val="auto"/>
                <w:lang w:val="en-GB" w:eastAsia="cs-CZ"/>
              </w:rPr>
              <w:t>3</w:t>
            </w:r>
            <w:r w:rsidR="00CF2036" w:rsidRPr="001D0ADC">
              <w:rPr>
                <w:color w:val="auto"/>
                <w:lang w:val="en-GB" w:eastAsia="cs-CZ"/>
              </w:rPr>
              <w:t>1.</w:t>
            </w:r>
            <w:r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651E5540" w14:textId="77777777" w:rsidR="004B6622" w:rsidRPr="001D0ADC" w:rsidRDefault="004B6622" w:rsidP="004B6622">
            <w:pPr>
              <w:pStyle w:val="NoSpacing"/>
              <w:ind w:firstLine="0"/>
              <w:rPr>
                <w:color w:val="auto"/>
                <w:lang w:val="en-GB" w:eastAsia="cs-CZ"/>
              </w:rPr>
            </w:pPr>
            <w:r w:rsidRPr="001D0ADC">
              <w:rPr>
                <w:color w:val="auto"/>
                <w:lang w:val="en-GB" w:eastAsia="cs-CZ"/>
              </w:rPr>
              <w:t>LC100</w:t>
            </w:r>
          </w:p>
        </w:tc>
        <w:tc>
          <w:tcPr>
            <w:tcW w:w="2633" w:type="dxa"/>
            <w:vMerge w:val="restart"/>
            <w:tcBorders>
              <w:top w:val="single" w:sz="4" w:space="0" w:color="auto"/>
              <w:left w:val="nil"/>
              <w:right w:val="single" w:sz="4" w:space="0" w:color="auto"/>
            </w:tcBorders>
          </w:tcPr>
          <w:p w14:paraId="57B969EA" w14:textId="77777777" w:rsidR="004B6622" w:rsidRPr="001D0ADC" w:rsidRDefault="004B6622" w:rsidP="004B6622">
            <w:pPr>
              <w:pStyle w:val="NoSpacing"/>
              <w:ind w:firstLine="0"/>
              <w:rPr>
                <w:color w:val="auto"/>
                <w:lang w:val="en-GB" w:eastAsia="cs-CZ"/>
              </w:rPr>
            </w:pPr>
            <w:r w:rsidRPr="001D0ADC">
              <w:rPr>
                <w:color w:val="auto"/>
                <w:lang w:val="en-GB" w:eastAsia="cs-CZ"/>
              </w:rPr>
              <w:t>Acute (ZF – 4mpf)</w:t>
            </w:r>
          </w:p>
        </w:tc>
        <w:tc>
          <w:tcPr>
            <w:tcW w:w="1967" w:type="dxa"/>
            <w:vMerge w:val="restart"/>
            <w:tcBorders>
              <w:top w:val="single" w:sz="4" w:space="0" w:color="auto"/>
              <w:left w:val="single" w:sz="4" w:space="0" w:color="auto"/>
              <w:right w:val="single" w:sz="4" w:space="0" w:color="auto"/>
            </w:tcBorders>
          </w:tcPr>
          <w:p w14:paraId="7F2124E6" w14:textId="77777777" w:rsidR="004B6622" w:rsidRPr="001D0ADC" w:rsidRDefault="004B6622" w:rsidP="004B6622">
            <w:pPr>
              <w:pStyle w:val="NoSpacing"/>
              <w:ind w:firstLine="0"/>
              <w:rPr>
                <w:color w:val="auto"/>
                <w:lang w:val="en-GB" w:eastAsia="cs-CZ"/>
              </w:rPr>
            </w:pPr>
            <w:r w:rsidRPr="001D0ADC">
              <w:rPr>
                <w:color w:val="auto"/>
                <w:lang w:val="en-GB" w:eastAsia="cs-CZ"/>
              </w:rPr>
              <w:t>7d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3591852A" w14:textId="77777777" w:rsidR="004B6622" w:rsidRPr="001D0ADC" w:rsidRDefault="004B6622" w:rsidP="004B6622">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{"citationID":"mwHzMSOz","properties":{"formattedCitation":"(Hou et al. 2022)","plainCitation":"(Hou et al. 2022)","noteIndex":0},"citationItems":[{"id":1432,"uris":["http://zotero.org/users/11614927/items/SH8NC3R2"],"itemData":{"id":1432,"type":"article-journal","abstract":"Ciprofloxacin (CIP) and enrofloxacin (ENR) are veterinary antibiotics commonly utilized to treat and prevent animal diseases. Environmental and dietary antibiotic residues can directly and indirectly affect the reproductive development of animals and humans. This article investigated the reproductive toxicity of CIP in male zebrafish, showing that it could decrease the spermatogonial weight and damage the spermatogonial tissue. The sex hor­ mone assays showed that CIP decreased fshb and lhb gene expression and plasma testosterone (T). In addition, transcriptome analysis indicated that the effect of CIP on zebrafish might be related to the endocrine signaling pathways. ENR, which was selected for further study, inhibited mouse Leydig (TM3) and Sertoli (TM4) cell proliferation and caused cell cycle arrest. The sperm concentration, serum luteotropic hormone (LH) and folliclestimulating hormone (FSH), and T levels decreased in adolescent mice after ENR treatment for 30d in vivo. Hematoxylin and eosin (H&amp;E) staining showed that ENR exposure potentially induced testicular injury, while the real-time quantitative PCR (qPCR) results indicated that ENR inhibited the mRNA expression of key genes in the Leydig cells (cyp11a1, 3β-HSD, and 17β-HSD), Sertoli cells (Inhbβ and Gdnf) and spermatogenic cells (Plzf, Stra8 and Dmc1). In conclusion, these findings indicated that ENR exposure might influence the development of the testes of pubescent mice.","container-title":"Ecotoxicology and Environmental Safety","DOI":"10.1016/j.ecoenv.2022.114049","ISSN":"01476513","journalAbbreviation":"Ecotoxicology and Environmental Safety","language":"en","page":"114049","source":"DOI.org (Crossref)","title":"Ciprofloxacin and enrofloxacin can cause reproductive toxicity via endocrine signaling pathways","volume":"244","author":[{"family":"Hou","given":"Lirui"},{"family":"Fu","given":"Yuhan"},{"family":"Zhao","given":"Chong"},{"family":"Fan","given":"Lihong"},{"family":"Hu","given":"Hongbo"},{"family":"Yin","given":"Shutao"}],"issued":{"date-parts":[["2022",10]]}}}],"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(Hou et al. 2022)</w:t>
            </w:r>
            <w:r w:rsidRPr="001D0ADC">
              <w:rPr>
                <w:color w:val="auto"/>
                <w:lang w:val="en-GB" w:eastAsia="cs-CZ"/>
              </w:rPr>
              <w:fldChar w:fldCharType="end"/>
            </w:r>
          </w:p>
        </w:tc>
      </w:tr>
      <w:tr w:rsidR="001D0ADC" w:rsidRPr="001D0ADC" w14:paraId="2652AF56" w14:textId="77777777" w:rsidTr="00CF4707">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00D5FBB1" w14:textId="77777777" w:rsidR="004B6622" w:rsidRPr="001D0ADC" w:rsidRDefault="004B6622" w:rsidP="004B6622">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bottom"/>
          </w:tcPr>
          <w:p w14:paraId="2C255E70" w14:textId="31484E82" w:rsidR="004B6622" w:rsidRPr="001D0ADC" w:rsidRDefault="004B6622" w:rsidP="004B6622">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5.</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30A4BDD0" w14:textId="77777777" w:rsidR="004B6622" w:rsidRPr="001D0ADC" w:rsidRDefault="004B6622" w:rsidP="004B6622">
            <w:pPr>
              <w:pStyle w:val="NoSpacing"/>
              <w:ind w:firstLine="0"/>
              <w:rPr>
                <w:color w:val="auto"/>
                <w:lang w:val="en-GB" w:eastAsia="cs-CZ"/>
              </w:rPr>
            </w:pPr>
            <w:r w:rsidRPr="001D0ADC">
              <w:rPr>
                <w:color w:val="auto"/>
                <w:lang w:val="en-GB" w:eastAsia="cs-CZ"/>
              </w:rPr>
              <w:t>NOEC for mortality</w:t>
            </w:r>
          </w:p>
        </w:tc>
        <w:tc>
          <w:tcPr>
            <w:tcW w:w="2633" w:type="dxa"/>
            <w:vMerge/>
            <w:tcBorders>
              <w:left w:val="nil"/>
              <w:bottom w:val="single" w:sz="4" w:space="0" w:color="auto"/>
              <w:right w:val="single" w:sz="4" w:space="0" w:color="auto"/>
            </w:tcBorders>
          </w:tcPr>
          <w:p w14:paraId="3B12B2B6" w14:textId="77777777" w:rsidR="004B6622" w:rsidRPr="001D0ADC" w:rsidRDefault="004B6622" w:rsidP="004B6622">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75EBFA7" w14:textId="77777777" w:rsidR="004B6622" w:rsidRPr="001D0ADC" w:rsidRDefault="004B6622" w:rsidP="004B6622">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8EB4F6B" w14:textId="77777777" w:rsidR="004B6622" w:rsidRPr="001D0ADC" w:rsidRDefault="004B6622" w:rsidP="004B6622">
            <w:pPr>
              <w:pStyle w:val="NoSpacing"/>
              <w:ind w:firstLine="0"/>
              <w:rPr>
                <w:color w:val="auto"/>
                <w:lang w:val="en-GB" w:eastAsia="cs-CZ"/>
              </w:rPr>
            </w:pPr>
          </w:p>
        </w:tc>
      </w:tr>
      <w:tr w:rsidR="001D0ADC" w:rsidRPr="001D0ADC" w14:paraId="13D71FCE" w14:textId="77777777" w:rsidTr="00B2135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93B79AE" w14:textId="77777777" w:rsidR="00196808" w:rsidRPr="001D0ADC" w:rsidRDefault="00196808" w:rsidP="00196808">
            <w:pPr>
              <w:pStyle w:val="NoSpacing"/>
              <w:ind w:firstLine="0"/>
              <w:rPr>
                <w:color w:val="auto"/>
                <w:lang w:val="en-GB" w:eastAsia="cs-CZ"/>
              </w:rPr>
            </w:pPr>
          </w:p>
        </w:tc>
        <w:tc>
          <w:tcPr>
            <w:tcW w:w="13122" w:type="dxa"/>
            <w:gridSpan w:val="5"/>
            <w:tcBorders>
              <w:top w:val="nil"/>
              <w:left w:val="nil"/>
              <w:bottom w:val="single" w:sz="4" w:space="0" w:color="auto"/>
              <w:right w:val="single" w:sz="4" w:space="0" w:color="auto"/>
            </w:tcBorders>
            <w:shd w:val="clear" w:color="auto" w:fill="auto"/>
            <w:noWrap/>
            <w:vAlign w:val="center"/>
          </w:tcPr>
          <w:p w14:paraId="29B80651" w14:textId="7CEC1B94" w:rsidR="00196808" w:rsidRPr="001D0ADC" w:rsidRDefault="00196808" w:rsidP="00196808">
            <w:pPr>
              <w:pStyle w:val="NoSpacing"/>
              <w:ind w:firstLine="0"/>
              <w:rPr>
                <w:b/>
                <w:bCs/>
                <w:color w:val="auto"/>
                <w:lang w:val="en-GB" w:eastAsia="cs-CZ"/>
              </w:rPr>
            </w:pPr>
            <w:r w:rsidRPr="001D0ADC">
              <w:rPr>
                <w:b/>
                <w:bCs/>
                <w:color w:val="auto"/>
                <w:lang w:val="en-GB" w:eastAsia="cs-CZ"/>
              </w:rPr>
              <w:t>Non-lethal effects after acute exposure (adults or juvenile)</w:t>
            </w:r>
            <w:r w:rsidR="000F6A8E" w:rsidRPr="001D0ADC">
              <w:rPr>
                <w:b/>
                <w:bCs/>
                <w:color w:val="auto"/>
                <w:lang w:val="en-GB" w:eastAsia="cs-CZ"/>
              </w:rPr>
              <w:t xml:space="preserve"> (mg/l)</w:t>
            </w:r>
          </w:p>
        </w:tc>
      </w:tr>
      <w:tr w:rsidR="001D0ADC" w:rsidRPr="001D0ADC" w14:paraId="0DDEACF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EEBD52A" w14:textId="77777777" w:rsidR="00196808" w:rsidRPr="001D0ADC" w:rsidRDefault="00196808" w:rsidP="00196808">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center"/>
          </w:tcPr>
          <w:p w14:paraId="785D6FFD" w14:textId="077604C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00025</w:t>
            </w:r>
          </w:p>
        </w:tc>
        <w:tc>
          <w:tcPr>
            <w:tcW w:w="4520" w:type="dxa"/>
            <w:tcBorders>
              <w:top w:val="nil"/>
              <w:left w:val="nil"/>
              <w:bottom w:val="single" w:sz="4" w:space="0" w:color="auto"/>
              <w:right w:val="single" w:sz="4" w:space="0" w:color="auto"/>
            </w:tcBorders>
            <w:shd w:val="clear" w:color="auto" w:fill="auto"/>
            <w:vAlign w:val="bottom"/>
          </w:tcPr>
          <w:p w14:paraId="339E44E8" w14:textId="1B1A78EB" w:rsidR="00196808" w:rsidRPr="001D0ADC" w:rsidRDefault="00196808" w:rsidP="00196808">
            <w:pPr>
              <w:pStyle w:val="NoSpacing"/>
              <w:ind w:firstLine="0"/>
              <w:rPr>
                <w:color w:val="auto"/>
                <w:lang w:val="en-GB" w:eastAsia="cs-CZ"/>
              </w:rPr>
            </w:pPr>
            <w:r w:rsidRPr="001D0ADC">
              <w:rPr>
                <w:color w:val="auto"/>
                <w:lang w:val="en-GB" w:eastAsia="cs-CZ"/>
              </w:rPr>
              <w:t>LOEC for biochemical parameters in blood (ALT, ALP, bilirubin and total protein), oxidative stress param.in liver (SOD, CAT, GPx, LPO, HPx, POx), gene expression, comet assay, micronuclei assay</w:t>
            </w:r>
          </w:p>
        </w:tc>
        <w:tc>
          <w:tcPr>
            <w:tcW w:w="2633" w:type="dxa"/>
            <w:tcBorders>
              <w:top w:val="single" w:sz="4" w:space="0" w:color="auto"/>
              <w:left w:val="nil"/>
              <w:bottom w:val="single" w:sz="4" w:space="0" w:color="auto"/>
              <w:right w:val="single" w:sz="4" w:space="0" w:color="auto"/>
            </w:tcBorders>
          </w:tcPr>
          <w:p w14:paraId="59C645D5" w14:textId="77777777" w:rsidR="00196808" w:rsidRPr="001D0ADC" w:rsidRDefault="00196808" w:rsidP="00196808">
            <w:pPr>
              <w:pStyle w:val="NoSpacing"/>
              <w:ind w:firstLine="0"/>
              <w:rPr>
                <w:color w:val="auto"/>
                <w:lang w:val="en-GB" w:eastAsia="cs-CZ"/>
              </w:rPr>
            </w:pPr>
            <w:r w:rsidRPr="001D0ADC">
              <w:rPr>
                <w:color w:val="auto"/>
                <w:lang w:val="en-GB" w:eastAsia="cs-CZ"/>
              </w:rPr>
              <w:t>Acute (ZF) adult</w:t>
            </w:r>
          </w:p>
        </w:tc>
        <w:tc>
          <w:tcPr>
            <w:tcW w:w="1967" w:type="dxa"/>
            <w:tcBorders>
              <w:top w:val="single" w:sz="4" w:space="0" w:color="auto"/>
              <w:left w:val="single" w:sz="4" w:space="0" w:color="auto"/>
              <w:bottom w:val="single" w:sz="4" w:space="0" w:color="auto"/>
              <w:right w:val="single" w:sz="4" w:space="0" w:color="auto"/>
            </w:tcBorders>
          </w:tcPr>
          <w:p w14:paraId="2671D625"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8311424"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{"citationID":"qWLZnqG6","properties":{"formattedCitation":"(Elizalde-Vel\\uc0\\u225{}zquez et al. 2022)","plainCitation":"(Elizalde-Velázquez et al. 2022)","noteIndex":0},"citationItems":[{"id":1236,"uris":["http://zotero.org/users/11614927/items/E57854RI"],"itemData":{"id":1236,"type":"article-journal","container-title":"Chemosphere","DOI":"10.1016/j.chemosphere.2022.133667","ISSN":"00456535","journalAbbreviation":"Chemosphere","language":"en","page":"133667","source":"DOI.org (Crossref)","title":"Low concentrations of ciprofloxacin alone and in combination with paracetamol induce oxidative stress, upregulation of apoptotic-related genes, histological alterations in the liver, and genotoxicity in Danio rerio","volume":"294","author":[{"family":"Elizalde-Velázquez","given":"Gustavo Axel"},{"family":"Rosas-Ramírez","given":"Jonathan Ricardo"},{"family":"Raldua","given":"Demetrio"},{"family":"García-Medina","given":"Sandra"},{"family":"Orozco-Hernández","given":"José Manuel"},{"family":"Rosales- Pérez","given":"Karina"},{"family":"Islas-Flores","given":"Hariz"},{"family":"Galar-Martínez","given":"Marcela"},{"family":"Guzmán-García","given":"Xochitl"},{"family":"Gómez-Oliván","given":"Leobardo Manuel"}],"issued":{"date-parts":[["2022",5]]}}}],"schema":"https://github.com/citation-style-language/schema/raw/master/csl-citation.json"}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(Elizalde-Velázquez et al. 2022)</w:t>
            </w:r>
            <w:r w:rsidRPr="001D0ADC">
              <w:rPr>
                <w:color w:val="auto"/>
                <w:lang w:val="en-GB" w:eastAsia="cs-CZ"/>
              </w:rPr>
              <w:fldChar w:fldCharType="end"/>
            </w:r>
          </w:p>
        </w:tc>
      </w:tr>
      <w:tr w:rsidR="001D0ADC" w:rsidRPr="001D0ADC" w14:paraId="40BDB1D2" w14:textId="77777777" w:rsidTr="00CF4707">
        <w:trPr>
          <w:gridAfter w:val="4"/>
          <w:wAfter w:w="9200" w:type="dxa"/>
          <w:trHeight w:val="150"/>
        </w:trPr>
        <w:tc>
          <w:tcPr>
            <w:tcW w:w="760" w:type="dxa"/>
            <w:vMerge w:val="restart"/>
            <w:tcBorders>
              <w:left w:val="single" w:sz="4" w:space="0" w:color="auto"/>
              <w:right w:val="single" w:sz="4" w:space="0" w:color="auto"/>
            </w:tcBorders>
            <w:shd w:val="clear" w:color="auto" w:fill="auto"/>
            <w:noWrap/>
            <w:vAlign w:val="bottom"/>
          </w:tcPr>
          <w:p w14:paraId="329DDA7E" w14:textId="77777777" w:rsidR="00196808" w:rsidRPr="001D0ADC" w:rsidRDefault="00196808" w:rsidP="00196808">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center"/>
          </w:tcPr>
          <w:p w14:paraId="6CD3E30C" w14:textId="41D72044" w:rsidR="00196808" w:rsidRPr="001D0ADC" w:rsidRDefault="00CF2036" w:rsidP="00196808">
            <w:pPr>
              <w:pStyle w:val="NoSpacing"/>
              <w:ind w:firstLine="0"/>
              <w:rPr>
                <w:color w:val="auto"/>
                <w:lang w:val="en-GB" w:eastAsia="cs-CZ"/>
              </w:rPr>
            </w:pPr>
            <w:r w:rsidRPr="001D0ADC">
              <w:rPr>
                <w:color w:val="auto"/>
                <w:lang w:val="en-GB" w:eastAsia="cs-CZ"/>
              </w:rPr>
              <w:t>6.</w:t>
            </w:r>
            <w:r w:rsidR="00196808" w:rsidRPr="001D0ADC">
              <w:rPr>
                <w:color w:val="auto"/>
                <w:lang w:val="en-GB" w:eastAsia="cs-CZ"/>
              </w:rPr>
              <w:t>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7BA23F2" w14:textId="77777777" w:rsidR="00196808" w:rsidRPr="001D0ADC" w:rsidRDefault="00196808" w:rsidP="00196808">
            <w:pPr>
              <w:pStyle w:val="NoSpacing"/>
              <w:ind w:firstLine="0"/>
              <w:rPr>
                <w:color w:val="auto"/>
                <w:lang w:val="en-GB" w:eastAsia="cs-CZ"/>
              </w:rPr>
            </w:pPr>
            <w:r w:rsidRPr="001D0ADC">
              <w:rPr>
                <w:color w:val="auto"/>
                <w:lang w:val="en-GB" w:eastAsia="cs-CZ"/>
              </w:rPr>
              <w:t>LOEC for aggressive behaviour</w:t>
            </w:r>
          </w:p>
        </w:tc>
        <w:tc>
          <w:tcPr>
            <w:tcW w:w="2633" w:type="dxa"/>
            <w:vMerge w:val="restart"/>
            <w:tcBorders>
              <w:top w:val="single" w:sz="4" w:space="0" w:color="auto"/>
              <w:left w:val="nil"/>
              <w:right w:val="single" w:sz="4" w:space="0" w:color="auto"/>
            </w:tcBorders>
          </w:tcPr>
          <w:p w14:paraId="5B01B3A2" w14:textId="77777777" w:rsidR="00196808" w:rsidRPr="001D0ADC" w:rsidRDefault="00196808" w:rsidP="00196808">
            <w:pPr>
              <w:pStyle w:val="NoSpacing"/>
              <w:ind w:firstLine="0"/>
              <w:rPr>
                <w:color w:val="auto"/>
                <w:lang w:val="en-GB" w:eastAsia="cs-CZ"/>
              </w:rPr>
            </w:pPr>
            <w:r w:rsidRPr="001D0ADC">
              <w:rPr>
                <w:color w:val="auto"/>
                <w:lang w:val="en-GB" w:eastAsia="cs-CZ"/>
              </w:rPr>
              <w:t>Acute (ZF adult)</w:t>
            </w:r>
          </w:p>
        </w:tc>
        <w:tc>
          <w:tcPr>
            <w:tcW w:w="1967" w:type="dxa"/>
            <w:vMerge w:val="restart"/>
            <w:tcBorders>
              <w:top w:val="single" w:sz="4" w:space="0" w:color="auto"/>
              <w:left w:val="single" w:sz="4" w:space="0" w:color="auto"/>
              <w:right w:val="single" w:sz="4" w:space="0" w:color="auto"/>
            </w:tcBorders>
          </w:tcPr>
          <w:p w14:paraId="6B553AF2"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3FC341BC"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{"citationID":"vxPJGXAv","properties":{"formattedCitation":"(Petersen et al. 2021)","plainCitation":"(Petersen et al. 2021)","noteIndex":0},"citationItems":[{"id":1431,"uris":["http://zotero.org/users/11614927/items/EBHHKS4A"],"itemData":{"id":1431,"type":"article-journal","abstract":"Antibiotics are widely used drugs in human and veterinary health as well as in the food industry. The majority of these compounds are, however, excreted unchanged and found as contaminants in water bodies. Although the toxicity of these drugs was previously studied in aquatic organisms, the behavioral effects of these pollutants have not been fully explored. Here we exposed adult zebrafish to environmentally relevant concentrations of different classes of antibiotics (Chlortetracycline, Ciprofloxacin, and Ceftazidime) and assessed zebrafish exploratory, cognitive, aggressive, and social behaviors. Ciprofloxacin, Chlortetracycline, and Ceftazidime exposure induced hyperlocomotion, which was characterized by an increase in the distance traveled in zebrafish. These antibiotics promoted cognitive decline and exacerbated aggressive behavior. In summary, this study shows that antibiotic contamination may impact zebrafish behavior in a short-time manner.","container-title":"Comparative Biochemistry and Physiology Part C: Toxicology &amp; Pharmacology","DOI":"10.1016/j.cbpc.2020.108936","ISSN":"15320456","journalAbbreviation":"Comparative Biochemistry and Physiology Part C: Toxicology &amp; Pharmacology","language":"en","page":"108936","source":"DOI.org (Crossref)","title":"Antibiotic drugs alter zebrafish behavior","volume":"242","author":[{"family":"Petersen","given":"Barbara Dutra"},{"family":"Pereira","given":"Talita Carneiro Brandão"},{"family":"Altenhofen","given":"Stefani"},{"family":"Nabinger","given":"Débora Dreher"},{"family":"Ferreira","given":"Pedro Maria De Abreu"},{"family":"Bogo","given":"Maurício Reis"},{"family":"Bonan","given":"Carla Denise"}],"issued":{"date-parts":[["2021",4]]}}}],"schema":"https://github.com/citation-style-language/schema/raw/master/csl-citation.json"}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(Petersen et al. 2021)</w:t>
            </w:r>
            <w:r w:rsidRPr="001D0ADC">
              <w:rPr>
                <w:color w:val="auto"/>
                <w:lang w:val="en-GB" w:eastAsia="cs-CZ"/>
              </w:rPr>
              <w:fldChar w:fldCharType="end"/>
            </w:r>
          </w:p>
        </w:tc>
      </w:tr>
      <w:tr w:rsidR="001D0ADC" w:rsidRPr="001D0ADC" w14:paraId="08262C37" w14:textId="77777777" w:rsidTr="00CF4707">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485BAE0A" w14:textId="77777777" w:rsidR="00196808" w:rsidRPr="001D0ADC" w:rsidRDefault="00196808" w:rsidP="00196808">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center"/>
          </w:tcPr>
          <w:p w14:paraId="00308CEE" w14:textId="77777777" w:rsidR="00196808" w:rsidRPr="001D0ADC" w:rsidRDefault="00196808" w:rsidP="00196808">
            <w:pPr>
              <w:pStyle w:val="NoSpacing"/>
              <w:ind w:firstLine="0"/>
              <w:rPr>
                <w:color w:val="auto"/>
                <w:lang w:val="en-GB" w:eastAsia="cs-CZ"/>
              </w:rPr>
            </w:pPr>
            <w:r w:rsidRPr="001D0ADC">
              <w:rPr>
                <w:color w:val="auto"/>
                <w:lang w:val="en-GB" w:eastAsia="cs-CZ"/>
              </w:rPr>
              <w:t>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19B2B06"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Y maze test, locomotory changes and social interaction, LOEC for increased exploratory behaviour</w:t>
            </w:r>
          </w:p>
        </w:tc>
        <w:tc>
          <w:tcPr>
            <w:tcW w:w="2633" w:type="dxa"/>
            <w:vMerge/>
            <w:tcBorders>
              <w:left w:val="nil"/>
              <w:bottom w:val="single" w:sz="4" w:space="0" w:color="auto"/>
              <w:right w:val="single" w:sz="4" w:space="0" w:color="auto"/>
            </w:tcBorders>
          </w:tcPr>
          <w:p w14:paraId="18CE779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3CEF87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61E6C1B" w14:textId="77777777" w:rsidR="00196808" w:rsidRPr="001D0ADC" w:rsidRDefault="00196808" w:rsidP="00196808">
            <w:pPr>
              <w:pStyle w:val="NoSpacing"/>
              <w:ind w:firstLine="0"/>
              <w:rPr>
                <w:color w:val="auto"/>
                <w:lang w:val="en-GB" w:eastAsia="cs-CZ"/>
              </w:rPr>
            </w:pPr>
          </w:p>
        </w:tc>
      </w:tr>
      <w:tr w:rsidR="001D0ADC" w:rsidRPr="001D0ADC" w14:paraId="0D61B863" w14:textId="77777777" w:rsidTr="00CF4707">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3B7AFCBE" w14:textId="77777777" w:rsidR="00196808" w:rsidRPr="001D0ADC" w:rsidRDefault="00196808" w:rsidP="00196808">
            <w:pPr>
              <w:pStyle w:val="NoSpacing"/>
              <w:ind w:firstLine="0"/>
              <w:rPr>
                <w:color w:val="auto"/>
                <w:lang w:val="en-GB" w:eastAsia="cs-CZ"/>
              </w:rPr>
            </w:pPr>
          </w:p>
        </w:tc>
        <w:tc>
          <w:tcPr>
            <w:tcW w:w="1702" w:type="dxa"/>
            <w:tcBorders>
              <w:top w:val="nil"/>
              <w:left w:val="nil"/>
              <w:bottom w:val="single" w:sz="4" w:space="0" w:color="auto"/>
              <w:right w:val="single" w:sz="4" w:space="0" w:color="auto"/>
            </w:tcBorders>
            <w:shd w:val="clear" w:color="auto" w:fill="auto"/>
            <w:noWrap/>
            <w:vAlign w:val="center"/>
          </w:tcPr>
          <w:p w14:paraId="783ED8CA" w14:textId="07C1BD1C" w:rsidR="00196808" w:rsidRPr="001D0ADC" w:rsidRDefault="00196808"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5.</w:t>
            </w:r>
            <w:r w:rsidRPr="001D0ADC">
              <w:rPr>
                <w:color w:val="auto"/>
                <w:lang w:val="en-GB" w:eastAsia="cs-CZ"/>
              </w:rPr>
              <w:t>6</w:t>
            </w:r>
          </w:p>
        </w:tc>
        <w:tc>
          <w:tcPr>
            <w:tcW w:w="4520" w:type="dxa"/>
            <w:tcBorders>
              <w:top w:val="nil"/>
              <w:left w:val="nil"/>
              <w:bottom w:val="single" w:sz="4" w:space="0" w:color="auto"/>
              <w:right w:val="single" w:sz="4" w:space="0" w:color="auto"/>
            </w:tcBorders>
            <w:shd w:val="clear" w:color="auto" w:fill="auto"/>
            <w:vAlign w:val="bottom"/>
          </w:tcPr>
          <w:p w14:paraId="1E0FC06F"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LOEC for testis weight and testosterone red., gene expression alteration </w:t>
            </w:r>
          </w:p>
        </w:tc>
        <w:tc>
          <w:tcPr>
            <w:tcW w:w="2633" w:type="dxa"/>
            <w:tcBorders>
              <w:top w:val="single" w:sz="4" w:space="0" w:color="auto"/>
              <w:left w:val="nil"/>
              <w:bottom w:val="single" w:sz="4" w:space="0" w:color="auto"/>
              <w:right w:val="single" w:sz="4" w:space="0" w:color="auto"/>
            </w:tcBorders>
          </w:tcPr>
          <w:p w14:paraId="5D563053" w14:textId="77777777" w:rsidR="00196808" w:rsidRPr="001D0ADC" w:rsidRDefault="00196808" w:rsidP="00196808">
            <w:pPr>
              <w:pStyle w:val="NoSpacing"/>
              <w:ind w:firstLine="0"/>
              <w:rPr>
                <w:color w:val="auto"/>
                <w:lang w:val="en-GB" w:eastAsia="cs-CZ"/>
              </w:rPr>
            </w:pPr>
            <w:r w:rsidRPr="001D0ADC">
              <w:rPr>
                <w:color w:val="auto"/>
                <w:lang w:val="en-GB" w:eastAsia="cs-CZ"/>
              </w:rPr>
              <w:t>Acute (ZF – 4mpf)</w:t>
            </w:r>
          </w:p>
        </w:tc>
        <w:tc>
          <w:tcPr>
            <w:tcW w:w="1967" w:type="dxa"/>
            <w:tcBorders>
              <w:top w:val="single" w:sz="4" w:space="0" w:color="auto"/>
              <w:left w:val="single" w:sz="4" w:space="0" w:color="auto"/>
              <w:bottom w:val="single" w:sz="4" w:space="0" w:color="auto"/>
              <w:right w:val="single" w:sz="4" w:space="0" w:color="auto"/>
            </w:tcBorders>
          </w:tcPr>
          <w:p w14:paraId="4E88BD5D" w14:textId="77777777" w:rsidR="00196808" w:rsidRPr="001D0ADC" w:rsidRDefault="00196808" w:rsidP="00196808">
            <w:pPr>
              <w:pStyle w:val="NoSpacing"/>
              <w:ind w:firstLine="0"/>
              <w:rPr>
                <w:color w:val="auto"/>
                <w:lang w:val="en-GB" w:eastAsia="cs-CZ"/>
              </w:rPr>
            </w:pPr>
            <w:r w:rsidRPr="001D0ADC">
              <w:rPr>
                <w:color w:val="auto"/>
                <w:lang w:val="en-GB" w:eastAsia="cs-CZ"/>
              </w:rPr>
              <w:t>7d</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ED57120"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{"citationID":"M5nUSob5","properties":{"formattedCitation":"(Hou et al. 2022)","plainCitation":"(Hou et al. 2022)","noteIndex":0},"citationItems":[{"id":1432,"uris":["http://zotero.org/users/11614927/items/SH8NC3R2"],"itemData":{"id":1432,"type":"article-journal","abstract":"Ciprofloxacin (CIP) and enrofloxacin (ENR) are veterinary antibiotics commonly utilized to treat and prevent animal diseases. Environmental and dietary antibiotic residues can directly and indirectly affect the reproductive development of animals and humans. This article investigated the reproductive toxicity of CIP in male zebrafish, showing that it could decrease the spermatogonial weight and damage the spermatogonial tissue. The sex hor­ mone assays showed that CIP decreased fshb and lhb gene expression and plasma testosterone (T). In addition, transcriptome analysis indicated that the effect of CIP on zebrafish might be related to the endocrine signaling pathways. ENR, which was selected for further study, inhibited mouse Leydig (TM3) and Sertoli (TM4) cell proliferation and caused cell cycle arrest. The sperm concentration, serum luteotropic hormone (LH) and folliclestimulating hormone (FSH), and T levels decreased in adolescent mice after ENR treatment for 30d in vivo. Hematoxylin and eosin (H&amp;E) staining showed that ENR exposure potentially induced testicular injury, while the real-time quantitative PCR (qPCR) results indicated that ENR inhibited the mRNA expression of key genes in the Leydig cells (cyp11a1, 3β-HSD, and 17β-HSD), Sertoli cells (Inhbβ and Gdnf) and spermatogenic cells (Plzf, Stra8 and Dmc1). In conclusion, these findings indicated that ENR exposure might influence the development of the testes of pubescent mice.","container-title":"Ecotoxicology and Environmental Safety","DOI":"10.1016/j.ecoenv.2022.114049","ISSN":"01476513","journalAbbreviation":"Ecotoxicology and Environmental Safety","language":"en","page":"114049","source":"DOI.org (Crossref)","title":"Ciprofloxacin and enrofloxacin can cause reproductive toxicity via endocrine signaling pathways","volume":"244","author":[{"family":"Hou","given":"Lirui"},{"family":"Fu","given":"Yuhan"},{"family":"Zhao","given":"Chong"},{"family":"Fan","given":"Lihong"},{"family":"Hu","given":"Hongbo"},{"family":"Yin","given":"Shutao"}],"issued":{"date-parts":[["2022",10]]}}}],"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(Hou et al. 2022)</w:t>
            </w:r>
            <w:r w:rsidRPr="001D0ADC">
              <w:rPr>
                <w:color w:val="auto"/>
                <w:lang w:val="en-GB" w:eastAsia="cs-CZ"/>
              </w:rPr>
              <w:fldChar w:fldCharType="end"/>
            </w:r>
          </w:p>
        </w:tc>
      </w:tr>
      <w:tr w:rsidR="001D0ADC" w:rsidRPr="001D0ADC" w14:paraId="57EEF6FD" w14:textId="77777777" w:rsidTr="00CF4707">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70F35A85"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42E4A085" w14:textId="36908EF4"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with ZF</w:t>
            </w:r>
            <w:r w:rsidR="000F6A8E" w:rsidRPr="001D0ADC">
              <w:rPr>
                <w:b/>
                <w:bCs/>
                <w:color w:val="auto"/>
                <w:lang w:val="en-GB" w:eastAsia="cs-CZ"/>
              </w:rPr>
              <w:t xml:space="preserve"> (mg/l)</w:t>
            </w:r>
          </w:p>
        </w:tc>
      </w:tr>
      <w:tr w:rsidR="001D0ADC" w:rsidRPr="001D0ADC" w14:paraId="4293D05B" w14:textId="77777777" w:rsidTr="00CF4707">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05863E9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0A1C42A3" w14:textId="77777777" w:rsidR="00196808" w:rsidRPr="001D0ADC" w:rsidRDefault="00196808" w:rsidP="00196808">
            <w:pPr>
              <w:pStyle w:val="NoSpacing"/>
              <w:ind w:firstLine="0"/>
              <w:rPr>
                <w:color w:val="auto"/>
                <w:lang w:val="en-GB" w:eastAsia="cs-CZ"/>
              </w:rPr>
            </w:pPr>
            <w:r w:rsidRPr="001D0ADC">
              <w:rPr>
                <w:color w:val="auto"/>
                <w:lang w:val="en-GB" w:eastAsia="cs-CZ"/>
              </w:rPr>
              <w:t>1407</w:t>
            </w:r>
          </w:p>
        </w:tc>
        <w:tc>
          <w:tcPr>
            <w:tcW w:w="4520" w:type="dxa"/>
            <w:tcBorders>
              <w:top w:val="single" w:sz="4" w:space="0" w:color="auto"/>
              <w:left w:val="nil"/>
              <w:bottom w:val="single" w:sz="4" w:space="0" w:color="auto"/>
              <w:right w:val="single" w:sz="4" w:space="0" w:color="auto"/>
            </w:tcBorders>
            <w:shd w:val="clear" w:color="auto" w:fill="auto"/>
            <w:vAlign w:val="bottom"/>
          </w:tcPr>
          <w:p w14:paraId="79350C87"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LOEC for heartbeat decr., cardiac output, blood flow</w:t>
            </w:r>
          </w:p>
        </w:tc>
        <w:tc>
          <w:tcPr>
            <w:tcW w:w="2633" w:type="dxa"/>
            <w:vMerge w:val="restart"/>
            <w:tcBorders>
              <w:top w:val="single" w:sz="4" w:space="0" w:color="auto"/>
              <w:left w:val="nil"/>
              <w:right w:val="single" w:sz="4" w:space="0" w:color="auto"/>
            </w:tcBorders>
          </w:tcPr>
          <w:p w14:paraId="032E826B"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2A4E0196"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D9FB29C"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{"citationID":"EPSaEf69","properties":{"formattedCitation":"(Shen et al. 2019)","plainCitation":"(Shen et al. 2019)","noteIndex":0},"citationItems":[{"id":1231,"uris":["http://zotero.org/users/11614927/items/C3PYJI8L"],"itemData":{"id":1231,"type":"article-journal","abstract":"As a new type of pollutant, ﬂuoroquinolones (FQs) antibiotics are ubiquitous in environment and have some threat to human health and ecological environment. Their ecological toxicity to the environment urgently need to be assessed. Therefore, we ﬁrstly explored the toxic effects and possible mechanism of cardiovascular toxicity induced by gatiﬂoxacin (GTFX) and ciproﬂoxacin (CPFX) using zebraﬁsh model. After 24 h exposure, the zebraﬁsh treated with GTFX showed pericardial edema which was further investigated by histopathological examination, while CPFX exposure did not induce morphological abnormalities. However, both of them induced cardiac dysfunction, such as decreased heart rate and cardiac output which was showed a positive correlation with the concentration. To better understand the possible molecular mechanisms underlying cardiovascular toxicity in zebraﬁsh, we investigated the transcriptional level of genes related to calcium signaling pathway and cardiac muscle contraction. The results indicated that the expression of ATPase (atp2a1l) and cardiac troponin C (tnnc1a) genes were signiﬁcantly inhibited, the expression of calcium channel (cacna1ab) gene showed slight promoted trend after CPFX exposure. For zebraﬁsh treated with GTFX, the expression of atp2a1l genes was also signiﬁcantly inhibited, while the expression of tnnc1a genes was slightly inhibited and cacna1ab genes expression had no obvious effect. The present study ﬁrstly revealed that GTFX exposure can induce morphological and functional abnormalities on the cardiovascular system of zebraﬁsh. Though CPFX exposure did not induce morphological abnormalities, the function of cardiovascular system was still damaged. Mechanistically, this toxicity might result from the pressure of down-regulation of genes associated with calcium signaling pathway and cardiac muscle contraction. The results of this study can provide a valuable theoretical basis for the establishment of FQs environmental quality standards in water environment, environmental drug regulation and risk management.","container-title":"Environmental Pollution","DOI":"10.1016/j.envpol.2019.07.029","ISSN":"02697491","journalAbbreviation":"Environmental Pollution","language":"en","page":"112861","source":"DOI.org (Crossref)","title":"The cardiovascular toxicity induced by high doses of gatifloxacin and ciprofloxacin in zebrafish","volume":"254","author":[{"family":"Shen","given":"Rong"},{"family":"Yu","given":"Yichang"},{"family":"Lan","given":"Rong"},{"family":"Yu","given":"Ran"},{"family":"Yuan","given":"Ze"},{"family":"Xia","given":"Zhining"}],"issued":{"date-parts":[["2019",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(Shen et al. 2019)</w:t>
            </w:r>
            <w:r w:rsidRPr="001D0ADC">
              <w:rPr>
                <w:color w:val="auto"/>
                <w:lang w:val="en-GB" w:eastAsia="cs-CZ"/>
              </w:rPr>
              <w:fldChar w:fldCharType="end"/>
            </w:r>
          </w:p>
        </w:tc>
      </w:tr>
      <w:tr w:rsidR="001D0ADC" w:rsidRPr="001D0ADC" w14:paraId="53E9F50A" w14:textId="77777777" w:rsidTr="00CF4707">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3BAD0A0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78676A23" w14:textId="77777777" w:rsidR="00196808" w:rsidRPr="001D0ADC" w:rsidRDefault="00196808" w:rsidP="00196808">
            <w:pPr>
              <w:pStyle w:val="NoSpacing"/>
              <w:ind w:firstLine="0"/>
              <w:rPr>
                <w:color w:val="auto"/>
                <w:lang w:val="en-GB" w:eastAsia="cs-CZ"/>
              </w:rPr>
            </w:pPr>
            <w:r w:rsidRPr="001D0ADC">
              <w:rPr>
                <w:color w:val="auto"/>
                <w:lang w:val="en-GB" w:eastAsia="cs-CZ"/>
              </w:rPr>
              <w:t>1949</w:t>
            </w:r>
          </w:p>
        </w:tc>
        <w:tc>
          <w:tcPr>
            <w:tcW w:w="4520" w:type="dxa"/>
            <w:tcBorders>
              <w:top w:val="single" w:sz="4" w:space="0" w:color="auto"/>
              <w:left w:val="nil"/>
              <w:bottom w:val="single" w:sz="4" w:space="0" w:color="auto"/>
              <w:right w:val="single" w:sz="4" w:space="0" w:color="auto"/>
            </w:tcBorders>
            <w:shd w:val="clear" w:color="auto" w:fill="auto"/>
            <w:vAlign w:val="bottom"/>
          </w:tcPr>
          <w:p w14:paraId="325FC39E" w14:textId="77777777" w:rsidR="00196808" w:rsidRPr="001D0ADC" w:rsidRDefault="00196808" w:rsidP="00196808">
            <w:pPr>
              <w:pStyle w:val="NoSpacing"/>
              <w:ind w:firstLine="0"/>
              <w:rPr>
                <w:color w:val="auto"/>
                <w:lang w:val="en-GB" w:eastAsia="cs-CZ"/>
              </w:rPr>
            </w:pPr>
            <w:r w:rsidRPr="001D0ADC">
              <w:rPr>
                <w:color w:val="auto"/>
                <w:lang w:val="en-GB" w:eastAsia="cs-CZ"/>
              </w:rPr>
              <w:t>LOEC for mortality, NOEC for malformations, LOEC for gene expression</w:t>
            </w:r>
          </w:p>
        </w:tc>
        <w:tc>
          <w:tcPr>
            <w:tcW w:w="2633" w:type="dxa"/>
            <w:vMerge/>
            <w:tcBorders>
              <w:left w:val="nil"/>
              <w:bottom w:val="single" w:sz="4" w:space="0" w:color="auto"/>
              <w:right w:val="single" w:sz="4" w:space="0" w:color="auto"/>
            </w:tcBorders>
          </w:tcPr>
          <w:p w14:paraId="1EE04477"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CAF4853"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B764962" w14:textId="77777777" w:rsidR="00196808" w:rsidRPr="001D0ADC" w:rsidRDefault="00196808" w:rsidP="00196808">
            <w:pPr>
              <w:pStyle w:val="NoSpacing"/>
              <w:ind w:firstLine="0"/>
              <w:rPr>
                <w:color w:val="auto"/>
                <w:lang w:val="en-GB" w:eastAsia="cs-CZ"/>
              </w:rPr>
            </w:pPr>
          </w:p>
        </w:tc>
      </w:tr>
      <w:tr w:rsidR="001D0ADC" w:rsidRPr="001D0ADC" w14:paraId="65A28EF2" w14:textId="77777777" w:rsidTr="00AB5B75">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516A629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95417A9" w14:textId="378F242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488</w:t>
            </w:r>
          </w:p>
        </w:tc>
        <w:tc>
          <w:tcPr>
            <w:tcW w:w="4520" w:type="dxa"/>
            <w:tcBorders>
              <w:top w:val="single" w:sz="4" w:space="0" w:color="auto"/>
              <w:left w:val="nil"/>
              <w:bottom w:val="single" w:sz="4" w:space="0" w:color="auto"/>
              <w:right w:val="single" w:sz="4" w:space="0" w:color="auto"/>
            </w:tcBorders>
            <w:shd w:val="clear" w:color="auto" w:fill="auto"/>
            <w:vAlign w:val="bottom"/>
          </w:tcPr>
          <w:p w14:paraId="2A1C9712" w14:textId="5348959A" w:rsidR="00196808" w:rsidRPr="001D0ADC" w:rsidRDefault="00196808" w:rsidP="00196808">
            <w:pPr>
              <w:pStyle w:val="NoSpacing"/>
              <w:ind w:firstLine="0"/>
              <w:rPr>
                <w:color w:val="auto"/>
                <w:lang w:val="en-GB" w:eastAsia="cs-CZ"/>
              </w:rPr>
            </w:pPr>
            <w:r w:rsidRPr="001D0ADC">
              <w:rPr>
                <w:color w:val="auto"/>
                <w:lang w:val="en-GB" w:eastAsia="cs-CZ"/>
              </w:rPr>
              <w:t>NOEC for mortality, hatching and malformations, swimming behaviour, GPx, and GST activity, LOEC for ChE activity</w:t>
            </w:r>
          </w:p>
        </w:tc>
        <w:tc>
          <w:tcPr>
            <w:tcW w:w="2633" w:type="dxa"/>
            <w:vMerge w:val="restart"/>
            <w:tcBorders>
              <w:top w:val="single" w:sz="4" w:space="0" w:color="auto"/>
              <w:left w:val="nil"/>
              <w:right w:val="single" w:sz="4" w:space="0" w:color="auto"/>
            </w:tcBorders>
          </w:tcPr>
          <w:p w14:paraId="25DC5DF0" w14:textId="1518F852" w:rsidR="00196808" w:rsidRPr="001D0ADC" w:rsidRDefault="00196808" w:rsidP="00196808">
            <w:pPr>
              <w:pStyle w:val="NoSpacing"/>
              <w:ind w:firstLine="0"/>
              <w:rPr>
                <w:color w:val="auto"/>
                <w:lang w:val="en-GB" w:eastAsia="cs-CZ"/>
              </w:rPr>
            </w:pPr>
            <w:r w:rsidRPr="001D0ADC">
              <w:rPr>
                <w:color w:val="auto"/>
                <w:lang w:val="en-GB" w:eastAsia="cs-CZ"/>
              </w:rPr>
              <w:t>ELS (ZF) (OECD236)</w:t>
            </w:r>
          </w:p>
        </w:tc>
        <w:tc>
          <w:tcPr>
            <w:tcW w:w="1967" w:type="dxa"/>
            <w:vMerge w:val="restart"/>
            <w:tcBorders>
              <w:top w:val="single" w:sz="4" w:space="0" w:color="auto"/>
              <w:left w:val="single" w:sz="4" w:space="0" w:color="auto"/>
              <w:right w:val="single" w:sz="4" w:space="0" w:color="auto"/>
            </w:tcBorders>
          </w:tcPr>
          <w:p w14:paraId="120C9635" w14:textId="79FB12A4"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7EB36D0" w14:textId="5AB27754"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{"citationID":"apbhsvt42o","properties":{"formattedCitation":"(Nogueira et al. 2019)","plainCitation":"(Nogueira et al. 2019)","noteIndex":0},"citationItems":[{"id":1630,"uris":["http://zotero.org/users/11614927/items/ELWYIWLB"],"itemData":{"id":1630,"type":"article-journal","abstract":"For several years, the scientific community has been concerned about the presence of pharmaceuticals in the wild, since these compounds may have unpredictable deleterious effects on living organisms. Two examples of widely used pharmaceuticals that are present in the environment are paracetamol and ciprofloxacin. Despite their common presence in the aquatic environment due to their poor removal by sewage treatment plants, knowledge concerning their putative toxic effects is still scarce. This work aimed to characterize the effects of paracetamol (0.005, 0.025, 0.125, 0.625, and 3.125 mg/L) and ciprofloxacin (0.005, 0.013, 0.031, 0.078, 0.195, and 0.488 μg/L) in zebrafish embryos and larvae, exposed to environmentally relevant levels, close to the real concentrations of these pharmaceuticals in surface waters and effluents. The adopted toxic end points were developmental, a behavioral parameter (total swimming time), and a biomarkerbased approach (quantification of the activities of catalase, glutathione-S-transferase, cholinesterases, glutathione peroxidase, and lipid peroxidation levels) combined with epigenetic analysis (immunohistochemical detection of 5-methylcytidine). Exposure to paracetamol had effects on all of the adopted toxic end points; however, ciprofloxacin only caused effects on behavioral tests and alterations in biomarkers. It is possible to ascertain the occurrence of oxidative stress following exposure to both drugs, which was more evident regarding paracetamol, an effect that may be related to the observed epigenetic modifications.","container-title":"Environmental Toxicology","DOI":"10.1002/tox.22819","ISSN":"1520-4081, 1522-7278","issue":"11","journalAbbreviation":"Environmental Toxicology","language":"en","page":"1177-1190","source":"DOI.org (Crossref)","title":"Embryonic development, locomotor behavior, biochemical, and epigenetic effects of the pharmaceutical drugs paracetamol and ciprofloxacin in larvae and embryos of &lt;i&gt;Danio rerio&lt;/i&gt; when exposed to environmental realistic levels of both drugs","volume":"34","author":[{"family":"Nogueira","given":"Ana F."},{"family":"Pinto","given":"Glória"},{"family":"Correia","given":"Barbara"},{"family":"Nunes","given":"Bruno"}],"issued":{"date-parts":[["2019",11]]}}}],"schema":"https://github.com/citation-style-language/schema/raw/master/csl-citation.json"}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(Nogueira et al. 2019)</w:t>
            </w:r>
            <w:r w:rsidRPr="001D0ADC">
              <w:rPr>
                <w:color w:val="auto"/>
                <w:lang w:val="en-GB" w:eastAsia="cs-CZ"/>
              </w:rPr>
              <w:fldChar w:fldCharType="end"/>
            </w:r>
          </w:p>
        </w:tc>
      </w:tr>
      <w:tr w:rsidR="001D0ADC" w:rsidRPr="001D0ADC" w14:paraId="628988C0" w14:textId="77777777" w:rsidTr="00AB5B75">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69D4170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8835450" w14:textId="3581987C"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078</w:t>
            </w:r>
          </w:p>
        </w:tc>
        <w:tc>
          <w:tcPr>
            <w:tcW w:w="4520" w:type="dxa"/>
            <w:tcBorders>
              <w:top w:val="single" w:sz="4" w:space="0" w:color="auto"/>
              <w:left w:val="nil"/>
              <w:bottom w:val="single" w:sz="4" w:space="0" w:color="auto"/>
              <w:right w:val="single" w:sz="4" w:space="0" w:color="auto"/>
            </w:tcBorders>
            <w:shd w:val="clear" w:color="auto" w:fill="auto"/>
            <w:vAlign w:val="bottom"/>
          </w:tcPr>
          <w:p w14:paraId="31463776" w14:textId="5287202A" w:rsidR="00196808" w:rsidRPr="001D0ADC" w:rsidRDefault="00196808" w:rsidP="00196808">
            <w:pPr>
              <w:pStyle w:val="NoSpacing"/>
              <w:ind w:firstLine="0"/>
              <w:rPr>
                <w:color w:val="auto"/>
                <w:lang w:val="en-GB" w:eastAsia="cs-CZ"/>
              </w:rPr>
            </w:pPr>
            <w:r w:rsidRPr="001D0ADC">
              <w:rPr>
                <w:color w:val="auto"/>
                <w:lang w:val="en-GB" w:eastAsia="cs-CZ"/>
              </w:rPr>
              <w:t>LOEC for TBARs increase</w:t>
            </w:r>
          </w:p>
        </w:tc>
        <w:tc>
          <w:tcPr>
            <w:tcW w:w="2633" w:type="dxa"/>
            <w:vMerge/>
            <w:tcBorders>
              <w:left w:val="nil"/>
              <w:right w:val="single" w:sz="4" w:space="0" w:color="auto"/>
            </w:tcBorders>
          </w:tcPr>
          <w:p w14:paraId="6DCA7EC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0C6DD0F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BF64A33" w14:textId="77777777" w:rsidR="00196808" w:rsidRPr="001D0ADC" w:rsidRDefault="00196808" w:rsidP="00196808">
            <w:pPr>
              <w:pStyle w:val="NoSpacing"/>
              <w:ind w:firstLine="0"/>
              <w:rPr>
                <w:color w:val="auto"/>
                <w:lang w:val="en-GB" w:eastAsia="cs-CZ"/>
              </w:rPr>
            </w:pPr>
          </w:p>
        </w:tc>
      </w:tr>
      <w:tr w:rsidR="001D0ADC" w:rsidRPr="001D0ADC" w14:paraId="14437A4B" w14:textId="77777777" w:rsidTr="00AB5B75">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111CACF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424DE6C" w14:textId="3656961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575826A" w14:textId="61502D24" w:rsidR="00196808" w:rsidRPr="001D0ADC" w:rsidRDefault="00196808" w:rsidP="00196808">
            <w:pPr>
              <w:pStyle w:val="NoSpacing"/>
              <w:ind w:firstLine="0"/>
              <w:rPr>
                <w:color w:val="auto"/>
                <w:lang w:val="en-GB" w:eastAsia="cs-CZ"/>
              </w:rPr>
            </w:pPr>
            <w:r w:rsidRPr="001D0ADC">
              <w:rPr>
                <w:color w:val="auto"/>
                <w:lang w:val="en-GB" w:eastAsia="cs-CZ"/>
              </w:rPr>
              <w:t>LOEC for CAT activity</w:t>
            </w:r>
          </w:p>
        </w:tc>
        <w:tc>
          <w:tcPr>
            <w:tcW w:w="2633" w:type="dxa"/>
            <w:vMerge/>
            <w:tcBorders>
              <w:left w:val="nil"/>
              <w:bottom w:val="single" w:sz="4" w:space="0" w:color="auto"/>
              <w:right w:val="single" w:sz="4" w:space="0" w:color="auto"/>
            </w:tcBorders>
          </w:tcPr>
          <w:p w14:paraId="68190AA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3BA82F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53EC61F" w14:textId="77777777" w:rsidR="00196808" w:rsidRPr="001D0ADC" w:rsidRDefault="00196808" w:rsidP="00196808">
            <w:pPr>
              <w:pStyle w:val="NoSpacing"/>
              <w:ind w:firstLine="0"/>
              <w:rPr>
                <w:color w:val="auto"/>
                <w:lang w:val="en-GB" w:eastAsia="cs-CZ"/>
              </w:rPr>
            </w:pPr>
          </w:p>
        </w:tc>
      </w:tr>
      <w:tr w:rsidR="001D0ADC" w:rsidRPr="001D0ADC" w14:paraId="5B63941B" w14:textId="77777777" w:rsidTr="00AB5B75">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43BBA30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06A8B9B" w14:textId="7E0A49D9"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0354</w:t>
            </w:r>
          </w:p>
        </w:tc>
        <w:tc>
          <w:tcPr>
            <w:tcW w:w="4520" w:type="dxa"/>
            <w:tcBorders>
              <w:top w:val="single" w:sz="4" w:space="0" w:color="auto"/>
              <w:left w:val="nil"/>
              <w:bottom w:val="single" w:sz="4" w:space="0" w:color="auto"/>
              <w:right w:val="single" w:sz="4" w:space="0" w:color="auto"/>
            </w:tcBorders>
            <w:shd w:val="clear" w:color="auto" w:fill="auto"/>
            <w:vAlign w:val="bottom"/>
          </w:tcPr>
          <w:p w14:paraId="627A6C09" w14:textId="736CD8AC"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top w:val="single" w:sz="4" w:space="0" w:color="auto"/>
              <w:left w:val="nil"/>
              <w:bottom w:val="single" w:sz="4" w:space="0" w:color="auto"/>
              <w:right w:val="single" w:sz="4" w:space="0" w:color="auto"/>
            </w:tcBorders>
          </w:tcPr>
          <w:p w14:paraId="0D8F6DFD" w14:textId="31C145A8" w:rsidR="00196808" w:rsidRPr="001D0ADC" w:rsidRDefault="00196808" w:rsidP="00196808">
            <w:pPr>
              <w:pStyle w:val="NoSpacing"/>
              <w:ind w:firstLine="0"/>
              <w:rPr>
                <w:color w:val="auto"/>
                <w:lang w:val="en-GB" w:eastAsia="cs-CZ"/>
              </w:rPr>
            </w:pPr>
            <w:r w:rsidRPr="001D0ADC">
              <w:rPr>
                <w:color w:val="auto"/>
                <w:lang w:val="en-GB" w:eastAsia="cs-CZ"/>
              </w:rPr>
              <w:t>ELS (ZF) (embryos bleached)</w:t>
            </w:r>
          </w:p>
        </w:tc>
        <w:tc>
          <w:tcPr>
            <w:tcW w:w="1967" w:type="dxa"/>
            <w:vMerge w:val="restart"/>
            <w:tcBorders>
              <w:top w:val="single" w:sz="4" w:space="0" w:color="auto"/>
              <w:left w:val="single" w:sz="4" w:space="0" w:color="auto"/>
              <w:bottom w:val="single" w:sz="4" w:space="0" w:color="auto"/>
              <w:right w:val="single" w:sz="4" w:space="0" w:color="auto"/>
            </w:tcBorders>
          </w:tcPr>
          <w:p w14:paraId="527B38C8" w14:textId="5E9A0B95"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5C3E417F" w14:textId="5123740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{"citationID":"a1jp9e426nt","properties":{"formattedCitation":"(Rosas-Ram\\uc0\\u237{}rez et al. 2022)","plainCitation":"(Rosas-Ramírez et al. 2022)","noteIndex":0},"citationItems":[{"id":1433,"uris":["http://zotero.org/users/11614927/items/K3XBR9BS"],"itemData":{"id":1433,"type":"article-journal","abstract":"Even though the toxic effects of paracetamol (PCM) and ciproﬂoxacin (CPX) have been deeply studied in the last decades, the impact of the PCM-CPX mixture may induce in aquatic organisms is poorly known. Thus, the objective of this work was to investigate the teratogenic effects and oxidative stress that PCM, CPX, and their mixture induce in Danio rerio embryos. Moreover, we aimed to determine whether the PCM-CPX mixture induces more severe effects on the embryos than the individual drugs. For this purpose, zebraﬁsh embryos (4 hpf) were exposed to environmentally relevant concentrations of PCM, CPX, and their mixture until 96 hpf. In addition, at 72 hpf and 96 hpf, we also evaluated the oxidative stress biomarkers (superoxide dismutase, catalase, glutathione peroxidase, lipid peroxidation, and hydroperoxides and carbonyl content) in the embryos. Our results demonstrated that PCM, CPX, and their mixture reduced the survival rate of embryos by up to 75%. In addition, both drugs, induced morphological alterations in the embryos, causing their death. The most observed malformations were: scoliosis, craniofacial malformations, hypopigmentation, growth retardation, pericardial edema. Concerning oxidative stress, our integrated biomarkers response (IBR) analysis demonstrated that PCM, CPX, and their mixture induce oxidative damage on the embryos. In conclusion, PCM, CPX, and their mixture can alter zebraﬁsh embryonic development via an oxidative stress response.","container-title":"Science of The Total Environment","DOI":"10.1016/j.scitotenv.2021.150541","ISSN":"00489697","journalAbbreviation":"Science of The Total Environment","language":"en","page":"150541","source":"DOI.org (Crossref)","title":"Teratogenic effects induced by paracetamol, ciprofloxacin, and their mixture on Danio rerio embryos: Oxidative stress implications","title-short":"Teratogenic effects induced by paracetamol, ciprofloxacin, and their mixture on Danio rerio embryos","volume":"806","author":[{"family":"Rosas-Ramírez","given":"Jonathan Ricardo"},{"family":"Orozco-Hernández","given":"José Manuel"},{"family":"Elizalde-Velázquez","given":"Gustavo Axel"},{"family":"Raldúa","given":"Demetrio"},{"family":"Islas-Flores","given":"Hariz"},{"family":"Gómez-Oliván","given":"Leobardo Manuel"}],"issued":{"date-parts":[["2022",2]]}}}],"schema":"https://github.com/citation-style-language/schema/raw/master/csl-citation.json"}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(Rosas-Ramírez et al. 2022)</w:t>
            </w:r>
            <w:r w:rsidRPr="001D0ADC">
              <w:rPr>
                <w:color w:val="auto"/>
                <w:lang w:val="en-GB" w:eastAsia="cs-CZ"/>
              </w:rPr>
              <w:fldChar w:fldCharType="end"/>
            </w:r>
          </w:p>
        </w:tc>
      </w:tr>
      <w:tr w:rsidR="001D0ADC" w:rsidRPr="001D0ADC" w14:paraId="53711F94" w14:textId="77777777" w:rsidTr="00AB5B75">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438D3A3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BFFB2A4" w14:textId="3DCFD52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0182</w:t>
            </w:r>
          </w:p>
        </w:tc>
        <w:tc>
          <w:tcPr>
            <w:tcW w:w="4520" w:type="dxa"/>
            <w:tcBorders>
              <w:top w:val="single" w:sz="4" w:space="0" w:color="auto"/>
              <w:left w:val="nil"/>
              <w:bottom w:val="single" w:sz="4" w:space="0" w:color="auto"/>
              <w:right w:val="single" w:sz="4" w:space="0" w:color="auto"/>
            </w:tcBorders>
            <w:shd w:val="clear" w:color="auto" w:fill="auto"/>
            <w:vAlign w:val="bottom"/>
          </w:tcPr>
          <w:p w14:paraId="3B7502D0" w14:textId="15BF89B4" w:rsidR="00196808" w:rsidRPr="001D0ADC" w:rsidRDefault="00196808" w:rsidP="00196808">
            <w:pPr>
              <w:pStyle w:val="NoSpacing"/>
              <w:ind w:firstLine="0"/>
              <w:rPr>
                <w:color w:val="auto"/>
                <w:lang w:val="en-GB" w:eastAsia="cs-CZ"/>
              </w:rPr>
            </w:pPr>
            <w:r w:rsidRPr="001D0ADC">
              <w:rPr>
                <w:color w:val="auto"/>
                <w:lang w:val="en-GB" w:eastAsia="cs-CZ"/>
              </w:rPr>
              <w:t>EC50</w:t>
            </w:r>
          </w:p>
        </w:tc>
        <w:tc>
          <w:tcPr>
            <w:tcW w:w="2633" w:type="dxa"/>
            <w:vMerge/>
            <w:tcBorders>
              <w:top w:val="single" w:sz="4" w:space="0" w:color="auto"/>
              <w:left w:val="nil"/>
              <w:bottom w:val="single" w:sz="4" w:space="0" w:color="auto"/>
              <w:right w:val="single" w:sz="4" w:space="0" w:color="auto"/>
            </w:tcBorders>
          </w:tcPr>
          <w:p w14:paraId="12F9B91C" w14:textId="77777777" w:rsidR="00196808" w:rsidRPr="001D0ADC" w:rsidRDefault="00196808" w:rsidP="00196808">
            <w:pPr>
              <w:pStyle w:val="NoSpacing"/>
              <w:ind w:firstLine="0"/>
              <w:rPr>
                <w:color w:val="auto"/>
                <w:lang w:val="en-GB" w:eastAsia="cs-CZ"/>
              </w:rPr>
            </w:pPr>
          </w:p>
        </w:tc>
        <w:tc>
          <w:tcPr>
            <w:tcW w:w="1967" w:type="dxa"/>
            <w:vMerge/>
            <w:tcBorders>
              <w:top w:val="single" w:sz="4" w:space="0" w:color="auto"/>
              <w:left w:val="single" w:sz="4" w:space="0" w:color="auto"/>
              <w:bottom w:val="single" w:sz="4" w:space="0" w:color="auto"/>
              <w:right w:val="single" w:sz="4" w:space="0" w:color="auto"/>
            </w:tcBorders>
          </w:tcPr>
          <w:p w14:paraId="113F2EF5" w14:textId="77777777" w:rsidR="00196808" w:rsidRPr="001D0ADC" w:rsidRDefault="00196808" w:rsidP="00196808">
            <w:pPr>
              <w:pStyle w:val="NoSpacing"/>
              <w:ind w:firstLine="0"/>
              <w:rPr>
                <w:color w:val="auto"/>
                <w:lang w:val="en-GB" w:eastAsia="cs-CZ"/>
              </w:rPr>
            </w:pPr>
          </w:p>
        </w:tc>
        <w:tc>
          <w:tcPr>
            <w:tcW w:w="2300" w:type="dxa"/>
            <w:vMerge/>
            <w:tcBorders>
              <w:top w:val="single" w:sz="4" w:space="0" w:color="auto"/>
              <w:left w:val="single" w:sz="4" w:space="0" w:color="auto"/>
              <w:bottom w:val="single" w:sz="4" w:space="0" w:color="auto"/>
              <w:right w:val="single" w:sz="4" w:space="0" w:color="auto"/>
            </w:tcBorders>
            <w:shd w:val="clear" w:color="auto" w:fill="auto"/>
            <w:vAlign w:val="bottom"/>
          </w:tcPr>
          <w:p w14:paraId="3FF920EE" w14:textId="77777777" w:rsidR="00196808" w:rsidRPr="001D0ADC" w:rsidRDefault="00196808" w:rsidP="00196808">
            <w:pPr>
              <w:pStyle w:val="NoSpacing"/>
              <w:ind w:firstLine="0"/>
              <w:rPr>
                <w:color w:val="auto"/>
                <w:lang w:val="en-GB" w:eastAsia="cs-CZ"/>
              </w:rPr>
            </w:pPr>
          </w:p>
        </w:tc>
      </w:tr>
      <w:tr w:rsidR="001D0ADC" w:rsidRPr="001D0ADC" w14:paraId="0EE4F652" w14:textId="77777777" w:rsidTr="00AB5B75">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1F105C9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1BC0396" w14:textId="287CE69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34E27453" w14:textId="1F87AA18" w:rsidR="00196808" w:rsidRPr="001D0ADC" w:rsidRDefault="00196808" w:rsidP="00196808">
            <w:pPr>
              <w:pStyle w:val="NoSpacing"/>
              <w:ind w:firstLine="0"/>
              <w:rPr>
                <w:color w:val="auto"/>
                <w:lang w:val="en-GB" w:eastAsia="cs-CZ"/>
              </w:rPr>
            </w:pPr>
            <w:r w:rsidRPr="001D0ADC">
              <w:rPr>
                <w:color w:val="auto"/>
                <w:lang w:val="en-GB" w:eastAsia="cs-CZ"/>
              </w:rPr>
              <w:t>LOEC for PCC, HPX, SOD, GPX, and CAT activity</w:t>
            </w:r>
          </w:p>
        </w:tc>
        <w:tc>
          <w:tcPr>
            <w:tcW w:w="2633" w:type="dxa"/>
            <w:vMerge/>
            <w:tcBorders>
              <w:top w:val="single" w:sz="4" w:space="0" w:color="auto"/>
              <w:left w:val="nil"/>
              <w:bottom w:val="single" w:sz="4" w:space="0" w:color="auto"/>
              <w:right w:val="single" w:sz="4" w:space="0" w:color="auto"/>
            </w:tcBorders>
          </w:tcPr>
          <w:p w14:paraId="6E955E07" w14:textId="77777777" w:rsidR="00196808" w:rsidRPr="001D0ADC" w:rsidRDefault="00196808" w:rsidP="00196808">
            <w:pPr>
              <w:pStyle w:val="NoSpacing"/>
              <w:ind w:firstLine="0"/>
              <w:rPr>
                <w:color w:val="auto"/>
                <w:lang w:val="en-GB" w:eastAsia="cs-CZ"/>
              </w:rPr>
            </w:pPr>
          </w:p>
        </w:tc>
        <w:tc>
          <w:tcPr>
            <w:tcW w:w="1967" w:type="dxa"/>
            <w:vMerge/>
            <w:tcBorders>
              <w:top w:val="single" w:sz="4" w:space="0" w:color="auto"/>
              <w:left w:val="single" w:sz="4" w:space="0" w:color="auto"/>
              <w:bottom w:val="single" w:sz="4" w:space="0" w:color="auto"/>
              <w:right w:val="single" w:sz="4" w:space="0" w:color="auto"/>
            </w:tcBorders>
          </w:tcPr>
          <w:p w14:paraId="7345367D" w14:textId="77777777" w:rsidR="00196808" w:rsidRPr="001D0ADC" w:rsidRDefault="00196808" w:rsidP="00196808">
            <w:pPr>
              <w:pStyle w:val="NoSpacing"/>
              <w:ind w:firstLine="0"/>
              <w:rPr>
                <w:color w:val="auto"/>
                <w:lang w:val="en-GB" w:eastAsia="cs-CZ"/>
              </w:rPr>
            </w:pPr>
          </w:p>
        </w:tc>
        <w:tc>
          <w:tcPr>
            <w:tcW w:w="2300" w:type="dxa"/>
            <w:vMerge/>
            <w:tcBorders>
              <w:top w:val="single" w:sz="4" w:space="0" w:color="auto"/>
              <w:left w:val="single" w:sz="4" w:space="0" w:color="auto"/>
              <w:bottom w:val="single" w:sz="4" w:space="0" w:color="auto"/>
              <w:right w:val="single" w:sz="4" w:space="0" w:color="auto"/>
            </w:tcBorders>
            <w:shd w:val="clear" w:color="auto" w:fill="auto"/>
            <w:vAlign w:val="bottom"/>
          </w:tcPr>
          <w:p w14:paraId="414854AB" w14:textId="77777777" w:rsidR="00196808" w:rsidRPr="001D0ADC" w:rsidRDefault="00196808" w:rsidP="00196808">
            <w:pPr>
              <w:pStyle w:val="NoSpacing"/>
              <w:ind w:firstLine="0"/>
              <w:rPr>
                <w:color w:val="auto"/>
                <w:lang w:val="en-GB" w:eastAsia="cs-CZ"/>
              </w:rPr>
            </w:pPr>
          </w:p>
        </w:tc>
      </w:tr>
      <w:tr w:rsidR="001D0ADC" w:rsidRPr="001D0ADC" w14:paraId="521A475E" w14:textId="77777777" w:rsidTr="00AB5B75">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234FF90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E10C5D3" w14:textId="4FB2E3A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4821268" w14:textId="16A53E30" w:rsidR="00196808" w:rsidRPr="001D0ADC" w:rsidRDefault="00196808" w:rsidP="00196808">
            <w:pPr>
              <w:pStyle w:val="NoSpacing"/>
              <w:ind w:firstLine="0"/>
              <w:rPr>
                <w:color w:val="auto"/>
                <w:lang w:val="en-GB" w:eastAsia="cs-CZ"/>
              </w:rPr>
            </w:pPr>
            <w:r w:rsidRPr="001D0ADC">
              <w:rPr>
                <w:color w:val="auto"/>
                <w:lang w:val="en-GB" w:eastAsia="cs-CZ"/>
              </w:rPr>
              <w:t>LOEC for LPO</w:t>
            </w:r>
          </w:p>
        </w:tc>
        <w:tc>
          <w:tcPr>
            <w:tcW w:w="2633" w:type="dxa"/>
            <w:vMerge/>
            <w:tcBorders>
              <w:top w:val="single" w:sz="4" w:space="0" w:color="auto"/>
              <w:left w:val="nil"/>
              <w:bottom w:val="single" w:sz="4" w:space="0" w:color="auto"/>
              <w:right w:val="single" w:sz="4" w:space="0" w:color="auto"/>
            </w:tcBorders>
          </w:tcPr>
          <w:p w14:paraId="3D09090E" w14:textId="77777777" w:rsidR="00196808" w:rsidRPr="001D0ADC" w:rsidRDefault="00196808" w:rsidP="00196808">
            <w:pPr>
              <w:pStyle w:val="NoSpacing"/>
              <w:ind w:firstLine="0"/>
              <w:rPr>
                <w:color w:val="auto"/>
                <w:lang w:val="en-GB" w:eastAsia="cs-CZ"/>
              </w:rPr>
            </w:pPr>
          </w:p>
        </w:tc>
        <w:tc>
          <w:tcPr>
            <w:tcW w:w="1967" w:type="dxa"/>
            <w:vMerge/>
            <w:tcBorders>
              <w:top w:val="single" w:sz="4" w:space="0" w:color="auto"/>
              <w:left w:val="single" w:sz="4" w:space="0" w:color="auto"/>
              <w:bottom w:val="single" w:sz="4" w:space="0" w:color="auto"/>
              <w:right w:val="single" w:sz="4" w:space="0" w:color="auto"/>
            </w:tcBorders>
          </w:tcPr>
          <w:p w14:paraId="1EAD3FDF" w14:textId="77777777" w:rsidR="00196808" w:rsidRPr="001D0ADC" w:rsidRDefault="00196808" w:rsidP="00196808">
            <w:pPr>
              <w:pStyle w:val="NoSpacing"/>
              <w:ind w:firstLine="0"/>
              <w:rPr>
                <w:color w:val="auto"/>
                <w:lang w:val="en-GB" w:eastAsia="cs-CZ"/>
              </w:rPr>
            </w:pPr>
          </w:p>
        </w:tc>
        <w:tc>
          <w:tcPr>
            <w:tcW w:w="2300" w:type="dxa"/>
            <w:vMerge/>
            <w:tcBorders>
              <w:top w:val="single" w:sz="4" w:space="0" w:color="auto"/>
              <w:left w:val="single" w:sz="4" w:space="0" w:color="auto"/>
              <w:bottom w:val="single" w:sz="4" w:space="0" w:color="auto"/>
              <w:right w:val="single" w:sz="4" w:space="0" w:color="auto"/>
            </w:tcBorders>
            <w:shd w:val="clear" w:color="auto" w:fill="auto"/>
            <w:vAlign w:val="bottom"/>
          </w:tcPr>
          <w:p w14:paraId="7778030F" w14:textId="77777777" w:rsidR="00196808" w:rsidRPr="001D0ADC" w:rsidRDefault="00196808" w:rsidP="00196808">
            <w:pPr>
              <w:pStyle w:val="NoSpacing"/>
              <w:ind w:firstLine="0"/>
              <w:rPr>
                <w:color w:val="auto"/>
                <w:lang w:val="en-GB" w:eastAsia="cs-CZ"/>
              </w:rPr>
            </w:pPr>
          </w:p>
        </w:tc>
      </w:tr>
      <w:tr w:rsidR="001D0ADC" w:rsidRPr="001D0ADC" w14:paraId="06B3408A" w14:textId="77777777" w:rsidTr="00AB5B75">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21AB5AF8" w14:textId="77777777" w:rsidR="00183BF3" w:rsidRPr="001D0ADC" w:rsidRDefault="00183BF3"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5CD9E68" w14:textId="01A4F6F8" w:rsidR="00183BF3" w:rsidRPr="001D0ADC" w:rsidRDefault="00CF2036" w:rsidP="00196808">
            <w:pPr>
              <w:pStyle w:val="NoSpacing"/>
              <w:ind w:firstLine="0"/>
              <w:rPr>
                <w:color w:val="auto"/>
                <w:lang w:val="en-GB" w:eastAsia="cs-CZ"/>
              </w:rPr>
            </w:pPr>
            <w:r w:rsidRPr="001D0ADC">
              <w:rPr>
                <w:color w:val="auto"/>
                <w:lang w:val="en-GB" w:eastAsia="cs-CZ"/>
              </w:rPr>
              <w:t>0.</w:t>
            </w:r>
            <w:r w:rsidR="00F47C67" w:rsidRPr="001D0ADC">
              <w:rPr>
                <w:color w:val="auto"/>
                <w:lang w:val="en-GB" w:eastAsia="cs-CZ"/>
              </w:rPr>
              <w:t>066</w:t>
            </w:r>
          </w:p>
        </w:tc>
        <w:tc>
          <w:tcPr>
            <w:tcW w:w="4520" w:type="dxa"/>
            <w:tcBorders>
              <w:top w:val="single" w:sz="4" w:space="0" w:color="auto"/>
              <w:left w:val="nil"/>
              <w:bottom w:val="single" w:sz="4" w:space="0" w:color="auto"/>
              <w:right w:val="single" w:sz="4" w:space="0" w:color="auto"/>
            </w:tcBorders>
            <w:shd w:val="clear" w:color="auto" w:fill="auto"/>
            <w:vAlign w:val="bottom"/>
          </w:tcPr>
          <w:p w14:paraId="7C42CC1A" w14:textId="67FE2860" w:rsidR="00183BF3" w:rsidRPr="001D0ADC" w:rsidRDefault="00F47C67" w:rsidP="00196808">
            <w:pPr>
              <w:pStyle w:val="NoSpacing"/>
              <w:ind w:firstLine="0"/>
              <w:rPr>
                <w:color w:val="auto"/>
                <w:lang w:val="en-GB" w:eastAsia="cs-CZ"/>
              </w:rPr>
            </w:pPr>
            <w:r w:rsidRPr="001D0ADC">
              <w:rPr>
                <w:color w:val="auto"/>
                <w:lang w:val="en-GB" w:eastAsia="cs-CZ"/>
              </w:rPr>
              <w:t>LOEC for ROS production, DNA damage, apoptosis, metabolomic and proteomic changes</w:t>
            </w:r>
          </w:p>
        </w:tc>
        <w:tc>
          <w:tcPr>
            <w:tcW w:w="2633" w:type="dxa"/>
            <w:tcBorders>
              <w:top w:val="single" w:sz="4" w:space="0" w:color="auto"/>
              <w:left w:val="nil"/>
              <w:bottom w:val="single" w:sz="4" w:space="0" w:color="auto"/>
              <w:right w:val="single" w:sz="4" w:space="0" w:color="auto"/>
            </w:tcBorders>
          </w:tcPr>
          <w:p w14:paraId="299CF6DC" w14:textId="441B3257" w:rsidR="00183BF3" w:rsidRPr="001D0ADC" w:rsidRDefault="00F47C67" w:rsidP="00196808">
            <w:pPr>
              <w:pStyle w:val="NoSpacing"/>
              <w:ind w:firstLine="0"/>
              <w:rPr>
                <w:color w:val="auto"/>
                <w:lang w:val="en-GB" w:eastAsia="cs-CZ"/>
              </w:rPr>
            </w:pPr>
            <w:r w:rsidRPr="001D0ADC">
              <w:rPr>
                <w:color w:val="auto"/>
                <w:lang w:val="en-GB" w:eastAsia="cs-CZ"/>
              </w:rPr>
              <w:t>ELS (ZF)</w:t>
            </w:r>
          </w:p>
        </w:tc>
        <w:tc>
          <w:tcPr>
            <w:tcW w:w="1967" w:type="dxa"/>
            <w:tcBorders>
              <w:top w:val="single" w:sz="4" w:space="0" w:color="auto"/>
              <w:left w:val="single" w:sz="4" w:space="0" w:color="auto"/>
              <w:bottom w:val="single" w:sz="4" w:space="0" w:color="auto"/>
              <w:right w:val="single" w:sz="4" w:space="0" w:color="auto"/>
            </w:tcBorders>
          </w:tcPr>
          <w:p w14:paraId="05B721AE" w14:textId="1B82B080" w:rsidR="00183BF3" w:rsidRPr="001D0ADC" w:rsidRDefault="00F47C67"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D93B5D3" w14:textId="1F797BB6" w:rsidR="00183BF3" w:rsidRPr="001D0ADC" w:rsidRDefault="00183BF3" w:rsidP="00196808">
            <w:pPr>
              <w:pStyle w:val="NoSpacing"/>
              <w:ind w:firstLine="0"/>
              <w:rPr>
                <w:color w:val="auto"/>
                <w:lang w:val="en-GB" w:eastAsia="cs-CZ"/>
              </w:rPr>
            </w:pPr>
            <w:r w:rsidRPr="001D0ADC">
              <w:rPr>
                <w:color w:val="auto"/>
                <w:lang w:val="en-GB" w:eastAsia="cs-CZ"/>
              </w:rPr>
              <w:fldChar w:fldCharType="begin"/>
            </w:r>
            <w:r w:rsidR="004E4B09" w:rsidRPr="001D0ADC">
              <w:rPr>
                <w:color w:val="auto"/>
                <w:lang w:val="en-GB" w:eastAsia="cs-CZ"/>
              </w:rPr>
              <w:instrText xml:space="preserve"> ADDIN ZOTERO_ITEM CSL_CITATION {"citationID":"a1bqb08o7cc","properties":{"formattedCitation":"(Jia et al. 2023)","plainCitation":"(Jia et al. 2023)","noteIndex":0},"citationItems":[{"id":1988,"uris":["http://zotero.org/users/11614927/items/ENGUBVH4"],"itemData":{"id":1988,"type":"article-journal","abstract":"Fluoroquinolones (FQs) are known to have genotoxicity to aquatic organisms. However, their genotoxicity mechanisms, individually and in combination with heavy metals, are poorly understood. Here, we investigated the single and joint genotoxicity of FQs, ciprofloxacin (CIP) and enrofloxacin (ENR), and metals (Cd and Cu) at environmentally relevant concentrations (0.2 µM) to zebrafish embryos. We found that FQs or/and metals induced genotoxicity (i.e., DNA damage and cell apoptosis) to zebrafish embryos. Compared with their single exposure, the combined exposure of FQs and metals elicited less ROS overproduction but higher genotoxicity, suggesting other toxicity mechanisms may also act in addition to oxidation stress. The upregulation of nucleic acid metabolites and the dysregulation of proteins confirmed the occurrence of DNA damage and apoptosis, and further revealed the inhibition of DNA repair by Cd and binding of DNA or DNA topoisomerase by FQs. This study deepens the knowledge on the responses of zebrafish embryos to exposure of multiple pollutants, and highlights the genotoxicity of FQs and heavy metals to aquatic organisms.","container-title":"Aquatic Toxicology","DOI":"10.1016/j.aquatox.2023.106495","ISSN":"0166-445X","journalAbbreviation":"Aquatic Toxicology","page":"106495","source":"ScienceDirect","title":"Single and combined genotoxicity of metals and fluoroquinolones to zebrafish embryos at environmentally relevant concentrations","volume":"258","author":[{"family":"Jia","given":"Dantong"},{"family":"You","given":"Xiuqi"},{"family":"Tang","given":"Moran"},{"family":"Lyu","given":"Yitao"},{"family":"Hu","given":"Jingrun"},{"family":"Sun","given":"Weiling"}],"issued":{"date-parts":[["2023",5,1]]}}}],"schema":"https://github.com/citation-style-language/schema/raw/master/csl-citation.json"} </w:instrText>
            </w:r>
            <w:r w:rsidRPr="001D0ADC">
              <w:rPr>
                <w:color w:val="auto"/>
                <w:lang w:val="en-GB" w:eastAsia="cs-CZ"/>
              </w:rPr>
              <w:fldChar w:fldCharType="separate"/>
            </w:r>
            <w:r w:rsidR="004E4B09" w:rsidRPr="001D0ADC">
              <w:rPr>
                <w:rFonts w:cs="Times New Roman"/>
                <w:color w:val="auto"/>
                <w:szCs w:val="24"/>
              </w:rPr>
              <w:t>(Jia et al. 2023)</w:t>
            </w:r>
            <w:r w:rsidRPr="001D0ADC">
              <w:rPr>
                <w:color w:val="auto"/>
                <w:lang w:val="en-GB" w:eastAsia="cs-CZ"/>
              </w:rPr>
              <w:fldChar w:fldCharType="end"/>
            </w:r>
          </w:p>
        </w:tc>
      </w:tr>
      <w:tr w:rsidR="001D0ADC" w:rsidRPr="001D0ADC" w14:paraId="341F944C" w14:textId="77777777" w:rsidTr="00CF4707">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5FF06178"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23D8180E" w14:textId="517AFF01"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(other than ZF)</w:t>
            </w:r>
            <w:r w:rsidR="000F6A8E" w:rsidRPr="001D0ADC">
              <w:rPr>
                <w:b/>
                <w:bCs/>
                <w:color w:val="auto"/>
                <w:lang w:val="en-GB" w:eastAsia="cs-CZ"/>
              </w:rPr>
              <w:t xml:space="preserve"> (mg/l)</w:t>
            </w:r>
          </w:p>
        </w:tc>
      </w:tr>
      <w:tr w:rsidR="001D0ADC" w:rsidRPr="001D0ADC" w14:paraId="454A5712" w14:textId="77777777" w:rsidTr="00CF4707">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3A88FED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34A4CEFA" w14:textId="77777777" w:rsidR="00196808" w:rsidRPr="001D0ADC" w:rsidRDefault="00196808" w:rsidP="00196808">
            <w:pPr>
              <w:pStyle w:val="NoSpacing"/>
              <w:ind w:firstLine="0"/>
              <w:rPr>
                <w:color w:val="auto"/>
                <w:lang w:val="en-GB" w:eastAsia="cs-CZ"/>
              </w:rPr>
            </w:pPr>
            <w:r w:rsidRPr="001D0ADC">
              <w:rPr>
                <w:color w:val="auto"/>
                <w:lang w:val="en-GB" w:eastAsia="cs-CZ"/>
              </w:rPr>
              <w:t>3</w:t>
            </w:r>
          </w:p>
        </w:tc>
        <w:tc>
          <w:tcPr>
            <w:tcW w:w="4520" w:type="dxa"/>
            <w:tcBorders>
              <w:top w:val="single" w:sz="4" w:space="0" w:color="auto"/>
              <w:left w:val="nil"/>
              <w:bottom w:val="single" w:sz="4" w:space="0" w:color="auto"/>
              <w:right w:val="single" w:sz="4" w:space="0" w:color="auto"/>
            </w:tcBorders>
            <w:shd w:val="clear" w:color="auto" w:fill="auto"/>
            <w:vAlign w:val="bottom"/>
          </w:tcPr>
          <w:p w14:paraId="31A51CFF"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LOEC for length and weight</w:t>
            </w:r>
          </w:p>
        </w:tc>
        <w:tc>
          <w:tcPr>
            <w:tcW w:w="2633" w:type="dxa"/>
            <w:vMerge w:val="restart"/>
            <w:tcBorders>
              <w:top w:val="single" w:sz="4" w:space="0" w:color="auto"/>
              <w:left w:val="nil"/>
              <w:right w:val="single" w:sz="4" w:space="0" w:color="auto"/>
            </w:tcBorders>
          </w:tcPr>
          <w:p w14:paraId="265623C0" w14:textId="77777777" w:rsidR="00196808" w:rsidRPr="001D0ADC" w:rsidRDefault="00196808" w:rsidP="00196808">
            <w:pPr>
              <w:pStyle w:val="NoSpacing"/>
              <w:ind w:firstLine="0"/>
              <w:rPr>
                <w:color w:val="auto"/>
                <w:lang w:val="en-GB" w:eastAsia="cs-CZ"/>
              </w:rPr>
            </w:pPr>
            <w:r w:rsidRPr="001D0ADC">
              <w:rPr>
                <w:color w:val="auto"/>
                <w:lang w:val="en-GB" w:eastAsia="cs-CZ"/>
              </w:rPr>
              <w:t>ELS (OECD210) (CC)</w:t>
            </w:r>
          </w:p>
        </w:tc>
        <w:tc>
          <w:tcPr>
            <w:tcW w:w="1967" w:type="dxa"/>
            <w:vMerge w:val="restart"/>
            <w:tcBorders>
              <w:top w:val="single" w:sz="4" w:space="0" w:color="auto"/>
              <w:left w:val="single" w:sz="4" w:space="0" w:color="auto"/>
              <w:right w:val="single" w:sz="4" w:space="0" w:color="auto"/>
            </w:tcBorders>
          </w:tcPr>
          <w:p w14:paraId="51A650AB" w14:textId="77777777" w:rsidR="00196808" w:rsidRPr="001D0ADC" w:rsidRDefault="00196808" w:rsidP="00196808">
            <w:pPr>
              <w:pStyle w:val="NoSpacing"/>
              <w:ind w:firstLine="0"/>
              <w:rPr>
                <w:color w:val="auto"/>
                <w:lang w:val="en-GB" w:eastAsia="cs-CZ"/>
              </w:rPr>
            </w:pPr>
            <w:r w:rsidRPr="001D0ADC">
              <w:rPr>
                <w:color w:val="auto"/>
                <w:lang w:val="en-GB" w:eastAsia="cs-CZ"/>
              </w:rPr>
              <w:t>6d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4719ABE"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{"citationID":"pMfJstg1","properties":{"formattedCitation":"(Zivna et al. 2016)","plainCitation":"(Zivna et al. 2016)","noteIndex":0},"citationItems":[{"id":1235,"uris":["http://zotero.org/users/11614927/items/UQSRFZJL"],"itemData":{"id":1235,"type":"article-journal","abstract":"Abstract\n            \n              \n              \n                The authors performed a toxicity test with ciprofloxacin in fertilized eggs of common carp according to guideline 210 of the Organisation for Economic Co‐operation and Development. The tested concentrations were 1 μg L\n                −1\n                , 100 μg L\n                −1\n                , 500 μg L\n                −1\n                , 1000 μg L\n                −1\n                , and 3000 μg L\n                −1\n                . Accelerated hatching was found in all groups exposed to ciprofloxacin, but significant growth reduction was found only in the group exposed to the highest concentration (3000 μg L\n                −1\n                ). Increased numbers of macroscopic morphological anomalies were observed on day 6 of the test (after hatching). The highest numbers of macroscopic morphological anomalies were observed in the groups of free embryos and larvae exposed to ciprofloxacin concentrations of 100 μg L\n                −1\n                , 500 μg L\n                −1\n                , 1000 μg L\n                −1\n                , and 3000 μg L\n                −1\n                (20−23% of tested samples). A gradual decrease in glutathione S‐transferase activity was detected in all experimental groups exposed to ciprofloxacin, but significant differences (\n                p\n                 &lt; 0.01) were found only in groups treated with 500 μg L\n                −1\n                and 3000 μg L\n                −1\n                . Glutathione peroxidase and catalase exhibited increased activity in most of the tested concentrations (\n                p\n                 &lt; 0.01 and &lt;0.05, respectively), whereas decreased glutathione reductase activity was found in the groups exposed to ciprofloxacin concentrations of 500 μg L\n                −1\n                and 3000 μg L\n                −1\n                (\n                p\n                 &lt; 0.05). The concentration of thiobarbituric acid–reactive substances was significantly lower (\n                p\n                 &lt; 0.01) in all experimental groups exposed to ciprofloxacin. The lowest‐observed‐effect concentration of ciprofloxacin was 1 μg L\n                −1\n                . These results suggest that hatching, early ontogeny, occurrence of morphological anomalies, antioxidant and biotransformation enzyme activity, and lipid peroxidation in fish can be affected by ciprofloxacin.\n                Environ Toxicol Chem\n                2016;35:1733–1740. © 2015 SETAC","container-title":"Environmental Toxicology and Chemistry","DOI":"10.1002/etc.3317","ISSN":"0730-7268, 1552-8618","issue":"7","journalAbbreviation":"Enviro Toxic and Chemistry","language":"en","page":"1733-1740","source":"DOI.org (Crossref)","title":"The effects of ciprofloxacin on early life stages of common carp ( &lt;i&gt;Cyprinus carpio&lt;/i&gt; )","volume":"35","author":[{"family":"Zivna","given":"Dana"},{"family":"Plhalova","given":"Lucie"},{"family":"Chromcova","given":"Lucie"},{"family":"Blahova","given":"Jana"},{"family":"Prokes","given":"Miroslav"},{"family":"Skoric","given":"Misa"},{"family":"Marsalek","given":"Petr"},{"family":"Praskova","given":"Eva"},{"family":"Stepanova","given":"Stanislava"},{"family":"Svobodova","given":"Zdenka"}],"issued":{"date-parts":[["2016",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(Zivna et al. 2016)</w:t>
            </w:r>
            <w:r w:rsidRPr="001D0ADC">
              <w:rPr>
                <w:color w:val="auto"/>
                <w:lang w:val="en-GB" w:eastAsia="cs-CZ"/>
              </w:rPr>
              <w:fldChar w:fldCharType="end"/>
            </w:r>
          </w:p>
        </w:tc>
      </w:tr>
      <w:tr w:rsidR="001D0ADC" w:rsidRPr="001D0ADC" w14:paraId="011EFB5D" w14:textId="77777777" w:rsidTr="00CF4707">
        <w:trPr>
          <w:gridAfter w:val="4"/>
          <w:wAfter w:w="9200" w:type="dxa"/>
          <w:trHeight w:val="300"/>
        </w:trPr>
        <w:tc>
          <w:tcPr>
            <w:tcW w:w="760" w:type="dxa"/>
            <w:tcBorders>
              <w:left w:val="single" w:sz="4" w:space="0" w:color="auto"/>
              <w:right w:val="single" w:sz="4" w:space="0" w:color="auto"/>
            </w:tcBorders>
            <w:shd w:val="clear" w:color="auto" w:fill="auto"/>
            <w:noWrap/>
            <w:vAlign w:val="bottom"/>
          </w:tcPr>
          <w:p w14:paraId="4FFB24A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70BB0A90" w14:textId="0205D82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29130F8" w14:textId="77777777" w:rsidR="00196808" w:rsidRPr="001D0ADC" w:rsidRDefault="00196808" w:rsidP="00196808">
            <w:pPr>
              <w:pStyle w:val="NoSpacing"/>
              <w:ind w:firstLine="0"/>
              <w:rPr>
                <w:color w:val="auto"/>
                <w:lang w:val="en-GB" w:eastAsia="cs-CZ"/>
              </w:rPr>
            </w:pPr>
            <w:r w:rsidRPr="001D0ADC">
              <w:rPr>
                <w:color w:val="auto"/>
                <w:lang w:val="en-GB" w:eastAsia="cs-CZ"/>
              </w:rPr>
              <w:t>LOEC for increased hatching rate (up to 3mg/l)</w:t>
            </w:r>
          </w:p>
        </w:tc>
        <w:tc>
          <w:tcPr>
            <w:tcW w:w="2633" w:type="dxa"/>
            <w:vMerge/>
            <w:tcBorders>
              <w:left w:val="nil"/>
              <w:bottom w:val="single" w:sz="4" w:space="0" w:color="auto"/>
              <w:right w:val="single" w:sz="4" w:space="0" w:color="auto"/>
            </w:tcBorders>
          </w:tcPr>
          <w:p w14:paraId="2710814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F3C127A"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E9DA710" w14:textId="77777777" w:rsidR="00196808" w:rsidRPr="001D0ADC" w:rsidRDefault="00196808" w:rsidP="00196808">
            <w:pPr>
              <w:pStyle w:val="NoSpacing"/>
              <w:ind w:firstLine="0"/>
              <w:rPr>
                <w:color w:val="auto"/>
                <w:lang w:val="en-GB" w:eastAsia="cs-CZ"/>
              </w:rPr>
            </w:pPr>
          </w:p>
        </w:tc>
      </w:tr>
      <w:tr w:rsidR="001D0ADC" w:rsidRPr="001D0ADC" w14:paraId="71CFF09C"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7598610C" w14:textId="77777777" w:rsidR="00196808" w:rsidRPr="001D0ADC" w:rsidRDefault="00196808" w:rsidP="00196808">
            <w:pPr>
              <w:pStyle w:val="NoSpacing"/>
              <w:ind w:firstLine="0"/>
              <w:rPr>
                <w:color w:val="auto"/>
                <w:lang w:val="en-GB" w:eastAsia="cs-CZ"/>
              </w:rPr>
            </w:pPr>
          </w:p>
        </w:tc>
      </w:tr>
      <w:tr w:rsidR="001D0ADC" w:rsidRPr="001D0ADC" w14:paraId="0D9AD807"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70C696FA" w14:textId="6935763F" w:rsidR="00196808" w:rsidRPr="001D0ADC" w:rsidRDefault="00196808" w:rsidP="00196808">
            <w:pPr>
              <w:pStyle w:val="NoSpacing"/>
              <w:ind w:firstLine="0"/>
              <w:jc w:val="center"/>
              <w:rPr>
                <w:color w:val="auto"/>
                <w:lang w:val="en-GB" w:eastAsia="cs-CZ"/>
              </w:rPr>
            </w:pPr>
            <w:r w:rsidRPr="001D0ADC">
              <w:rPr>
                <w:color w:val="auto"/>
                <w:lang w:val="en-GB" w:eastAsia="cs-CZ"/>
              </w:rPr>
              <w:t>CLA</w:t>
            </w:r>
          </w:p>
        </w:tc>
      </w:tr>
      <w:tr w:rsidR="001D0ADC" w:rsidRPr="001D0ADC" w14:paraId="4AB14B8B" w14:textId="77777777" w:rsidTr="00CF4707">
        <w:trPr>
          <w:gridAfter w:val="4"/>
          <w:wAfter w:w="9200" w:type="dxa"/>
          <w:trHeight w:val="300"/>
        </w:trPr>
        <w:tc>
          <w:tcPr>
            <w:tcW w:w="760" w:type="dxa"/>
            <w:vMerge w:val="restart"/>
            <w:tcBorders>
              <w:top w:val="single" w:sz="4" w:space="0" w:color="auto"/>
              <w:left w:val="single" w:sz="4" w:space="0" w:color="auto"/>
              <w:right w:val="single" w:sz="4" w:space="0" w:color="auto"/>
            </w:tcBorders>
            <w:shd w:val="clear" w:color="auto" w:fill="auto"/>
            <w:noWrap/>
            <w:vAlign w:val="bottom"/>
          </w:tcPr>
          <w:p w14:paraId="514E7633" w14:textId="77777777" w:rsidR="00196808" w:rsidRPr="001D0ADC" w:rsidRDefault="00196808" w:rsidP="00196808">
            <w:pPr>
              <w:pStyle w:val="NoSpacing"/>
              <w:ind w:firstLine="0"/>
              <w:rPr>
                <w:color w:val="auto"/>
                <w:lang w:val="en-GB" w:eastAsia="cs-CZ"/>
              </w:rPr>
            </w:pPr>
            <w:r w:rsidRPr="001D0ADC">
              <w:rPr>
                <w:color w:val="auto"/>
                <w:lang w:val="en-GB" w:eastAsia="cs-CZ"/>
              </w:rPr>
              <w:t>CLA</w:t>
            </w: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4A196129" w14:textId="683515F2" w:rsidR="00196808" w:rsidRPr="001D0ADC" w:rsidRDefault="00196808" w:rsidP="00196808">
            <w:pPr>
              <w:pStyle w:val="NoSpacing"/>
              <w:ind w:firstLine="0"/>
              <w:rPr>
                <w:b/>
                <w:bCs/>
                <w:color w:val="auto"/>
                <w:lang w:val="en-GB" w:eastAsia="cs-CZ"/>
              </w:rPr>
            </w:pPr>
            <w:r w:rsidRPr="001D0ADC">
              <w:rPr>
                <w:b/>
                <w:bCs/>
                <w:color w:val="auto"/>
                <w:lang w:val="en-GB" w:eastAsia="cs-CZ"/>
              </w:rPr>
              <w:t>Acute Fish Toxicity (adults or juvenile)</w:t>
            </w:r>
            <w:r w:rsidR="000F6A8E" w:rsidRPr="001D0ADC">
              <w:rPr>
                <w:b/>
                <w:bCs/>
                <w:color w:val="auto"/>
                <w:lang w:val="en-GB" w:eastAsia="cs-CZ"/>
              </w:rPr>
              <w:t xml:space="preserve"> (mg/l)</w:t>
            </w:r>
          </w:p>
        </w:tc>
      </w:tr>
      <w:tr w:rsidR="001D0ADC" w:rsidRPr="001D0ADC" w14:paraId="0720EECF"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EABF1A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5638669" w14:textId="77777777" w:rsidR="00196808" w:rsidRPr="001D0ADC" w:rsidRDefault="00196808" w:rsidP="00196808">
            <w:pPr>
              <w:pStyle w:val="NoSpacing"/>
              <w:ind w:firstLine="0"/>
              <w:rPr>
                <w:color w:val="auto"/>
                <w:lang w:val="en-GB" w:eastAsia="cs-CZ"/>
              </w:rPr>
            </w:pPr>
            <w:r w:rsidRPr="001D0ADC">
              <w:rPr>
                <w:color w:val="auto"/>
                <w:lang w:val="en-GB" w:eastAsia="cs-CZ"/>
              </w:rPr>
              <w:t>500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0628610F" w14:textId="77777777" w:rsidR="00196808" w:rsidRPr="001D0ADC" w:rsidRDefault="00196808" w:rsidP="00196808">
            <w:pPr>
              <w:pStyle w:val="NoSpacing"/>
              <w:ind w:firstLine="0"/>
              <w:rPr>
                <w:color w:val="auto"/>
                <w:lang w:val="en-GB" w:eastAsia="cs-CZ"/>
              </w:rPr>
            </w:pPr>
            <w:r w:rsidRPr="001D0ADC">
              <w:rPr>
                <w:color w:val="auto"/>
                <w:lang w:val="en-GB" w:eastAsia="cs-CZ"/>
              </w:rPr>
              <w:t>NOEC</w:t>
            </w:r>
          </w:p>
        </w:tc>
        <w:tc>
          <w:tcPr>
            <w:tcW w:w="2633" w:type="dxa"/>
            <w:tcBorders>
              <w:top w:val="single" w:sz="4" w:space="0" w:color="auto"/>
              <w:left w:val="nil"/>
              <w:bottom w:val="single" w:sz="4" w:space="0" w:color="auto"/>
              <w:right w:val="single" w:sz="4" w:space="0" w:color="auto"/>
            </w:tcBorders>
          </w:tcPr>
          <w:p w14:paraId="56203A1D" w14:textId="77777777" w:rsidR="00196808" w:rsidRPr="001D0ADC" w:rsidRDefault="00196808" w:rsidP="00196808">
            <w:pPr>
              <w:pStyle w:val="NoSpacing"/>
              <w:ind w:firstLine="0"/>
              <w:rPr>
                <w:color w:val="auto"/>
                <w:lang w:val="en-GB" w:eastAsia="cs-CZ"/>
              </w:rPr>
            </w:pPr>
            <w:r w:rsidRPr="001D0ADC">
              <w:rPr>
                <w:color w:val="auto"/>
                <w:lang w:val="en-GB" w:eastAsia="cs-CZ"/>
              </w:rPr>
              <w:t>AFT (GH)</w:t>
            </w:r>
          </w:p>
        </w:tc>
        <w:tc>
          <w:tcPr>
            <w:tcW w:w="1967" w:type="dxa"/>
            <w:tcBorders>
              <w:top w:val="single" w:sz="4" w:space="0" w:color="auto"/>
              <w:left w:val="single" w:sz="4" w:space="0" w:color="auto"/>
              <w:bottom w:val="single" w:sz="4" w:space="0" w:color="auto"/>
              <w:right w:val="single" w:sz="4" w:space="0" w:color="auto"/>
            </w:tcBorders>
          </w:tcPr>
          <w:p w14:paraId="2D62572F"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30B76816" w14:textId="76B9DD7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{"citationID":"A04S65gY","properties":{"formattedCitation":"(B. Nunes, Carvalho, and Guilhermino 2004)","plainCitation":"(B. Nunes, Carvalho, and Guilhermino 2004)","noteIndex":0},"citationItems":[{"id":1247,"uris":["http://zotero.org/users/11614927/items/43882JFZ"],"itemData":{"id":1247,"type":"article-journal","abstract":"The objective of this study was to investigate both acute and chronic eﬀects of cloﬁbrate and cloﬁbric acid on the enzymes acetylcholinesterase (AChE), lactate dehydrogenase (LDH) and catalase (CAT) of the mosquitoﬁsh (Gambusia holbrooki). AChE, commonly used as a biomarker of neurotoxicity, was determined in the total head. LDH, an important enzyme of anaerobic metabolism, was quantiﬁed in dorsal muscle, and CAT, enzyme which has been used as indicative parameter of peroxisome proliferation, was determined in the liver. Furthermore, alterations of body and liver weight were also determined, through the calculation of the ratios ﬁnal body weight/initial body weight, liver weight/ﬁnal body weight, liver weight/gills weight and liver weight/head weight. Acute exposure of G. holbrooki to both cloﬁbrate and cloﬁbric acid induced a decrease in liver CAT activity, an increase in muscle LDH activity, while no eﬀects were observed on AChE activity. However, chronic exposure did not alter signiﬁcantly the enzymatic activities, suggesting reduced or null eﬀects over these pathways, relative to eﬀects reported in other species. No eﬀects were observed for the calculated ratios, except a signiﬁcant weight reduction for males chronically exposed to cloﬁbrate.","container-title":"Chemosphere","DOI":"10.1016/j.chemosphere.2004.09.018","ISSN":"00456535","issue":"11","journalAbbreviation":"Chemosphere","language":"en","page":"1581-1589","source":"DOI.org (Crossref)","title":"Acute and chronic effects of clofibrate and clofibric acid on the enzymes acetylcholinesterase, lactate dehydrogenase and catalase of the mosquitofish, Gambusia holbrooki","volume":"57","author":[{"family":"Nunes","given":"B."},{"family":"Carvalho","given":"F."},{"family":"Guilhermino","given":"L."}],"issued":{"date-parts":[["2004",12]]}}}],"schema":"https://github.com/citation-style-language/schema/raw/master/csl-citation.json"}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(B. Nunes, Carvalho, and Guilhermino 2004)</w:t>
            </w:r>
            <w:r w:rsidRPr="001D0ADC">
              <w:rPr>
                <w:color w:val="auto"/>
                <w:lang w:val="en-GB" w:eastAsia="cs-CZ"/>
              </w:rPr>
              <w:fldChar w:fldCharType="end"/>
            </w:r>
          </w:p>
        </w:tc>
      </w:tr>
      <w:tr w:rsidR="001D0ADC" w:rsidRPr="001D0ADC" w14:paraId="73A0831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576345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2C3EAB0" w14:textId="3F5F8C61" w:rsidR="00196808" w:rsidRPr="001D0ADC" w:rsidRDefault="00196808" w:rsidP="00196808">
            <w:pPr>
              <w:pStyle w:val="NoSpacing"/>
              <w:ind w:firstLine="0"/>
              <w:rPr>
                <w:color w:val="auto"/>
                <w:lang w:val="en-GB" w:eastAsia="cs-CZ"/>
              </w:rPr>
            </w:pPr>
            <w:r w:rsidRPr="001D0ADC">
              <w:rPr>
                <w:color w:val="auto"/>
                <w:lang w:val="en-GB" w:eastAsia="cs-CZ"/>
              </w:rPr>
              <w:t>52</w:t>
            </w:r>
            <w:r w:rsidR="00CF2036" w:rsidRPr="001D0ADC">
              <w:rPr>
                <w:color w:val="auto"/>
                <w:lang w:val="en-GB" w:eastAsia="cs-CZ"/>
              </w:rPr>
              <w:t>6.</w:t>
            </w:r>
            <w:r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10F5B65"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25321C77" w14:textId="77777777" w:rsidR="00196808" w:rsidRPr="001D0ADC" w:rsidRDefault="00196808" w:rsidP="00196808">
            <w:pPr>
              <w:pStyle w:val="NoSpacing"/>
              <w:ind w:firstLine="0"/>
              <w:rPr>
                <w:color w:val="auto"/>
                <w:lang w:val="en-GB" w:eastAsia="cs-CZ"/>
              </w:rPr>
            </w:pPr>
            <w:r w:rsidRPr="001D0ADC">
              <w:rPr>
                <w:color w:val="auto"/>
                <w:lang w:val="en-GB" w:eastAsia="cs-CZ"/>
              </w:rPr>
              <w:t>AFT(OECD203) (GH)</w:t>
            </w:r>
          </w:p>
        </w:tc>
        <w:tc>
          <w:tcPr>
            <w:tcW w:w="1967" w:type="dxa"/>
            <w:tcBorders>
              <w:top w:val="single" w:sz="4" w:space="0" w:color="auto"/>
              <w:left w:val="single" w:sz="4" w:space="0" w:color="auto"/>
              <w:bottom w:val="single" w:sz="4" w:space="0" w:color="auto"/>
              <w:right w:val="single" w:sz="4" w:space="0" w:color="auto"/>
            </w:tcBorders>
          </w:tcPr>
          <w:p w14:paraId="0E7AD4DB"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9447DF3" w14:textId="556898C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{"citationID":"5kLnxcl6","properties":{"formattedCitation":"(B. Nunes, Carvalho, and Guilhermino 2005)","plainCitation":"(B. Nunes, Carvalho, and Guilhermino 2005)","noteIndex":0},"citationItems":[{"id":1258,"uris":["http://zotero.org/users/11614927/items/WXTCQDZV"],"itemData":{"id":1258,"type":"article-journal","abstract":"Pharmaceuticals are continuously dispersed into the environment as a result of human and veterinary use, posing relevant environmental concerns. This study evaluated the acute toxicity of three therapeutic agents (diazepam, cloﬁbrate, and cloﬁbric acid) and a detergent (sodium dodecyl sulfate; SDS) in three aquatic species, namely the euryhaline ﬁsh Gambusia holbrooki, the hypersaline crustacean Artemia parthenogenetica, and the marine algae Tetraselmis chuii. The ranking of 50% lethal concentrations (LC50) for the two animal species and 50% inhibitory concentration (IC50) for the algal species was, in decreasing order, cloﬁbric acid4SDS4diazepam4cloﬁbrate for G. holbrooki, cloﬁbric acid4cloﬁbrate4SDS4diazepam for A. parthenogenetica, and cloﬁbric acid4cloﬁbrate4SDS4diazepam for T. chuii. These differences show that the intrinsic nature of test organisms must be considered when evaluating the toxicity of these agents to aquatic ecosystems.","container-title":"Ecotoxicology and Environmental Safety","DOI":"10.1016/j.ecoenv.2004.08.010","ISSN":"01476513","issue":"3","journalAbbreviation":"Ecotoxicology and Environmental Safety","language":"en","page":"413-419","source":"DOI.org (Crossref)","title":"Acute toxicity of widely used pharmaceuticals in aquatic species: Gambusia holbrooki, Artemia parthenogenetica and Tetraselmis chuii","title-short":"Acute toxicity of widely used pharmaceuticals in aquatic species","volume":"61","author":[{"family":"Nunes","given":"B."},{"family":"Carvalho","given":"F."},{"family":"Guilhermino","given":"L."}],"issued":{"date-parts":[["2005",7]]}}}],"schema":"https://github.com/citation-style-language/schema/raw/master/csl-citation.json"}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(B. Nunes, Carvalho, and Guilhermino 2005)</w:t>
            </w:r>
            <w:r w:rsidRPr="001D0ADC">
              <w:rPr>
                <w:color w:val="auto"/>
                <w:lang w:val="en-GB" w:eastAsia="cs-CZ"/>
              </w:rPr>
              <w:fldChar w:fldCharType="end"/>
            </w:r>
          </w:p>
        </w:tc>
      </w:tr>
      <w:tr w:rsidR="001D0ADC" w:rsidRPr="001D0ADC" w14:paraId="0C2CECD3"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9842282"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0D2CD67B" w14:textId="75BCA9EB" w:rsidR="00196808" w:rsidRPr="001D0ADC" w:rsidRDefault="00196808" w:rsidP="00196808">
            <w:pPr>
              <w:pStyle w:val="NoSpacing"/>
              <w:ind w:firstLine="0"/>
              <w:rPr>
                <w:b/>
                <w:bCs/>
                <w:color w:val="auto"/>
                <w:lang w:val="en-GB" w:eastAsia="cs-CZ"/>
              </w:rPr>
            </w:pPr>
            <w:r w:rsidRPr="001D0ADC">
              <w:rPr>
                <w:b/>
                <w:bCs/>
                <w:color w:val="auto"/>
                <w:lang w:val="en-GB" w:eastAsia="cs-CZ"/>
              </w:rPr>
              <w:t>Non-lethal effects after acute exposure (adults or juvenile)</w:t>
            </w:r>
            <w:r w:rsidR="000F6A8E" w:rsidRPr="001D0ADC">
              <w:rPr>
                <w:b/>
                <w:bCs/>
                <w:color w:val="auto"/>
                <w:lang w:val="en-GB" w:eastAsia="cs-CZ"/>
              </w:rPr>
              <w:t xml:space="preserve"> (mg/l)</w:t>
            </w:r>
          </w:p>
        </w:tc>
      </w:tr>
      <w:tr w:rsidR="001D0ADC" w:rsidRPr="001D0ADC" w14:paraId="65A73FA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28620B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EA1B996" w14:textId="77777777" w:rsidR="00196808" w:rsidRPr="001D0ADC" w:rsidRDefault="00196808" w:rsidP="00196808">
            <w:pPr>
              <w:pStyle w:val="NoSpacing"/>
              <w:ind w:firstLine="0"/>
              <w:rPr>
                <w:color w:val="auto"/>
                <w:lang w:val="en-GB" w:eastAsia="cs-CZ"/>
              </w:rPr>
            </w:pPr>
            <w:r w:rsidRPr="001D0ADC">
              <w:rPr>
                <w:color w:val="auto"/>
                <w:lang w:val="en-GB" w:eastAsia="cs-CZ"/>
              </w:rPr>
              <w:t>500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7D5996AA" w14:textId="77777777" w:rsidR="00196808" w:rsidRPr="001D0ADC" w:rsidRDefault="00196808" w:rsidP="00196808">
            <w:pPr>
              <w:pStyle w:val="NoSpacing"/>
              <w:ind w:firstLine="0"/>
              <w:rPr>
                <w:color w:val="auto"/>
                <w:lang w:val="en-GB" w:eastAsia="cs-CZ"/>
              </w:rPr>
            </w:pPr>
            <w:r w:rsidRPr="001D0ADC">
              <w:rPr>
                <w:color w:val="auto"/>
                <w:lang w:val="en-GB" w:eastAsia="cs-CZ"/>
              </w:rPr>
              <w:t>LOEC enzymatic activity (LDH)</w:t>
            </w:r>
          </w:p>
        </w:tc>
        <w:tc>
          <w:tcPr>
            <w:tcW w:w="2633" w:type="dxa"/>
            <w:tcBorders>
              <w:top w:val="single" w:sz="4" w:space="0" w:color="auto"/>
              <w:left w:val="nil"/>
              <w:bottom w:val="single" w:sz="4" w:space="0" w:color="auto"/>
              <w:right w:val="single" w:sz="4" w:space="0" w:color="auto"/>
            </w:tcBorders>
          </w:tcPr>
          <w:p w14:paraId="70F5FC87" w14:textId="77777777" w:rsidR="00196808" w:rsidRPr="001D0ADC" w:rsidRDefault="00196808" w:rsidP="00196808">
            <w:pPr>
              <w:pStyle w:val="NoSpacing"/>
              <w:ind w:firstLine="0"/>
              <w:rPr>
                <w:color w:val="auto"/>
                <w:lang w:val="en-GB" w:eastAsia="cs-CZ"/>
              </w:rPr>
            </w:pPr>
            <w:r w:rsidRPr="001D0ADC">
              <w:rPr>
                <w:color w:val="auto"/>
                <w:lang w:val="en-GB" w:eastAsia="cs-CZ"/>
              </w:rPr>
              <w:t>Acute (GH)</w:t>
            </w:r>
          </w:p>
        </w:tc>
        <w:tc>
          <w:tcPr>
            <w:tcW w:w="1967" w:type="dxa"/>
            <w:tcBorders>
              <w:top w:val="single" w:sz="4" w:space="0" w:color="auto"/>
              <w:left w:val="single" w:sz="4" w:space="0" w:color="auto"/>
              <w:bottom w:val="single" w:sz="4" w:space="0" w:color="auto"/>
              <w:right w:val="single" w:sz="4" w:space="0" w:color="auto"/>
            </w:tcBorders>
          </w:tcPr>
          <w:p w14:paraId="27E5C227"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3456166E" w14:textId="177073AF"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{"citationID":"6Fq5dAkJ","properties":{"formattedCitation":"(B. Nunes, Carvalho, and Guilhermino 2004)","plainCitation":"(B. Nunes, Carvalho, and Guilhermino 2004)","noteIndex":0},"citationItems":[{"id":1247,"uris":["http://zotero.org/users/11614927/items/43882JFZ"],"itemData":{"id":1247,"type":"article-journal","abstract":"The objective of this study was to investigate both acute and chronic eﬀects of cloﬁbrate and cloﬁbric acid on the enzymes acetylcholinesterase (AChE), lactate dehydrogenase (LDH) and catalase (CAT) of the mosquitoﬁsh (Gambusia holbrooki). AChE, commonly used as a biomarker of neurotoxicity, was determined in the total head. LDH, an important enzyme of anaerobic metabolism, was quantiﬁed in dorsal muscle, and CAT, enzyme which has been used as indicative parameter of peroxisome proliferation, was determined in the liver. Furthermore, alterations of body and liver weight were also determined, through the calculation of the ratios ﬁnal body weight/initial body weight, liver weight/ﬁnal body weight, liver weight/gills weight and liver weight/head weight. Acute exposure of G. holbrooki to both cloﬁbrate and cloﬁbric acid induced a decrease in liver CAT activity, an increase in muscle LDH activity, while no eﬀects were observed on AChE activity. However, chronic exposure did not alter signiﬁcantly the enzymatic activities, suggesting reduced or null eﬀects over these pathways, relative to eﬀects reported in other species. No eﬀects were observed for the calculated ratios, except a signiﬁcant weight reduction for males chronically exposed to cloﬁbrate.","container-title":"Chemosphere","DOI":"10.1016/j.chemosphere.2004.09.018","ISSN":"00456535","issue":"11","journalAbbreviation":"Chemosphere","language":"en","page":"1581-1589","source":"DOI.org (Crossref)","title":"Acute and chronic effects of clofibrate and clofibric acid on the enzymes acetylcholinesterase, lactate dehydrogenase and catalase of the mosquitofish, Gambusia holbrooki","volume":"57","author":[{"family":"Nunes","given":"B."},{"family":"Carvalho","given":"F."},{"family":"Guilhermino","given":"L."}],"issued":{"date-parts":[["2004",12]]}}}],"schema":"https://github.com/citation-style-language/schema/raw/master/csl-citation.json"}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(B. Nunes, Carvalho, and Guilhermino 2004)</w:t>
            </w:r>
            <w:r w:rsidRPr="001D0ADC">
              <w:rPr>
                <w:color w:val="auto"/>
                <w:lang w:val="en-GB" w:eastAsia="cs-CZ"/>
              </w:rPr>
              <w:fldChar w:fldCharType="end"/>
            </w:r>
          </w:p>
        </w:tc>
      </w:tr>
      <w:tr w:rsidR="001D0ADC" w:rsidRPr="001D0ADC" w14:paraId="2F8D9BE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C4173E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6096D3E" w14:textId="3705E09C"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42B0C00F" w14:textId="77777777" w:rsidR="00196808" w:rsidRPr="001D0ADC" w:rsidRDefault="00196808" w:rsidP="00196808">
            <w:pPr>
              <w:pStyle w:val="NoSpacing"/>
              <w:ind w:firstLine="0"/>
              <w:rPr>
                <w:color w:val="auto"/>
                <w:lang w:val="en-GB" w:eastAsia="cs-CZ"/>
              </w:rPr>
            </w:pPr>
            <w:r w:rsidRPr="001D0ADC">
              <w:rPr>
                <w:color w:val="auto"/>
                <w:lang w:val="en-GB" w:eastAsia="cs-CZ"/>
              </w:rPr>
              <w:t>LOEC GOT activity</w:t>
            </w:r>
          </w:p>
        </w:tc>
        <w:tc>
          <w:tcPr>
            <w:tcW w:w="2633" w:type="dxa"/>
            <w:vMerge w:val="restart"/>
            <w:tcBorders>
              <w:top w:val="single" w:sz="4" w:space="0" w:color="auto"/>
              <w:left w:val="nil"/>
              <w:right w:val="single" w:sz="4" w:space="0" w:color="auto"/>
            </w:tcBorders>
          </w:tcPr>
          <w:p w14:paraId="11C4E5CE" w14:textId="77777777" w:rsidR="00196808" w:rsidRPr="001D0ADC" w:rsidRDefault="00196808" w:rsidP="00196808">
            <w:pPr>
              <w:pStyle w:val="NoSpacing"/>
              <w:ind w:firstLine="0"/>
              <w:rPr>
                <w:color w:val="auto"/>
                <w:lang w:val="en-GB" w:eastAsia="cs-CZ"/>
              </w:rPr>
            </w:pPr>
            <w:r w:rsidRPr="001D0ADC">
              <w:rPr>
                <w:color w:val="auto"/>
                <w:lang w:val="en-GB" w:eastAsia="cs-CZ"/>
              </w:rPr>
              <w:t>Acute (CM)</w:t>
            </w:r>
          </w:p>
        </w:tc>
        <w:tc>
          <w:tcPr>
            <w:tcW w:w="1967" w:type="dxa"/>
            <w:vMerge w:val="restart"/>
            <w:tcBorders>
              <w:top w:val="single" w:sz="4" w:space="0" w:color="auto"/>
              <w:left w:val="single" w:sz="4" w:space="0" w:color="auto"/>
              <w:right w:val="single" w:sz="4" w:space="0" w:color="auto"/>
            </w:tcBorders>
          </w:tcPr>
          <w:p w14:paraId="49B0C7F5"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DF3DDB8"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{"citationID":"FKrhcTua","properties":{"formattedCitation":"(Manoharan Saravanan, Ramesh, and Petkam 2013)","plainCitation":"(Manoharan Saravanan, Ramesh, and Petkam 2013)","noteIndex":0},"citationItems":[{"id":1244,"uris":["http://zotero.org/users/11614927/items/5QAD786A"],"itemData":{"id":1244,"type":"article-journal","container-title":"Fish Physiology and Biochemistry","DOI":"10.1007/s10695-013-9797-3","ISSN":"0920-1742, 1573-5168","issue":"6","journalAbbreviation":"Fish Physiol Biochem","language":"en","page":"1431-1440","source":"DOI.org (Crossref)","title":"Alteration in certain enzymological parameters of an Indian major carp, Cirrhinus mrigala exposed to short- and long-term exposure of clofibric acid and diclofenac","volume":"39","author":[{"family":"Saravanan","given":"Manoharan"},{"family":"Ramesh","given":"Mathan"},{"family":"Petkam","given":"Rakpong"}],"issued":{"date-parts":[["2013",12]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(Manoharan Saravanan, Ramesh, and Petkam 2013)</w:t>
            </w:r>
            <w:r w:rsidRPr="001D0ADC">
              <w:rPr>
                <w:color w:val="auto"/>
                <w:lang w:val="en-GB" w:eastAsia="cs-CZ"/>
              </w:rPr>
              <w:fldChar w:fldCharType="end"/>
            </w:r>
          </w:p>
        </w:tc>
      </w:tr>
      <w:tr w:rsidR="001D0ADC" w:rsidRPr="001D0ADC" w14:paraId="6B57221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6A2F8B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52D1BE4" w14:textId="7EB939A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7E93BA43" w14:textId="77777777" w:rsidR="00196808" w:rsidRPr="001D0ADC" w:rsidRDefault="00196808" w:rsidP="00196808">
            <w:pPr>
              <w:pStyle w:val="NoSpacing"/>
              <w:ind w:firstLine="0"/>
              <w:rPr>
                <w:color w:val="auto"/>
                <w:lang w:val="en-GB" w:eastAsia="cs-CZ"/>
              </w:rPr>
            </w:pPr>
            <w:r w:rsidRPr="001D0ADC">
              <w:rPr>
                <w:color w:val="auto"/>
                <w:lang w:val="en-GB" w:eastAsia="cs-CZ"/>
              </w:rPr>
              <w:t>LOEC GPT, ATPase activity</w:t>
            </w:r>
          </w:p>
        </w:tc>
        <w:tc>
          <w:tcPr>
            <w:tcW w:w="2633" w:type="dxa"/>
            <w:vMerge/>
            <w:tcBorders>
              <w:left w:val="nil"/>
              <w:bottom w:val="single" w:sz="4" w:space="0" w:color="auto"/>
              <w:right w:val="single" w:sz="4" w:space="0" w:color="auto"/>
            </w:tcBorders>
          </w:tcPr>
          <w:p w14:paraId="045DA4A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781C44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853A112" w14:textId="77777777" w:rsidR="00196808" w:rsidRPr="001D0ADC" w:rsidRDefault="00196808" w:rsidP="00196808">
            <w:pPr>
              <w:pStyle w:val="NoSpacing"/>
              <w:ind w:firstLine="0"/>
              <w:rPr>
                <w:color w:val="auto"/>
                <w:lang w:val="en-GB" w:eastAsia="cs-CZ"/>
              </w:rPr>
            </w:pPr>
          </w:p>
        </w:tc>
      </w:tr>
      <w:tr w:rsidR="001D0ADC" w:rsidRPr="001D0ADC" w14:paraId="6DF433E0"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8C4353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A3B06F3" w14:textId="457D2F48" w:rsidR="00196808" w:rsidRPr="001D0ADC" w:rsidRDefault="00196808" w:rsidP="00196808">
            <w:pPr>
              <w:pStyle w:val="NoSpacing"/>
              <w:ind w:firstLine="0"/>
              <w:rPr>
                <w:color w:val="auto"/>
                <w:lang w:val="en-GB" w:eastAsia="cs-CZ"/>
              </w:rPr>
            </w:pPr>
            <w:r w:rsidRPr="001D0ADC">
              <w:rPr>
                <w:color w:val="auto"/>
                <w:lang w:val="en-GB" w:eastAsia="cs-CZ"/>
              </w:rPr>
              <w:t>17</w:t>
            </w:r>
            <w:r w:rsidR="00CF2036" w:rsidRPr="001D0ADC">
              <w:rPr>
                <w:color w:val="auto"/>
                <w:lang w:val="en-GB" w:eastAsia="cs-CZ"/>
              </w:rPr>
              <w:t>6.</w:t>
            </w:r>
            <w:r w:rsidRPr="001D0ADC">
              <w:rPr>
                <w:color w:val="auto"/>
                <w:lang w:val="en-GB" w:eastAsia="cs-CZ"/>
              </w:rPr>
              <w:t>34</w:t>
            </w:r>
          </w:p>
        </w:tc>
        <w:tc>
          <w:tcPr>
            <w:tcW w:w="4520" w:type="dxa"/>
            <w:tcBorders>
              <w:top w:val="single" w:sz="4" w:space="0" w:color="auto"/>
              <w:left w:val="nil"/>
              <w:bottom w:val="single" w:sz="4" w:space="0" w:color="auto"/>
              <w:right w:val="single" w:sz="4" w:space="0" w:color="auto"/>
            </w:tcBorders>
            <w:shd w:val="clear" w:color="auto" w:fill="auto"/>
            <w:vAlign w:val="bottom"/>
          </w:tcPr>
          <w:p w14:paraId="75869568" w14:textId="77777777" w:rsidR="00196808" w:rsidRPr="001D0ADC" w:rsidRDefault="00196808" w:rsidP="00196808">
            <w:pPr>
              <w:pStyle w:val="NoSpacing"/>
              <w:ind w:firstLine="0"/>
              <w:rPr>
                <w:color w:val="auto"/>
                <w:lang w:val="en-GB" w:eastAsia="cs-CZ"/>
              </w:rPr>
            </w:pPr>
            <w:r w:rsidRPr="001D0ADC">
              <w:rPr>
                <w:color w:val="auto"/>
                <w:lang w:val="en-GB" w:eastAsia="cs-CZ"/>
              </w:rPr>
              <w:t>LOEC for GSSH content</w:t>
            </w:r>
          </w:p>
        </w:tc>
        <w:tc>
          <w:tcPr>
            <w:tcW w:w="2633" w:type="dxa"/>
            <w:tcBorders>
              <w:top w:val="single" w:sz="4" w:space="0" w:color="auto"/>
              <w:left w:val="nil"/>
              <w:bottom w:val="single" w:sz="4" w:space="0" w:color="auto"/>
              <w:right w:val="single" w:sz="4" w:space="0" w:color="auto"/>
            </w:tcBorders>
          </w:tcPr>
          <w:p w14:paraId="471E9DA8" w14:textId="77777777" w:rsidR="00196808" w:rsidRPr="001D0ADC" w:rsidRDefault="00196808" w:rsidP="00196808">
            <w:pPr>
              <w:pStyle w:val="NoSpacing"/>
              <w:ind w:firstLine="0"/>
              <w:rPr>
                <w:color w:val="auto"/>
                <w:lang w:val="en-GB" w:eastAsia="cs-CZ"/>
              </w:rPr>
            </w:pPr>
            <w:r w:rsidRPr="001D0ADC">
              <w:rPr>
                <w:color w:val="auto"/>
                <w:lang w:val="en-GB" w:eastAsia="cs-CZ"/>
              </w:rPr>
              <w:t>AFT (OECD203)(GH)</w:t>
            </w:r>
          </w:p>
        </w:tc>
        <w:tc>
          <w:tcPr>
            <w:tcW w:w="1967" w:type="dxa"/>
            <w:tcBorders>
              <w:top w:val="single" w:sz="4" w:space="0" w:color="auto"/>
              <w:left w:val="single" w:sz="4" w:space="0" w:color="auto"/>
              <w:bottom w:val="single" w:sz="4" w:space="0" w:color="auto"/>
              <w:right w:val="single" w:sz="4" w:space="0" w:color="auto"/>
            </w:tcBorders>
          </w:tcPr>
          <w:p w14:paraId="7C931F01"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33195590" w14:textId="165E6852"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{"citationID":"YgpCK4TC","properties":{"formattedCitation":"(B. Nunes et al. 2008)","plainCitation":"(B. Nunes et al. 2008)","noteIndex":0},"citationItems":[{"id":1255,"uris":["http://zotero.org/users/11614927/items/693XWK7P"],"itemData":{"id":1255,"type":"article-journal","abstract":"Pharmaceuticals are continuously dispersed into the environment, as a result of human and veterinary use, and have become a relevant environmental concern. In the present study, the acute toxicity of three therapeutic agents (diazepam, cloﬁbrate, and cloﬁbric acid) and a detergent, sodium dodecylsulphate (SDS), to the euryhaline ﬁsh Gambusia holbrooki was evaluated. Special attention was devoted to oxidative stress parameters. G. holbrooki males, captured in the estuary of the Minho River (NW Portugal), were exposed for 96 h to the selected compounds. The following oxidative stress biomarkers were evaluated in gills and liver tissues: reduced and oxidised glutathione, lipid peroxidation, and several antioxidant enzymes, namely (1) total and selenium-dependent glutathione peroxidase (GPx), (2) glutathione reductase (GRed), (3) copper–zinc superoxide dismutase (Cu–ZnSOD) and manganese superoxide dismutase (MnSOD), and (4) glutathione-S-transferases (GSTs). In the particular case of diazepam, swimming behaviour was also evaluated. The obtained results indicate an overall diminished oxidative stress response caused by SDS and diazepam. Oxidative-based alterations were observed after exposure to cloﬁbrate and cloﬁbric acid, with modiﬁcations of several enzymatic activities. Diazepam caused evident behavioural changes: animals showed dark pigmentation and also abnormal postures, namely lethargy and anomalous movement.","container-title":"Ecotoxicology and Environmental Safety","DOI":"10.1016/j.ecoenv.2007.12.006","ISSN":"01476513","issue":"2","journalAbbreviation":"Ecotoxicology and Environmental Safety","language":"en","page":"341-354","source":"DOI.org (Crossref)","title":"Behaviour and biomarkers of oxidative stress in Gambusia holbrooki after acute exposure to widely used pharmaceuticals and a detergent","volume":"71","author":[{"family":"Nunes","given":"B."},{"family":"Gaio","given":"A.R."},{"family":"Carvalho","given":"F."},{"family":"Guilhermino","given":"L."}],"issued":{"date-parts":[["2008",10]]}}}],"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(B. Nunes et al. 2008)</w:t>
            </w:r>
            <w:r w:rsidRPr="001D0ADC">
              <w:rPr>
                <w:color w:val="auto"/>
                <w:lang w:val="en-GB" w:eastAsia="cs-CZ"/>
              </w:rPr>
              <w:fldChar w:fldCharType="end"/>
            </w:r>
          </w:p>
        </w:tc>
      </w:tr>
      <w:tr w:rsidR="001D0ADC" w:rsidRPr="001D0ADC" w14:paraId="6C6A5A6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C770BE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E10ED72" w14:textId="3AF5F1F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3A71F54C" w14:textId="77777777" w:rsidR="00196808" w:rsidRPr="001D0ADC" w:rsidRDefault="00196808" w:rsidP="00196808">
            <w:pPr>
              <w:pStyle w:val="NoSpacing"/>
              <w:ind w:firstLine="0"/>
              <w:rPr>
                <w:color w:val="auto"/>
                <w:lang w:val="en-GB" w:eastAsia="cs-CZ"/>
              </w:rPr>
            </w:pPr>
            <w:r w:rsidRPr="001D0ADC">
              <w:rPr>
                <w:color w:val="auto"/>
                <w:lang w:val="en-GB" w:eastAsia="cs-CZ"/>
              </w:rPr>
              <w:t>LOEC for hematological parameters, biochemical plasma changes, inoregulatory and enzymatic responses in plasma, ATPase activity in gill</w:t>
            </w:r>
          </w:p>
        </w:tc>
        <w:tc>
          <w:tcPr>
            <w:tcW w:w="2633" w:type="dxa"/>
            <w:tcBorders>
              <w:top w:val="single" w:sz="4" w:space="0" w:color="auto"/>
              <w:left w:val="nil"/>
              <w:bottom w:val="single" w:sz="4" w:space="0" w:color="auto"/>
              <w:right w:val="single" w:sz="4" w:space="0" w:color="auto"/>
            </w:tcBorders>
          </w:tcPr>
          <w:p w14:paraId="40DC3801" w14:textId="77777777" w:rsidR="00196808" w:rsidRPr="001D0ADC" w:rsidRDefault="00196808" w:rsidP="00196808">
            <w:pPr>
              <w:pStyle w:val="NoSpacing"/>
              <w:ind w:firstLine="0"/>
              <w:rPr>
                <w:color w:val="auto"/>
                <w:lang w:val="en-GB" w:eastAsia="cs-CZ"/>
              </w:rPr>
            </w:pPr>
            <w:r w:rsidRPr="001D0ADC">
              <w:rPr>
                <w:color w:val="auto"/>
                <w:lang w:val="en-GB" w:eastAsia="cs-CZ"/>
              </w:rPr>
              <w:t>Acute (CC) juveniles</w:t>
            </w:r>
          </w:p>
        </w:tc>
        <w:tc>
          <w:tcPr>
            <w:tcW w:w="1967" w:type="dxa"/>
            <w:tcBorders>
              <w:top w:val="single" w:sz="4" w:space="0" w:color="auto"/>
              <w:left w:val="single" w:sz="4" w:space="0" w:color="auto"/>
              <w:bottom w:val="single" w:sz="4" w:space="0" w:color="auto"/>
              <w:right w:val="single" w:sz="4" w:space="0" w:color="auto"/>
            </w:tcBorders>
          </w:tcPr>
          <w:p w14:paraId="5B5D5E92"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801E992"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{"citationID":"7kxpIyIL","properties":{"formattedCitation":"(Manoharan Saravanan et al. 2011)","plainCitation":"(Manoharan Saravanan et al. 2011)","noteIndex":0},"citationItems":[{"id":1257,"uris":["http://zotero.org/users/11614927/items/NM9TRR3K"],"itemData":{"id":1257,"type":"article-journal","container-title":"Journal of Hazardous Materials","DOI":"10.1016/j.jhazmat.2011.08.029","ISSN":"03043894","journalAbbreviation":"Journal of Hazardous Materials","language":"en","page":"188-194","source":"DOI.org (Crossref)","title":"Ecotoxicological impacts of clofibric acid and diclofenac in common carp (Cyprinus carpio) fingerlings: Hematological, biochemical, ionoregulatory and enzymological responses","title-short":"Ecotoxicological impacts of clofibric acid and diclofenac in common carp (Cyprinus carpio) fingerlings","volume":"195","author":[{"family":"Saravanan","given":"Manoharan"},{"family":"Karthika","given":"Subramanian"},{"family":"Malarvizhi","given":"Annamalai"},{"family":"Ramesh","given":"Mathan"}],"issued":{"date-parts":[["2011",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(Manoharan Saravanan et al. 2011)</w:t>
            </w:r>
            <w:r w:rsidRPr="001D0ADC">
              <w:rPr>
                <w:color w:val="auto"/>
                <w:lang w:val="en-GB" w:eastAsia="cs-CZ"/>
              </w:rPr>
              <w:fldChar w:fldCharType="end"/>
            </w:r>
          </w:p>
        </w:tc>
      </w:tr>
      <w:tr w:rsidR="001D0ADC" w:rsidRPr="001D0ADC" w14:paraId="6CB42D1F"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71B35D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9EDBF96" w14:textId="77777777" w:rsidR="00196808" w:rsidRPr="001D0ADC" w:rsidRDefault="00196808" w:rsidP="00196808">
            <w:pPr>
              <w:pStyle w:val="NoSpacing"/>
              <w:ind w:firstLine="0"/>
              <w:rPr>
                <w:color w:val="auto"/>
                <w:lang w:val="en-GB" w:eastAsia="cs-CZ"/>
              </w:rPr>
            </w:pPr>
            <w:r w:rsidRPr="001D0ADC">
              <w:rPr>
                <w:color w:val="auto"/>
                <w:lang w:val="en-GB" w:eastAsia="cs-CZ"/>
              </w:rPr>
              <w:t>20</w:t>
            </w:r>
          </w:p>
        </w:tc>
        <w:tc>
          <w:tcPr>
            <w:tcW w:w="4520" w:type="dxa"/>
            <w:tcBorders>
              <w:top w:val="single" w:sz="4" w:space="0" w:color="auto"/>
              <w:left w:val="nil"/>
              <w:bottom w:val="single" w:sz="4" w:space="0" w:color="auto"/>
              <w:right w:val="single" w:sz="4" w:space="0" w:color="auto"/>
            </w:tcBorders>
            <w:shd w:val="clear" w:color="auto" w:fill="auto"/>
            <w:vAlign w:val="bottom"/>
          </w:tcPr>
          <w:p w14:paraId="30DBE411" w14:textId="77777777" w:rsidR="00196808" w:rsidRPr="001D0ADC" w:rsidRDefault="00196808" w:rsidP="00196808">
            <w:pPr>
              <w:pStyle w:val="NoSpacing"/>
              <w:ind w:firstLine="0"/>
              <w:rPr>
                <w:color w:val="auto"/>
                <w:lang w:val="en-GB" w:eastAsia="cs-CZ"/>
              </w:rPr>
            </w:pPr>
            <w:r w:rsidRPr="001D0ADC">
              <w:rPr>
                <w:color w:val="auto"/>
                <w:lang w:val="en-GB" w:eastAsia="cs-CZ"/>
              </w:rPr>
              <w:t>NOEC for growth, HSI, SOD activity</w:t>
            </w:r>
          </w:p>
        </w:tc>
        <w:tc>
          <w:tcPr>
            <w:tcW w:w="2633" w:type="dxa"/>
            <w:vMerge w:val="restart"/>
            <w:tcBorders>
              <w:top w:val="single" w:sz="4" w:space="0" w:color="auto"/>
              <w:left w:val="nil"/>
              <w:right w:val="single" w:sz="4" w:space="0" w:color="auto"/>
            </w:tcBorders>
          </w:tcPr>
          <w:p w14:paraId="7EC91C57" w14:textId="77777777" w:rsidR="00196808" w:rsidRPr="001D0ADC" w:rsidRDefault="00196808" w:rsidP="00196808">
            <w:pPr>
              <w:pStyle w:val="NoSpacing"/>
              <w:ind w:firstLine="0"/>
              <w:rPr>
                <w:color w:val="auto"/>
                <w:lang w:val="en-GB" w:eastAsia="cs-CZ"/>
              </w:rPr>
            </w:pPr>
            <w:r w:rsidRPr="001D0ADC">
              <w:rPr>
                <w:color w:val="auto"/>
                <w:lang w:val="en-GB" w:eastAsia="cs-CZ"/>
              </w:rPr>
              <w:t>Acute (CC)</w:t>
            </w:r>
          </w:p>
        </w:tc>
        <w:tc>
          <w:tcPr>
            <w:tcW w:w="1967" w:type="dxa"/>
            <w:vMerge w:val="restart"/>
            <w:tcBorders>
              <w:top w:val="single" w:sz="4" w:space="0" w:color="auto"/>
              <w:left w:val="single" w:sz="4" w:space="0" w:color="auto"/>
              <w:right w:val="single" w:sz="4" w:space="0" w:color="auto"/>
            </w:tcBorders>
          </w:tcPr>
          <w:p w14:paraId="04513058" w14:textId="77777777" w:rsidR="00196808" w:rsidRPr="001D0ADC" w:rsidRDefault="00196808" w:rsidP="00196808">
            <w:pPr>
              <w:pStyle w:val="NoSpacing"/>
              <w:ind w:firstLine="0"/>
              <w:rPr>
                <w:color w:val="auto"/>
                <w:lang w:val="en-GB" w:eastAsia="cs-CZ"/>
              </w:rPr>
            </w:pPr>
            <w:r w:rsidRPr="001D0ADC">
              <w:rPr>
                <w:color w:val="auto"/>
                <w:lang w:val="en-GB" w:eastAsia="cs-CZ"/>
              </w:rPr>
              <w:t>4d and 10d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39B8417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{"citationID":"V0kpwNp2","properties":{"formattedCitation":"(Corcoran et al. 2015)","plainCitation":"(Corcoran et al. 2015)","noteIndex":0},"citationItems":[{"id":1250,"uris":["http://zotero.org/users/11614927/items/UW9ASHG2"],"itemData":{"id":1250,"type":"article-journal","abstract":"In mammals, the peroxisome proliferator-activated receptor </w:instrText>
            </w:r>
            <w:r w:rsidRPr="001D0ADC">
              <w:rPr>
                <w:rFonts w:ascii="MS Gothic" w:eastAsia="MS Gothic" w:hAnsi="MS Gothic" w:cs="MS Gothic"/>
                <w:color w:val="auto"/>
                <w:lang w:val="en-GB" w:eastAsia="cs-CZ"/>
              </w:rPr>
              <w:instrText>␣</w:instrText>
            </w:r>
            <w:r w:rsidRPr="001D0ADC">
              <w:rPr>
                <w:color w:val="auto"/>
                <w:lang w:val="en-GB" w:eastAsia="cs-CZ"/>
              </w:rPr>
              <w:instrText xml:space="preserve"> (PPAR</w:instrText>
            </w:r>
            <w:r w:rsidRPr="001D0ADC">
              <w:rPr>
                <w:rFonts w:ascii="MS Gothic" w:eastAsia="MS Gothic" w:hAnsi="MS Gothic" w:cs="MS Gothic"/>
                <w:color w:val="auto"/>
                <w:lang w:val="en-GB" w:eastAsia="cs-CZ"/>
              </w:rPr>
              <w:instrText>␣</w:instrText>
            </w:r>
            <w:r w:rsidRPr="001D0ADC">
              <w:rPr>
                <w:color w:val="auto"/>
                <w:lang w:val="en-GB" w:eastAsia="cs-CZ"/>
              </w:rPr>
              <w:instrText>) plays a key role in regulating various genes involved in lipid metabolism, bile acid synthesis and cholesterol homeostasis, and is activated by a diverse group of compounds collectively termed peroxisome proliferators (PPs). Speciﬁc PPs have been detected in the aquatic environment; however little is known on their pharmacological activity in ﬁsh. We investigated the bioavailability and persistence of the human PPAR</w:instrText>
            </w:r>
            <w:r w:rsidRPr="001D0ADC">
              <w:rPr>
                <w:rFonts w:ascii="MS Gothic" w:eastAsia="MS Gothic" w:hAnsi="MS Gothic" w:cs="MS Gothic"/>
                <w:color w:val="auto"/>
                <w:lang w:val="en-GB" w:eastAsia="cs-CZ"/>
              </w:rPr>
              <w:instrText>␣</w:instrText>
            </w:r>
            <w:r w:rsidRPr="001D0ADC">
              <w:rPr>
                <w:color w:val="auto"/>
                <w:lang w:val="en-GB" w:eastAsia="cs-CZ"/>
              </w:rPr>
              <w:instrText xml:space="preserve"> ligand clo</w:instrText>
            </w:r>
            <w:r w:rsidRPr="001D0ADC">
              <w:rPr>
                <w:rFonts w:cs="Times New Roman"/>
                <w:color w:val="auto"/>
                <w:lang w:val="en-GB" w:eastAsia="cs-CZ"/>
              </w:rPr>
              <w:instrText>ﬁ</w:instrText>
            </w:r>
            <w:r w:rsidRPr="001D0ADC">
              <w:rPr>
                <w:color w:val="auto"/>
                <w:lang w:val="en-GB" w:eastAsia="cs-CZ"/>
              </w:rPr>
              <w:instrText xml:space="preserve">bric acid (CFA) in carp, together with various relevant endpoints, at a concentration similar to therapeutic levels in humans (20 mg/L) and for an environmentally relevant concentration (4 </w:instrText>
            </w:r>
            <w:r w:rsidRPr="001D0ADC">
              <w:rPr>
                <w:rFonts w:cs="Times New Roman"/>
                <w:color w:val="auto"/>
                <w:lang w:val="en-GB" w:eastAsia="cs-CZ"/>
              </w:rPr>
              <w:instrText>␮</w:instrText>
            </w:r>
            <w:r w:rsidRPr="001D0ADC">
              <w:rPr>
                <w:color w:val="auto"/>
                <w:lang w:val="en-GB" w:eastAsia="cs-CZ"/>
              </w:rPr>
              <w:instrText>g/L). Exposure to pharmacologicallyrelevant concentrations of CFA resulted in increased transcript levels of a number of known PPAR</w:instrText>
            </w:r>
            <w:r w:rsidRPr="001D0ADC">
              <w:rPr>
                <w:rFonts w:ascii="MS Gothic" w:eastAsia="MS Gothic" w:hAnsi="MS Gothic" w:cs="MS Gothic"/>
                <w:color w:val="auto"/>
                <w:lang w:val="en-GB" w:eastAsia="cs-CZ"/>
              </w:rPr>
              <w:instrText>␣</w:instrText>
            </w:r>
            <w:r w:rsidRPr="001D0ADC">
              <w:rPr>
                <w:color w:val="auto"/>
                <w:lang w:val="en-GB" w:eastAsia="cs-CZ"/>
              </w:rPr>
              <w:instrText xml:space="preserve"> target genes together with increased acyl-coA oxidase (Acox1) activity, supporting stimulation of lipid metabolism pathways in carp which are known to be similarly activated in mammals. Although Cu,Znsuperoxide dismutase (Sod1) activity was not affected, mRNA levels of several biotransformation genes were also increased, paralleling previous reports in mammals and indicating a potential role in hepatic detoxiﬁcation for PPAR</w:instrText>
            </w:r>
            <w:r w:rsidRPr="001D0ADC">
              <w:rPr>
                <w:rFonts w:ascii="MS Gothic" w:eastAsia="MS Gothic" w:hAnsi="MS Gothic" w:cs="MS Gothic"/>
                <w:color w:val="auto"/>
                <w:lang w:val="en-GB" w:eastAsia="cs-CZ"/>
              </w:rPr>
              <w:instrText>␣</w:instrText>
            </w:r>
            <w:r w:rsidRPr="001D0ADC">
              <w:rPr>
                <w:color w:val="auto"/>
                <w:lang w:val="en-GB" w:eastAsia="cs-CZ"/>
              </w:rPr>
              <w:instrText xml:space="preserve"> in carp. Importantly, transcription of some of these genes (and Acox1 activity) were affected at exposure concentrations comparable with those reported in efﬂuent discharges. Collectively, these data suggest that CFA is pharmacologically active in carp and has the potential to invoke PPAR</w:instrText>
            </w:r>
            <w:r w:rsidRPr="001D0ADC">
              <w:rPr>
                <w:rFonts w:ascii="MS Gothic" w:eastAsia="MS Gothic" w:hAnsi="MS Gothic" w:cs="MS Gothic"/>
                <w:color w:val="auto"/>
                <w:lang w:val="en-GB" w:eastAsia="cs-CZ"/>
              </w:rPr>
              <w:instrText>␣</w:instrText>
            </w:r>
            <w:r w:rsidRPr="001D0ADC">
              <w:rPr>
                <w:color w:val="auto"/>
                <w:lang w:val="en-GB" w:eastAsia="cs-CZ"/>
              </w:rPr>
              <w:instrText xml:space="preserve">-related responses in </w:instrText>
            </w:r>
            <w:r w:rsidRPr="001D0ADC">
              <w:rPr>
                <w:rFonts w:cs="Times New Roman"/>
                <w:color w:val="auto"/>
                <w:lang w:val="en-GB" w:eastAsia="cs-CZ"/>
              </w:rPr>
              <w:instrText>ﬁ</w:instrText>
            </w:r>
            <w:r w:rsidRPr="001D0ADC">
              <w:rPr>
                <w:color w:val="auto"/>
                <w:lang w:val="en-GB" w:eastAsia="cs-CZ"/>
              </w:rPr>
              <w:instrText xml:space="preserve">sh exposed in the environment, particularly considering that CFA may represent just one of a number of PPAR-active compounds present to which wild ﬁsh may be exposed.","container-title":"Aquatic Toxicology","DOI":"10.1016/j.aquatox.2015.01.033","ISSN":"0166445X","journalAbbreviation":"Aquatic Toxicology","language":"en","page":"127-137","source":"DOI.org (Crossref)","title":"Effects of the lipid regulating drug clofibric acid on PPARα-regulated gene transcript levels in common carp (Cyprinus carpio) at pharmacological and environmental exposure levels","volume":"161","author":[{"family":"Corcoran","given":"Jenna"},{"family":"Winter","given":"Matthew J."},{"family":"Lange","given":"Anke"},{"family":"Cumming","given":"Rob"},{"family":"Owen","given":"Stewart F."},{"family":"Tyler","given":"Charles R."}],"issued":{"date-parts":[["2015",4]]}}}],"schema":"https://github.com/citation-style-language/schema/raw/master/csl-citation.json"}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(Corcoran et al. 2015)</w:t>
            </w:r>
            <w:r w:rsidRPr="001D0ADC">
              <w:rPr>
                <w:color w:val="auto"/>
                <w:lang w:val="en-GB" w:eastAsia="cs-CZ"/>
              </w:rPr>
              <w:fldChar w:fldCharType="end"/>
            </w:r>
          </w:p>
        </w:tc>
      </w:tr>
      <w:tr w:rsidR="001D0ADC" w:rsidRPr="001D0ADC" w14:paraId="0350428D"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733F59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F62BC3C" w14:textId="77777777" w:rsidR="00196808" w:rsidRPr="001D0ADC" w:rsidRDefault="00196808" w:rsidP="00196808">
            <w:pPr>
              <w:pStyle w:val="NoSpacing"/>
              <w:ind w:firstLine="0"/>
              <w:rPr>
                <w:color w:val="auto"/>
                <w:lang w:val="en-GB" w:eastAsia="cs-CZ"/>
              </w:rPr>
            </w:pPr>
            <w:r w:rsidRPr="001D0ADC">
              <w:rPr>
                <w:color w:val="auto"/>
                <w:lang w:val="en-GB" w:eastAsia="cs-CZ"/>
              </w:rPr>
              <w:t>20</w:t>
            </w:r>
          </w:p>
        </w:tc>
        <w:tc>
          <w:tcPr>
            <w:tcW w:w="4520" w:type="dxa"/>
            <w:tcBorders>
              <w:top w:val="single" w:sz="4" w:space="0" w:color="auto"/>
              <w:left w:val="nil"/>
              <w:bottom w:val="single" w:sz="4" w:space="0" w:color="auto"/>
              <w:right w:val="single" w:sz="4" w:space="0" w:color="auto"/>
            </w:tcBorders>
            <w:shd w:val="clear" w:color="auto" w:fill="auto"/>
            <w:vAlign w:val="bottom"/>
          </w:tcPr>
          <w:p w14:paraId="09DC4415" w14:textId="77777777" w:rsidR="00196808" w:rsidRPr="001D0ADC" w:rsidRDefault="00196808" w:rsidP="00196808">
            <w:pPr>
              <w:pStyle w:val="NoSpacing"/>
              <w:ind w:firstLine="0"/>
              <w:rPr>
                <w:color w:val="auto"/>
                <w:lang w:val="en-GB" w:eastAsia="cs-CZ"/>
              </w:rPr>
            </w:pPr>
            <w:r w:rsidRPr="001D0ADC">
              <w:rPr>
                <w:color w:val="auto"/>
                <w:lang w:val="en-GB" w:eastAsia="cs-CZ"/>
              </w:rPr>
              <w:t>LOEC for hematocrit increase (4d), ACOX activity (4d)</w:t>
            </w:r>
          </w:p>
        </w:tc>
        <w:tc>
          <w:tcPr>
            <w:tcW w:w="2633" w:type="dxa"/>
            <w:vMerge/>
            <w:tcBorders>
              <w:left w:val="nil"/>
              <w:right w:val="single" w:sz="4" w:space="0" w:color="auto"/>
            </w:tcBorders>
          </w:tcPr>
          <w:p w14:paraId="622C9DE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64B1F982"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1ABDED96" w14:textId="77777777" w:rsidR="00196808" w:rsidRPr="001D0ADC" w:rsidRDefault="00196808" w:rsidP="00196808">
            <w:pPr>
              <w:pStyle w:val="NoSpacing"/>
              <w:ind w:firstLine="0"/>
              <w:rPr>
                <w:color w:val="auto"/>
                <w:lang w:val="en-GB" w:eastAsia="cs-CZ"/>
              </w:rPr>
            </w:pPr>
          </w:p>
        </w:tc>
      </w:tr>
      <w:tr w:rsidR="001D0ADC" w:rsidRPr="001D0ADC" w14:paraId="2DF85D76"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915D16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50EF60C" w14:textId="7B9740B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004</w:t>
            </w:r>
          </w:p>
        </w:tc>
        <w:tc>
          <w:tcPr>
            <w:tcW w:w="4520" w:type="dxa"/>
            <w:tcBorders>
              <w:top w:val="single" w:sz="4" w:space="0" w:color="auto"/>
              <w:left w:val="nil"/>
              <w:bottom w:val="single" w:sz="4" w:space="0" w:color="auto"/>
              <w:right w:val="single" w:sz="4" w:space="0" w:color="auto"/>
            </w:tcBorders>
            <w:shd w:val="clear" w:color="auto" w:fill="auto"/>
            <w:vAlign w:val="bottom"/>
          </w:tcPr>
          <w:p w14:paraId="7A01F97B" w14:textId="77777777" w:rsidR="00196808" w:rsidRPr="001D0ADC" w:rsidRDefault="00196808" w:rsidP="00196808">
            <w:pPr>
              <w:pStyle w:val="NoSpacing"/>
              <w:ind w:firstLine="0"/>
              <w:rPr>
                <w:color w:val="auto"/>
                <w:lang w:val="en-GB" w:eastAsia="cs-CZ"/>
              </w:rPr>
            </w:pPr>
            <w:r w:rsidRPr="001D0ADC">
              <w:rPr>
                <w:color w:val="auto"/>
                <w:lang w:val="en-GB" w:eastAsia="cs-CZ"/>
              </w:rPr>
              <w:t>LOEC for ACOX activity (10d), gene expression (PPAR</w:t>
            </w:r>
            <w:r w:rsidRPr="001D0ADC">
              <w:rPr>
                <w:rFonts w:cs="Times New Roman"/>
                <w:color w:val="auto"/>
                <w:lang w:val="en-GB" w:eastAsia="cs-CZ"/>
              </w:rPr>
              <w:t>α</w:t>
            </w:r>
            <w:r w:rsidRPr="001D0ADC">
              <w:rPr>
                <w:color w:val="auto"/>
                <w:lang w:val="en-GB" w:eastAsia="cs-CZ"/>
              </w:rPr>
              <w:t>, xenob.metab.)</w:t>
            </w:r>
          </w:p>
        </w:tc>
        <w:tc>
          <w:tcPr>
            <w:tcW w:w="2633" w:type="dxa"/>
            <w:vMerge/>
            <w:tcBorders>
              <w:left w:val="nil"/>
              <w:bottom w:val="single" w:sz="4" w:space="0" w:color="auto"/>
              <w:right w:val="single" w:sz="4" w:space="0" w:color="auto"/>
            </w:tcBorders>
          </w:tcPr>
          <w:p w14:paraId="38CCDCB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63B59A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DEA3B79" w14:textId="77777777" w:rsidR="00196808" w:rsidRPr="001D0ADC" w:rsidRDefault="00196808" w:rsidP="00196808">
            <w:pPr>
              <w:pStyle w:val="NoSpacing"/>
              <w:ind w:firstLine="0"/>
              <w:rPr>
                <w:color w:val="auto"/>
                <w:lang w:val="en-GB" w:eastAsia="cs-CZ"/>
              </w:rPr>
            </w:pPr>
          </w:p>
        </w:tc>
      </w:tr>
      <w:tr w:rsidR="001D0ADC" w:rsidRPr="001D0ADC" w14:paraId="295FA7D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C263CC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1F76282"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1A8AED7F" w14:textId="77777777" w:rsidR="00196808" w:rsidRPr="001D0ADC" w:rsidRDefault="00196808" w:rsidP="00196808">
            <w:pPr>
              <w:pStyle w:val="NoSpacing"/>
              <w:ind w:firstLine="0"/>
              <w:rPr>
                <w:color w:val="auto"/>
                <w:lang w:val="en-GB" w:eastAsia="cs-CZ"/>
              </w:rPr>
            </w:pPr>
            <w:r w:rsidRPr="001D0ADC">
              <w:rPr>
                <w:color w:val="auto"/>
                <w:lang w:val="en-GB" w:eastAsia="cs-CZ"/>
              </w:rPr>
              <w:t>NOEC for survival, liver somatic index, and protein and cholesterol content in liver</w:t>
            </w:r>
          </w:p>
        </w:tc>
        <w:tc>
          <w:tcPr>
            <w:tcW w:w="2633" w:type="dxa"/>
            <w:tcBorders>
              <w:top w:val="single" w:sz="4" w:space="0" w:color="auto"/>
              <w:left w:val="nil"/>
              <w:bottom w:val="single" w:sz="4" w:space="0" w:color="auto"/>
              <w:right w:val="single" w:sz="4" w:space="0" w:color="auto"/>
            </w:tcBorders>
          </w:tcPr>
          <w:p w14:paraId="5EC5D390" w14:textId="77777777" w:rsidR="00196808" w:rsidRPr="001D0ADC" w:rsidRDefault="00196808" w:rsidP="00196808">
            <w:pPr>
              <w:pStyle w:val="NoSpacing"/>
              <w:ind w:firstLine="0"/>
              <w:rPr>
                <w:color w:val="auto"/>
                <w:lang w:val="en-GB" w:eastAsia="cs-CZ"/>
              </w:rPr>
            </w:pPr>
            <w:r w:rsidRPr="001D0ADC">
              <w:rPr>
                <w:color w:val="auto"/>
                <w:lang w:val="en-GB" w:eastAsia="cs-CZ"/>
              </w:rPr>
              <w:t>Acute (FH)</w:t>
            </w:r>
          </w:p>
        </w:tc>
        <w:tc>
          <w:tcPr>
            <w:tcW w:w="1967" w:type="dxa"/>
            <w:tcBorders>
              <w:top w:val="single" w:sz="4" w:space="0" w:color="auto"/>
              <w:left w:val="single" w:sz="4" w:space="0" w:color="auto"/>
              <w:bottom w:val="single" w:sz="4" w:space="0" w:color="auto"/>
              <w:right w:val="single" w:sz="4" w:space="0" w:color="auto"/>
            </w:tcBorders>
          </w:tcPr>
          <w:p w14:paraId="66521E84"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7699AAC"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{"citationID":"3JFOdGk8","properties":{"formattedCitation":"(Emblidge and DeLorenzo 2006)","plainCitation":"(Emblidge and DeLorenzo 2006)","noteIndex":0},"citationItems":[{"id":1249,"uris":["http://zotero.org/users/11614927/items/PE6Z3RLG"],"itemData":{"id":1249,"type":"article-journal","abstract":"Cloﬁbric acid is the active metabolite of several ﬁbrate drugs prescribed to reduce blood cholesterol levels. It is persistent and widely detected in the environment. Cloﬁbric acid toxicity was assessed using three estuarine organisms: an alga (Dunaliella tertiolecta), a crustacean (Palaemonetes pugio), and a ﬁsh (Fundulus heteroclitus). Mortality and sublethal physiological responses (protein, lipid, cholesterol, and cytochrome P450 levels) were examined. Cloﬁbric acid did not signiﬁcantly affect cell density or growth rate of D. tertiolecta (concentrations p1000 mg/L). Survival of P. pugio and F. heteroclitus were also unaffected at cloﬁbric acid concentrations p1000 mg/L. In addition, no signiﬁcant changes in the sublethal test endpoints were found. An additional chronic (17-day) exposure of F. heteroclitus to cloﬁbric acid (10 mg/L) was conducted and found no effects on survival or sublethal endpoints. The rabbit polyclonal CYP450 4A antibody did cross react with F. heteroclitus, demonstrating that a CYP4A-like isoform is present in this teleost species and may be used in future induction studies. Cloﬁbric acid, however, did not alter CYP4A levels in F. heteroclitus. Measured concentrations in the environment have not exceeded 10 mg/L. Therefore, the results of this study indicate a low risk of adverse effects from environmental exposure to cloﬁbric acid for the species tested.","container-title":"Environmental Research","DOI":"10.1016/j.envres.2005.03.014","ISSN":"00139351","issue":"2","journalAbbreviation":"Environmental Research","language":"en","page":"216-226","source":"DOI.org (Crossref)","title":"Preliminary risk assessment of the lipid-regulating pharmaceutical clofibric acid, for three estuarine species","volume":"100","author":[{"family":"Emblidge","given":"J.P."},{"family":"DeLorenzo","given":"M.E."}],"issued":{"date-parts":[["2006",2]]}}}],"schema":"https://github.com/citation-style-language/schema/raw/master/csl-citation.json"}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(Emblidge and DeLorenzo 2006)</w:t>
            </w:r>
            <w:r w:rsidRPr="001D0ADC">
              <w:rPr>
                <w:color w:val="auto"/>
                <w:lang w:val="en-GB" w:eastAsia="cs-CZ"/>
              </w:rPr>
              <w:fldChar w:fldCharType="end"/>
            </w:r>
          </w:p>
        </w:tc>
      </w:tr>
      <w:tr w:rsidR="001D0ADC" w:rsidRPr="001D0ADC" w14:paraId="4E2B287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5B646D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CC92D67" w14:textId="7E4F9E66"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CDFAD32" w14:textId="77777777" w:rsidR="00196808" w:rsidRPr="001D0ADC" w:rsidRDefault="00196808" w:rsidP="00196808">
            <w:pPr>
              <w:pStyle w:val="NoSpacing"/>
              <w:ind w:firstLine="0"/>
              <w:rPr>
                <w:color w:val="auto"/>
                <w:lang w:val="en-GB" w:eastAsia="cs-CZ"/>
              </w:rPr>
            </w:pPr>
            <w:r w:rsidRPr="001D0ADC">
              <w:rPr>
                <w:color w:val="auto"/>
                <w:lang w:val="en-GB" w:eastAsia="cs-CZ"/>
              </w:rPr>
              <w:t>LOEC for glucose (incr.) and protein (decr.) content in plasma, electrolytes content</w:t>
            </w:r>
          </w:p>
        </w:tc>
        <w:tc>
          <w:tcPr>
            <w:tcW w:w="2633" w:type="dxa"/>
            <w:vMerge w:val="restart"/>
            <w:tcBorders>
              <w:top w:val="single" w:sz="4" w:space="0" w:color="auto"/>
              <w:left w:val="nil"/>
              <w:right w:val="single" w:sz="4" w:space="0" w:color="auto"/>
            </w:tcBorders>
          </w:tcPr>
          <w:p w14:paraId="0C043CC5" w14:textId="77777777" w:rsidR="00196808" w:rsidRPr="001D0ADC" w:rsidRDefault="00196808" w:rsidP="00196808">
            <w:pPr>
              <w:pStyle w:val="NoSpacing"/>
              <w:ind w:firstLine="0"/>
              <w:rPr>
                <w:color w:val="auto"/>
                <w:lang w:val="en-GB" w:eastAsia="cs-CZ"/>
              </w:rPr>
            </w:pPr>
            <w:r w:rsidRPr="001D0ADC">
              <w:rPr>
                <w:color w:val="auto"/>
                <w:lang w:val="en-GB" w:eastAsia="cs-CZ"/>
              </w:rPr>
              <w:t>Acute (CM)</w:t>
            </w:r>
          </w:p>
        </w:tc>
        <w:tc>
          <w:tcPr>
            <w:tcW w:w="1967" w:type="dxa"/>
            <w:vMerge w:val="restart"/>
            <w:tcBorders>
              <w:top w:val="single" w:sz="4" w:space="0" w:color="auto"/>
              <w:left w:val="single" w:sz="4" w:space="0" w:color="auto"/>
              <w:right w:val="single" w:sz="4" w:space="0" w:color="auto"/>
            </w:tcBorders>
          </w:tcPr>
          <w:p w14:paraId="199C10BC"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33AB47F"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{"citationID":"47aqCt7V","properties":{"formattedCitation":"(M. Saravanan and Ramesh 2013)","plainCitation":"(M. Saravanan and Ramesh 2013)","noteIndex":0},"citationItems":[{"id":1254,"uris":["http://zotero.org/users/11614927/items/4RTBCDND"],"itemData":{"id":1254,"type":"article-journal","abstract":"Extensive use of pharmaceuticals in human and veterinary medicine and aquaculture practices pose a serious threat to aquatic organisms. In the present investigation, Cirrhinus mrigala an Indian major carp was exposed to different concentrations of cloﬁbric acid (CA) and diclofenac (DCF) and certain biochemical and ionoregulatory responses were assessed under short and long term exposures. During short-term (96 h) exposure period, plasma glucose and sodium (Na+) levels were increased at all concentrations (1, 10 and 100 lg LÀ1) of CA and DCF treated ﬁsh. Plasma protein and chloride (ClÀ) levels were found to be decreased at all concentrations of CA and DCF exposed ﬁsh comparatively to control groups. Meanwhile an increase in plasma potassium (K+) level was noted in ﬁsh exposed to CA treatments alone and in DCF treatments it was decreased. In long-term exposure (35 d), plasma Na+ and ClÀ levels were found to be signiﬁcantly increased at all concentration of CA and DCF. However, a biphasic trend was observed in plasma glucose, protein and K+ levels. In both the treatments, a signiﬁcant (P &lt; 0.01 and P &lt; 0.05) changes were observed in all parameters measured in ﬁsh exposed to different concentrations of CA and DCF. The results of the present investigation indicate that both the drugs caused signiﬁcant changes in biochemical and ionoregulatory responses of ﬁsh at all concentrations. The alterations of these parameters can be useful in monitoring of pharmaceutical residues present in aquatic environment.","container-title":"Chemosphere","DOI":"10.1016/j.chemosphere.2013.05.015","ISSN":"00456535","issue":"2","journalAbbreviation":"Chemosphere","language":"en","page":"388-396","source":"DOI.org (Crossref)","title":"Short and long-term effects of clofibric acid and diclofenac on certain biochemical and ionoregulatory responses in an Indian major carp, Cirrhinus mrigala","volume":"93","author":[{"family":"Saravanan","given":"M."},{"family":"Ramesh","given":"M."}],"issued":{"date-parts":[["2013",9]]}}}],"schema":"https://github.com/citation-style-language/schema/raw/master/csl-citation.json"}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(M. Saravanan and Ramesh 2013)</w:t>
            </w:r>
            <w:r w:rsidRPr="001D0ADC">
              <w:rPr>
                <w:color w:val="auto"/>
                <w:lang w:val="en-GB" w:eastAsia="cs-CZ"/>
              </w:rPr>
              <w:fldChar w:fldCharType="end"/>
            </w:r>
          </w:p>
        </w:tc>
      </w:tr>
      <w:tr w:rsidR="001D0ADC" w:rsidRPr="001D0ADC" w14:paraId="0D3B571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8BBCC7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79F173F" w14:textId="7E4DBDD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7D4B7997"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tcBorders>
              <w:left w:val="nil"/>
              <w:bottom w:val="single" w:sz="4" w:space="0" w:color="auto"/>
              <w:right w:val="single" w:sz="4" w:space="0" w:color="auto"/>
            </w:tcBorders>
          </w:tcPr>
          <w:p w14:paraId="53848E6A"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F585C64"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BDD20AD" w14:textId="77777777" w:rsidR="00196808" w:rsidRPr="001D0ADC" w:rsidRDefault="00196808" w:rsidP="00196808">
            <w:pPr>
              <w:pStyle w:val="NoSpacing"/>
              <w:ind w:firstLine="0"/>
              <w:rPr>
                <w:color w:val="auto"/>
                <w:lang w:val="en-GB" w:eastAsia="cs-CZ"/>
              </w:rPr>
            </w:pPr>
          </w:p>
        </w:tc>
      </w:tr>
      <w:tr w:rsidR="001D0ADC" w:rsidRPr="001D0ADC" w14:paraId="4FC369D6" w14:textId="77777777" w:rsidTr="00CF4707">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38895A8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86213CF" w14:textId="5B3EF2F6"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359E92DD"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val="restart"/>
            <w:tcBorders>
              <w:top w:val="single" w:sz="4" w:space="0" w:color="auto"/>
              <w:left w:val="nil"/>
              <w:right w:val="single" w:sz="4" w:space="0" w:color="auto"/>
            </w:tcBorders>
          </w:tcPr>
          <w:p w14:paraId="1F74F7A3" w14:textId="77777777" w:rsidR="00196808" w:rsidRPr="001D0ADC" w:rsidRDefault="00196808" w:rsidP="00196808">
            <w:pPr>
              <w:pStyle w:val="NoSpacing"/>
              <w:ind w:firstLine="0"/>
              <w:rPr>
                <w:color w:val="auto"/>
                <w:lang w:val="en-GB" w:eastAsia="cs-CZ"/>
              </w:rPr>
            </w:pPr>
            <w:r w:rsidRPr="001D0ADC">
              <w:rPr>
                <w:color w:val="auto"/>
                <w:lang w:val="en-GB" w:eastAsia="cs-CZ"/>
              </w:rPr>
              <w:t>Acute (LR)</w:t>
            </w:r>
          </w:p>
        </w:tc>
        <w:tc>
          <w:tcPr>
            <w:tcW w:w="1967" w:type="dxa"/>
            <w:vMerge w:val="restart"/>
            <w:tcBorders>
              <w:top w:val="single" w:sz="4" w:space="0" w:color="auto"/>
              <w:left w:val="single" w:sz="4" w:space="0" w:color="auto"/>
              <w:right w:val="single" w:sz="4" w:space="0" w:color="auto"/>
            </w:tcBorders>
          </w:tcPr>
          <w:p w14:paraId="654CE967"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2A2EF4E"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{"citationID":"gAYisxuZ","properties":{"formattedCitation":"(Bhattacharjee, Rout, and Goswami 2022)","plainCitation":"(Bhattacharjee, Rout, and Goswami 2022)","noteIndex":0},"citationItems":[{"id":1450,"uris":["http://zotero.org/users/11614927/items/WPSGWRLQ"],"itemData":{"id":1450,"type":"article-journal","abstract":"Clofibric acid (CA) is a hypolipidemic compound and an active derivative substance of clofibrate has been detected in the water bodies all over the world. For Swiss lakes and German rivers, the concentrations of CA in the surface water and from effluents of Sewage treatment plants are 0.551 μg/Land 1.6 μg/L, ground (4 µg/L), surface and drinking waters (0.07–0.27 µg/L) all over the world. Short term toxicological investigation (96 hours) on Labeo rohita fingerlings was studied at different nominal concentrations such as 1, 10 and 100 μg/L. In case of behavioural responses, opercular movement and mucus secretion both increased significantly. The disparity of behaviour in exposed fish became more pronounced with rising CA concentrations, showing a positive correlation with the concentration. Throughout the trial, there were no obvious signs of anomalous behaviour in the fish in the control group. In accordance with enzymatic responses, Glutamic Oxaloacetic Transaminase (GOT), Glutamic Pyruvic Transaminase (GPT) and Lactate Dehydrogenase (LDH) levels in all treatments were statistically significant (p &lt;0.05).","container-title":"The Pharma Innovation Journal","issue":"SP-11(10)","language":"en","page":"1431-1435","source":"Zotero","title":"Short term toxicological effect of clofibric acid on Labeo rohita fingerlings (Hamilton, 1822): Behavioural and enzymatic responses","volume":"2022","author":[{"family":"Bhattacharjee","given":"Sayantan"},{"family":"Rout","given":"SK"},{"family":"Goswami","given":"Biswajit"}],"issued":{"date-parts":[["2022",8,20]]}}}],"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(Bhattacharjee, Rout, and Goswami 2022)</w:t>
            </w:r>
            <w:r w:rsidRPr="001D0ADC">
              <w:rPr>
                <w:color w:val="auto"/>
                <w:lang w:val="en-GB" w:eastAsia="cs-CZ"/>
              </w:rPr>
              <w:fldChar w:fldCharType="end"/>
            </w:r>
          </w:p>
        </w:tc>
      </w:tr>
      <w:tr w:rsidR="001D0ADC" w:rsidRPr="001D0ADC" w14:paraId="0790DD1B" w14:textId="77777777" w:rsidTr="00CF4707">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16C0232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411D5BA" w14:textId="0A164C6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1B4127C0" w14:textId="77777777" w:rsidR="00196808" w:rsidRPr="001D0ADC" w:rsidRDefault="00196808" w:rsidP="00196808">
            <w:pPr>
              <w:pStyle w:val="NoSpacing"/>
              <w:ind w:firstLine="0"/>
              <w:rPr>
                <w:color w:val="auto"/>
                <w:lang w:val="en-GB" w:eastAsia="cs-CZ"/>
              </w:rPr>
            </w:pPr>
            <w:r w:rsidRPr="001D0ADC">
              <w:rPr>
                <w:color w:val="auto"/>
                <w:lang w:val="en-GB" w:eastAsia="cs-CZ"/>
              </w:rPr>
              <w:t>LOEC for behaviour changes, GPT and LDH activity alteration</w:t>
            </w:r>
          </w:p>
        </w:tc>
        <w:tc>
          <w:tcPr>
            <w:tcW w:w="2633" w:type="dxa"/>
            <w:vMerge/>
            <w:tcBorders>
              <w:left w:val="nil"/>
              <w:right w:val="single" w:sz="4" w:space="0" w:color="auto"/>
            </w:tcBorders>
          </w:tcPr>
          <w:p w14:paraId="2D9EA8CC"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3ABE6EDB"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36AF8BBF" w14:textId="77777777" w:rsidR="00196808" w:rsidRPr="001D0ADC" w:rsidRDefault="00196808" w:rsidP="00196808">
            <w:pPr>
              <w:pStyle w:val="NoSpacing"/>
              <w:ind w:firstLine="0"/>
              <w:rPr>
                <w:color w:val="auto"/>
                <w:lang w:val="en-GB" w:eastAsia="cs-CZ"/>
              </w:rPr>
            </w:pPr>
          </w:p>
        </w:tc>
      </w:tr>
      <w:tr w:rsidR="001D0ADC" w:rsidRPr="001D0ADC" w14:paraId="7843E9FF" w14:textId="77777777" w:rsidTr="00CF4707">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5B7F098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39E87FE" w14:textId="35BB1841"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3D3FB54" w14:textId="77777777" w:rsidR="00196808" w:rsidRPr="001D0ADC" w:rsidRDefault="00196808" w:rsidP="00196808">
            <w:pPr>
              <w:pStyle w:val="NoSpacing"/>
              <w:ind w:firstLine="0"/>
              <w:rPr>
                <w:color w:val="auto"/>
                <w:lang w:val="en-GB" w:eastAsia="cs-CZ"/>
              </w:rPr>
            </w:pPr>
            <w:r w:rsidRPr="001D0ADC">
              <w:rPr>
                <w:color w:val="auto"/>
                <w:lang w:val="en-GB" w:eastAsia="cs-CZ"/>
              </w:rPr>
              <w:t>LOEC for GOT activity alteration</w:t>
            </w:r>
          </w:p>
        </w:tc>
        <w:tc>
          <w:tcPr>
            <w:tcW w:w="2633" w:type="dxa"/>
            <w:vMerge/>
            <w:tcBorders>
              <w:left w:val="nil"/>
              <w:bottom w:val="single" w:sz="4" w:space="0" w:color="auto"/>
              <w:right w:val="single" w:sz="4" w:space="0" w:color="auto"/>
            </w:tcBorders>
          </w:tcPr>
          <w:p w14:paraId="565DC07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5ADBE9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574ADFF" w14:textId="77777777" w:rsidR="00196808" w:rsidRPr="001D0ADC" w:rsidRDefault="00196808" w:rsidP="00196808">
            <w:pPr>
              <w:pStyle w:val="NoSpacing"/>
              <w:ind w:firstLine="0"/>
              <w:rPr>
                <w:color w:val="auto"/>
                <w:lang w:val="en-GB" w:eastAsia="cs-CZ"/>
              </w:rPr>
            </w:pPr>
          </w:p>
        </w:tc>
      </w:tr>
      <w:tr w:rsidR="001D0ADC" w:rsidRPr="001D0ADC" w14:paraId="726F3FD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814E317"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5458EC54" w14:textId="71DC65FF"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with ZF</w:t>
            </w:r>
            <w:r w:rsidR="000F6A8E" w:rsidRPr="001D0ADC">
              <w:rPr>
                <w:b/>
                <w:bCs/>
                <w:color w:val="auto"/>
                <w:lang w:val="en-GB" w:eastAsia="cs-CZ"/>
              </w:rPr>
              <w:t xml:space="preserve"> (mg/l)</w:t>
            </w:r>
          </w:p>
        </w:tc>
      </w:tr>
      <w:tr w:rsidR="001D0ADC" w:rsidRPr="001D0ADC" w14:paraId="18F70BB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0F0CF1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1461B0C" w14:textId="77777777" w:rsidR="00196808" w:rsidRPr="001D0ADC" w:rsidRDefault="00196808" w:rsidP="00196808">
            <w:pPr>
              <w:pStyle w:val="NoSpacing"/>
              <w:ind w:firstLine="0"/>
              <w:rPr>
                <w:color w:val="auto"/>
                <w:lang w:val="en-GB" w:eastAsia="cs-CZ"/>
              </w:rPr>
            </w:pPr>
            <w:r w:rsidRPr="001D0ADC">
              <w:rPr>
                <w:color w:val="auto"/>
                <w:lang w:val="en-GB" w:eastAsia="cs-CZ"/>
              </w:rPr>
              <w:t>70</w:t>
            </w:r>
          </w:p>
        </w:tc>
        <w:tc>
          <w:tcPr>
            <w:tcW w:w="4520" w:type="dxa"/>
            <w:tcBorders>
              <w:top w:val="single" w:sz="4" w:space="0" w:color="auto"/>
              <w:left w:val="nil"/>
              <w:bottom w:val="single" w:sz="4" w:space="0" w:color="auto"/>
              <w:right w:val="single" w:sz="4" w:space="0" w:color="auto"/>
            </w:tcBorders>
            <w:shd w:val="clear" w:color="auto" w:fill="auto"/>
            <w:vAlign w:val="bottom"/>
          </w:tcPr>
          <w:p w14:paraId="198865D7"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val="restart"/>
            <w:tcBorders>
              <w:top w:val="single" w:sz="4" w:space="0" w:color="auto"/>
              <w:left w:val="nil"/>
              <w:right w:val="single" w:sz="4" w:space="0" w:color="auto"/>
            </w:tcBorders>
          </w:tcPr>
          <w:p w14:paraId="20B7B1B7"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42296D55" w14:textId="77777777" w:rsidR="00196808" w:rsidRPr="001D0ADC" w:rsidRDefault="00196808" w:rsidP="00196808">
            <w:pPr>
              <w:pStyle w:val="NoSpacing"/>
              <w:ind w:firstLine="0"/>
              <w:rPr>
                <w:color w:val="auto"/>
                <w:lang w:val="en-GB" w:eastAsia="cs-CZ"/>
              </w:rPr>
            </w:pPr>
            <w:r w:rsidRPr="001D0ADC">
              <w:rPr>
                <w:color w:val="auto"/>
                <w:lang w:val="en-GB" w:eastAsia="cs-CZ"/>
              </w:rPr>
              <w:t>10d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A542407"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{"citationID":"qKOTHxye","properties":{"formattedCitation":"(Ferrari et al. 2003)","plainCitation":"(Ferrari et al. 2003)","noteIndex":0},"citationItems":[{"id":1287,"uris":["http://zotero.org/users/11614927/items/Y95S6W2C"],"itemData":{"id":1287,"type":"article-journal","abstract":"In four countries (France, Greece, Italy, and Sweden) occurrence in sewage treatment plant (STP) efﬂuents and ecotoxicity of the pharmaceuticals carbamazepine, cloﬁbric acid, and diclofenac were investigated. Bioassays were performed on bacteria, algae, microcrustaceans, and ﬁshes in order to calculate their predicted no-effect concentrations (PNEC) and to perform a ﬁrst approach of risk characterization. For this aim, risk has been estimated by the predicted environmental concentration/PNEC ratio and the measured environmental concentration/PNEC ratio. First, regarding the PNEC, carbamazepine appears to be the more hazardous compound. Second, even though it is demonstrated that carbamazepine, cloﬁbric acid, and diclofenac have been detected in efﬂuents, only carbamazepine have been detected in all sewage treatment plants with the greatest concentrations. Third, risk quotients greater than unity were calculated only for carbamazepine, suggesting that risk for the water compartment is expected. r 2003 Elsevier Science (USA). All rights reserved.","container-title":"Ecotoxicology and Environmental Safety","DOI":"10.1016/S0147-6513(02)00082-9","ISSN":"01476513","issue":"3","journalAbbreviation":"Ecotoxicology and Environmental Safety","language":"en","page":"359-370","source":"DOI.org (Crossref)","title":"Ecotoxicological impact of pharmaceuticals found in treated wastewaters: study of carbamazepine, clofibric acid, and diclofenac","title-short":"Ecotoxicological impact of pharmaceuticals found in treated wastewaters","volume":"55","author":[{"family":"Ferrari","given":"Benoı̂t"},{"family":"Paxéus","given":"Nicklas"},{"family":"Giudice","given":"Roberto Lo"},{"family":"Pollio","given":"Antonino"},{"family":"Garric","given":"Jeanne"}],"issued":{"date-parts":[["2003",7]]}}}],"schema":"https://github.com/citation-style-language/schema/raw/master/csl-citation.json"}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(Ferrari et al. 2003)</w:t>
            </w:r>
            <w:r w:rsidRPr="001D0ADC">
              <w:rPr>
                <w:color w:val="auto"/>
                <w:lang w:val="en-GB" w:eastAsia="cs-CZ"/>
              </w:rPr>
              <w:fldChar w:fldCharType="end"/>
            </w:r>
          </w:p>
        </w:tc>
      </w:tr>
      <w:tr w:rsidR="001D0ADC" w:rsidRPr="001D0ADC" w14:paraId="23B147F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888556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1410A91" w14:textId="77777777" w:rsidR="00196808" w:rsidRPr="001D0ADC" w:rsidRDefault="00196808" w:rsidP="00196808">
            <w:pPr>
              <w:pStyle w:val="NoSpacing"/>
              <w:ind w:firstLine="0"/>
              <w:rPr>
                <w:color w:val="auto"/>
                <w:lang w:val="en-GB" w:eastAsia="cs-CZ"/>
              </w:rPr>
            </w:pPr>
            <w:r w:rsidRPr="001D0ADC">
              <w:rPr>
                <w:color w:val="auto"/>
                <w:lang w:val="en-GB" w:eastAsia="cs-CZ"/>
              </w:rPr>
              <w:t>140</w:t>
            </w:r>
          </w:p>
        </w:tc>
        <w:tc>
          <w:tcPr>
            <w:tcW w:w="4520" w:type="dxa"/>
            <w:tcBorders>
              <w:top w:val="single" w:sz="4" w:space="0" w:color="auto"/>
              <w:left w:val="nil"/>
              <w:bottom w:val="single" w:sz="4" w:space="0" w:color="auto"/>
              <w:right w:val="single" w:sz="4" w:space="0" w:color="auto"/>
            </w:tcBorders>
            <w:shd w:val="clear" w:color="auto" w:fill="auto"/>
            <w:vAlign w:val="bottom"/>
          </w:tcPr>
          <w:p w14:paraId="373F0E5B" w14:textId="77777777" w:rsidR="00196808" w:rsidRPr="001D0ADC" w:rsidRDefault="00196808" w:rsidP="00196808">
            <w:pPr>
              <w:pStyle w:val="NoSpacing"/>
              <w:ind w:firstLine="0"/>
              <w:rPr>
                <w:color w:val="auto"/>
                <w:lang w:val="en-GB" w:eastAsia="cs-CZ"/>
              </w:rPr>
            </w:pPr>
            <w:r w:rsidRPr="001D0ADC">
              <w:rPr>
                <w:color w:val="auto"/>
                <w:lang w:val="en-GB" w:eastAsia="cs-CZ"/>
              </w:rPr>
              <w:t>LOEC for mortality</w:t>
            </w:r>
          </w:p>
        </w:tc>
        <w:tc>
          <w:tcPr>
            <w:tcW w:w="2633" w:type="dxa"/>
            <w:vMerge/>
            <w:tcBorders>
              <w:left w:val="nil"/>
              <w:bottom w:val="single" w:sz="4" w:space="0" w:color="auto"/>
              <w:right w:val="single" w:sz="4" w:space="0" w:color="auto"/>
            </w:tcBorders>
          </w:tcPr>
          <w:p w14:paraId="09167CF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EC4249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5BC4BB6" w14:textId="77777777" w:rsidR="00196808" w:rsidRPr="001D0ADC" w:rsidRDefault="00196808" w:rsidP="00196808">
            <w:pPr>
              <w:pStyle w:val="NoSpacing"/>
              <w:ind w:firstLine="0"/>
              <w:rPr>
                <w:color w:val="auto"/>
                <w:lang w:val="en-GB" w:eastAsia="cs-CZ"/>
              </w:rPr>
            </w:pPr>
          </w:p>
        </w:tc>
      </w:tr>
      <w:tr w:rsidR="001D0ADC" w:rsidRPr="001D0ADC" w14:paraId="378112F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322366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28CFFCE" w14:textId="77777777" w:rsidR="00196808" w:rsidRPr="001D0ADC" w:rsidRDefault="00196808" w:rsidP="00196808">
            <w:pPr>
              <w:pStyle w:val="NoSpacing"/>
              <w:ind w:firstLine="0"/>
              <w:rPr>
                <w:color w:val="auto"/>
                <w:lang w:val="en-GB" w:eastAsia="cs-CZ"/>
              </w:rPr>
            </w:pPr>
            <w:r w:rsidRPr="001D0ADC">
              <w:rPr>
                <w:color w:val="auto"/>
                <w:lang w:val="en-GB" w:eastAsia="cs-CZ"/>
              </w:rPr>
              <w:t>86</w:t>
            </w:r>
          </w:p>
        </w:tc>
        <w:tc>
          <w:tcPr>
            <w:tcW w:w="4520" w:type="dxa"/>
            <w:tcBorders>
              <w:top w:val="single" w:sz="4" w:space="0" w:color="auto"/>
              <w:left w:val="nil"/>
              <w:bottom w:val="single" w:sz="4" w:space="0" w:color="auto"/>
              <w:right w:val="single" w:sz="4" w:space="0" w:color="auto"/>
            </w:tcBorders>
            <w:shd w:val="clear" w:color="auto" w:fill="auto"/>
            <w:vAlign w:val="bottom"/>
          </w:tcPr>
          <w:p w14:paraId="663E5022" w14:textId="77777777" w:rsidR="00196808" w:rsidRPr="001D0ADC" w:rsidRDefault="00196808" w:rsidP="00196808">
            <w:pPr>
              <w:pStyle w:val="NoSpacing"/>
              <w:ind w:firstLine="0"/>
              <w:rPr>
                <w:color w:val="auto"/>
                <w:lang w:val="en-GB" w:eastAsia="cs-CZ"/>
              </w:rPr>
            </w:pPr>
            <w:r w:rsidRPr="001D0ADC">
              <w:rPr>
                <w:color w:val="auto"/>
                <w:lang w:val="en-GB" w:eastAsia="cs-CZ"/>
              </w:rPr>
              <w:t>EC50 mortality</w:t>
            </w:r>
          </w:p>
        </w:tc>
        <w:tc>
          <w:tcPr>
            <w:tcW w:w="2633" w:type="dxa"/>
            <w:vMerge w:val="restart"/>
            <w:tcBorders>
              <w:top w:val="single" w:sz="4" w:space="0" w:color="auto"/>
              <w:left w:val="nil"/>
              <w:right w:val="single" w:sz="4" w:space="0" w:color="auto"/>
            </w:tcBorders>
          </w:tcPr>
          <w:p w14:paraId="7F95216F"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17308D8C" w14:textId="77777777" w:rsidR="00196808" w:rsidRPr="001D0ADC" w:rsidRDefault="00196808" w:rsidP="00196808">
            <w:pPr>
              <w:pStyle w:val="NoSpacing"/>
              <w:ind w:firstLine="0"/>
              <w:rPr>
                <w:color w:val="auto"/>
                <w:lang w:val="en-GB" w:eastAsia="cs-CZ"/>
              </w:rPr>
            </w:pPr>
            <w:r w:rsidRPr="001D0ADC">
              <w:rPr>
                <w:color w:val="auto"/>
                <w:lang w:val="en-GB" w:eastAsia="cs-CZ"/>
              </w:rPr>
              <w:t>48h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3CB2EED4"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{"citationID":"L8ZhkVEt","properties":{"formattedCitation":"(Henschel et al. 1997)","plainCitation":"(Henschel et al. 1997)","noteIndex":0},"citationItems":[{"id":1320,"uris":["http://zotero.org/users/11614927/items/UYF8SCE6"],"itemData":{"id":1320,"type":"article-journal","container-title":"Regulatory Toxicology and Pharmacology","DOI":"10.1006/rtph.1997.1102","ISSN":"02732300","issue":"3","journalAbbreviation":"Regulatory Toxicology and Pharmacology","language":"en","page":"220-225","source":"DOI.org (Crossref)","title":"Environmental Hazard Assessment of Pharmaceuticals","volume":"25","author":[{"family":"Henschel","given":"K.-P."},{"family":"Wenzel","given":"A."},{"family":"Diedrich","given":"M."},{"family":"Fliedner","given":"A."}],"issued":{"date-parts":[["1997",6]]}}}],"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(Henschel et al. 1997)</w:t>
            </w:r>
            <w:r w:rsidRPr="001D0ADC">
              <w:rPr>
                <w:color w:val="auto"/>
                <w:lang w:val="en-GB" w:eastAsia="cs-CZ"/>
              </w:rPr>
              <w:fldChar w:fldCharType="end"/>
            </w:r>
          </w:p>
        </w:tc>
      </w:tr>
      <w:tr w:rsidR="001D0ADC" w:rsidRPr="001D0ADC" w14:paraId="68EE954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DC20A7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818448E" w14:textId="77777777" w:rsidR="00196808" w:rsidRPr="001D0ADC" w:rsidRDefault="00196808" w:rsidP="00196808">
            <w:pPr>
              <w:pStyle w:val="NoSpacing"/>
              <w:ind w:firstLine="0"/>
              <w:rPr>
                <w:color w:val="auto"/>
                <w:lang w:val="en-GB" w:eastAsia="cs-CZ"/>
              </w:rPr>
            </w:pPr>
            <w:r w:rsidRPr="001D0ADC">
              <w:rPr>
                <w:color w:val="auto"/>
                <w:lang w:val="en-GB" w:eastAsia="cs-CZ"/>
              </w:rPr>
              <w:t>126</w:t>
            </w:r>
          </w:p>
        </w:tc>
        <w:tc>
          <w:tcPr>
            <w:tcW w:w="4520" w:type="dxa"/>
            <w:tcBorders>
              <w:top w:val="single" w:sz="4" w:space="0" w:color="auto"/>
              <w:left w:val="nil"/>
              <w:bottom w:val="single" w:sz="4" w:space="0" w:color="auto"/>
              <w:right w:val="single" w:sz="4" w:space="0" w:color="auto"/>
            </w:tcBorders>
            <w:shd w:val="clear" w:color="auto" w:fill="auto"/>
            <w:vAlign w:val="bottom"/>
          </w:tcPr>
          <w:p w14:paraId="660AE6CE" w14:textId="77777777" w:rsidR="00196808" w:rsidRPr="001D0ADC" w:rsidRDefault="00196808" w:rsidP="00196808">
            <w:pPr>
              <w:pStyle w:val="NoSpacing"/>
              <w:ind w:firstLine="0"/>
              <w:rPr>
                <w:color w:val="auto"/>
                <w:lang w:val="en-GB" w:eastAsia="cs-CZ"/>
              </w:rPr>
            </w:pPr>
            <w:r w:rsidRPr="001D0ADC">
              <w:rPr>
                <w:color w:val="auto"/>
                <w:lang w:val="en-GB" w:eastAsia="cs-CZ"/>
              </w:rPr>
              <w:t>EC pulse rate</w:t>
            </w:r>
          </w:p>
        </w:tc>
        <w:tc>
          <w:tcPr>
            <w:tcW w:w="2633" w:type="dxa"/>
            <w:vMerge/>
            <w:tcBorders>
              <w:left w:val="nil"/>
              <w:bottom w:val="single" w:sz="4" w:space="0" w:color="auto"/>
              <w:right w:val="single" w:sz="4" w:space="0" w:color="auto"/>
            </w:tcBorders>
          </w:tcPr>
          <w:p w14:paraId="4B456A44"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10A8F1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D203DC5" w14:textId="77777777" w:rsidR="00196808" w:rsidRPr="001D0ADC" w:rsidRDefault="00196808" w:rsidP="00196808">
            <w:pPr>
              <w:pStyle w:val="NoSpacing"/>
              <w:ind w:firstLine="0"/>
              <w:rPr>
                <w:color w:val="auto"/>
                <w:lang w:val="en-GB" w:eastAsia="cs-CZ"/>
              </w:rPr>
            </w:pPr>
          </w:p>
        </w:tc>
      </w:tr>
      <w:tr w:rsidR="001D0ADC" w:rsidRPr="001D0ADC" w14:paraId="5C21A4C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3E2393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8B993BA" w14:textId="040A95F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42650882" w14:textId="77777777" w:rsidR="00196808" w:rsidRPr="001D0ADC" w:rsidRDefault="00196808" w:rsidP="00196808">
            <w:pPr>
              <w:pStyle w:val="NoSpacing"/>
              <w:ind w:firstLine="0"/>
              <w:rPr>
                <w:color w:val="auto"/>
                <w:lang w:val="en-GB" w:eastAsia="cs-CZ"/>
              </w:rPr>
            </w:pPr>
            <w:r w:rsidRPr="001D0ADC">
              <w:rPr>
                <w:color w:val="auto"/>
                <w:lang w:val="en-GB" w:eastAsia="cs-CZ"/>
              </w:rPr>
              <w:t>LOEC for swimming activity alteration</w:t>
            </w:r>
          </w:p>
        </w:tc>
        <w:tc>
          <w:tcPr>
            <w:tcW w:w="2633" w:type="dxa"/>
            <w:vMerge w:val="restart"/>
            <w:tcBorders>
              <w:left w:val="nil"/>
              <w:right w:val="single" w:sz="4" w:space="0" w:color="auto"/>
            </w:tcBorders>
          </w:tcPr>
          <w:p w14:paraId="39043712"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left w:val="single" w:sz="4" w:space="0" w:color="auto"/>
              <w:right w:val="single" w:sz="4" w:space="0" w:color="auto"/>
            </w:tcBorders>
          </w:tcPr>
          <w:p w14:paraId="71C19131" w14:textId="77777777"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vMerge w:val="restart"/>
            <w:tcBorders>
              <w:left w:val="single" w:sz="4" w:space="0" w:color="auto"/>
              <w:right w:val="single" w:sz="4" w:space="0" w:color="auto"/>
            </w:tcBorders>
            <w:shd w:val="clear" w:color="auto" w:fill="auto"/>
            <w:vAlign w:val="bottom"/>
          </w:tcPr>
          <w:p w14:paraId="29EBF4F8"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{"citationID":"qkOqgqum","properties":{"formattedCitation":"(Rebelo, Correia, and Nunes 2020)","plainCitation":"(Rebelo, Correia, and Nunes 2020)","noteIndex":0},"citationItems":[{"id":1451,"uris":["http://zotero.org/users/11614927/items/F2QF98Y3"],"itemData":{"id":1451,"type":"article-journal","abstract":"Due to their widespread use, pharmaceuticals can be metabolized, excreted and ultimately discarded in the environment, thereby affecting aquatic organisms. Lipid-regulating drugs are among the most prescribed medications around the world, controlling human cholesterol levels, in more than 20 million patients. Despite this growing use of lipid-regulating drugs, particularly those whose active metabolite is clofibric acid, the potential toxicological effects of these pharmaceuticals in the environment is not fully characterized. This work intended to characterize the toxicity of an acute (120 hours post-fertilization) and chronic (60 days post-fertilization) exposures to clofibric acid in concentrations of 10.35, 20.7, 41.4, 82.8, and 165.6 μg L-1 in zebrafish (Danio rerio). The concentrations which were implemented in both exposures were based on predicted environmental concentrations for Portuguese surface waters. The acute effects were analysed focusing on behavioural endpoints (small and large distance travelled, swimming time and total distance travelled), biomarkers of oxidative stress (activity of the enzymes superoxide dismutase, Cu/Zn- and Mn SOD; catalase, CAT; glutathione peroxidase, Se- and total GPx), biotransformation (activity of glutathione S-transferases, GSTs) and lipid peroxidation (thiobarbituric acid reactive substances, TBARS). Chronically exposed individuals were also histologically analysed for sex determination and gonadal developmental stages. In terms of acute exposure, significant alterations were reported, in terms of behavioural alterations (hypoactivity), followed by an overall increase in all tested biomarkers. Chronically exposed organisms did not show alterations in terms of sex ratio and maturation stages, suggesting that clofibric acid did not act as an endocrine disruptor. Moreover, the metabolism of clofibric acid resulted in increased levels of both forms of SOD activity, especially for animals exposed to higher levels of this drug. An increase of CAT activity was observed in fish exposed to low levels, and a decrease in those exposed to higher amounts of clofibric acid. Both GPx forms had their activities increased. The enzyme of biotransformation GSTs were increased at low levels of clofibric acid but inhibited at higher amounts of this substance. Lipid peroxidation levels were also changed, with an induction of this parameter with increasing amounts of clofibric acid. Changes also occurred in behavioural endpoints and patterns for control organisms and for those exposed to clofibric acid were significantly distinct, for all types (light and darkness) of exposure, and for the two analysed endpoints (small and large distance). Results from this assay allow inferring that clofibric acid can have an ecologically relevant impact in living organisms exposed to this substance, with putative effects on the metabolism of individuals, affecting their behaviour and ultimately their survival.","container-title":"Environmental Toxicology and Pharmacology","DOI":"10.1016/j.etap.2020.103468","ISSN":"13826689","journalAbbreviation":"Environmental Toxicology and Pharmacology","language":"en","page":"103468","source":"DOI.org (Crossref)","title":"Acute and chronic effects of environmental realistic concentrations of clofibric acid in Danio rerio: Behaviour, oxidative stress, biotransformation and lipid peroxidation endpoints","title-short":"Acute and chronic effects of environmental realistic concentrations of clofibric acid in Danio rerio","volume":"80","author":[{"family":"Rebelo","given":"D."},{"family":"Correia","given":"A.T."},{"family":"Nunes","given":"B."}],"issued":{"date-parts":[["2020",11]]}}}],"schema":"https://github.com/citation-style-language/schema/raw/master/csl-citation.json"}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(Rebelo, Correia, and Nunes 2020)</w:t>
            </w:r>
            <w:r w:rsidRPr="001D0ADC">
              <w:rPr>
                <w:color w:val="auto"/>
                <w:lang w:val="en-GB" w:eastAsia="cs-CZ"/>
              </w:rPr>
              <w:fldChar w:fldCharType="end"/>
            </w:r>
          </w:p>
        </w:tc>
      </w:tr>
      <w:tr w:rsidR="001D0ADC" w:rsidRPr="001D0ADC" w14:paraId="3B2C926D" w14:textId="77777777" w:rsidTr="00CF4707">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11BB92E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4007B1E" w14:textId="6B12C12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04</w:t>
            </w:r>
          </w:p>
        </w:tc>
        <w:tc>
          <w:tcPr>
            <w:tcW w:w="4520" w:type="dxa"/>
            <w:tcBorders>
              <w:top w:val="single" w:sz="4" w:space="0" w:color="auto"/>
              <w:left w:val="nil"/>
              <w:bottom w:val="single" w:sz="4" w:space="0" w:color="auto"/>
              <w:right w:val="single" w:sz="4" w:space="0" w:color="auto"/>
            </w:tcBorders>
            <w:shd w:val="clear" w:color="auto" w:fill="auto"/>
            <w:vAlign w:val="bottom"/>
          </w:tcPr>
          <w:p w14:paraId="018012C2" w14:textId="77777777" w:rsidR="00196808" w:rsidRPr="001D0ADC" w:rsidRDefault="00196808" w:rsidP="00196808">
            <w:pPr>
              <w:pStyle w:val="NoSpacing"/>
              <w:ind w:firstLine="0"/>
              <w:rPr>
                <w:color w:val="auto"/>
                <w:lang w:val="en-GB" w:eastAsia="cs-CZ"/>
              </w:rPr>
            </w:pPr>
            <w:r w:rsidRPr="001D0ADC">
              <w:rPr>
                <w:color w:val="auto"/>
                <w:lang w:val="en-GB" w:eastAsia="cs-CZ"/>
              </w:rPr>
              <w:t>LOEC for GPx, MnSOD activity, and TBARS alteration</w:t>
            </w:r>
          </w:p>
        </w:tc>
        <w:tc>
          <w:tcPr>
            <w:tcW w:w="2633" w:type="dxa"/>
            <w:vMerge/>
            <w:tcBorders>
              <w:left w:val="nil"/>
              <w:right w:val="single" w:sz="4" w:space="0" w:color="auto"/>
            </w:tcBorders>
          </w:tcPr>
          <w:p w14:paraId="295C3C5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5282F732"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552239B" w14:textId="77777777" w:rsidR="00196808" w:rsidRPr="001D0ADC" w:rsidRDefault="00196808" w:rsidP="00196808">
            <w:pPr>
              <w:pStyle w:val="NoSpacing"/>
              <w:ind w:firstLine="0"/>
              <w:rPr>
                <w:color w:val="auto"/>
                <w:lang w:val="en-GB" w:eastAsia="cs-CZ"/>
              </w:rPr>
            </w:pPr>
          </w:p>
        </w:tc>
      </w:tr>
      <w:tr w:rsidR="001D0ADC" w:rsidRPr="001D0ADC" w14:paraId="17800E85" w14:textId="77777777" w:rsidTr="00CF4707">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37FA446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71DFC7B" w14:textId="11601F7F"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02</w:t>
            </w:r>
          </w:p>
        </w:tc>
        <w:tc>
          <w:tcPr>
            <w:tcW w:w="4520" w:type="dxa"/>
            <w:tcBorders>
              <w:top w:val="single" w:sz="4" w:space="0" w:color="auto"/>
              <w:left w:val="nil"/>
              <w:bottom w:val="single" w:sz="4" w:space="0" w:color="auto"/>
              <w:right w:val="single" w:sz="4" w:space="0" w:color="auto"/>
            </w:tcBorders>
            <w:shd w:val="clear" w:color="auto" w:fill="auto"/>
            <w:vAlign w:val="bottom"/>
          </w:tcPr>
          <w:p w14:paraId="746BB9D8" w14:textId="77777777" w:rsidR="00196808" w:rsidRPr="001D0ADC" w:rsidRDefault="00196808" w:rsidP="00196808">
            <w:pPr>
              <w:pStyle w:val="NoSpacing"/>
              <w:ind w:firstLine="0"/>
              <w:rPr>
                <w:color w:val="auto"/>
                <w:lang w:val="en-GB" w:eastAsia="cs-CZ"/>
              </w:rPr>
            </w:pPr>
            <w:r w:rsidRPr="001D0ADC">
              <w:rPr>
                <w:color w:val="auto"/>
                <w:lang w:val="en-GB" w:eastAsia="cs-CZ"/>
              </w:rPr>
              <w:t>LOEC for GSTs, and CAT activity alteration</w:t>
            </w:r>
          </w:p>
        </w:tc>
        <w:tc>
          <w:tcPr>
            <w:tcW w:w="2633" w:type="dxa"/>
            <w:vMerge/>
            <w:tcBorders>
              <w:left w:val="nil"/>
              <w:right w:val="single" w:sz="4" w:space="0" w:color="auto"/>
            </w:tcBorders>
          </w:tcPr>
          <w:p w14:paraId="63C59864"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2E741729"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36A949C6" w14:textId="77777777" w:rsidR="00196808" w:rsidRPr="001D0ADC" w:rsidRDefault="00196808" w:rsidP="00196808">
            <w:pPr>
              <w:pStyle w:val="NoSpacing"/>
              <w:ind w:firstLine="0"/>
              <w:rPr>
                <w:color w:val="auto"/>
                <w:lang w:val="en-GB" w:eastAsia="cs-CZ"/>
              </w:rPr>
            </w:pPr>
          </w:p>
        </w:tc>
      </w:tr>
      <w:tr w:rsidR="001D0ADC" w:rsidRPr="001D0ADC" w14:paraId="6353A0B8" w14:textId="77777777" w:rsidTr="00CF4707">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26B9B2C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D0C2115" w14:textId="66D449B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08</w:t>
            </w:r>
          </w:p>
        </w:tc>
        <w:tc>
          <w:tcPr>
            <w:tcW w:w="4520" w:type="dxa"/>
            <w:tcBorders>
              <w:top w:val="single" w:sz="4" w:space="0" w:color="auto"/>
              <w:left w:val="nil"/>
              <w:bottom w:val="single" w:sz="4" w:space="0" w:color="auto"/>
              <w:right w:val="single" w:sz="4" w:space="0" w:color="auto"/>
            </w:tcBorders>
            <w:shd w:val="clear" w:color="auto" w:fill="auto"/>
            <w:vAlign w:val="bottom"/>
          </w:tcPr>
          <w:p w14:paraId="155E0397" w14:textId="77777777" w:rsidR="00196808" w:rsidRPr="001D0ADC" w:rsidRDefault="00196808" w:rsidP="00196808">
            <w:pPr>
              <w:pStyle w:val="NoSpacing"/>
              <w:ind w:firstLine="0"/>
              <w:rPr>
                <w:color w:val="auto"/>
                <w:lang w:val="en-GB" w:eastAsia="cs-CZ"/>
              </w:rPr>
            </w:pPr>
            <w:r w:rsidRPr="001D0ADC">
              <w:rPr>
                <w:color w:val="auto"/>
                <w:lang w:val="en-GB" w:eastAsia="cs-CZ"/>
              </w:rPr>
              <w:t>LOEC for Cu-ZnSOD activity alteration</w:t>
            </w:r>
          </w:p>
        </w:tc>
        <w:tc>
          <w:tcPr>
            <w:tcW w:w="2633" w:type="dxa"/>
            <w:vMerge/>
            <w:tcBorders>
              <w:left w:val="nil"/>
              <w:bottom w:val="single" w:sz="4" w:space="0" w:color="auto"/>
              <w:right w:val="single" w:sz="4" w:space="0" w:color="auto"/>
            </w:tcBorders>
          </w:tcPr>
          <w:p w14:paraId="52BC6CF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1ADAAB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E7AAD36" w14:textId="77777777" w:rsidR="00196808" w:rsidRPr="001D0ADC" w:rsidRDefault="00196808" w:rsidP="00196808">
            <w:pPr>
              <w:pStyle w:val="NoSpacing"/>
              <w:ind w:firstLine="0"/>
              <w:rPr>
                <w:color w:val="auto"/>
                <w:lang w:val="en-GB" w:eastAsia="cs-CZ"/>
              </w:rPr>
            </w:pPr>
          </w:p>
        </w:tc>
      </w:tr>
      <w:tr w:rsidR="001D0ADC" w:rsidRPr="001D0ADC" w14:paraId="30EDD26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41CD29E"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00C8C302" w14:textId="0B45F8DD"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(cell lines)</w:t>
            </w:r>
            <w:r w:rsidR="000F6A8E" w:rsidRPr="001D0ADC">
              <w:rPr>
                <w:b/>
                <w:bCs/>
                <w:color w:val="auto"/>
                <w:lang w:val="en-GB" w:eastAsia="cs-CZ"/>
              </w:rPr>
              <w:t xml:space="preserve"> (mg/l)</w:t>
            </w:r>
          </w:p>
        </w:tc>
      </w:tr>
      <w:tr w:rsidR="001D0ADC" w:rsidRPr="001D0ADC" w14:paraId="149B9BC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EADBFD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AA57B33" w14:textId="77777777" w:rsidR="00196808" w:rsidRPr="001D0ADC" w:rsidRDefault="00196808" w:rsidP="00196808">
            <w:pPr>
              <w:pStyle w:val="NoSpacing"/>
              <w:ind w:firstLine="0"/>
              <w:rPr>
                <w:color w:val="auto"/>
                <w:lang w:val="en-GB" w:eastAsia="cs-CZ"/>
              </w:rPr>
            </w:pPr>
            <w:r w:rsidRPr="001D0ADC">
              <w:rPr>
                <w:color w:val="auto"/>
                <w:lang w:val="en-GB" w:eastAsia="cs-CZ"/>
              </w:rPr>
              <w:t>809</w:t>
            </w:r>
          </w:p>
        </w:tc>
        <w:tc>
          <w:tcPr>
            <w:tcW w:w="4520" w:type="dxa"/>
            <w:tcBorders>
              <w:top w:val="single" w:sz="4" w:space="0" w:color="auto"/>
              <w:left w:val="nil"/>
              <w:bottom w:val="single" w:sz="4" w:space="0" w:color="auto"/>
              <w:right w:val="single" w:sz="4" w:space="0" w:color="auto"/>
            </w:tcBorders>
            <w:shd w:val="clear" w:color="auto" w:fill="auto"/>
            <w:vAlign w:val="bottom"/>
          </w:tcPr>
          <w:p w14:paraId="19743ECA"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1B9992B8"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RTG-2 MTT</w:t>
            </w:r>
          </w:p>
        </w:tc>
        <w:tc>
          <w:tcPr>
            <w:tcW w:w="1967" w:type="dxa"/>
            <w:tcBorders>
              <w:top w:val="single" w:sz="4" w:space="0" w:color="auto"/>
              <w:left w:val="single" w:sz="4" w:space="0" w:color="auto"/>
              <w:bottom w:val="single" w:sz="4" w:space="0" w:color="auto"/>
              <w:right w:val="single" w:sz="4" w:space="0" w:color="auto"/>
            </w:tcBorders>
          </w:tcPr>
          <w:p w14:paraId="6D9E4D52"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D0930A2"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{"citationID":"pfDyy2Xr","properties":{"formattedCitation":"(Caminada, Escher, and Fent 2006)","plainCitation":"(Caminada, Escher, and Fent 2006)","noteIndex":0},"citationItems":[{"id":1190,"uris":["http://zotero.org/users/11614927/items/PF8NEWNG"],"itemData":{"id":1190,"type":"article-journal","abstract":"There is need for a better understanding of the ecotoxicity of pharmaceuticals present in aquatic systems as only little is known about their potential acute and chronic toxicity to aquatic organisms. In our work, we evaluate the in vitro cytotoxicity of 34 common pharmaceuticals from different classes and with different modes of action using the mitochondrial MTT reduction and neutral red uptake assays in the two ﬁsh cell lines, PLHC-1 and RTG-2. Cytotoxicity was found for 21 pharmaceuticals with EC50-values ranging from 2.1 </w:instrText>
            </w:r>
            <w:r w:rsidRPr="001D0ADC">
              <w:rPr>
                <w:rFonts w:cs="Times New Roman"/>
                <w:color w:val="auto"/>
                <w:lang w:val="en-GB" w:eastAsia="cs-CZ"/>
              </w:rPr>
              <w:instrText>␮</w:instrText>
            </w:r>
            <w:r w:rsidRPr="001D0ADC">
              <w:rPr>
                <w:color w:val="auto"/>
                <w:lang w:val="en-GB" w:eastAsia="cs-CZ"/>
              </w:rPr>
              <w:instrText>M (1.14 mg l</w:instrText>
            </w:r>
            <w:r w:rsidRPr="001D0ADC">
              <w:rPr>
                <w:rFonts w:cs="Times New Roman"/>
                <w:color w:val="auto"/>
                <w:lang w:val="en-GB" w:eastAsia="cs-CZ"/>
              </w:rPr>
              <w:instrText>−</w:instrText>
            </w:r>
            <w:r w:rsidRPr="001D0ADC">
              <w:rPr>
                <w:color w:val="auto"/>
                <w:lang w:val="en-GB" w:eastAsia="cs-CZ"/>
              </w:rPr>
              <w:instrText>1) (doxorubicin) to 8.66 mM (1200 mg l</w:instrText>
            </w:r>
            <w:r w:rsidRPr="001D0ADC">
              <w:rPr>
                <w:rFonts w:cs="Times New Roman"/>
                <w:color w:val="auto"/>
                <w:lang w:val="en-GB" w:eastAsia="cs-CZ"/>
              </w:rPr>
              <w:instrText>−</w:instrText>
            </w:r>
            <w:r w:rsidRPr="001D0ADC">
              <w:rPr>
                <w:color w:val="auto"/>
                <w:lang w:val="en-GB" w:eastAsia="cs-CZ"/>
              </w:rPr>
              <w:instrText>1) (salicylic acid). There was no signi</w:instrText>
            </w:r>
            <w:r w:rsidRPr="001D0ADC">
              <w:rPr>
                <w:rFonts w:cs="Times New Roman"/>
                <w:color w:val="auto"/>
                <w:lang w:val="en-GB" w:eastAsia="cs-CZ"/>
              </w:rPr>
              <w:instrText>ﬁ</w:instrText>
            </w:r>
            <w:r w:rsidRPr="001D0ADC">
              <w:rPr>
                <w:color w:val="auto"/>
                <w:lang w:val="en-GB" w:eastAsia="cs-CZ"/>
              </w:rPr>
              <w:instrText xml:space="preserve">cant difference between the MTT and NR assays except for an increase in absorption observed with four pharmaceuticals at low concentrations in the MTT assay with PLHC-1 cells indicating a hormesis effect. The comparison of the cell lines revealed that the PLHC-1 cell line was slightly more sensitive than the RTG-2 cell line, showing cytotoxicity at smaller concentrations. The cytotoxicity of pharmaceuticals showed a correlation with their Log D-values at physiological conditions (pH 7.0). A correlation between the in vitro data and in vivo data was found for Daphnia, but not for ﬁsh due to insufﬁcient and heterogeneous data. Our work provides an indication that in vitro cytotoxicity assays with ﬁsh cell lines could be suited for the ﬁrst screening of the acute in vivo toxicity of pharmaceuticals, thereby contributing to the reduction of in vivo experiments. Further investigations with a larger set of pharmaceuticals are needed to strengthen the reliability of the assays and to validate the correlation with in vivo data.","container-title":"Aquatic Toxicology","DOI":"10.1016/j.aquatox.2006.05.010","ISSN":"0166445X","issue":"2","journalAbbreviation":"Aquatic Toxicology","language":"en","page":"114-123","source":"DOI.org (Crossref)","title":"Cytotoxicity of pharmaceuticals found in aquatic systems: Comparison of PLHC-1 and RTG-2 fish cell lines","title-short":"Cytotoxicity of pharmaceuticals found in aquatic systems","volume":"79","author":[{"family":"Caminada","given":"Daniel"},{"family":"Escher","given":"Claudia"},{"family":"Fent","given":"Karl"}],"issued":{"date-parts":[["2006",8]]}}}],"schema":"https://github.com/citation-style-language/schema/raw/master/csl-citation.json"}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(Caminada, Escher, and Fent 2006)</w:t>
            </w:r>
            <w:r w:rsidRPr="001D0ADC">
              <w:rPr>
                <w:color w:val="auto"/>
                <w:lang w:val="en-GB" w:eastAsia="cs-CZ"/>
              </w:rPr>
              <w:fldChar w:fldCharType="end"/>
            </w:r>
          </w:p>
        </w:tc>
      </w:tr>
      <w:tr w:rsidR="001D0ADC" w:rsidRPr="001D0ADC" w14:paraId="1DFE63B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0B414E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792EC8A" w14:textId="77777777" w:rsidR="00196808" w:rsidRPr="001D0ADC" w:rsidRDefault="00196808" w:rsidP="00196808">
            <w:pPr>
              <w:pStyle w:val="NoSpacing"/>
              <w:ind w:firstLine="0"/>
              <w:rPr>
                <w:color w:val="auto"/>
                <w:lang w:val="en-GB" w:eastAsia="cs-CZ"/>
              </w:rPr>
            </w:pPr>
            <w:r w:rsidRPr="001D0ADC">
              <w:rPr>
                <w:color w:val="auto"/>
                <w:lang w:val="en-GB" w:eastAsia="cs-CZ"/>
              </w:rPr>
              <w:t>676</w:t>
            </w:r>
          </w:p>
        </w:tc>
        <w:tc>
          <w:tcPr>
            <w:tcW w:w="4520" w:type="dxa"/>
            <w:tcBorders>
              <w:top w:val="single" w:sz="4" w:space="0" w:color="auto"/>
              <w:left w:val="nil"/>
              <w:bottom w:val="single" w:sz="4" w:space="0" w:color="auto"/>
              <w:right w:val="single" w:sz="4" w:space="0" w:color="auto"/>
            </w:tcBorders>
            <w:shd w:val="clear" w:color="auto" w:fill="auto"/>
            <w:vAlign w:val="bottom"/>
          </w:tcPr>
          <w:p w14:paraId="2A891EF5"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69757903"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MTT</w:t>
            </w:r>
          </w:p>
        </w:tc>
        <w:tc>
          <w:tcPr>
            <w:tcW w:w="1967" w:type="dxa"/>
            <w:tcBorders>
              <w:top w:val="single" w:sz="4" w:space="0" w:color="auto"/>
              <w:left w:val="single" w:sz="4" w:space="0" w:color="auto"/>
              <w:bottom w:val="single" w:sz="4" w:space="0" w:color="auto"/>
              <w:right w:val="single" w:sz="4" w:space="0" w:color="auto"/>
            </w:tcBorders>
          </w:tcPr>
          <w:p w14:paraId="5AB06A64"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right w:val="single" w:sz="4" w:space="0" w:color="auto"/>
            </w:tcBorders>
            <w:shd w:val="clear" w:color="auto" w:fill="auto"/>
            <w:vAlign w:val="bottom"/>
          </w:tcPr>
          <w:p w14:paraId="3CEE534C" w14:textId="77777777" w:rsidR="00196808" w:rsidRPr="001D0ADC" w:rsidRDefault="00196808" w:rsidP="00196808">
            <w:pPr>
              <w:pStyle w:val="NoSpacing"/>
              <w:ind w:firstLine="0"/>
              <w:rPr>
                <w:color w:val="auto"/>
                <w:lang w:val="en-GB" w:eastAsia="cs-CZ"/>
              </w:rPr>
            </w:pPr>
          </w:p>
        </w:tc>
      </w:tr>
      <w:tr w:rsidR="001D0ADC" w:rsidRPr="001D0ADC" w14:paraId="06B1269D"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343A2B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4C72F43" w14:textId="77777777" w:rsidR="00196808" w:rsidRPr="001D0ADC" w:rsidRDefault="00196808" w:rsidP="00196808">
            <w:pPr>
              <w:pStyle w:val="NoSpacing"/>
              <w:ind w:firstLine="0"/>
              <w:rPr>
                <w:color w:val="auto"/>
                <w:lang w:val="en-GB" w:eastAsia="cs-CZ"/>
              </w:rPr>
            </w:pPr>
            <w:r w:rsidRPr="001D0ADC">
              <w:rPr>
                <w:color w:val="auto"/>
                <w:lang w:val="en-GB" w:eastAsia="cs-CZ"/>
              </w:rPr>
              <w:t>1073</w:t>
            </w:r>
          </w:p>
        </w:tc>
        <w:tc>
          <w:tcPr>
            <w:tcW w:w="4520" w:type="dxa"/>
            <w:tcBorders>
              <w:top w:val="single" w:sz="4" w:space="0" w:color="auto"/>
              <w:left w:val="nil"/>
              <w:bottom w:val="single" w:sz="4" w:space="0" w:color="auto"/>
              <w:right w:val="single" w:sz="4" w:space="0" w:color="auto"/>
            </w:tcBorders>
            <w:shd w:val="clear" w:color="auto" w:fill="auto"/>
            <w:vAlign w:val="bottom"/>
          </w:tcPr>
          <w:p w14:paraId="386CE7D2"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45062BE5"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NR</w:t>
            </w:r>
          </w:p>
        </w:tc>
        <w:tc>
          <w:tcPr>
            <w:tcW w:w="1967" w:type="dxa"/>
            <w:tcBorders>
              <w:top w:val="single" w:sz="4" w:space="0" w:color="auto"/>
              <w:left w:val="single" w:sz="4" w:space="0" w:color="auto"/>
              <w:bottom w:val="single" w:sz="4" w:space="0" w:color="auto"/>
              <w:right w:val="single" w:sz="4" w:space="0" w:color="auto"/>
            </w:tcBorders>
          </w:tcPr>
          <w:p w14:paraId="18CECA68"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bottom w:val="single" w:sz="4" w:space="0" w:color="auto"/>
              <w:right w:val="single" w:sz="4" w:space="0" w:color="auto"/>
            </w:tcBorders>
            <w:shd w:val="clear" w:color="auto" w:fill="auto"/>
            <w:vAlign w:val="bottom"/>
          </w:tcPr>
          <w:p w14:paraId="5037C5EE" w14:textId="77777777" w:rsidR="00196808" w:rsidRPr="001D0ADC" w:rsidRDefault="00196808" w:rsidP="00196808">
            <w:pPr>
              <w:pStyle w:val="NoSpacing"/>
              <w:ind w:firstLine="0"/>
              <w:rPr>
                <w:color w:val="auto"/>
                <w:lang w:val="en-GB" w:eastAsia="cs-CZ"/>
              </w:rPr>
            </w:pPr>
          </w:p>
        </w:tc>
      </w:tr>
      <w:tr w:rsidR="001D0ADC" w:rsidRPr="001D0ADC" w14:paraId="1F3B8CE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522FEC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A94AC13" w14:textId="77777777" w:rsidR="00196808" w:rsidRPr="001D0ADC" w:rsidRDefault="00196808" w:rsidP="00196808">
            <w:pPr>
              <w:pStyle w:val="NoSpacing"/>
              <w:ind w:firstLine="0"/>
              <w:rPr>
                <w:color w:val="auto"/>
                <w:lang w:val="en-GB" w:eastAsia="cs-CZ"/>
              </w:rPr>
            </w:pPr>
            <w:r w:rsidRPr="001D0ADC">
              <w:rPr>
                <w:color w:val="auto"/>
                <w:lang w:val="en-GB" w:eastAsia="cs-CZ"/>
              </w:rPr>
              <w:t>14</w:t>
            </w:r>
          </w:p>
        </w:tc>
        <w:tc>
          <w:tcPr>
            <w:tcW w:w="4520" w:type="dxa"/>
            <w:tcBorders>
              <w:top w:val="single" w:sz="4" w:space="0" w:color="auto"/>
              <w:left w:val="nil"/>
              <w:bottom w:val="single" w:sz="4" w:space="0" w:color="auto"/>
              <w:right w:val="single" w:sz="4" w:space="0" w:color="auto"/>
            </w:tcBorders>
            <w:shd w:val="clear" w:color="auto" w:fill="auto"/>
            <w:vAlign w:val="bottom"/>
          </w:tcPr>
          <w:p w14:paraId="749A2CF1"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59BB03CC" w14:textId="77777777" w:rsidR="00196808" w:rsidRPr="001D0ADC" w:rsidRDefault="00196808" w:rsidP="00196808">
            <w:pPr>
              <w:pStyle w:val="NoSpacing"/>
              <w:ind w:firstLine="0"/>
              <w:rPr>
                <w:color w:val="auto"/>
                <w:lang w:val="en-GB" w:eastAsia="cs-CZ"/>
              </w:rPr>
            </w:pPr>
            <w:r w:rsidRPr="001D0ADC">
              <w:rPr>
                <w:color w:val="auto"/>
                <w:lang w:val="en-GB" w:eastAsia="cs-CZ"/>
              </w:rPr>
              <w:t>In vitro BF-2</w:t>
            </w:r>
          </w:p>
        </w:tc>
        <w:tc>
          <w:tcPr>
            <w:tcW w:w="1967" w:type="dxa"/>
            <w:tcBorders>
              <w:top w:val="single" w:sz="4" w:space="0" w:color="auto"/>
              <w:left w:val="single" w:sz="4" w:space="0" w:color="auto"/>
              <w:bottom w:val="single" w:sz="4" w:space="0" w:color="auto"/>
              <w:right w:val="single" w:sz="4" w:space="0" w:color="auto"/>
            </w:tcBorders>
          </w:tcPr>
          <w:p w14:paraId="768D98D3" w14:textId="77777777" w:rsidR="00196808" w:rsidRPr="001D0ADC" w:rsidRDefault="00196808" w:rsidP="00196808">
            <w:pPr>
              <w:pStyle w:val="NoSpacing"/>
              <w:ind w:firstLine="0"/>
              <w:rPr>
                <w:color w:val="auto"/>
                <w:lang w:val="en-GB" w:eastAsia="cs-CZ"/>
              </w:rPr>
            </w:pPr>
            <w:r w:rsidRPr="001D0ADC">
              <w:rPr>
                <w:color w:val="auto"/>
                <w:lang w:val="en-GB" w:eastAsia="cs-CZ"/>
              </w:rPr>
              <w:t>48h</w:t>
            </w:r>
          </w:p>
        </w:tc>
        <w:tc>
          <w:tcPr>
            <w:tcW w:w="2300" w:type="dxa"/>
            <w:tcBorders>
              <w:left w:val="single" w:sz="4" w:space="0" w:color="auto"/>
              <w:bottom w:val="single" w:sz="4" w:space="0" w:color="auto"/>
              <w:right w:val="single" w:sz="4" w:space="0" w:color="auto"/>
            </w:tcBorders>
            <w:shd w:val="clear" w:color="auto" w:fill="auto"/>
            <w:vAlign w:val="bottom"/>
          </w:tcPr>
          <w:p w14:paraId="312CD030"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{"citationID":"DsGsexr2","properties":{"formattedCitation":"(Henschel et al. 1997)","plainCitation":"(Henschel et al. 1997)","noteIndex":0},"citationItems":[{"id":1320,"uris":["http://zotero.org/users/11614927/items/UYF8SCE6"],"itemData":{"id":1320,"type":"article-journal","container-title":"Regulatory Toxicology and Pharmacology","DOI":"10.1006/rtph.1997.1102","ISSN":"02732300","issue":"3","journalAbbreviation":"Regulatory Toxicology and Pharmacology","language":"en","page":"220-225","source":"DOI.org (Crossref)","title":"Environmental Hazard Assessment of Pharmaceuticals","volume":"25","author":[{"family":"Henschel","given":"K.-P."},{"family":"Wenzel","given":"A."},{"family":"Diedrich","given":"M."},{"family":"Fliedner","given":"A."}],"issued":{"date-parts":[["1997",6]]}}}],"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(Henschel et al. 1997)</w:t>
            </w:r>
            <w:r w:rsidRPr="001D0ADC">
              <w:rPr>
                <w:color w:val="auto"/>
                <w:lang w:val="en-GB" w:eastAsia="cs-CZ"/>
              </w:rPr>
              <w:fldChar w:fldCharType="end"/>
            </w:r>
          </w:p>
        </w:tc>
      </w:tr>
      <w:tr w:rsidR="001D0ADC" w:rsidRPr="001D0ADC" w14:paraId="4D1F9EC7"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C8DFAE5"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5DDEF310" w14:textId="51A0523A"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(primary cultures)</w:t>
            </w:r>
            <w:r w:rsidR="000F6A8E" w:rsidRPr="001D0ADC">
              <w:rPr>
                <w:b/>
                <w:bCs/>
                <w:color w:val="auto"/>
                <w:lang w:val="en-GB" w:eastAsia="cs-CZ"/>
              </w:rPr>
              <w:t xml:space="preserve"> (mg/l)</w:t>
            </w:r>
          </w:p>
        </w:tc>
      </w:tr>
      <w:tr w:rsidR="001D0ADC" w:rsidRPr="001D0ADC" w14:paraId="52948D1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11B1CB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828C1CB" w14:textId="155E2675" w:rsidR="00196808" w:rsidRPr="001D0ADC" w:rsidRDefault="00196808" w:rsidP="00196808">
            <w:pPr>
              <w:pStyle w:val="NoSpacing"/>
              <w:ind w:firstLine="0"/>
              <w:rPr>
                <w:color w:val="auto"/>
                <w:lang w:val="en-GB" w:eastAsia="cs-CZ"/>
              </w:rPr>
            </w:pPr>
            <w:r w:rsidRPr="001D0ADC">
              <w:rPr>
                <w:color w:val="auto"/>
                <w:lang w:val="en-GB" w:eastAsia="cs-CZ"/>
              </w:rPr>
              <w:t>2</w:t>
            </w:r>
            <w:r w:rsidR="00CF2036" w:rsidRPr="001D0ADC">
              <w:rPr>
                <w:color w:val="auto"/>
                <w:lang w:val="en-GB" w:eastAsia="cs-CZ"/>
              </w:rPr>
              <w:t>1.</w:t>
            </w:r>
            <w:r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E9F3626" w14:textId="77777777" w:rsidR="00196808" w:rsidRPr="001D0ADC" w:rsidRDefault="00196808" w:rsidP="00196808">
            <w:pPr>
              <w:pStyle w:val="NoSpacing"/>
              <w:ind w:firstLine="0"/>
              <w:rPr>
                <w:color w:val="auto"/>
                <w:lang w:val="en-GB" w:eastAsia="cs-CZ"/>
              </w:rPr>
            </w:pPr>
            <w:r w:rsidRPr="001D0ADC">
              <w:rPr>
                <w:color w:val="auto"/>
                <w:lang w:val="en-GB" w:eastAsia="cs-CZ"/>
              </w:rPr>
              <w:t>NOEC for cytotoxicity</w:t>
            </w:r>
          </w:p>
        </w:tc>
        <w:tc>
          <w:tcPr>
            <w:tcW w:w="2633" w:type="dxa"/>
            <w:vMerge w:val="restart"/>
            <w:tcBorders>
              <w:top w:val="single" w:sz="4" w:space="0" w:color="auto"/>
              <w:left w:val="nil"/>
              <w:right w:val="single" w:sz="4" w:space="0" w:color="auto"/>
            </w:tcBorders>
          </w:tcPr>
          <w:p w14:paraId="6CED52DA" w14:textId="77777777" w:rsidR="00196808" w:rsidRPr="001D0ADC" w:rsidRDefault="00196808" w:rsidP="00196808">
            <w:pPr>
              <w:pStyle w:val="NoSpacing"/>
              <w:ind w:firstLine="0"/>
              <w:rPr>
                <w:color w:val="auto"/>
                <w:lang w:val="en-GB" w:eastAsia="cs-CZ"/>
              </w:rPr>
            </w:pPr>
            <w:r w:rsidRPr="001D0ADC">
              <w:rPr>
                <w:color w:val="auto"/>
                <w:lang w:val="en-GB" w:eastAsia="cs-CZ"/>
              </w:rPr>
              <w:t>In vitro primary hepatocytes (CC)</w:t>
            </w:r>
          </w:p>
        </w:tc>
        <w:tc>
          <w:tcPr>
            <w:tcW w:w="1967" w:type="dxa"/>
            <w:vMerge w:val="restart"/>
            <w:tcBorders>
              <w:top w:val="single" w:sz="4" w:space="0" w:color="auto"/>
              <w:left w:val="single" w:sz="4" w:space="0" w:color="auto"/>
              <w:right w:val="single" w:sz="4" w:space="0" w:color="auto"/>
            </w:tcBorders>
          </w:tcPr>
          <w:p w14:paraId="6790698F"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2A2E703D"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{"citationID":"VDP5Oq9l","properties":{"formattedCitation":"(Corcoran et al. 2012)","plainCitation":"(Corcoran et al. 2012)","noteIndex":0},"citationItems":[{"id":1245,"uris":["http://zotero.org/users/11614927/items/9TBCIIYX"],"itemData":{"id":1245,"type":"article-journal","abstract":"Fish in many surface freshwaters are exposed to a range of pharmaceuticals via wastewater treatment works eﬄuent discharges. In mammals the pregnane X receptor (PXR) plays a key role in the regulation of a suite of genes involved in drug biotransformation, but information on the role of this response pathway in ﬁsh is limited. Here we investigated the eﬀects of exposure of carp (Cyprinus carpio) primary hepatocytes to the human PXR agonist rifampicin (RIF) on expression of target genes involved in phase I (cyp2k, cyp3a) and phase II (gstα, gstπ) drug metabolism and drug transporters mdr1 and mrp2. RIF induced expression of all target genes measured and the PXR antagonist ketoconazole (KET) inhibited responses of cyp2k and cyp3a. Exposure of the primary carp hepatocytes to the pharmaceuticals ibuprofen (IBU), clotrimazole (CTZ), cloﬁbric acid (CFA) and propranolol (PRP), found responses to IBU and CFA, but not CTZ or PRP. This is in contrast with mammals, where CTZ is a potent PXR-agonist. Collectively our data indicate potential PXR involvement in regulating selected genes involved in drug metabolism in ﬁsh, but suggest some divergence in the regulation pathways with those in mammals. The carp primary hepatocyte model serves as a useful system for screening for responses in these target genes involved in drug metabolism.","container-title":"Environmental Science &amp; Technology","DOI":"10.1021/es3005305","ISSN":"0013-936X, 1520-5851","issue":"11","journalAbbreviation":"Environ. Sci. Technol.","language":"en","page":"6306-6314","source":"DOI.org (Crossref)","title":"Effects of Pharmaceuticals on the Expression of Genes Involved in Detoxification in a Carp Primary Hepatocyte Model","volume":"46","author":[{"family":"Corcoran","given":"Jenna"},{"family":"Lange","given":"Anke"},{"family":"Winter","given":"Matthew J."},{"family":"Tyler","given":"Charles R."}],"issued":{"date-parts":[["2012",6,5]]}}}],"schema":"https://github.com/citation-style-language/schema/raw/master/csl-citation.json"}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(Corcoran et al. 2012)</w:t>
            </w:r>
            <w:r w:rsidRPr="001D0ADC">
              <w:rPr>
                <w:color w:val="auto"/>
                <w:lang w:val="en-GB" w:eastAsia="cs-CZ"/>
              </w:rPr>
              <w:fldChar w:fldCharType="end"/>
            </w:r>
          </w:p>
        </w:tc>
      </w:tr>
      <w:tr w:rsidR="001D0ADC" w:rsidRPr="001D0ADC" w14:paraId="49F2EA2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7F6207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84794E0" w14:textId="4A613B6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215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D271896" w14:textId="77777777" w:rsidR="00196808" w:rsidRPr="001D0ADC" w:rsidRDefault="00196808" w:rsidP="00196808">
            <w:pPr>
              <w:pStyle w:val="NoSpacing"/>
              <w:ind w:firstLine="0"/>
              <w:rPr>
                <w:color w:val="auto"/>
                <w:lang w:val="en-GB" w:eastAsia="cs-CZ"/>
              </w:rPr>
            </w:pPr>
            <w:r w:rsidRPr="001D0ADC">
              <w:rPr>
                <w:color w:val="auto"/>
                <w:lang w:val="en-GB" w:eastAsia="cs-CZ"/>
              </w:rPr>
              <w:t>LOEC for gene expression (GST, CYP, ABC)</w:t>
            </w:r>
          </w:p>
        </w:tc>
        <w:tc>
          <w:tcPr>
            <w:tcW w:w="2633" w:type="dxa"/>
            <w:vMerge/>
            <w:tcBorders>
              <w:left w:val="nil"/>
              <w:bottom w:val="single" w:sz="4" w:space="0" w:color="auto"/>
              <w:right w:val="single" w:sz="4" w:space="0" w:color="auto"/>
            </w:tcBorders>
          </w:tcPr>
          <w:p w14:paraId="3FE709B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D6C4F14"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F228270" w14:textId="77777777" w:rsidR="00196808" w:rsidRPr="001D0ADC" w:rsidRDefault="00196808" w:rsidP="00196808">
            <w:pPr>
              <w:pStyle w:val="NoSpacing"/>
              <w:ind w:firstLine="0"/>
              <w:rPr>
                <w:color w:val="auto"/>
                <w:lang w:val="en-GB" w:eastAsia="cs-CZ"/>
              </w:rPr>
            </w:pPr>
          </w:p>
        </w:tc>
      </w:tr>
      <w:tr w:rsidR="001D0ADC" w:rsidRPr="001D0ADC" w14:paraId="0AD54761" w14:textId="77777777" w:rsidTr="00CF4707">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070E212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41BA5F8" w14:textId="77777777" w:rsidR="00196808" w:rsidRPr="001D0ADC" w:rsidRDefault="00196808" w:rsidP="00196808">
            <w:pPr>
              <w:pStyle w:val="NoSpacing"/>
              <w:ind w:firstLine="0"/>
              <w:rPr>
                <w:color w:val="auto"/>
                <w:lang w:val="en-GB" w:eastAsia="cs-CZ"/>
              </w:rPr>
            </w:pPr>
            <w:r w:rsidRPr="001D0ADC">
              <w:rPr>
                <w:color w:val="auto"/>
                <w:lang w:val="en-GB" w:eastAsia="cs-CZ"/>
              </w:rPr>
              <w:t>590</w:t>
            </w:r>
          </w:p>
        </w:tc>
        <w:tc>
          <w:tcPr>
            <w:tcW w:w="4520" w:type="dxa"/>
            <w:tcBorders>
              <w:top w:val="single" w:sz="4" w:space="0" w:color="auto"/>
              <w:left w:val="nil"/>
              <w:bottom w:val="single" w:sz="4" w:space="0" w:color="auto"/>
              <w:right w:val="single" w:sz="4" w:space="0" w:color="auto"/>
            </w:tcBorders>
            <w:shd w:val="clear" w:color="auto" w:fill="auto"/>
            <w:vAlign w:val="bottom"/>
          </w:tcPr>
          <w:p w14:paraId="73BB0723" w14:textId="77777777" w:rsidR="00196808" w:rsidRPr="001D0ADC" w:rsidRDefault="00196808" w:rsidP="00196808">
            <w:pPr>
              <w:pStyle w:val="NoSpacing"/>
              <w:ind w:firstLine="0"/>
              <w:rPr>
                <w:color w:val="auto"/>
                <w:lang w:val="en-GB" w:eastAsia="cs-CZ"/>
              </w:rPr>
            </w:pPr>
            <w:r w:rsidRPr="001D0ADC">
              <w:rPr>
                <w:color w:val="auto"/>
                <w:lang w:val="en-GB" w:eastAsia="cs-CZ"/>
              </w:rPr>
              <w:t>LOEC for peroxisomal AChE act.incr.</w:t>
            </w:r>
          </w:p>
        </w:tc>
        <w:tc>
          <w:tcPr>
            <w:tcW w:w="2633" w:type="dxa"/>
            <w:vMerge w:val="restart"/>
            <w:tcBorders>
              <w:top w:val="single" w:sz="4" w:space="0" w:color="auto"/>
              <w:left w:val="nil"/>
              <w:right w:val="single" w:sz="4" w:space="0" w:color="auto"/>
            </w:tcBorders>
          </w:tcPr>
          <w:p w14:paraId="690DC711" w14:textId="77777777" w:rsidR="00196808" w:rsidRPr="001D0ADC" w:rsidRDefault="00196808" w:rsidP="00196808">
            <w:pPr>
              <w:pStyle w:val="NoSpacing"/>
              <w:ind w:firstLine="0"/>
              <w:rPr>
                <w:color w:val="auto"/>
                <w:lang w:val="en-GB" w:eastAsia="cs-CZ"/>
              </w:rPr>
            </w:pPr>
            <w:r w:rsidRPr="001D0ADC">
              <w:rPr>
                <w:color w:val="auto"/>
                <w:lang w:val="en-GB" w:eastAsia="cs-CZ"/>
              </w:rPr>
              <w:t>In vitro primary hepatocytes (OM)</w:t>
            </w:r>
          </w:p>
        </w:tc>
        <w:tc>
          <w:tcPr>
            <w:tcW w:w="1967" w:type="dxa"/>
            <w:vMerge w:val="restart"/>
            <w:tcBorders>
              <w:top w:val="single" w:sz="4" w:space="0" w:color="auto"/>
              <w:left w:val="single" w:sz="4" w:space="0" w:color="auto"/>
              <w:right w:val="single" w:sz="4" w:space="0" w:color="auto"/>
            </w:tcBorders>
          </w:tcPr>
          <w:p w14:paraId="509AD308" w14:textId="77777777" w:rsidR="00196808" w:rsidRPr="001D0ADC" w:rsidRDefault="00196808" w:rsidP="00196808">
            <w:pPr>
              <w:pStyle w:val="NoSpacing"/>
              <w:ind w:firstLine="0"/>
              <w:rPr>
                <w:color w:val="auto"/>
                <w:lang w:val="en-GB" w:eastAsia="cs-CZ"/>
              </w:rPr>
            </w:pPr>
            <w:r w:rsidRPr="001D0ADC">
              <w:rPr>
                <w:color w:val="auto"/>
                <w:lang w:val="en-GB" w:eastAsia="cs-CZ"/>
              </w:rPr>
              <w:t>48h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E9EBD69"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{"citationID":"hPscfVIz","properties":{"formattedCitation":"(Donohue et al. 1992)","plainCitation":"(Donohue et al. 1992)","noteIndex":0},"citationItems":[{"id":1819,"uris":["http://zotero.org/users/11614927/items/YFGTLQ9Q"],"itemData":{"id":1819,"type":"article-journal","container-title":"Ecotoxicology and environmental Safety","issue":"26","page":"127-132","title":"Effect of Hypolipidemic Drugs Gemfibrozil, Ciprofibrate, and Clofibric Acid on Peroxisomal B-Oxidation in Primary Cultures of Rainbow Trout Hepatocytes","volume":"1993","author":[{"family":"Donohue","given":"M."},{"family":"Baldwin","given":"L.A."},{"family":"Leonard","given":"D.A."},{"family":"Kostecki","given":"P.T."},{"family":"Calabrese","given":"E.J."}],"issued":{"date-parts":[["1992",6,15]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(Donohue et al. 1992)</w:t>
            </w:r>
            <w:r w:rsidRPr="001D0ADC">
              <w:rPr>
                <w:color w:val="auto"/>
                <w:lang w:val="en-GB" w:eastAsia="cs-CZ"/>
              </w:rPr>
              <w:fldChar w:fldCharType="end"/>
            </w:r>
          </w:p>
        </w:tc>
      </w:tr>
      <w:tr w:rsidR="001D0ADC" w:rsidRPr="001D0ADC" w14:paraId="3CB9C38A" w14:textId="77777777" w:rsidTr="00CF4707">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33200CB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F95607C" w14:textId="77777777" w:rsidR="00196808" w:rsidRPr="001D0ADC" w:rsidRDefault="00196808" w:rsidP="00196808">
            <w:pPr>
              <w:pStyle w:val="NoSpacing"/>
              <w:ind w:firstLine="0"/>
              <w:rPr>
                <w:color w:val="auto"/>
                <w:lang w:val="en-GB" w:eastAsia="cs-CZ"/>
              </w:rPr>
            </w:pPr>
            <w:r w:rsidRPr="001D0ADC">
              <w:rPr>
                <w:color w:val="auto"/>
                <w:lang w:val="en-GB" w:eastAsia="cs-CZ"/>
              </w:rPr>
              <w:t>644</w:t>
            </w:r>
          </w:p>
        </w:tc>
        <w:tc>
          <w:tcPr>
            <w:tcW w:w="4520" w:type="dxa"/>
            <w:tcBorders>
              <w:top w:val="single" w:sz="4" w:space="0" w:color="auto"/>
              <w:left w:val="nil"/>
              <w:bottom w:val="single" w:sz="4" w:space="0" w:color="auto"/>
              <w:right w:val="single" w:sz="4" w:space="0" w:color="auto"/>
            </w:tcBorders>
            <w:shd w:val="clear" w:color="auto" w:fill="auto"/>
            <w:vAlign w:val="bottom"/>
          </w:tcPr>
          <w:p w14:paraId="50A36D3B" w14:textId="77777777" w:rsidR="00196808" w:rsidRPr="001D0ADC" w:rsidRDefault="00196808" w:rsidP="00196808">
            <w:pPr>
              <w:pStyle w:val="NoSpacing"/>
              <w:ind w:firstLine="0"/>
              <w:rPr>
                <w:color w:val="auto"/>
                <w:lang w:val="en-GB" w:eastAsia="cs-CZ"/>
              </w:rPr>
            </w:pPr>
            <w:r w:rsidRPr="001D0ADC">
              <w:rPr>
                <w:color w:val="auto"/>
                <w:lang w:val="en-GB" w:eastAsia="cs-CZ"/>
              </w:rPr>
              <w:t>LOEC for peroxisomal bifunct.E ind.</w:t>
            </w:r>
          </w:p>
        </w:tc>
        <w:tc>
          <w:tcPr>
            <w:tcW w:w="2633" w:type="dxa"/>
            <w:vMerge/>
            <w:tcBorders>
              <w:left w:val="nil"/>
              <w:bottom w:val="single" w:sz="4" w:space="0" w:color="auto"/>
              <w:right w:val="single" w:sz="4" w:space="0" w:color="auto"/>
            </w:tcBorders>
          </w:tcPr>
          <w:p w14:paraId="28A257C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70D99D2"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FD30027" w14:textId="77777777" w:rsidR="00196808" w:rsidRPr="001D0ADC" w:rsidRDefault="00196808" w:rsidP="00196808">
            <w:pPr>
              <w:pStyle w:val="NoSpacing"/>
              <w:ind w:firstLine="0"/>
              <w:rPr>
                <w:color w:val="auto"/>
                <w:lang w:val="en-GB" w:eastAsia="cs-CZ"/>
              </w:rPr>
            </w:pPr>
          </w:p>
        </w:tc>
      </w:tr>
      <w:tr w:rsidR="001D0ADC" w:rsidRPr="001D0ADC" w14:paraId="00B7BF57" w14:textId="77777777" w:rsidTr="008972C2">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D8F6A2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1E794DC" w14:textId="05DBA12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6C469516" w14:textId="77777777" w:rsidR="00196808" w:rsidRPr="001D0ADC" w:rsidRDefault="00196808" w:rsidP="00196808">
            <w:pPr>
              <w:pStyle w:val="NoSpacing"/>
              <w:ind w:firstLine="0"/>
              <w:rPr>
                <w:color w:val="auto"/>
                <w:lang w:val="en-GB" w:eastAsia="cs-CZ"/>
              </w:rPr>
            </w:pPr>
            <w:r w:rsidRPr="001D0ADC">
              <w:rPr>
                <w:color w:val="auto"/>
                <w:lang w:val="en-GB" w:eastAsia="cs-CZ"/>
              </w:rPr>
              <w:t>NOEC for cytotoxicity and gene expression</w:t>
            </w:r>
          </w:p>
        </w:tc>
        <w:tc>
          <w:tcPr>
            <w:tcW w:w="2633" w:type="dxa"/>
            <w:tcBorders>
              <w:top w:val="single" w:sz="4" w:space="0" w:color="auto"/>
              <w:left w:val="nil"/>
              <w:bottom w:val="single" w:sz="4" w:space="0" w:color="auto"/>
              <w:right w:val="single" w:sz="4" w:space="0" w:color="auto"/>
            </w:tcBorders>
          </w:tcPr>
          <w:p w14:paraId="6AD24CAC" w14:textId="77777777" w:rsidR="00196808" w:rsidRPr="001D0ADC" w:rsidRDefault="00196808" w:rsidP="00196808">
            <w:pPr>
              <w:pStyle w:val="NoSpacing"/>
              <w:ind w:firstLine="0"/>
              <w:rPr>
                <w:color w:val="auto"/>
                <w:lang w:val="en-GB" w:eastAsia="cs-CZ"/>
              </w:rPr>
            </w:pPr>
            <w:r w:rsidRPr="001D0ADC">
              <w:rPr>
                <w:color w:val="auto"/>
                <w:lang w:val="en-GB" w:eastAsia="cs-CZ"/>
              </w:rPr>
              <w:t>In vitro primary hepatocytes (OM)</w:t>
            </w:r>
          </w:p>
        </w:tc>
        <w:tc>
          <w:tcPr>
            <w:tcW w:w="1967" w:type="dxa"/>
            <w:tcBorders>
              <w:top w:val="single" w:sz="4" w:space="0" w:color="auto"/>
              <w:left w:val="single" w:sz="4" w:space="0" w:color="auto"/>
              <w:bottom w:val="single" w:sz="4" w:space="0" w:color="auto"/>
              <w:right w:val="single" w:sz="4" w:space="0" w:color="auto"/>
            </w:tcBorders>
          </w:tcPr>
          <w:p w14:paraId="20D4610A" w14:textId="77777777" w:rsidR="00196808" w:rsidRPr="001D0ADC" w:rsidRDefault="00196808" w:rsidP="00196808">
            <w:pPr>
              <w:pStyle w:val="NoSpacing"/>
              <w:ind w:firstLine="0"/>
              <w:rPr>
                <w:color w:val="auto"/>
                <w:lang w:val="en-GB" w:eastAsia="cs-CZ"/>
              </w:rPr>
            </w:pPr>
            <w:r w:rsidRPr="001D0ADC">
              <w:rPr>
                <w:color w:val="auto"/>
                <w:lang w:val="en-GB" w:eastAsia="cs-CZ"/>
              </w:rPr>
              <w:t>78h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E9B8E88"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{"citationID":"azCnXR3x","properties":{"formattedCitation":"(Sovadinov\\uc0\\u225{}, Liedtke, and Schirmer 2014)","plainCitation":"(Sovadinová, Liedtke, and Schirmer 2014)","noteIndex":0},"citationItems":[{"id":1454,"uris":["http://zotero.org/users/11614927/items/XXTC9ET3"],"itemData":{"id":1454,"type":"article-journal","abstract":"Cloﬁbric acid (CA) is the active substance of lipid lowering drugs. It is resistant to degradation, polar in nature, and has been found ubiquitously in the aquatic environment. Though CA is classiﬁed as a peroxisomal proliferator in rodents and is considered as a potential endocrine disruptor, little information exists on the effects of CA in aquatic organisms, such as ﬁsh. In the present study, we examined the mRNA levels of peroxisome proliferator- and estrogen-sensitive genes on the exposure of primary rainbow trout (Oncorhynchus mykiss) hepatocytes to CA alone and in combination with the natural female sex hormone, 17b-estradiol (E2). Our results demonstrate that rainbow trout hepatocytes are relatively refractory to the effects of CA on the PPAR signaling pathway and lipid metabolism. Moreover, CA did not show recognizable estrogenic activity, but after the induction of vitellogenesis by E2, CA signiﬁcantly reduced vitellogenin (VTG) mRNA abundance. Apparently, the indirect repression of VTG transcription, independent of estrogen receptors, occurred. The mechanism is not yet clearly understood but may involve disruption of the stabilization of VTG mRNA known to be induced by E2.","container-title":"Toxicology in Vitro","DOI":"10.1016/j.tiv.2014.05.002","ISSN":"08872333","issue":"6","journalAbbreviation":"Toxicology in Vitro","language":"en","page":"1106-1116","source":"DOI.org (Crossref)","title":"Effects of clofibric acid alone and in combination with 17β-estradiol on mRNA abundance in primary hepatocytes isolated from rainbow trout","volume":"28","author":[{"family":"Sovadinová","given":"I."},{"family":"Liedtke","given":"A."},{"family":"Schirmer","given":"K."}],"issued":{"date-parts":[["2014",9]]}}}],"schema":"https://github.com/citation-style-language/schema/raw/master/csl-citation.json"}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(Sovadinová, Liedtke, and Schirmer 2014)</w:t>
            </w:r>
            <w:r w:rsidRPr="001D0ADC">
              <w:rPr>
                <w:color w:val="auto"/>
                <w:lang w:val="en-GB" w:eastAsia="cs-CZ"/>
              </w:rPr>
              <w:fldChar w:fldCharType="end"/>
            </w:r>
          </w:p>
        </w:tc>
      </w:tr>
      <w:tr w:rsidR="001D0ADC" w:rsidRPr="001D0ADC" w14:paraId="5E1DF94F" w14:textId="77777777" w:rsidTr="00CF4707">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24342E7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0E77E7A" w14:textId="77777777" w:rsidR="00196808" w:rsidRPr="001D0ADC" w:rsidRDefault="00196808" w:rsidP="00196808">
            <w:pPr>
              <w:pStyle w:val="NoSpacing"/>
              <w:ind w:firstLine="0"/>
              <w:rPr>
                <w:color w:val="auto"/>
                <w:lang w:val="en-GB" w:eastAsia="cs-CZ"/>
              </w:rPr>
            </w:pPr>
            <w:r w:rsidRPr="001D0ADC">
              <w:rPr>
                <w:color w:val="auto"/>
                <w:lang w:val="en-GB" w:eastAsia="cs-CZ"/>
              </w:rPr>
              <w:t>107</w:t>
            </w:r>
          </w:p>
        </w:tc>
        <w:tc>
          <w:tcPr>
            <w:tcW w:w="4520" w:type="dxa"/>
            <w:tcBorders>
              <w:top w:val="single" w:sz="4" w:space="0" w:color="auto"/>
              <w:left w:val="nil"/>
              <w:bottom w:val="single" w:sz="4" w:space="0" w:color="auto"/>
              <w:right w:val="single" w:sz="4" w:space="0" w:color="auto"/>
            </w:tcBorders>
            <w:shd w:val="clear" w:color="auto" w:fill="auto"/>
            <w:vAlign w:val="bottom"/>
          </w:tcPr>
          <w:p w14:paraId="4BEBB4DF" w14:textId="77777777" w:rsidR="00196808" w:rsidRPr="001D0ADC" w:rsidRDefault="00196808" w:rsidP="00196808">
            <w:pPr>
              <w:pStyle w:val="NoSpacing"/>
              <w:ind w:firstLine="0"/>
              <w:rPr>
                <w:color w:val="auto"/>
                <w:lang w:val="en-GB" w:eastAsia="cs-CZ"/>
              </w:rPr>
            </w:pPr>
            <w:r w:rsidRPr="001D0ADC">
              <w:rPr>
                <w:color w:val="auto"/>
                <w:lang w:val="en-GB" w:eastAsia="cs-CZ"/>
              </w:rPr>
              <w:t>LOEC for PPAR mRNA expression</w:t>
            </w:r>
          </w:p>
        </w:tc>
        <w:tc>
          <w:tcPr>
            <w:tcW w:w="2633" w:type="dxa"/>
            <w:vMerge w:val="restart"/>
            <w:tcBorders>
              <w:top w:val="single" w:sz="4" w:space="0" w:color="auto"/>
              <w:left w:val="nil"/>
              <w:right w:val="single" w:sz="4" w:space="0" w:color="auto"/>
            </w:tcBorders>
          </w:tcPr>
          <w:p w14:paraId="2C86A718" w14:textId="77777777" w:rsidR="00196808" w:rsidRPr="001D0ADC" w:rsidRDefault="00196808" w:rsidP="00196808">
            <w:pPr>
              <w:pStyle w:val="NoSpacing"/>
              <w:ind w:firstLine="0"/>
              <w:rPr>
                <w:color w:val="auto"/>
                <w:lang w:val="en-GB" w:eastAsia="cs-CZ"/>
              </w:rPr>
            </w:pPr>
            <w:r w:rsidRPr="001D0ADC">
              <w:rPr>
                <w:color w:val="auto"/>
                <w:lang w:val="en-GB" w:eastAsia="cs-CZ"/>
              </w:rPr>
              <w:t>In vitro primary hepatocytes (SS)</w:t>
            </w:r>
          </w:p>
        </w:tc>
        <w:tc>
          <w:tcPr>
            <w:tcW w:w="1967" w:type="dxa"/>
            <w:vMerge w:val="restart"/>
            <w:tcBorders>
              <w:top w:val="single" w:sz="4" w:space="0" w:color="auto"/>
              <w:left w:val="single" w:sz="4" w:space="0" w:color="auto"/>
              <w:right w:val="single" w:sz="4" w:space="0" w:color="auto"/>
            </w:tcBorders>
          </w:tcPr>
          <w:p w14:paraId="44C50368"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52095C1"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{"citationID":"MAetQIZG","properties":{"formattedCitation":"(Ruyter et al. 1997)","plainCitation":"(Ruyter et al. 1997)","noteIndex":0},"citationItems":[{"id":1462,"uris":["http://zotero.org/users/11614927/items/N8SFAYIU"],"itemData":{"id":1462,"type":"article-journal","abstract":"A cDNA fragment which encodes salmon peroxisome proliferator activated receptor g ŽsPPARg . was amplified by PCR from the liver of Atlantic salmon ŽSalmo salar L... The fragment was 627 bp long. The sequence of the amplified PCR product was similar to the PPARg of mouse and hamster. 59% of the bases were identical. Northern blot analysis of salmon liver mRNA showed that the amplified sPPARg fragment hybridised to three specific transcripts of lengths 1.6, 2.4 and 3.3 kb. Clofibric acid and bezafibrate, administered to salmon hepatocytes in culture, resulted in a 1.7-fold increase of the 1.6 kb sPPARg transcript. The activity of acyl-CoA oxidase also increased approx. 1.7-fold after administration of fibrates. These results indicate that PPAR is an important factor in mediating enzymatic response to fibrates in fish. q 1997 Elsevier Science B.V.","container-title":"Biochimica et Biophysica Acta","issue":"1348","language":"en","page":"331-338","source":"Zotero","title":"Peroxisome proliferator activated receptors in Atlantic salmon ž Salmo salar/ : effects on PPAR transcription and acyl-CoA oxidase activity in hepatocytes by peroxisome proliferators and fatty acids","volume":"1997","author":[{"family":"Ruyter","given":"Bente"},{"family":"Andersen","given":"Øivind"},{"family":"Dehli","given":"Anette"},{"family":"Gjøen","given":"Tor"},{"family":"Thomassen","given":"Magny S"}],"issued":{"date-parts":[["1997",5,20]]}}}],"schema":"https://github.com/citation-style-language/schema/raw/master/csl-citation.json"}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(Ruyter et al. 1997)</w:t>
            </w:r>
            <w:r w:rsidRPr="001D0ADC">
              <w:rPr>
                <w:color w:val="auto"/>
                <w:lang w:val="en-GB" w:eastAsia="cs-CZ"/>
              </w:rPr>
              <w:fldChar w:fldCharType="end"/>
            </w:r>
          </w:p>
        </w:tc>
      </w:tr>
      <w:tr w:rsidR="001D0ADC" w:rsidRPr="001D0ADC" w14:paraId="223CA3AD" w14:textId="77777777" w:rsidTr="00CF4707">
        <w:trPr>
          <w:gridAfter w:val="4"/>
          <w:wAfter w:w="9200" w:type="dxa"/>
          <w:trHeight w:val="150"/>
        </w:trPr>
        <w:tc>
          <w:tcPr>
            <w:tcW w:w="760" w:type="dxa"/>
            <w:vMerge/>
            <w:tcBorders>
              <w:left w:val="single" w:sz="4" w:space="0" w:color="auto"/>
              <w:bottom w:val="single" w:sz="4" w:space="0" w:color="auto"/>
              <w:right w:val="single" w:sz="4" w:space="0" w:color="auto"/>
            </w:tcBorders>
            <w:shd w:val="clear" w:color="auto" w:fill="auto"/>
            <w:noWrap/>
            <w:vAlign w:val="bottom"/>
          </w:tcPr>
          <w:p w14:paraId="3EF230A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C405DA9" w14:textId="77777777" w:rsidR="00196808" w:rsidRPr="001D0ADC" w:rsidRDefault="00196808" w:rsidP="00196808">
            <w:pPr>
              <w:pStyle w:val="NoSpacing"/>
              <w:ind w:firstLine="0"/>
              <w:rPr>
                <w:color w:val="auto"/>
                <w:lang w:val="en-GB" w:eastAsia="cs-CZ"/>
              </w:rPr>
            </w:pPr>
            <w:r w:rsidRPr="001D0ADC">
              <w:rPr>
                <w:color w:val="auto"/>
                <w:lang w:val="en-GB" w:eastAsia="cs-CZ"/>
              </w:rPr>
              <w:t>214</w:t>
            </w:r>
          </w:p>
        </w:tc>
        <w:tc>
          <w:tcPr>
            <w:tcW w:w="4520" w:type="dxa"/>
            <w:tcBorders>
              <w:top w:val="single" w:sz="4" w:space="0" w:color="auto"/>
              <w:left w:val="nil"/>
              <w:bottom w:val="single" w:sz="4" w:space="0" w:color="auto"/>
              <w:right w:val="single" w:sz="4" w:space="0" w:color="auto"/>
            </w:tcBorders>
            <w:shd w:val="clear" w:color="auto" w:fill="auto"/>
            <w:vAlign w:val="bottom"/>
          </w:tcPr>
          <w:p w14:paraId="7C56200A" w14:textId="77777777" w:rsidR="00196808" w:rsidRPr="001D0ADC" w:rsidRDefault="00196808" w:rsidP="00196808">
            <w:pPr>
              <w:pStyle w:val="NoSpacing"/>
              <w:ind w:firstLine="0"/>
              <w:rPr>
                <w:color w:val="auto"/>
                <w:lang w:val="en-GB" w:eastAsia="cs-CZ"/>
              </w:rPr>
            </w:pPr>
            <w:r w:rsidRPr="001D0ADC">
              <w:rPr>
                <w:color w:val="auto"/>
                <w:lang w:val="en-GB" w:eastAsia="cs-CZ"/>
              </w:rPr>
              <w:t>LOEC for AChA oxidase activity, NOEC for LDH activity</w:t>
            </w:r>
          </w:p>
        </w:tc>
        <w:tc>
          <w:tcPr>
            <w:tcW w:w="2633" w:type="dxa"/>
            <w:vMerge/>
            <w:tcBorders>
              <w:left w:val="nil"/>
              <w:bottom w:val="single" w:sz="4" w:space="0" w:color="auto"/>
              <w:right w:val="single" w:sz="4" w:space="0" w:color="auto"/>
            </w:tcBorders>
          </w:tcPr>
          <w:p w14:paraId="0F18256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C5EDCEC"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E4E05AD" w14:textId="77777777" w:rsidR="00196808" w:rsidRPr="001D0ADC" w:rsidRDefault="00196808" w:rsidP="00196808">
            <w:pPr>
              <w:pStyle w:val="NoSpacing"/>
              <w:ind w:firstLine="0"/>
              <w:rPr>
                <w:color w:val="auto"/>
                <w:lang w:val="en-GB" w:eastAsia="cs-CZ"/>
              </w:rPr>
            </w:pPr>
          </w:p>
        </w:tc>
      </w:tr>
      <w:tr w:rsidR="001D0ADC" w:rsidRPr="001D0ADC" w14:paraId="7BB6C490"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0B5FF7EC" w14:textId="77777777" w:rsidR="00196808" w:rsidRPr="001D0ADC" w:rsidRDefault="00196808" w:rsidP="00196808">
            <w:pPr>
              <w:pStyle w:val="NoSpacing"/>
              <w:ind w:firstLine="0"/>
              <w:rPr>
                <w:color w:val="auto"/>
                <w:lang w:val="en-GB" w:eastAsia="cs-CZ"/>
              </w:rPr>
            </w:pPr>
          </w:p>
        </w:tc>
      </w:tr>
      <w:tr w:rsidR="001D0ADC" w:rsidRPr="001D0ADC" w14:paraId="12CB094B"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7B76ACAB" w14:textId="473D779C" w:rsidR="00196808" w:rsidRPr="001D0ADC" w:rsidRDefault="00196808" w:rsidP="00196808">
            <w:pPr>
              <w:pStyle w:val="NoSpacing"/>
              <w:ind w:firstLine="0"/>
              <w:jc w:val="center"/>
              <w:rPr>
                <w:color w:val="auto"/>
                <w:lang w:val="en-GB" w:eastAsia="cs-CZ"/>
              </w:rPr>
            </w:pPr>
            <w:r w:rsidRPr="001D0ADC">
              <w:rPr>
                <w:color w:val="auto"/>
                <w:lang w:val="en-GB" w:eastAsia="cs-CZ"/>
              </w:rPr>
              <w:t>DCL</w:t>
            </w:r>
          </w:p>
        </w:tc>
      </w:tr>
      <w:tr w:rsidR="001D0ADC" w:rsidRPr="001D0ADC" w14:paraId="4D84028A" w14:textId="77777777" w:rsidTr="00CF4707">
        <w:trPr>
          <w:gridAfter w:val="4"/>
          <w:wAfter w:w="9200" w:type="dxa"/>
          <w:trHeight w:val="300"/>
        </w:trPr>
        <w:tc>
          <w:tcPr>
            <w:tcW w:w="760" w:type="dxa"/>
            <w:vMerge w:val="restart"/>
            <w:tcBorders>
              <w:top w:val="single" w:sz="4" w:space="0" w:color="auto"/>
              <w:left w:val="single" w:sz="4" w:space="0" w:color="auto"/>
              <w:right w:val="single" w:sz="4" w:space="0" w:color="auto"/>
            </w:tcBorders>
            <w:shd w:val="clear" w:color="auto" w:fill="auto"/>
            <w:noWrap/>
            <w:vAlign w:val="bottom"/>
          </w:tcPr>
          <w:p w14:paraId="186373FA" w14:textId="77777777" w:rsidR="00196808" w:rsidRPr="001D0ADC" w:rsidRDefault="00196808" w:rsidP="00196808">
            <w:pPr>
              <w:pStyle w:val="NoSpacing"/>
              <w:ind w:firstLine="0"/>
              <w:rPr>
                <w:color w:val="auto"/>
                <w:lang w:val="en-GB" w:eastAsia="cs-CZ"/>
              </w:rPr>
            </w:pPr>
            <w:r w:rsidRPr="001D0ADC">
              <w:rPr>
                <w:color w:val="auto"/>
                <w:lang w:val="en-GB" w:eastAsia="cs-CZ"/>
              </w:rPr>
              <w:t>DCL</w:t>
            </w: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3A64F126" w14:textId="47509027" w:rsidR="00196808" w:rsidRPr="001D0ADC" w:rsidRDefault="00196808" w:rsidP="00196808">
            <w:pPr>
              <w:pStyle w:val="NoSpacing"/>
              <w:ind w:firstLine="0"/>
              <w:rPr>
                <w:b/>
                <w:bCs/>
                <w:color w:val="auto"/>
                <w:lang w:val="en-GB" w:eastAsia="cs-CZ"/>
              </w:rPr>
            </w:pPr>
            <w:r w:rsidRPr="001D0ADC">
              <w:rPr>
                <w:b/>
                <w:bCs/>
                <w:color w:val="auto"/>
                <w:lang w:val="en-GB" w:eastAsia="cs-CZ"/>
              </w:rPr>
              <w:t>Acute Fish Toxicity (adults or juvenile)</w:t>
            </w:r>
            <w:r w:rsidR="000F6A8E" w:rsidRPr="001D0ADC">
              <w:rPr>
                <w:b/>
                <w:bCs/>
                <w:color w:val="auto"/>
                <w:lang w:val="en-GB" w:eastAsia="cs-CZ"/>
              </w:rPr>
              <w:t xml:space="preserve"> (mg/l)</w:t>
            </w:r>
          </w:p>
        </w:tc>
      </w:tr>
      <w:tr w:rsidR="001D0ADC" w:rsidRPr="001D0ADC" w14:paraId="39D0D9A0" w14:textId="77777777" w:rsidTr="00CF4707">
        <w:trPr>
          <w:gridAfter w:val="4"/>
          <w:wAfter w:w="9200" w:type="dxa"/>
          <w:trHeight w:val="173"/>
        </w:trPr>
        <w:tc>
          <w:tcPr>
            <w:tcW w:w="760" w:type="dxa"/>
            <w:vMerge/>
            <w:tcBorders>
              <w:left w:val="single" w:sz="4" w:space="0" w:color="auto"/>
              <w:right w:val="single" w:sz="4" w:space="0" w:color="auto"/>
            </w:tcBorders>
            <w:shd w:val="clear" w:color="auto" w:fill="auto"/>
            <w:noWrap/>
            <w:vAlign w:val="bottom"/>
          </w:tcPr>
          <w:p w14:paraId="5C6249C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1B4B1AE" w14:textId="77777777" w:rsidR="00196808" w:rsidRPr="001D0ADC" w:rsidRDefault="00196808" w:rsidP="00196808">
            <w:pPr>
              <w:pStyle w:val="NoSpacing"/>
              <w:ind w:firstLine="0"/>
              <w:rPr>
                <w:color w:val="auto"/>
                <w:lang w:val="en-GB" w:eastAsia="cs-CZ"/>
              </w:rPr>
            </w:pPr>
            <w:r w:rsidRPr="001D0ADC">
              <w:rPr>
                <w:color w:val="auto"/>
                <w:lang w:val="en-GB" w:eastAsia="cs-CZ"/>
              </w:rPr>
              <w:t>8</w:t>
            </w:r>
          </w:p>
        </w:tc>
        <w:tc>
          <w:tcPr>
            <w:tcW w:w="4520" w:type="dxa"/>
            <w:tcBorders>
              <w:top w:val="single" w:sz="4" w:space="0" w:color="auto"/>
              <w:left w:val="nil"/>
              <w:bottom w:val="single" w:sz="4" w:space="0" w:color="auto"/>
              <w:right w:val="single" w:sz="4" w:space="0" w:color="auto"/>
            </w:tcBorders>
            <w:shd w:val="clear" w:color="auto" w:fill="auto"/>
            <w:vAlign w:val="bottom"/>
          </w:tcPr>
          <w:p w14:paraId="4C113302" w14:textId="77777777" w:rsidR="00196808" w:rsidRPr="001D0ADC" w:rsidRDefault="00196808" w:rsidP="00196808">
            <w:pPr>
              <w:pStyle w:val="NoSpacing"/>
              <w:ind w:firstLine="0"/>
              <w:rPr>
                <w:color w:val="auto"/>
                <w:lang w:val="en-GB" w:eastAsia="cs-CZ"/>
              </w:rPr>
            </w:pPr>
            <w:r w:rsidRPr="001D0ADC">
              <w:rPr>
                <w:color w:val="auto"/>
                <w:lang w:val="en-GB" w:eastAsia="cs-CZ"/>
              </w:rPr>
              <w:t>LC10 mortality</w:t>
            </w:r>
          </w:p>
        </w:tc>
        <w:tc>
          <w:tcPr>
            <w:tcW w:w="2633" w:type="dxa"/>
            <w:tcBorders>
              <w:top w:val="single" w:sz="4" w:space="0" w:color="auto"/>
              <w:left w:val="nil"/>
              <w:bottom w:val="single" w:sz="4" w:space="0" w:color="auto"/>
              <w:right w:val="single" w:sz="4" w:space="0" w:color="auto"/>
            </w:tcBorders>
          </w:tcPr>
          <w:p w14:paraId="4ADEA28D" w14:textId="77777777" w:rsidR="00196808" w:rsidRPr="001D0ADC" w:rsidRDefault="00196808" w:rsidP="00196808">
            <w:pPr>
              <w:pStyle w:val="NoSpacing"/>
              <w:ind w:firstLine="0"/>
              <w:rPr>
                <w:color w:val="auto"/>
                <w:lang w:val="en-GB" w:eastAsia="cs-CZ"/>
              </w:rPr>
            </w:pPr>
            <w:r w:rsidRPr="001D0ADC">
              <w:rPr>
                <w:color w:val="auto"/>
                <w:lang w:val="en-GB" w:eastAsia="cs-CZ"/>
              </w:rPr>
              <w:t>Acute (OL)</w:t>
            </w:r>
          </w:p>
        </w:tc>
        <w:tc>
          <w:tcPr>
            <w:tcW w:w="1967" w:type="dxa"/>
            <w:tcBorders>
              <w:top w:val="single" w:sz="4" w:space="0" w:color="auto"/>
              <w:left w:val="single" w:sz="4" w:space="0" w:color="auto"/>
              <w:bottom w:val="single" w:sz="4" w:space="0" w:color="auto"/>
              <w:right w:val="single" w:sz="4" w:space="0" w:color="auto"/>
            </w:tcBorders>
          </w:tcPr>
          <w:p w14:paraId="5A0ED85B"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68F12CC"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{"citationID":"zipduM9z","properties":{"formattedCitation":"(Hong et al. 2007)","plainCitation":"(Hong et al. 2007)","noteIndex":0},"citationItems":[{"id":1227,"uris":["http://zotero.org/users/11614927/items/G3MFHA2A"],"itemData":{"id":1227,"type":"article-journal","abstract":"The expression levels of cytochrome P450 1A, p53 and vitellogenin were investigated in three diﬀerent tissues of male medaka ﬁsh after exposure to diclofenac that is one of the main concerns among pharmaceuticals frequently found in sewage treatment plant (STP) eﬄuents. The results showed that cytochrome P450 1A, p53 and vitellogenin were highly expressed in tissue-speciﬁc gene expression patterns after exposure to 8 mg/l and 1 lg/l of diclofenac. These elevated expression levels of three biomarkers suggested that diclofenac has potential to cause cellular toxicity, p53-related genotoxicity and estrogenic eﬀects. It is also noteworthy that diclofenac has the potential to cause these eﬀects even at an environmentally relevant concentration of diclofenac, 1 lg/l.","container-title":"Chemosphere","DOI":"10.1016/j.chemosphere.2006.12.090","ISSN":"00456535","issue":"11","journalAbbreviation":"Chemosphere","language":"en","page":"2115-2121","source":"DOI.org (Crossref)","title":"Analysis of the effects diclofenac has on Japanese medaka (Oryzias latipes) using real-time PCR","volume":"67","author":[{"family":"Hong","given":"Han Na"},{"family":"Kim","given":"Han Na"},{"family":"Park","given":"Kyeong Seo"},{"family":"Lee","given":"Sung-Kyu"},{"family":"Gu","given":"Man Bock"}],"issued":{"date-parts":[["2007",5]]}}}],"schema":"https://github.com/citation-style-language/schema/raw/master/csl-citation.json"}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(Hong et al. 2007)</w:t>
            </w:r>
            <w:r w:rsidRPr="001D0ADC">
              <w:rPr>
                <w:color w:val="auto"/>
                <w:lang w:val="en-GB" w:eastAsia="cs-CZ"/>
              </w:rPr>
              <w:fldChar w:fldCharType="end"/>
            </w:r>
          </w:p>
        </w:tc>
      </w:tr>
      <w:tr w:rsidR="001D0ADC" w:rsidRPr="001D0ADC" w14:paraId="18340CB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C39ADD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BCEB4FE" w14:textId="37A36906" w:rsidR="00196808" w:rsidRPr="001D0ADC" w:rsidRDefault="00196808" w:rsidP="00196808">
            <w:pPr>
              <w:pStyle w:val="NoSpacing"/>
              <w:ind w:firstLine="0"/>
              <w:rPr>
                <w:color w:val="auto"/>
                <w:lang w:val="en-GB" w:eastAsia="cs-CZ"/>
              </w:rPr>
            </w:pPr>
            <w:r w:rsidRPr="001D0ADC">
              <w:rPr>
                <w:color w:val="auto"/>
                <w:lang w:val="en-GB" w:eastAsia="cs-CZ"/>
              </w:rPr>
              <w:t>7</w:t>
            </w:r>
            <w:r w:rsidR="00CF2036" w:rsidRPr="001D0ADC">
              <w:rPr>
                <w:color w:val="auto"/>
                <w:lang w:val="en-GB" w:eastAsia="cs-CZ"/>
              </w:rPr>
              <w:t>0.</w:t>
            </w:r>
            <w:r w:rsidRPr="001D0ADC">
              <w:rPr>
                <w:color w:val="auto"/>
                <w:lang w:val="en-GB" w:eastAsia="cs-CZ"/>
              </w:rPr>
              <w:t>98</w:t>
            </w:r>
          </w:p>
        </w:tc>
        <w:tc>
          <w:tcPr>
            <w:tcW w:w="4520" w:type="dxa"/>
            <w:tcBorders>
              <w:top w:val="single" w:sz="4" w:space="0" w:color="auto"/>
              <w:left w:val="nil"/>
              <w:bottom w:val="single" w:sz="4" w:space="0" w:color="auto"/>
              <w:right w:val="single" w:sz="4" w:space="0" w:color="auto"/>
            </w:tcBorders>
            <w:shd w:val="clear" w:color="auto" w:fill="auto"/>
            <w:vAlign w:val="bottom"/>
          </w:tcPr>
          <w:p w14:paraId="740274B3"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1D43DDC2" w14:textId="77777777" w:rsidR="00196808" w:rsidRPr="001D0ADC" w:rsidRDefault="00196808" w:rsidP="00196808">
            <w:pPr>
              <w:pStyle w:val="NoSpacing"/>
              <w:ind w:firstLine="0"/>
              <w:rPr>
                <w:color w:val="auto"/>
                <w:lang w:val="en-GB" w:eastAsia="cs-CZ"/>
              </w:rPr>
            </w:pPr>
            <w:r w:rsidRPr="001D0ADC">
              <w:rPr>
                <w:color w:val="auto"/>
                <w:lang w:val="en-GB" w:eastAsia="cs-CZ"/>
              </w:rPr>
              <w:t>AFT (CC)</w:t>
            </w:r>
          </w:p>
        </w:tc>
        <w:tc>
          <w:tcPr>
            <w:tcW w:w="1967" w:type="dxa"/>
            <w:tcBorders>
              <w:top w:val="single" w:sz="4" w:space="0" w:color="auto"/>
              <w:left w:val="single" w:sz="4" w:space="0" w:color="auto"/>
              <w:bottom w:val="single" w:sz="4" w:space="0" w:color="auto"/>
              <w:right w:val="single" w:sz="4" w:space="0" w:color="auto"/>
            </w:tcBorders>
          </w:tcPr>
          <w:p w14:paraId="4F9F1027"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43B763F" w14:textId="3FCC1EF4"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004E4B09" w:rsidRPr="001D0ADC">
              <w:rPr>
                <w:color w:val="auto"/>
                <w:lang w:val="en-GB" w:eastAsia="cs-CZ"/>
              </w:rPr>
              <w:instrText xml:space="preserve"> ADDIN ZOTERO_ITEM CSL_CITATION {"citationID":"a1ctfjptv6l","properties":{"formattedCitation":"(Islas-Flores et al. 2013; Islas\\uc0\\u8208{}Flores et al. 2017; Saucedo-Vence et al. 2015)","plainCitation":"(Islas-Flores et al. 2013; Islas‐Flores et al. 2017; Saucedo-Vence et al. 2015)","noteIndex":0},"citationItems":[{"id":1223,"uris":["http://zotero.org/users/11614927/items/WJIL5RD7"],"itemData":{"id":1223,"type":"article-journal","abstract":"Due to its analgesic properties, diclofenac (DCF) is one of the most commonly used non-steroidal antiinﬂammatory drugs (NSAIDs). While residue from this pharmaceutical agent has been found in diverse water bodies in various countries, there is not enough information of its potential toxicity on aquatic organisms, particularly in species which are economically valuable due to their high consumption by humans, such as the common carp Cyprinus carpio. This study aimed to evaluate potential DCF-induced oxidative stress in brain, liver, gill and blood of C. carpio. The median lethal concentration of DCF at 96 h (96-h LC50) was determined and used to establish the concentration equivalent to the lowest observed adverse effect level (LOAEL). Carp specimens were exposed to this concentration for different exposure times (12, 24, 48, 72 and 96 h) and the following biomarkers were evaluated: lipid peroxidation (LPX) and the activity of the antioxidant enzymes superoxide dismutase (SOD), catalase (CAT) and glutathione peroxidase (GPx). Also, the DCF and 4-hydroxy DCF was determined by LC-MS/MS. Results show a statistically signiﬁcant LPX increase (P o 0.05) in liver and gill mainly as well as signiﬁcant changes in the activity of the antioxidant enzymes evaluated in these organs, with respect to controls (P o 0.05). The DCF concentrations decreased in water system and increased in the carp. The DCF biotransformation to 4-hydroxy DCF was observed to 12 h. The pharmaceutical agent DCF is concluded to induce oxidative stress on the common carp C. carpio, with the highest incidence of oxidative damage occurring in liver and gill. Furthermore, the biomarkers employed in this study are useful in the assessment of the environmental impact of this agent on aquatic species.","container-title":"Ecotoxicology and Environmental Safety","DOI":"10.1016/j.ecoenv.2013.01.025","ISSN":"01476513","journalAbbreviation":"Ecotoxicology and Environmental Safety","language":"en","page":"32-38","source":"DOI.org (Crossref)","title":"Diclofenac-induced oxidative stress in brain, liver, gill and blood of common carp (Cyprinus carpio)","volume":"92","author":[{"family":"Islas-Flores","given":"Hariz"},{"family":"Gómez-Oliván","given":"Leobardo Manuel"},{"family":"Galar-Martínez","given":"Marcela"},{"family":"Colín-Cruz","given":"Arturo"},{"family":"Neri-Cruz","given":"Nadia"},{"family":"García-Medina","given":"Sandra"}],"issued":{"date-parts":[["2013",6]]}}},{"id":1928,"uris":["http://zotero.org/users/11614927/items/E2R4PIEQ"],"itemData":{"id":1928,"type":"article-journal","abstract":"Abstract\n            \n              Thirty million people worldwide consume each day nonsteroidal anti‐inflammatory drugs (NSAIDs), a heterogeneous group of pharmaceuticals used for its analgesic, antipyretic, and anti‐inflammatory properties. Recent studies report high NSAID concentrations in wastewater treatment plant effluents, in surface, ground, and drinking water, and in sediments. NSAIDs are also known to induce toxicity on aquatic organisms. However, toxicity in natural ecosystems is not usually the result of exposure to a single substance but to a mixture of toxic agents, yet only a few studies have evaluated the toxicity of mixtures. The aim of this study was to evaluate the toxicity induced by diclofenac (DCF), ibuprofen (IBP), and their mixture on a species of commercial interest, the common carp\n              Cyprinus carpio\n              . The median lethal concentration of IBP and DCF was determined, and oxidative stress was evaluated using the following biomarkers: lipid peroxidation and activity of the antioxidant enzymes superoxide dismutase, catalase and glutathione peroxidase. Cyto‐genotoxicity was evaluated by micronucleus test, comet assay, and the specific activity of caspase‐3. Results show that DCF, IBP, and a mixture of these pharmaceuticals induced free radical production, oxidative stress and cyto‐genotoxicity in tissues of\n              C. carpio\n              . However, a greater effect was elicited by the mixture than by either pharmaceutical alone in some biomarkers evaluated, particularly in gill. © 2016 Wiley Periodicals, Inc. Environ Toxicol 32: 1637–1650, 2017.","container-title":"Environmental Toxicology","DOI":"10.1002/tox.22392","ISSN":"1520-4081, 1522-7278","issue":"5","journalAbbreviation":"Environmental Toxicology","language":"en","page":"1637-1650","source":"DOI.org (Crossref)","title":"Cyto‐genotoxicity and oxidative stress in common carp ( &lt;i&gt;Cyprinus carpio&lt;/i&gt; ) exposed to a mixture of ibuprofen and diclofenac","volume":"32","author":[{"family":"Islas‐Flores","given":"Hariz"},{"family":"Manuel Gómez‐Oliván","given":"Leobardo"},{"family":"Galar‐Martínez","given":"Marcela"},{"family":"Michelle Sánchez‐Ocampo","given":"Esmeralda"},{"family":"SanJuan‐Reyes","given":"Nely"},{"family":"Ortíz‐Reynoso","given":"Mariana"},{"family":"Dublán‐García","given":"Octavio"}],"issued":{"date-parts":[["2017",5]]}}},{"id":1493,"uris":["http://zotero.org/users/11614927/items/V72W9C2M"],"itemData":{"id":1493,"type":"article-journal","container-title":"Ecotoxicology","DOI":"10.1007/s10646-014-1401-9","ISSN":"0963-9292, 1573-3017","issue":"3","journalAbbreviation":"Ecotoxicology","language":"en","page":"527-539","source":"DOI.org (Crossref)","title":"Short and long-term exposure to diclofenac alter oxidative stress status in common carp Cyprinus carpio","volume":"24","author":[{"family":"Saucedo-Vence","given":"Karinne"},{"family":"Dublán-García","given":"Octavio"},{"family":"López-Martínez","given":"Leticia Xochitl"},{"family":"Morachis-Valdes","given":"Gabriela"},{"family":"Galar-Martínez","given":"Marcela"},{"family":"Islas-Flores","given":"Hariz"},{"family":"Gómez-Oliván","given":"Leobardo Manuel"}],"issued":{"date-parts":[["2015",4]]}}}],"schema":"https://github.com/citation-style-language/schema/raw/master/csl-citation.json"} </w:instrText>
            </w:r>
            <w:r w:rsidRPr="001D0ADC">
              <w:rPr>
                <w:color w:val="auto"/>
                <w:lang w:val="en-GB" w:eastAsia="cs-CZ"/>
              </w:rPr>
              <w:fldChar w:fldCharType="separate"/>
            </w:r>
            <w:r w:rsidR="004E4B09" w:rsidRPr="001D0ADC">
              <w:rPr>
                <w:rFonts w:cs="Times New Roman"/>
                <w:color w:val="auto"/>
                <w:szCs w:val="24"/>
              </w:rPr>
              <w:t>(Islas-Flores et al. 2013; Islas‐Flores et al. 2017; Saucedo-Vence et al. 2015)</w:t>
            </w:r>
            <w:r w:rsidRPr="001D0ADC">
              <w:rPr>
                <w:color w:val="auto"/>
                <w:lang w:val="en-GB" w:eastAsia="cs-CZ"/>
              </w:rPr>
              <w:fldChar w:fldCharType="end"/>
            </w:r>
          </w:p>
        </w:tc>
      </w:tr>
      <w:tr w:rsidR="001D0ADC" w:rsidRPr="001D0ADC" w14:paraId="6CE2496C"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FD8299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2C125CE" w14:textId="01AA5E4B" w:rsidR="00196808" w:rsidRPr="001D0ADC" w:rsidRDefault="00196808" w:rsidP="00196808">
            <w:pPr>
              <w:pStyle w:val="NoSpacing"/>
              <w:ind w:firstLine="0"/>
              <w:rPr>
                <w:color w:val="auto"/>
                <w:lang w:val="en-GB" w:eastAsia="cs-CZ"/>
              </w:rPr>
            </w:pPr>
            <w:r w:rsidRPr="001D0ADC">
              <w:rPr>
                <w:color w:val="auto"/>
                <w:lang w:val="en-GB" w:eastAsia="cs-CZ"/>
              </w:rPr>
              <w:t>16</w:t>
            </w:r>
            <w:r w:rsidR="00CF2036" w:rsidRPr="001D0ADC">
              <w:rPr>
                <w:color w:val="auto"/>
                <w:lang w:val="en-GB" w:eastAsia="cs-CZ"/>
              </w:rPr>
              <w:t>6.</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06D42B67"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1491C08C" w14:textId="77777777" w:rsidR="00196808" w:rsidRPr="001D0ADC" w:rsidRDefault="00196808" w:rsidP="00196808">
            <w:pPr>
              <w:pStyle w:val="NoSpacing"/>
              <w:ind w:firstLine="0"/>
              <w:rPr>
                <w:color w:val="auto"/>
                <w:lang w:val="en-GB" w:eastAsia="cs-CZ"/>
              </w:rPr>
            </w:pPr>
            <w:r w:rsidRPr="001D0ADC">
              <w:rPr>
                <w:color w:val="auto"/>
                <w:lang w:val="en-GB" w:eastAsia="cs-CZ"/>
              </w:rPr>
              <w:t>Acute (OECD203)(ZF)</w:t>
            </w:r>
          </w:p>
        </w:tc>
        <w:tc>
          <w:tcPr>
            <w:tcW w:w="1967" w:type="dxa"/>
            <w:tcBorders>
              <w:top w:val="single" w:sz="4" w:space="0" w:color="auto"/>
              <w:left w:val="single" w:sz="4" w:space="0" w:color="auto"/>
              <w:bottom w:val="single" w:sz="4" w:space="0" w:color="auto"/>
              <w:right w:val="single" w:sz="4" w:space="0" w:color="auto"/>
            </w:tcBorders>
          </w:tcPr>
          <w:p w14:paraId="36948231"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A5368A4"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{"citationID":"gd82wcL4","properties":{"formattedCitation":"(Praskova et al. 2011)","plainCitation":"(Praskova et al. 2011)","noteIndex":0},"citationItems":[{"id":1318,"uris":["http://zotero.org/users/11614927/items/F96RMY6B"],"itemData":{"id":1318,"type":"article-journal","abstract":"The aim of the study was to compare the acute toxicity of diclofenac to juvenile and embryonic stages of the zebrafish (Danio rerio). Acute toxicity tests were performed on the aquarium fish Danio rerio, which is one of the model organisms most commonly used in toxicity testing. The tests were performed using a semi-static method according to OECD guideline No. 203 (Fish, acute toxicity test). Embryo toxicity tests were performed in zebrafish embryos (Danio rerio) in compliance with OECD No. 212 methodology (Fish, short-term toxicity test on embryo and sac-fry stages). The results were subjected to a probit analysis using the EKO-TOX 5.2 programme to determine 96hLC50 and 144hLC50 (median lethal concentration, 50% mortality after a 96 h or 144 h interval, respectively) values of diclofenac. The statistical significance of the difference between LC50 values in juvenile and embryonic stages of Danio rerio was tested using the Mann-Whitney non-parametric test implemented in the Unistat 5.1 programme. The LC50 mean value of diclofenac was 166.6 ± 9.8 mg/L in juvenile Danio rerio, and 6.11 ± 2.48 mg/L in embryonic stages of Danio rerio. The study demonstrated a statistically higher sensitivity to diclofenac (P&lt;0.05) in embryonic stages compared to the juvenile fish.","container-title":"Polish Journal of Veterinary Sciences","DOI":"10.2478/v10181-011-0081-0","ISSN":"1505-1773","issue":"4","language":"en","page":"545-549","source":"DOI.org (Crossref)","title":"Assessment of diclofenac LC50 reference values in juvenile and embryonic stages of the zebrafish (Danio rerio)","volume":"14","author":[{"family":"Praskova","given":"E."},{"family":"Voslarova","given":"E."},{"family":"Siroka","given":"Z."},{"family":"Plhalova","given":"L."},{"family":"Macova","given":"S."},{"family":"Marsalek","given":"P."},{"family":"Pistekova","given":"V."},{"family":"Svobodova","given":"Z."}],"issued":{"date-parts":[["2011",12,1]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(Praskova et al. 2011)</w:t>
            </w:r>
            <w:r w:rsidRPr="001D0ADC">
              <w:rPr>
                <w:color w:val="auto"/>
                <w:lang w:val="en-GB" w:eastAsia="cs-CZ"/>
              </w:rPr>
              <w:fldChar w:fldCharType="end"/>
            </w:r>
          </w:p>
        </w:tc>
      </w:tr>
      <w:tr w:rsidR="001D0ADC" w:rsidRPr="001D0ADC" w14:paraId="7763B1DD"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027992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A2BAD82" w14:textId="16183A88"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49</w:t>
            </w:r>
          </w:p>
        </w:tc>
        <w:tc>
          <w:tcPr>
            <w:tcW w:w="4520" w:type="dxa"/>
            <w:tcBorders>
              <w:top w:val="single" w:sz="4" w:space="0" w:color="auto"/>
              <w:left w:val="nil"/>
              <w:bottom w:val="single" w:sz="4" w:space="0" w:color="auto"/>
              <w:right w:val="single" w:sz="4" w:space="0" w:color="auto"/>
            </w:tcBorders>
            <w:shd w:val="clear" w:color="auto" w:fill="auto"/>
            <w:vAlign w:val="bottom"/>
          </w:tcPr>
          <w:p w14:paraId="08AC387C"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51FFA1DF" w14:textId="77777777" w:rsidR="00196808" w:rsidRPr="001D0ADC" w:rsidRDefault="00196808" w:rsidP="00196808">
            <w:pPr>
              <w:pStyle w:val="NoSpacing"/>
              <w:ind w:firstLine="0"/>
              <w:rPr>
                <w:color w:val="auto"/>
                <w:lang w:val="en-GB" w:eastAsia="cs-CZ"/>
              </w:rPr>
            </w:pPr>
            <w:r w:rsidRPr="001D0ADC">
              <w:rPr>
                <w:color w:val="auto"/>
                <w:lang w:val="en-GB" w:eastAsia="cs-CZ"/>
              </w:rPr>
              <w:t>Acute (ZF) adult</w:t>
            </w:r>
          </w:p>
        </w:tc>
        <w:tc>
          <w:tcPr>
            <w:tcW w:w="1967" w:type="dxa"/>
            <w:tcBorders>
              <w:top w:val="single" w:sz="4" w:space="0" w:color="auto"/>
              <w:left w:val="single" w:sz="4" w:space="0" w:color="auto"/>
              <w:bottom w:val="single" w:sz="4" w:space="0" w:color="auto"/>
              <w:right w:val="single" w:sz="4" w:space="0" w:color="auto"/>
            </w:tcBorders>
          </w:tcPr>
          <w:p w14:paraId="56F1C406"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3F9F61F"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{"citationID":"3w2yDODQ","properties":{"formattedCitation":"(Penha et al. 2021)","plainCitation":"(Penha et al. 2021)","noteIndex":0},"citationItems":[{"id":1229,"uris":["http://zotero.org/users/11614927/items/EICNTBEN"],"itemData":{"id":1229,"type":"article-journal","abstract":"The entrance of the anti-inflammatory diclofenac in water bodies is a consequence of inappropriate use, incorrect disposal, and inefficiency of wastewater treatment plants (WWTPs) in removing this drug from sewage, among others. Effects of diclofenac on non-target aquatic organisms still need to be clarified. The objective of this work was to evaluate the toxic effects of the diclofenac on larvae and adults of Danio rerio. The LC50 values were 5.49 mg/L and 5.22 mg/L for the adult and larvae, respectively. A set of biochemical and genotoxic biomarkers were evaluated in fish exposed to an environmentally relevant concentration of 2 μg/L DCF and a no observed effect concentration (NOEC) of 3 mg/L diclofenac. At the NOEC, an increase in activities of glutathione-S-transferase (GST) enzyme and an increase in ATP binding cassette (ABC) transporters in gills of adult fish was observed; also, an increase in lipoperoxidation (LPO) was seen in the gills of adults and whole larvae. These results indicate that diclofenac activates the fish detoxification processes and may affect fish health.","container-title":"Comparative Biochemistry and Physiology Part C: Toxicology &amp; Pharmacology","DOI":"10.1016/j.cbpc.2020.108955","ISSN":"15320456","journalAbbreviation":"Comparative Biochemistry and Physiology Part C: Toxicology &amp; Pharmacology","language":"en","page":"108955","source":"DOI.org (Crossref)","title":"Effects of anti-inflammatory diclofenac assessed by toxicity tests and biomarkers in adults and larvae of Danio rerio","volume":"242","author":[{"family":"Penha","given":"Larissa Cristine De Carvalho"},{"family":"Rola","given":"Regina Coimbra"},{"family":"Martinez","given":"Claudia Bueno Dos Reis"},{"family":"Martins","given":"Camila De Martinez Gaspar"}],"issued":{"date-parts":[["2021",4]]}}}],"schema":"https://github.com/citation-style-language/schema/raw/master/csl-citation.json"}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(Penha et al. 2021)</w:t>
            </w:r>
            <w:r w:rsidRPr="001D0ADC">
              <w:rPr>
                <w:color w:val="auto"/>
                <w:lang w:val="en-GB" w:eastAsia="cs-CZ"/>
              </w:rPr>
              <w:fldChar w:fldCharType="end"/>
            </w:r>
          </w:p>
        </w:tc>
      </w:tr>
      <w:tr w:rsidR="001D0ADC" w:rsidRPr="001D0ADC" w14:paraId="476DD8E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6AB6AB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92AAD73" w14:textId="77777777" w:rsidR="00196808" w:rsidRPr="001D0ADC" w:rsidRDefault="00196808" w:rsidP="00196808">
            <w:pPr>
              <w:pStyle w:val="NoSpacing"/>
              <w:ind w:firstLine="0"/>
              <w:rPr>
                <w:color w:val="auto"/>
                <w:lang w:val="en-GB" w:eastAsia="cs-CZ"/>
              </w:rPr>
            </w:pPr>
            <w:r w:rsidRPr="001D0ADC">
              <w:rPr>
                <w:color w:val="auto"/>
                <w:lang w:val="en-GB" w:eastAsia="cs-CZ"/>
              </w:rPr>
              <w:t>14</w:t>
            </w:r>
          </w:p>
        </w:tc>
        <w:tc>
          <w:tcPr>
            <w:tcW w:w="4520" w:type="dxa"/>
            <w:tcBorders>
              <w:top w:val="single" w:sz="4" w:space="0" w:color="auto"/>
              <w:left w:val="nil"/>
              <w:bottom w:val="single" w:sz="4" w:space="0" w:color="auto"/>
              <w:right w:val="single" w:sz="4" w:space="0" w:color="auto"/>
            </w:tcBorders>
            <w:shd w:val="clear" w:color="auto" w:fill="auto"/>
            <w:vAlign w:val="bottom"/>
          </w:tcPr>
          <w:p w14:paraId="354CF7FC" w14:textId="77777777" w:rsidR="00196808" w:rsidRPr="001D0ADC" w:rsidRDefault="00196808" w:rsidP="00196808">
            <w:pPr>
              <w:pStyle w:val="NoSpacing"/>
              <w:ind w:firstLine="0"/>
              <w:rPr>
                <w:color w:val="auto"/>
                <w:lang w:val="en-GB" w:eastAsia="cs-CZ"/>
              </w:rPr>
            </w:pPr>
            <w:r w:rsidRPr="001D0ADC">
              <w:rPr>
                <w:color w:val="auto"/>
                <w:lang w:val="en-GB" w:eastAsia="cs-CZ"/>
              </w:rPr>
              <w:t>LC50 24h</w:t>
            </w:r>
          </w:p>
        </w:tc>
        <w:tc>
          <w:tcPr>
            <w:tcW w:w="2633" w:type="dxa"/>
            <w:vMerge w:val="restart"/>
            <w:tcBorders>
              <w:top w:val="single" w:sz="4" w:space="0" w:color="auto"/>
              <w:left w:val="nil"/>
              <w:right w:val="single" w:sz="4" w:space="0" w:color="auto"/>
            </w:tcBorders>
          </w:tcPr>
          <w:p w14:paraId="64D244E7" w14:textId="77777777" w:rsidR="00196808" w:rsidRPr="001D0ADC" w:rsidRDefault="00196808" w:rsidP="00196808">
            <w:pPr>
              <w:pStyle w:val="NoSpacing"/>
              <w:ind w:firstLine="0"/>
              <w:rPr>
                <w:color w:val="auto"/>
                <w:lang w:val="en-GB" w:eastAsia="cs-CZ"/>
              </w:rPr>
            </w:pPr>
            <w:r w:rsidRPr="001D0ADC">
              <w:rPr>
                <w:color w:val="auto"/>
                <w:lang w:val="en-GB" w:eastAsia="cs-CZ"/>
              </w:rPr>
              <w:t>Acute (OL)</w:t>
            </w:r>
          </w:p>
        </w:tc>
        <w:tc>
          <w:tcPr>
            <w:tcW w:w="1967" w:type="dxa"/>
            <w:vMerge w:val="restart"/>
            <w:tcBorders>
              <w:top w:val="single" w:sz="4" w:space="0" w:color="auto"/>
              <w:left w:val="single" w:sz="4" w:space="0" w:color="auto"/>
              <w:right w:val="single" w:sz="4" w:space="0" w:color="auto"/>
            </w:tcBorders>
          </w:tcPr>
          <w:p w14:paraId="71AA4142"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2B967E09"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{"citationID":"z4v6N8Fk","properties":{"formattedCitation":"(Nassef et al. 2009)","plainCitation":"(Nassef et al. 2009)","noteIndex":0},"citationItems":[{"id":1265,"uris":["http://zotero.org/users/11614927/items/RH8PLLII"],"itemData":{"id":1265,"type":"article-journal","container-title":"Journal of the Faculty of Agriculture, Kyushu University","DOI":"10.5109/16123","ISSN":"0023-6152","issue":"2","language":"en","page":"407-411","source":"DOI.org (Crossref)","title":"Pharmaceuticals and Personal Care Products Toxicity to Japanese Medaka Fish (Oryzias latipes)","volume":"54","author":[{"family":"Nassef","given":"Mohamed"},{"family":"Matsumoto","given":"Shuhei"},{"family":"Seki","given":"Masanori"},{"family":"Kang","given":"Ik Joon"},{"family":"Moroishi","given":"Junya"},{"family":"Shimasaki","given":"Yohei"},{"family":"Oshima","given":"Yuji"}],"issued":{"date-parts":[["2009",10,29]]}}}],"schema":"https://github.com/citation-style-language/schema/raw/master/csl-citation.json"}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(Nassef et al. 2009)</w:t>
            </w:r>
            <w:r w:rsidRPr="001D0ADC">
              <w:rPr>
                <w:color w:val="auto"/>
                <w:lang w:val="en-GB" w:eastAsia="cs-CZ"/>
              </w:rPr>
              <w:fldChar w:fldCharType="end"/>
            </w:r>
          </w:p>
        </w:tc>
      </w:tr>
      <w:tr w:rsidR="001D0ADC" w:rsidRPr="001D0ADC" w14:paraId="1B80CBC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C26707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9B4F2DF" w14:textId="49C482DA" w:rsidR="00196808" w:rsidRPr="001D0ADC" w:rsidRDefault="00196808"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2.</w:t>
            </w: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3DD641F5" w14:textId="77777777" w:rsidR="00196808" w:rsidRPr="001D0ADC" w:rsidRDefault="00196808" w:rsidP="00196808">
            <w:pPr>
              <w:pStyle w:val="NoSpacing"/>
              <w:ind w:firstLine="0"/>
              <w:rPr>
                <w:color w:val="auto"/>
                <w:lang w:val="en-GB" w:eastAsia="cs-CZ"/>
              </w:rPr>
            </w:pPr>
            <w:r w:rsidRPr="001D0ADC">
              <w:rPr>
                <w:color w:val="auto"/>
                <w:lang w:val="en-GB" w:eastAsia="cs-CZ"/>
              </w:rPr>
              <w:t>LC50 48h</w:t>
            </w:r>
          </w:p>
        </w:tc>
        <w:tc>
          <w:tcPr>
            <w:tcW w:w="2633" w:type="dxa"/>
            <w:vMerge/>
            <w:tcBorders>
              <w:left w:val="nil"/>
              <w:right w:val="single" w:sz="4" w:space="0" w:color="auto"/>
            </w:tcBorders>
          </w:tcPr>
          <w:p w14:paraId="5FAD31E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125FC229"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7EA8598F" w14:textId="77777777" w:rsidR="00196808" w:rsidRPr="001D0ADC" w:rsidRDefault="00196808" w:rsidP="00196808">
            <w:pPr>
              <w:pStyle w:val="NoSpacing"/>
              <w:ind w:firstLine="0"/>
              <w:rPr>
                <w:color w:val="auto"/>
                <w:lang w:val="en-GB" w:eastAsia="cs-CZ"/>
              </w:rPr>
            </w:pPr>
          </w:p>
        </w:tc>
      </w:tr>
      <w:tr w:rsidR="001D0ADC" w:rsidRPr="001D0ADC" w14:paraId="586D671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716121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4C1E2A9" w14:textId="24C63DD6" w:rsidR="00196808" w:rsidRPr="001D0ADC" w:rsidRDefault="00196808"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0.</w:t>
            </w:r>
            <w:r w:rsidRPr="001D0ADC">
              <w:rPr>
                <w:color w:val="auto"/>
                <w:lang w:val="en-GB" w:eastAsia="cs-CZ"/>
              </w:rPr>
              <w:t>9</w:t>
            </w:r>
          </w:p>
        </w:tc>
        <w:tc>
          <w:tcPr>
            <w:tcW w:w="4520" w:type="dxa"/>
            <w:tcBorders>
              <w:top w:val="single" w:sz="4" w:space="0" w:color="auto"/>
              <w:left w:val="nil"/>
              <w:bottom w:val="single" w:sz="4" w:space="0" w:color="auto"/>
              <w:right w:val="single" w:sz="4" w:space="0" w:color="auto"/>
            </w:tcBorders>
            <w:shd w:val="clear" w:color="auto" w:fill="auto"/>
            <w:vAlign w:val="bottom"/>
          </w:tcPr>
          <w:p w14:paraId="7D215E75" w14:textId="77777777" w:rsidR="00196808" w:rsidRPr="001D0ADC" w:rsidRDefault="00196808" w:rsidP="00196808">
            <w:pPr>
              <w:pStyle w:val="NoSpacing"/>
              <w:ind w:firstLine="0"/>
              <w:rPr>
                <w:color w:val="auto"/>
                <w:lang w:val="en-GB" w:eastAsia="cs-CZ"/>
              </w:rPr>
            </w:pPr>
            <w:r w:rsidRPr="001D0ADC">
              <w:rPr>
                <w:color w:val="auto"/>
                <w:lang w:val="en-GB" w:eastAsia="cs-CZ"/>
              </w:rPr>
              <w:t>LC50 72h</w:t>
            </w:r>
          </w:p>
        </w:tc>
        <w:tc>
          <w:tcPr>
            <w:tcW w:w="2633" w:type="dxa"/>
            <w:vMerge/>
            <w:tcBorders>
              <w:left w:val="nil"/>
              <w:right w:val="single" w:sz="4" w:space="0" w:color="auto"/>
            </w:tcBorders>
          </w:tcPr>
          <w:p w14:paraId="0431B26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01950118"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C579EA1" w14:textId="77777777" w:rsidR="00196808" w:rsidRPr="001D0ADC" w:rsidRDefault="00196808" w:rsidP="00196808">
            <w:pPr>
              <w:pStyle w:val="NoSpacing"/>
              <w:ind w:firstLine="0"/>
              <w:rPr>
                <w:color w:val="auto"/>
                <w:lang w:val="en-GB" w:eastAsia="cs-CZ"/>
              </w:rPr>
            </w:pPr>
          </w:p>
        </w:tc>
      </w:tr>
      <w:tr w:rsidR="001D0ADC" w:rsidRPr="001D0ADC" w14:paraId="6C8CA30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818080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CF83933" w14:textId="5DF7E3FF" w:rsidR="00196808" w:rsidRPr="001D0ADC" w:rsidRDefault="00196808"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0.</w:t>
            </w: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9B738C2" w14:textId="77777777" w:rsidR="00196808" w:rsidRPr="001D0ADC" w:rsidRDefault="00196808" w:rsidP="00196808">
            <w:pPr>
              <w:pStyle w:val="NoSpacing"/>
              <w:ind w:firstLine="0"/>
              <w:rPr>
                <w:color w:val="auto"/>
                <w:lang w:val="en-GB" w:eastAsia="cs-CZ"/>
              </w:rPr>
            </w:pPr>
            <w:r w:rsidRPr="001D0ADC">
              <w:rPr>
                <w:color w:val="auto"/>
                <w:lang w:val="en-GB" w:eastAsia="cs-CZ"/>
              </w:rPr>
              <w:t>LC50 96h</w:t>
            </w:r>
          </w:p>
        </w:tc>
        <w:tc>
          <w:tcPr>
            <w:tcW w:w="2633" w:type="dxa"/>
            <w:vMerge/>
            <w:tcBorders>
              <w:left w:val="nil"/>
              <w:bottom w:val="single" w:sz="4" w:space="0" w:color="auto"/>
              <w:right w:val="single" w:sz="4" w:space="0" w:color="auto"/>
            </w:tcBorders>
          </w:tcPr>
          <w:p w14:paraId="3509658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4880FCE"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2D33B09" w14:textId="77777777" w:rsidR="00196808" w:rsidRPr="001D0ADC" w:rsidRDefault="00196808" w:rsidP="00196808">
            <w:pPr>
              <w:pStyle w:val="NoSpacing"/>
              <w:ind w:firstLine="0"/>
              <w:rPr>
                <w:color w:val="auto"/>
                <w:lang w:val="en-GB" w:eastAsia="cs-CZ"/>
              </w:rPr>
            </w:pPr>
          </w:p>
        </w:tc>
      </w:tr>
      <w:tr w:rsidR="001D0ADC" w:rsidRPr="001D0ADC" w14:paraId="4708BE9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A565C4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E1F77B3" w14:textId="77777777" w:rsidR="00196808" w:rsidRPr="001D0ADC" w:rsidRDefault="00196808" w:rsidP="00196808">
            <w:pPr>
              <w:pStyle w:val="NoSpacing"/>
              <w:ind w:firstLine="0"/>
              <w:rPr>
                <w:color w:val="auto"/>
                <w:lang w:val="en-GB" w:eastAsia="cs-CZ"/>
              </w:rPr>
            </w:pPr>
            <w:r w:rsidRPr="001D0ADC">
              <w:rPr>
                <w:color w:val="auto"/>
                <w:lang w:val="en-GB" w:eastAsia="cs-CZ"/>
              </w:rPr>
              <w:t>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683FC852"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71F4D7C4" w14:textId="77777777" w:rsidR="00196808" w:rsidRPr="001D0ADC" w:rsidRDefault="00196808" w:rsidP="00196808">
            <w:pPr>
              <w:pStyle w:val="NoSpacing"/>
              <w:ind w:firstLine="0"/>
              <w:rPr>
                <w:color w:val="auto"/>
                <w:lang w:val="en-GB" w:eastAsia="cs-CZ"/>
              </w:rPr>
            </w:pPr>
            <w:r w:rsidRPr="001D0ADC">
              <w:rPr>
                <w:color w:val="auto"/>
                <w:lang w:val="en-GB" w:eastAsia="cs-CZ"/>
              </w:rPr>
              <w:t>Acute (ZF)</w:t>
            </w:r>
          </w:p>
        </w:tc>
        <w:tc>
          <w:tcPr>
            <w:tcW w:w="1967" w:type="dxa"/>
            <w:tcBorders>
              <w:top w:val="single" w:sz="4" w:space="0" w:color="auto"/>
              <w:left w:val="single" w:sz="4" w:space="0" w:color="auto"/>
              <w:bottom w:val="single" w:sz="4" w:space="0" w:color="auto"/>
              <w:right w:val="single" w:sz="4" w:space="0" w:color="auto"/>
            </w:tcBorders>
          </w:tcPr>
          <w:p w14:paraId="59065C35"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40C4D92"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{"citationID":"V7hDoKZs","properties":{"formattedCitation":"(Shahnaz et al. 2021)","plainCitation":"(Shahnaz et al. 2021)","noteIndex":0},"citationItems":[{"id":1241,"uris":["http://zotero.org/users/11614927/items/AU2SFJCC"],"itemData":{"id":1241,"type":"article-journal","abstract":"The present study deals with the adsorption of antibiotic Ciproﬂoxacin (CPXO) and anti-inﬂammatory agent Diclofenac (DCF) on Grass nanocellulose (GNC) extracted from Cyprus rotundas grass. The adsorbent GNC was characterised using various microscopic, elemental and spectroscopic analysis to monitor the physicochemical alterations of the surface before and after adsorption. The size of the converted nanocellulose was found to be 40e50 nm. The experimental measures inﬂuencing the adsorption of CPXO and DCF that were optimised are initial solution pH, GNC dosage, temperature and initial concentration of the adsorbate. Halsey isotherm model and pseudo-second order kinetic model agreed best with the experimental outcome for both the adsorbate. The maximum adsorption capacity of GNC were 227.223 and 192.307 mg/g for CPXO and DCF respectively. Phytotoxicity studies were performed using 6 different types of seeds to evaluate the effect of GNC treated efﬂuent on plants. Similarly, acute ﬁsh toxicity on zebra ﬁsh analysis showed to have lesser mortality rate of the efﬂuent after adsorption of CPXO and DCF on GNC.","container-title":"Environmental Pollution","DOI":"10.1016/j.envpol.2020.115494","ISSN":"02697491","journalAbbreviation":"Environmental Pollution","language":"en","page":"115494","source":"DOI.org (Crossref)","title":"Use of Nanocellulose extracted from grass for adsorption abatement of Ciprofloxacin and Diclofenac removal with phyto, and fish toxicity studies","volume":"268","author":[{"family":"Shahnaz","given":"Tasrin"},{"family":"Vishnu Priyan","given":"V."},{"family":"Pandian","given":"Sivakumar"},{"family":"Narayanasamy","given":"Selvaraju"}],"issued":{"date-parts":[["2021",1]]}}}],"schema":"https://github.com/citation-style-language/schema/raw/master/csl-citation.json"}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(Shahnaz et al. 2021)</w:t>
            </w:r>
            <w:r w:rsidRPr="001D0ADC">
              <w:rPr>
                <w:color w:val="auto"/>
                <w:lang w:val="en-GB" w:eastAsia="cs-CZ"/>
              </w:rPr>
              <w:fldChar w:fldCharType="end"/>
            </w:r>
          </w:p>
        </w:tc>
      </w:tr>
      <w:tr w:rsidR="001D0ADC" w:rsidRPr="001D0ADC" w14:paraId="3A78D5F1"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D4A163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E43998B" w14:textId="137F8427" w:rsidR="00196808" w:rsidRPr="001D0ADC" w:rsidRDefault="00196808"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1.</w:t>
            </w:r>
            <w:r w:rsidRPr="001D0ADC">
              <w:rPr>
                <w:color w:val="auto"/>
                <w:lang w:val="en-GB" w:eastAsia="cs-CZ"/>
              </w:rPr>
              <w:t>71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266479B" w14:textId="63AC53F3"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08D5E48C" w14:textId="349A591B" w:rsidR="00196808" w:rsidRPr="001D0ADC" w:rsidRDefault="00196808" w:rsidP="00196808">
            <w:pPr>
              <w:pStyle w:val="NoSpacing"/>
              <w:ind w:firstLine="0"/>
              <w:rPr>
                <w:color w:val="auto"/>
                <w:lang w:val="en-GB" w:eastAsia="cs-CZ"/>
              </w:rPr>
            </w:pPr>
            <w:r w:rsidRPr="001D0ADC">
              <w:rPr>
                <w:color w:val="auto"/>
                <w:lang w:val="en-GB" w:eastAsia="cs-CZ"/>
              </w:rPr>
              <w:t>Acute (CC)</w:t>
            </w:r>
          </w:p>
        </w:tc>
        <w:tc>
          <w:tcPr>
            <w:tcW w:w="1967" w:type="dxa"/>
            <w:tcBorders>
              <w:top w:val="single" w:sz="4" w:space="0" w:color="auto"/>
              <w:left w:val="single" w:sz="4" w:space="0" w:color="auto"/>
              <w:bottom w:val="single" w:sz="4" w:space="0" w:color="auto"/>
              <w:right w:val="single" w:sz="4" w:space="0" w:color="auto"/>
            </w:tcBorders>
          </w:tcPr>
          <w:p w14:paraId="10AD7D2B" w14:textId="6572F53E"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AA797D6" w14:textId="2B133609"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{"citationID":"a2htrlvmdmo","properties":{"formattedCitation":"(Shankarrao and Jayabhaye 2020)","plainCitation":"(Shankarrao and Jayabhaye 2020)","noteIndex":0},"citationItems":[{"id":1498,"uris":["http://zotero.org/users/11614927/items/B579ITDT"],"itemData":{"id":1498,"type":"article-journal","abstract":"The current study was carried out to investigate the biochemical investigations in common carp (Cyprinus carpio) when treated with diclofenac. The fishes are divided into four groups for this investigation. According to sub-lethal toxicity tests, fish exposed to one-tenth of the LC50 value of diclofenac. Diclofenac's 96-h LC50 in C. carpio was 11.71 mg/L. As a result, fish were exposed to 0.25, 0.50, and 1 mg/L concentrations of diclofenac and diclofenac separately for this experiment. In natural water, control fish were kept without any treatment. The biochemical estimation methods were used to investigate the influence of diclofenac on the biochemical contents of fish C. carpio's liver, gills, and brain, namely soluble protein, carbohydrates, and lipids. The treatment of diclofenac resulted in a considerable decrease in protein content in the liver, gills, and brain tissues. When compared to the other tissues, such as the liver and gills of the diclofenac-exposed fish, the decline in protein level was greater in brain tissue. When the time of exposure increased, the protein content decreased as the concentration of diclofenac rose. The percentage drop in glucose levels in diclofenac-exposed fish liver and brain tissues increased with exposure period. The fish, C. carpio, showed stress and reduced their food intake after being exposed to sublethal amounts of diclofenac. Based on these findings, it is inferred that the lipid content in all tissues of C. carpio in group IV animals decreased on the 21st day of diclofenac exposure.","issue":"4","language":"en","source":"Zotero","title":"Biochemical studies on the effect of diclofenac on common carp (Cyprinus carpio)","volume":"8","author":[{"family":"Shankarrao","given":"Kurhade Chandrakant"},{"family":"Jayabhaye","given":"U M"}],"issued":{"date-parts":[["2020"]]}}}],"schema":"https://github.com/citation-style-language/schema/raw/master/csl-citation.json"}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(Shankarrao and Jayabhaye 2020)</w:t>
            </w:r>
            <w:r w:rsidRPr="001D0ADC">
              <w:rPr>
                <w:color w:val="auto"/>
                <w:lang w:val="en-GB" w:eastAsia="cs-CZ"/>
              </w:rPr>
              <w:fldChar w:fldCharType="end"/>
            </w:r>
          </w:p>
        </w:tc>
      </w:tr>
      <w:tr w:rsidR="001D0ADC" w:rsidRPr="001D0ADC" w14:paraId="51228958"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F84E29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7F5FDF8" w14:textId="3A270F44" w:rsidR="00196808" w:rsidRPr="001D0ADC" w:rsidRDefault="00196808" w:rsidP="00196808">
            <w:pPr>
              <w:pStyle w:val="NoSpacing"/>
              <w:ind w:firstLine="0"/>
              <w:rPr>
                <w:color w:val="auto"/>
                <w:lang w:val="en-GB" w:eastAsia="cs-CZ"/>
              </w:rPr>
            </w:pPr>
            <w:r w:rsidRPr="001D0ADC">
              <w:rPr>
                <w:color w:val="auto"/>
                <w:lang w:val="en-GB" w:eastAsia="cs-CZ"/>
              </w:rPr>
              <w:t>3</w:t>
            </w:r>
            <w:r w:rsidR="00CF2036" w:rsidRPr="001D0ADC">
              <w:rPr>
                <w:color w:val="auto"/>
                <w:lang w:val="en-GB" w:eastAsia="cs-CZ"/>
              </w:rPr>
              <w:t>0.</w:t>
            </w:r>
            <w:r w:rsidRPr="001D0ADC">
              <w:rPr>
                <w:color w:val="auto"/>
                <w:lang w:val="en-GB" w:eastAsia="cs-CZ"/>
              </w:rPr>
              <w:t>8</w:t>
            </w:r>
          </w:p>
        </w:tc>
        <w:tc>
          <w:tcPr>
            <w:tcW w:w="4520" w:type="dxa"/>
            <w:tcBorders>
              <w:top w:val="single" w:sz="4" w:space="0" w:color="auto"/>
              <w:left w:val="nil"/>
              <w:bottom w:val="single" w:sz="4" w:space="0" w:color="auto"/>
              <w:right w:val="single" w:sz="4" w:space="0" w:color="auto"/>
            </w:tcBorders>
            <w:shd w:val="clear" w:color="auto" w:fill="auto"/>
            <w:vAlign w:val="bottom"/>
          </w:tcPr>
          <w:p w14:paraId="231CECA3" w14:textId="23442E2C"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27AEDF04" w14:textId="3166E9DD" w:rsidR="00196808" w:rsidRPr="001D0ADC" w:rsidRDefault="00196808" w:rsidP="00196808">
            <w:pPr>
              <w:pStyle w:val="NoSpacing"/>
              <w:ind w:firstLine="0"/>
              <w:rPr>
                <w:color w:val="auto"/>
                <w:lang w:val="en-GB" w:eastAsia="cs-CZ"/>
              </w:rPr>
            </w:pPr>
            <w:r w:rsidRPr="001D0ADC">
              <w:rPr>
                <w:color w:val="auto"/>
                <w:lang w:val="en-GB" w:eastAsia="cs-CZ"/>
              </w:rPr>
              <w:t>Acute (AsA)</w:t>
            </w:r>
          </w:p>
        </w:tc>
        <w:tc>
          <w:tcPr>
            <w:tcW w:w="1967" w:type="dxa"/>
            <w:tcBorders>
              <w:top w:val="single" w:sz="4" w:space="0" w:color="auto"/>
              <w:left w:val="single" w:sz="4" w:space="0" w:color="auto"/>
              <w:bottom w:val="single" w:sz="4" w:space="0" w:color="auto"/>
              <w:right w:val="single" w:sz="4" w:space="0" w:color="auto"/>
            </w:tcBorders>
          </w:tcPr>
          <w:p w14:paraId="7AAE5FF6" w14:textId="33C96951"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EA45376" w14:textId="20E14544"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{"citationID":"am220tpi95","properties":{"formattedCitation":"(Godoi et al. 2020)","plainCitation":"(Godoi et al. 2020)","noteIndex":0},"citationItems":[{"id":1926,"uris":["http://zotero.org/users/11614927/items/JWSUN2SZ"],"itemData":{"id":1926,"type":"article-journal","abstract":"Diclofenac (DCF) and caﬀeine (CAF) are persistent pharmaceuticals that occur in mixtures in the aquatic ecosystems causing eﬀects in the reproductive physiology of aquatic organisms. This study evaluated the physiological reproductive responses of Astyanax altiparanae males exposed to nominal concentrations of DCF (3.08 mg L−1) and CAF (9.59 mg L−1) separately and combined, for 96 h. The steroids proﬁle, estrogenic biomarker vitellogenin (vtgA), testes and liver morphology, and also mortality of males were assessed. DCF and CAF degradation was 5% of the initial concentration for 24 h. The LC50 of the DCF and CAF were 30.8 mg L−1 and 95.9 mg L−1, respectively. Males exposed to DCF and CAF exhibited a reduction of 17β-Estradiol (E2) concentration compared to control (CTL). Similarly, testosterone (T) was also reduced in the DCF treatment, but this response was not observed in 11-Ketotestosterone (11-KT). Males exposed to DCF + CAF combined did not exhibit diﬀerences in T, E2 and 11-KT steroids. The vtgA gene expression and the sperm concentration did not change among the treatments. Moreover, acute exposure revealed a hypertrophy of hepatocytes cells in the DCF and DCF + CAF treatments. In conclusion, DCF and CAF, isolated, exhibit an endocrine disruptive activity in A. altiparanae male, an opposite response observed with the mixture of both compounds that abolishes the endocrine disruptive eﬀects. DCF seems to be more toxic for this species, altering also hepatocytes morphology.","container-title":"Comparative Biochemistry and Physiology Part C: Toxicology &amp; Pharmacology","DOI":"10.1016/j.cbpc.2020.108720","ISSN":"15320456","journalAbbreviation":"Comparative Biochemistry and Physiology Part C: Toxicology &amp; Pharmacology","language":"en","page":"108720","source":"DOI.org (Crossref)","title":"Endocrine disruptive action of diclofenac and caffeine on Astyanax altiparanae males (Teleostei: Characiformes: Characidae)","title-short":"Endocrine disruptive action of diclofenac and caffeine on Astyanax altiparanae males (Teleostei","volume":"231","author":[{"family":"Godoi","given":"Filipe G.A."},{"family":"Muñoz-Peñuela","given":"Marcela"},{"family":"Gomes","given":"Aline D. Olio"},{"family":"Tolussi","given":"Carlos E."},{"family":"Brambila-Souza","given":"Gabriela"},{"family":"Branco","given":"Giovana S."},{"family":"Lo Nostro","given":"Fabiana L."},{"family":"Moreira","given":"Renata G."}],"issued":{"date-parts":[["2020",5]]}}}],"schema":"https://github.com/citation-style-language/schema/raw/master/csl-citation.json"}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(Godoi et al. 2020)</w:t>
            </w:r>
            <w:r w:rsidRPr="001D0ADC">
              <w:rPr>
                <w:color w:val="auto"/>
                <w:lang w:val="en-GB" w:eastAsia="cs-CZ"/>
              </w:rPr>
              <w:fldChar w:fldCharType="end"/>
            </w:r>
          </w:p>
        </w:tc>
      </w:tr>
      <w:tr w:rsidR="001D0ADC" w:rsidRPr="001D0ADC" w14:paraId="2BF453FE"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5849DEB"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3BAB0BE6" w14:textId="1D4E1580" w:rsidR="00196808" w:rsidRPr="001D0ADC" w:rsidRDefault="00196808" w:rsidP="00196808">
            <w:pPr>
              <w:pStyle w:val="NoSpacing"/>
              <w:ind w:firstLine="0"/>
              <w:rPr>
                <w:b/>
                <w:bCs/>
                <w:color w:val="auto"/>
                <w:lang w:val="en-GB" w:eastAsia="cs-CZ"/>
              </w:rPr>
            </w:pPr>
            <w:r w:rsidRPr="001D0ADC">
              <w:rPr>
                <w:b/>
                <w:bCs/>
                <w:color w:val="auto"/>
                <w:lang w:val="en-GB" w:eastAsia="cs-CZ"/>
              </w:rPr>
              <w:t>Non-lethal effects after acute exposure (adults or juvenile)</w:t>
            </w:r>
            <w:r w:rsidR="000F6A8E" w:rsidRPr="001D0ADC">
              <w:rPr>
                <w:b/>
                <w:bCs/>
                <w:color w:val="auto"/>
                <w:lang w:val="en-GB" w:eastAsia="cs-CZ"/>
              </w:rPr>
              <w:t xml:space="preserve"> (mg/l)</w:t>
            </w:r>
          </w:p>
        </w:tc>
      </w:tr>
      <w:tr w:rsidR="001D0ADC" w:rsidRPr="001D0ADC" w14:paraId="4C3A5D00"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746FE2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99117ED"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2E4FBF4F" w14:textId="77777777" w:rsidR="00196808" w:rsidRPr="001D0ADC" w:rsidRDefault="00196808" w:rsidP="00196808">
            <w:pPr>
              <w:pStyle w:val="NoSpacing"/>
              <w:ind w:firstLine="0"/>
              <w:rPr>
                <w:color w:val="auto"/>
                <w:lang w:val="en-GB" w:eastAsia="cs-CZ"/>
              </w:rPr>
            </w:pPr>
            <w:r w:rsidRPr="001D0ADC">
              <w:rPr>
                <w:color w:val="auto"/>
                <w:lang w:val="en-GB" w:eastAsia="cs-CZ"/>
              </w:rPr>
              <w:t>LOEC for time to eat from d8</w:t>
            </w:r>
          </w:p>
        </w:tc>
        <w:tc>
          <w:tcPr>
            <w:tcW w:w="2633" w:type="dxa"/>
            <w:vMerge w:val="restart"/>
            <w:tcBorders>
              <w:top w:val="single" w:sz="4" w:space="0" w:color="auto"/>
              <w:left w:val="nil"/>
              <w:right w:val="single" w:sz="4" w:space="0" w:color="auto"/>
            </w:tcBorders>
          </w:tcPr>
          <w:p w14:paraId="446AF5DE" w14:textId="77777777" w:rsidR="00196808" w:rsidRPr="001D0ADC" w:rsidRDefault="00196808" w:rsidP="00196808">
            <w:pPr>
              <w:pStyle w:val="NoSpacing"/>
              <w:ind w:firstLine="0"/>
              <w:rPr>
                <w:color w:val="auto"/>
                <w:lang w:val="en-GB" w:eastAsia="cs-CZ"/>
              </w:rPr>
            </w:pPr>
            <w:r w:rsidRPr="001D0ADC">
              <w:rPr>
                <w:color w:val="auto"/>
                <w:lang w:val="en-GB" w:eastAsia="cs-CZ"/>
              </w:rPr>
              <w:t>Acute</w:t>
            </w:r>
          </w:p>
        </w:tc>
        <w:tc>
          <w:tcPr>
            <w:tcW w:w="1967" w:type="dxa"/>
            <w:vMerge w:val="restart"/>
            <w:tcBorders>
              <w:top w:val="single" w:sz="4" w:space="0" w:color="auto"/>
              <w:left w:val="single" w:sz="4" w:space="0" w:color="auto"/>
              <w:right w:val="single" w:sz="4" w:space="0" w:color="auto"/>
            </w:tcBorders>
          </w:tcPr>
          <w:p w14:paraId="56671A04" w14:textId="77777777" w:rsidR="00196808" w:rsidRPr="001D0ADC" w:rsidRDefault="00196808" w:rsidP="00196808">
            <w:pPr>
              <w:pStyle w:val="NoSpacing"/>
              <w:ind w:firstLine="0"/>
              <w:rPr>
                <w:color w:val="auto"/>
                <w:lang w:val="en-GB" w:eastAsia="cs-CZ"/>
              </w:rPr>
            </w:pPr>
            <w:r w:rsidRPr="001D0ADC">
              <w:rPr>
                <w:color w:val="auto"/>
                <w:lang w:val="en-GB" w:eastAsia="cs-CZ"/>
              </w:rPr>
              <w:t>9d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C5DF98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{"citationID":"6yR2yGNk","properties":{"formattedCitation":"(Nassef, Matsumoto, et al. 2010)","plainCitation":"(Nassef, Matsumoto, et al. 2010)","noteIndex":0},"citationItems":[{"id":1167,"uris":["http://zotero.org/users/11614927/items/9YZHW5AC"],"itemData":{"id":1167,"type":"article-journal","abstract":"The toxicity of three pharmaceutical and personal care products (PPCPs) – carbamazepine (CBMZ), diclofenac (DCF), and triclosan (TCS) – was examined by measuring their effects on feeding behavior and swimming speed of adult Japanese medaka ﬁsh (Oryzias latipes). Medaka were exposed to 6.15 mg LÀ1 CBMZ, 1.0 mg LÀ1 DCF, 0.17 mg LÀ1 TCS, or no PPCP (control) for 9 d. Fish behaviors were monitored during days 5–9 of the exposure period. Feeding behavior (time to eat midge larvae, TE) and swimming speed (SS) of individual exposed and control ﬁsh were tracked in two dimensions, using an automated system with a digital charge-coupled device camera. As a result, feeding behavior was affected by exposure to CBMZ and DCF, while SS was altered by exposure to CBMZ and TCS. Thus, TCS, DCF and CBMZ appear to affect ﬁsh behaviors through different mechanisms. Overall, the results suggest that behavioral changes may provide a sensitive indicator for assessing the toxicity of PPCPs to aquatic organisms.","container-title":"Chemosphere","DOI":"10.1016/j.chemosphere.2010.04.073","ISSN":"00456535","issue":"9","journalAbbreviation":"Chemosphere","language":"en","page":"1095-1100","source":"DOI.org (Crossref)","title":"Acute effects of triclosan, diclofenac and carbamazepine on feeding performance of Japanese medaka fish (Oryzias latipes)","volume":"80","author":[{"family":"Nassef","given":"Mohamed"},{"family":"Matsumoto","given":"Shuhei"},{"family":"Seki","given":"Masanori"},{"family":"Khalil","given":"Fatma"},{"family":"Kang","given":"Ik Joon"},{"family":"Shimasaki","given":"Yohei"},{"family":"Oshima","given":"Yuji"},{"family":"Honjo","given":"Tsuneo"}],"issued":{"date-parts":[["2010",8]]}}}],"schema":"https://github.com/citation-style-language/schema/raw/master/csl-citation.json"}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(Nassef, Matsumoto, et al. 2010)</w:t>
            </w:r>
            <w:r w:rsidRPr="001D0ADC">
              <w:rPr>
                <w:color w:val="auto"/>
                <w:lang w:val="en-GB" w:eastAsia="cs-CZ"/>
              </w:rPr>
              <w:fldChar w:fldCharType="end"/>
            </w:r>
          </w:p>
        </w:tc>
      </w:tr>
      <w:tr w:rsidR="001D0ADC" w:rsidRPr="001D0ADC" w14:paraId="39DE4CBF"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60EA23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A72E4D0"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14C0D3B6" w14:textId="77777777" w:rsidR="00196808" w:rsidRPr="001D0ADC" w:rsidRDefault="00196808" w:rsidP="00196808">
            <w:pPr>
              <w:pStyle w:val="NoSpacing"/>
              <w:ind w:firstLine="0"/>
              <w:rPr>
                <w:color w:val="auto"/>
                <w:lang w:val="en-GB" w:eastAsia="cs-CZ"/>
              </w:rPr>
            </w:pPr>
            <w:r w:rsidRPr="001D0ADC">
              <w:rPr>
                <w:color w:val="auto"/>
                <w:lang w:val="en-GB" w:eastAsia="cs-CZ"/>
              </w:rPr>
              <w:t>NOEC swimming speed</w:t>
            </w:r>
          </w:p>
        </w:tc>
        <w:tc>
          <w:tcPr>
            <w:tcW w:w="2633" w:type="dxa"/>
            <w:vMerge/>
            <w:tcBorders>
              <w:left w:val="nil"/>
              <w:bottom w:val="single" w:sz="4" w:space="0" w:color="auto"/>
              <w:right w:val="single" w:sz="4" w:space="0" w:color="auto"/>
            </w:tcBorders>
          </w:tcPr>
          <w:p w14:paraId="44869FE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BB1DA0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1072333" w14:textId="77777777" w:rsidR="00196808" w:rsidRPr="001D0ADC" w:rsidRDefault="00196808" w:rsidP="00196808">
            <w:pPr>
              <w:pStyle w:val="NoSpacing"/>
              <w:ind w:firstLine="0"/>
              <w:rPr>
                <w:color w:val="auto"/>
                <w:lang w:val="en-GB" w:eastAsia="cs-CZ"/>
              </w:rPr>
            </w:pPr>
          </w:p>
        </w:tc>
      </w:tr>
      <w:tr w:rsidR="001D0ADC" w:rsidRPr="001D0ADC" w14:paraId="5ED21047"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033008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FA8C76F" w14:textId="0D63D30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8F7DF96" w14:textId="77777777" w:rsidR="00196808" w:rsidRPr="001D0ADC" w:rsidRDefault="00196808" w:rsidP="00196808">
            <w:pPr>
              <w:pStyle w:val="NoSpacing"/>
              <w:ind w:firstLine="0"/>
              <w:rPr>
                <w:color w:val="auto"/>
                <w:lang w:val="en-GB" w:eastAsia="cs-CZ"/>
              </w:rPr>
            </w:pPr>
            <w:r w:rsidRPr="001D0ADC">
              <w:rPr>
                <w:color w:val="auto"/>
                <w:lang w:val="en-GB" w:eastAsia="cs-CZ"/>
              </w:rPr>
              <w:t>LOEC GOT, GPT and ATPase activity</w:t>
            </w:r>
          </w:p>
        </w:tc>
        <w:tc>
          <w:tcPr>
            <w:tcW w:w="2633" w:type="dxa"/>
            <w:tcBorders>
              <w:top w:val="single" w:sz="4" w:space="0" w:color="auto"/>
              <w:left w:val="nil"/>
              <w:bottom w:val="single" w:sz="4" w:space="0" w:color="auto"/>
              <w:right w:val="single" w:sz="4" w:space="0" w:color="auto"/>
            </w:tcBorders>
          </w:tcPr>
          <w:p w14:paraId="08497DC6" w14:textId="77777777" w:rsidR="00196808" w:rsidRPr="001D0ADC" w:rsidRDefault="00196808" w:rsidP="00196808">
            <w:pPr>
              <w:pStyle w:val="NoSpacing"/>
              <w:ind w:firstLine="0"/>
              <w:rPr>
                <w:color w:val="auto"/>
                <w:lang w:val="en-GB" w:eastAsia="cs-CZ"/>
              </w:rPr>
            </w:pPr>
            <w:r w:rsidRPr="001D0ADC">
              <w:rPr>
                <w:color w:val="auto"/>
                <w:lang w:val="en-GB" w:eastAsia="cs-CZ"/>
              </w:rPr>
              <w:t>Acute (CM)</w:t>
            </w:r>
          </w:p>
        </w:tc>
        <w:tc>
          <w:tcPr>
            <w:tcW w:w="1967" w:type="dxa"/>
            <w:tcBorders>
              <w:top w:val="single" w:sz="4" w:space="0" w:color="auto"/>
              <w:left w:val="single" w:sz="4" w:space="0" w:color="auto"/>
              <w:bottom w:val="single" w:sz="4" w:space="0" w:color="auto"/>
              <w:right w:val="single" w:sz="4" w:space="0" w:color="auto"/>
            </w:tcBorders>
          </w:tcPr>
          <w:p w14:paraId="066AC736"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4969118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{"citationID":"eWMxGCwa","properties":{"formattedCitation":"(Manoharan Saravanan, Ramesh, and Petkam 2013)","plainCitation":"(Manoharan Saravanan, Ramesh, and Petkam 2013)","noteIndex":0},"citationItems":[{"id":1244,"uris":["http://zotero.org/users/11614927/items/5QAD786A"],"itemData":{"id":1244,"type":"article-journal","container-title":"Fish Physiology and Biochemistry","DOI":"10.1007/s10695-013-9797-3","ISSN":"0920-1742, 1573-5168","issue":"6","journalAbbreviation":"Fish Physiol Biochem","language":"en","page":"1431-1440","source":"DOI.org (Crossref)","title":"Alteration in certain enzymological parameters of an Indian major carp, Cirrhinus mrigala exposed to short- and long-term exposure of clofibric acid and diclofenac","volume":"39","author":[{"family":"Saravanan","given":"Manoharan"},{"family":"Ramesh","given":"Mathan"},{"family":"Petkam","given":"Rakpong"}],"issued":{"date-parts":[["2013",12]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(Manoharan Saravanan, Ramesh, and Petkam 2013)</w:t>
            </w:r>
            <w:r w:rsidRPr="001D0ADC">
              <w:rPr>
                <w:color w:val="auto"/>
                <w:lang w:val="en-GB" w:eastAsia="cs-CZ"/>
              </w:rPr>
              <w:fldChar w:fldCharType="end"/>
            </w:r>
          </w:p>
        </w:tc>
      </w:tr>
      <w:tr w:rsidR="001D0ADC" w:rsidRPr="001D0ADC" w14:paraId="4A79340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BC7626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B164DB3" w14:textId="4068E13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1AFAEC8" w14:textId="77777777" w:rsidR="00196808" w:rsidRPr="001D0ADC" w:rsidRDefault="00196808" w:rsidP="00196808">
            <w:pPr>
              <w:pStyle w:val="NoSpacing"/>
              <w:ind w:firstLine="0"/>
              <w:rPr>
                <w:color w:val="auto"/>
                <w:lang w:val="en-GB" w:eastAsia="cs-CZ"/>
              </w:rPr>
            </w:pPr>
            <w:r w:rsidRPr="001D0ADC">
              <w:rPr>
                <w:color w:val="auto"/>
                <w:lang w:val="en-GB" w:eastAsia="cs-CZ"/>
              </w:rPr>
              <w:t>LOEC, mRNA expression of CYP1A, p53 and VTG</w:t>
            </w:r>
          </w:p>
        </w:tc>
        <w:tc>
          <w:tcPr>
            <w:tcW w:w="2633" w:type="dxa"/>
            <w:tcBorders>
              <w:top w:val="single" w:sz="4" w:space="0" w:color="auto"/>
              <w:left w:val="nil"/>
              <w:bottom w:val="single" w:sz="4" w:space="0" w:color="auto"/>
              <w:right w:val="single" w:sz="4" w:space="0" w:color="auto"/>
            </w:tcBorders>
          </w:tcPr>
          <w:p w14:paraId="5BD11814" w14:textId="77777777" w:rsidR="00196808" w:rsidRPr="001D0ADC" w:rsidRDefault="00196808" w:rsidP="00196808">
            <w:pPr>
              <w:pStyle w:val="NoSpacing"/>
              <w:ind w:firstLine="0"/>
              <w:rPr>
                <w:color w:val="auto"/>
                <w:lang w:val="en-GB" w:eastAsia="cs-CZ"/>
              </w:rPr>
            </w:pPr>
            <w:r w:rsidRPr="001D0ADC">
              <w:rPr>
                <w:color w:val="auto"/>
                <w:lang w:val="en-GB" w:eastAsia="cs-CZ"/>
              </w:rPr>
              <w:t>Acute (OL)</w:t>
            </w:r>
          </w:p>
          <w:p w14:paraId="7F95A6E8"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2B3104D9"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293C85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{"citationID":"SFmWxIQE","properties":{"formattedCitation":"(Hong et al. 2007)","plainCitation":"(Hong et al. 2007)","noteIndex":0},"citationItems":[{"id":1227,"uris":["http://zotero.org/users/11614927/items/G3MFHA2A"],"itemData":{"id":1227,"type":"article-journal","abstract":"The expression levels of cytochrome P450 1A, p53 and vitellogenin were investigated in three diﬀerent tissues of male medaka ﬁsh after exposure to diclofenac that is one of the main concerns among pharmaceuticals frequently found in sewage treatment plant (STP) eﬄuents. The results showed that cytochrome P450 1A, p53 and vitellogenin were highly expressed in tissue-speciﬁc gene expression patterns after exposure to 8 mg/l and 1 lg/l of diclofenac. These elevated expression levels of three biomarkers suggested that diclofenac has potential to cause cellular toxicity, p53-related genotoxicity and estrogenic eﬀects. It is also noteworthy that diclofenac has the potential to cause these eﬀects even at an environmentally relevant concentration of diclofenac, 1 lg/l.","container-title":"Chemosphere","DOI":"10.1016/j.chemosphere.2006.12.090","ISSN":"00456535","issue":"11","journalAbbreviation":"Chemosphere","language":"en","page":"2115-2121","source":"DOI.org (Crossref)","title":"Analysis of the effects diclofenac has on Japanese medaka (Oryzias latipes) using real-time PCR","volume":"67","author":[{"family":"Hong","given":"Han Na"},{"family":"Kim","given":"Han Na"},{"family":"Park","given":"Kyeong Seo"},{"family":"Lee","given":"Sung-Kyu"},{"family":"Gu","given":"Man Bock"}],"issued":{"date-parts":[["2007",5]]}}}],"schema":"https://github.com/citation-style-language/schema/raw/master/csl-citation.json"}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(Hong et al. 2007)</w:t>
            </w:r>
            <w:r w:rsidRPr="001D0ADC">
              <w:rPr>
                <w:color w:val="auto"/>
                <w:lang w:val="en-GB" w:eastAsia="cs-CZ"/>
              </w:rPr>
              <w:fldChar w:fldCharType="end"/>
            </w:r>
          </w:p>
        </w:tc>
      </w:tr>
      <w:tr w:rsidR="001D0ADC" w:rsidRPr="001D0ADC" w14:paraId="467E625E"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6CCDD03" w14:textId="77777777" w:rsidR="00196808" w:rsidRPr="001D0ADC" w:rsidRDefault="00196808" w:rsidP="00196808">
            <w:pPr>
              <w:pStyle w:val="NoSpacing"/>
              <w:ind w:firstLine="0"/>
              <w:rPr>
                <w:color w:val="auto"/>
                <w:lang w:val="en-GB" w:eastAsia="cs-CZ"/>
              </w:rPr>
            </w:pPr>
          </w:p>
        </w:tc>
        <w:tc>
          <w:tcPr>
            <w:tcW w:w="1702" w:type="dxa"/>
            <w:vMerge w:val="restart"/>
            <w:tcBorders>
              <w:top w:val="single" w:sz="4" w:space="0" w:color="auto"/>
              <w:left w:val="nil"/>
              <w:right w:val="single" w:sz="4" w:space="0" w:color="auto"/>
            </w:tcBorders>
            <w:shd w:val="clear" w:color="auto" w:fill="auto"/>
            <w:noWrap/>
            <w:vAlign w:val="center"/>
          </w:tcPr>
          <w:p w14:paraId="1C477CFB" w14:textId="1C361D2E" w:rsidR="00196808" w:rsidRPr="001D0ADC" w:rsidRDefault="00CF2036" w:rsidP="00196808">
            <w:pPr>
              <w:pStyle w:val="NoSpacing"/>
              <w:ind w:firstLine="0"/>
              <w:rPr>
                <w:color w:val="auto"/>
                <w:lang w:val="en-GB" w:eastAsia="cs-CZ"/>
              </w:rPr>
            </w:pPr>
            <w:r w:rsidRPr="001D0ADC">
              <w:rPr>
                <w:color w:val="auto"/>
                <w:lang w:val="en-GB" w:eastAsia="cs-CZ"/>
              </w:rPr>
              <w:t>7.</w:t>
            </w:r>
            <w:r w:rsidR="00196808" w:rsidRPr="001D0ADC">
              <w:rPr>
                <w:color w:val="auto"/>
                <w:lang w:val="en-GB" w:eastAsia="cs-CZ"/>
              </w:rPr>
              <w:t>098</w:t>
            </w:r>
          </w:p>
        </w:tc>
        <w:tc>
          <w:tcPr>
            <w:tcW w:w="4520" w:type="dxa"/>
            <w:tcBorders>
              <w:top w:val="single" w:sz="4" w:space="0" w:color="auto"/>
              <w:left w:val="nil"/>
              <w:bottom w:val="single" w:sz="4" w:space="0" w:color="auto"/>
              <w:right w:val="single" w:sz="4" w:space="0" w:color="auto"/>
            </w:tcBorders>
            <w:shd w:val="clear" w:color="auto" w:fill="auto"/>
            <w:vAlign w:val="bottom"/>
          </w:tcPr>
          <w:p w14:paraId="7D926832" w14:textId="4C8C89FD" w:rsidR="00196808" w:rsidRPr="001D0ADC" w:rsidRDefault="00196808" w:rsidP="00196808">
            <w:pPr>
              <w:pStyle w:val="NoSpacing"/>
              <w:ind w:firstLine="0"/>
              <w:rPr>
                <w:color w:val="auto"/>
                <w:lang w:val="en-GB" w:eastAsia="cs-CZ"/>
              </w:rPr>
            </w:pPr>
            <w:r w:rsidRPr="001D0ADC">
              <w:rPr>
                <w:color w:val="auto"/>
                <w:lang w:val="en-GB" w:eastAsia="cs-CZ"/>
              </w:rPr>
              <w:t>LOEC for LPO in liver and blood (12h), gill (48h), and brain (24h)</w:t>
            </w:r>
          </w:p>
        </w:tc>
        <w:tc>
          <w:tcPr>
            <w:tcW w:w="2633" w:type="dxa"/>
            <w:vMerge w:val="restart"/>
            <w:tcBorders>
              <w:top w:val="single" w:sz="4" w:space="0" w:color="auto"/>
              <w:left w:val="nil"/>
              <w:right w:val="single" w:sz="4" w:space="0" w:color="auto"/>
            </w:tcBorders>
          </w:tcPr>
          <w:p w14:paraId="74B43D26" w14:textId="77777777" w:rsidR="00196808" w:rsidRPr="001D0ADC" w:rsidRDefault="00196808" w:rsidP="00196808">
            <w:pPr>
              <w:pStyle w:val="NoSpacing"/>
              <w:ind w:firstLine="0"/>
              <w:rPr>
                <w:color w:val="auto"/>
                <w:lang w:val="en-GB" w:eastAsia="cs-CZ"/>
              </w:rPr>
            </w:pPr>
            <w:r w:rsidRPr="001D0ADC">
              <w:rPr>
                <w:color w:val="auto"/>
                <w:lang w:val="en-GB" w:eastAsia="cs-CZ"/>
              </w:rPr>
              <w:t>Acute (CC)</w:t>
            </w:r>
          </w:p>
        </w:tc>
        <w:tc>
          <w:tcPr>
            <w:tcW w:w="1967" w:type="dxa"/>
            <w:vMerge w:val="restart"/>
            <w:tcBorders>
              <w:top w:val="single" w:sz="4" w:space="0" w:color="auto"/>
              <w:left w:val="single" w:sz="4" w:space="0" w:color="auto"/>
              <w:right w:val="single" w:sz="4" w:space="0" w:color="auto"/>
            </w:tcBorders>
          </w:tcPr>
          <w:p w14:paraId="419AC5BA" w14:textId="77777777" w:rsidR="00196808" w:rsidRPr="001D0ADC" w:rsidRDefault="00196808" w:rsidP="00196808">
            <w:pPr>
              <w:pStyle w:val="NoSpacing"/>
              <w:ind w:firstLine="0"/>
              <w:rPr>
                <w:color w:val="auto"/>
                <w:lang w:val="en-GB" w:eastAsia="cs-CZ"/>
              </w:rPr>
            </w:pPr>
            <w:r w:rsidRPr="001D0ADC">
              <w:rPr>
                <w:color w:val="auto"/>
                <w:lang w:val="en-GB" w:eastAsia="cs-CZ"/>
              </w:rPr>
              <w:t>Up to 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9A05233"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{"citationID":"uvZayWUS","properties":{"formattedCitation":"(Islas-Flores et al. 2013)","plainCitation":"(Islas-Flores et al. 2013)","noteIndex":0},"citationItems":[{"id":1223,"uris":["http://zotero.org/users/11614927/items/WJIL5RD7"],"itemData":{"id":1223,"type":"article-journal","abstract":"Due to its analgesic properties, diclofenac (DCF) is one of the most commonly used non-steroidal antiinﬂammatory drugs (NSAIDs). While residue from this pharmaceutical agent has been found in diverse water bodies in various countries, there is not enough information of its potential toxicity on aquatic organisms, particularly in species which are economically valuable due to their high consumption by humans, such as the common carp Cyprinus carpio. This study aimed to evaluate potential DCF-induced oxidative stress in brain, liver, gill and blood of C. carpio. The median lethal concentration of DCF at 96 h (96-h LC50) was determined and used to establish the concentration equivalent to the lowest observed adverse effect level (LOAEL). Carp specimens were exposed to this concentration for different exposure times (12, 24, 48, 72 and 96 h) and the following biomarkers were evaluated: lipid peroxidation (LPX) and the activity of the antioxidant enzymes superoxide dismutase (SOD), catalase (CAT) and glutathione peroxidase (GPx). Also, the DCF and 4-hydroxy DCF was determined by LC-MS/MS. Results show a statistically signiﬁcant LPX increase (P o 0.05) in liver and gill mainly as well as signiﬁcant changes in the activity of the antioxidant enzymes evaluated in these organs, with respect to controls (P o 0.05). The DCF concentrations decreased in water system and increased in the carp. The DCF biotransformation to 4-hydroxy DCF was observed to 12 h. The pharmaceutical agent DCF is concluded to induce oxidative stress on the common carp C. carpio, with the highest incidence of oxidative damage occurring in liver and gill. Furthermore, the biomarkers employed in this study are useful in the assessment of the environmental impact of this agent on aquatic species.","container-title":"Ecotoxicology and Environmental Safety","DOI":"10.1016/j.ecoenv.2013.01.025","ISSN":"01476513","journalAbbreviation":"Ecotoxicology and Environmental Safety","language":"en","page":"32-38","source":"DOI.org (Crossref)","title":"Diclofenac-induced oxidative stress in brain, liver, gill and blood of common carp (Cyprinus carpio)","volume":"92","author":[{"family":"Islas-Flores","given":"Hariz"},{"family":"Gómez-Oliván","given":"Leobardo Manuel"},{"family":"Galar-Martínez","given":"Marcela"},{"family":"Colín-Cruz","given":"Arturo"},{"family":"Neri-Cruz","given":"Nadia"},{"family":"García-Medina","given":"Sandra"}],"issued":{"date-parts":[["2013",6]]}}}],"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(Islas-Flores et al. 2013)</w:t>
            </w:r>
            <w:r w:rsidRPr="001D0ADC">
              <w:rPr>
                <w:color w:val="auto"/>
                <w:lang w:val="en-GB" w:eastAsia="cs-CZ"/>
              </w:rPr>
              <w:fldChar w:fldCharType="end"/>
            </w:r>
          </w:p>
        </w:tc>
      </w:tr>
      <w:tr w:rsidR="001D0ADC" w:rsidRPr="001D0ADC" w14:paraId="15E09A7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99082F1" w14:textId="77777777" w:rsidR="00196808" w:rsidRPr="001D0ADC" w:rsidRDefault="00196808" w:rsidP="00196808">
            <w:pPr>
              <w:pStyle w:val="NoSpacing"/>
              <w:ind w:firstLine="0"/>
              <w:rPr>
                <w:color w:val="auto"/>
                <w:lang w:val="en-GB" w:eastAsia="cs-CZ"/>
              </w:rPr>
            </w:pPr>
          </w:p>
        </w:tc>
        <w:tc>
          <w:tcPr>
            <w:tcW w:w="1702" w:type="dxa"/>
            <w:vMerge/>
            <w:tcBorders>
              <w:left w:val="nil"/>
              <w:right w:val="single" w:sz="4" w:space="0" w:color="auto"/>
            </w:tcBorders>
            <w:shd w:val="clear" w:color="auto" w:fill="auto"/>
            <w:noWrap/>
            <w:vAlign w:val="center"/>
          </w:tcPr>
          <w:p w14:paraId="37FC4CBD"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6518CBCB" w14:textId="77777777" w:rsidR="00196808" w:rsidRPr="001D0ADC" w:rsidRDefault="00196808" w:rsidP="00196808">
            <w:pPr>
              <w:pStyle w:val="NoSpacing"/>
              <w:ind w:firstLine="0"/>
              <w:rPr>
                <w:color w:val="auto"/>
                <w:lang w:val="en-GB" w:eastAsia="cs-CZ"/>
              </w:rPr>
            </w:pPr>
            <w:r w:rsidRPr="001D0ADC">
              <w:rPr>
                <w:color w:val="auto"/>
                <w:lang w:val="en-GB" w:eastAsia="cs-CZ"/>
              </w:rPr>
              <w:t>LOEC for SOD activity in blood and liver (12h), brain (48h), and gill (24h)</w:t>
            </w:r>
          </w:p>
        </w:tc>
        <w:tc>
          <w:tcPr>
            <w:tcW w:w="2633" w:type="dxa"/>
            <w:vMerge/>
            <w:tcBorders>
              <w:left w:val="nil"/>
              <w:right w:val="single" w:sz="4" w:space="0" w:color="auto"/>
            </w:tcBorders>
          </w:tcPr>
          <w:p w14:paraId="034F227C"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0DEAAC9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7EEAEF05" w14:textId="77777777" w:rsidR="00196808" w:rsidRPr="001D0ADC" w:rsidRDefault="00196808" w:rsidP="00196808">
            <w:pPr>
              <w:pStyle w:val="NoSpacing"/>
              <w:ind w:firstLine="0"/>
              <w:rPr>
                <w:color w:val="auto"/>
                <w:lang w:val="en-GB" w:eastAsia="cs-CZ"/>
              </w:rPr>
            </w:pPr>
          </w:p>
        </w:tc>
      </w:tr>
      <w:tr w:rsidR="001D0ADC" w:rsidRPr="001D0ADC" w14:paraId="3F742783"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4918BD5" w14:textId="77777777" w:rsidR="00196808" w:rsidRPr="001D0ADC" w:rsidRDefault="00196808" w:rsidP="00196808">
            <w:pPr>
              <w:pStyle w:val="NoSpacing"/>
              <w:ind w:firstLine="0"/>
              <w:rPr>
                <w:color w:val="auto"/>
                <w:lang w:val="en-GB" w:eastAsia="cs-CZ"/>
              </w:rPr>
            </w:pPr>
          </w:p>
        </w:tc>
        <w:tc>
          <w:tcPr>
            <w:tcW w:w="1702" w:type="dxa"/>
            <w:vMerge/>
            <w:tcBorders>
              <w:left w:val="nil"/>
              <w:right w:val="single" w:sz="4" w:space="0" w:color="auto"/>
            </w:tcBorders>
            <w:shd w:val="clear" w:color="auto" w:fill="auto"/>
            <w:noWrap/>
            <w:vAlign w:val="center"/>
          </w:tcPr>
          <w:p w14:paraId="3EAE5FB8"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429ADA8E"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LOEC for CAT activity in gill and blood (12h), liver (72h), </w:t>
            </w:r>
          </w:p>
        </w:tc>
        <w:tc>
          <w:tcPr>
            <w:tcW w:w="2633" w:type="dxa"/>
            <w:vMerge/>
            <w:tcBorders>
              <w:left w:val="nil"/>
              <w:right w:val="single" w:sz="4" w:space="0" w:color="auto"/>
            </w:tcBorders>
          </w:tcPr>
          <w:p w14:paraId="49BF42B7"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496F4B1C"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DA148D6" w14:textId="77777777" w:rsidR="00196808" w:rsidRPr="001D0ADC" w:rsidRDefault="00196808" w:rsidP="00196808">
            <w:pPr>
              <w:pStyle w:val="NoSpacing"/>
              <w:ind w:firstLine="0"/>
              <w:rPr>
                <w:color w:val="auto"/>
                <w:lang w:val="en-GB" w:eastAsia="cs-CZ"/>
              </w:rPr>
            </w:pPr>
          </w:p>
        </w:tc>
      </w:tr>
      <w:tr w:rsidR="001D0ADC" w:rsidRPr="001D0ADC" w14:paraId="0CE3119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61CAA66" w14:textId="77777777" w:rsidR="00196808" w:rsidRPr="001D0ADC" w:rsidRDefault="00196808" w:rsidP="00196808">
            <w:pPr>
              <w:pStyle w:val="NoSpacing"/>
              <w:ind w:firstLine="0"/>
              <w:rPr>
                <w:color w:val="auto"/>
                <w:lang w:val="en-GB" w:eastAsia="cs-CZ"/>
              </w:rPr>
            </w:pPr>
          </w:p>
        </w:tc>
        <w:tc>
          <w:tcPr>
            <w:tcW w:w="1702" w:type="dxa"/>
            <w:vMerge/>
            <w:tcBorders>
              <w:left w:val="nil"/>
              <w:bottom w:val="single" w:sz="4" w:space="0" w:color="auto"/>
              <w:right w:val="single" w:sz="4" w:space="0" w:color="auto"/>
            </w:tcBorders>
            <w:shd w:val="clear" w:color="auto" w:fill="auto"/>
            <w:noWrap/>
            <w:vAlign w:val="center"/>
          </w:tcPr>
          <w:p w14:paraId="74C1F4C7"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4FD85B72" w14:textId="77777777" w:rsidR="00196808" w:rsidRPr="001D0ADC" w:rsidRDefault="00196808" w:rsidP="00196808">
            <w:pPr>
              <w:pStyle w:val="NoSpacing"/>
              <w:ind w:firstLine="0"/>
              <w:rPr>
                <w:color w:val="auto"/>
                <w:lang w:val="en-GB" w:eastAsia="cs-CZ"/>
              </w:rPr>
            </w:pPr>
            <w:r w:rsidRPr="001D0ADC">
              <w:rPr>
                <w:color w:val="auto"/>
                <w:lang w:val="en-GB" w:eastAsia="cs-CZ"/>
              </w:rPr>
              <w:t>LOEC for GPx in liver and gill(12h)</w:t>
            </w:r>
          </w:p>
        </w:tc>
        <w:tc>
          <w:tcPr>
            <w:tcW w:w="2633" w:type="dxa"/>
            <w:vMerge/>
            <w:tcBorders>
              <w:left w:val="nil"/>
              <w:bottom w:val="single" w:sz="4" w:space="0" w:color="auto"/>
              <w:right w:val="single" w:sz="4" w:space="0" w:color="auto"/>
            </w:tcBorders>
          </w:tcPr>
          <w:p w14:paraId="3A3906A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8C0C6C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6977EAA" w14:textId="77777777" w:rsidR="00196808" w:rsidRPr="001D0ADC" w:rsidRDefault="00196808" w:rsidP="00196808">
            <w:pPr>
              <w:pStyle w:val="NoSpacing"/>
              <w:ind w:firstLine="0"/>
              <w:rPr>
                <w:color w:val="auto"/>
                <w:lang w:val="en-GB" w:eastAsia="cs-CZ"/>
              </w:rPr>
            </w:pPr>
          </w:p>
        </w:tc>
      </w:tr>
      <w:tr w:rsidR="001D0ADC" w:rsidRPr="001D0ADC" w14:paraId="78ABE5E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E26421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CC258B4"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6D1BE0A"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val="restart"/>
            <w:tcBorders>
              <w:top w:val="single" w:sz="4" w:space="0" w:color="auto"/>
              <w:left w:val="nil"/>
              <w:right w:val="single" w:sz="4" w:space="0" w:color="auto"/>
            </w:tcBorders>
          </w:tcPr>
          <w:p w14:paraId="17747EDF" w14:textId="77777777" w:rsidR="00196808" w:rsidRPr="001D0ADC" w:rsidRDefault="00196808" w:rsidP="00196808">
            <w:pPr>
              <w:pStyle w:val="NoSpacing"/>
              <w:ind w:firstLine="0"/>
              <w:rPr>
                <w:color w:val="auto"/>
                <w:lang w:val="en-GB" w:eastAsia="cs-CZ"/>
              </w:rPr>
            </w:pPr>
            <w:r w:rsidRPr="001D0ADC">
              <w:rPr>
                <w:color w:val="auto"/>
                <w:lang w:val="en-GB" w:eastAsia="cs-CZ"/>
              </w:rPr>
              <w:t>Acute (adult ZF)</w:t>
            </w:r>
          </w:p>
        </w:tc>
        <w:tc>
          <w:tcPr>
            <w:tcW w:w="1967" w:type="dxa"/>
            <w:vMerge w:val="restart"/>
            <w:tcBorders>
              <w:top w:val="single" w:sz="4" w:space="0" w:color="auto"/>
              <w:left w:val="single" w:sz="4" w:space="0" w:color="auto"/>
              <w:right w:val="single" w:sz="4" w:space="0" w:color="auto"/>
            </w:tcBorders>
          </w:tcPr>
          <w:p w14:paraId="6B33E070" w14:textId="77777777" w:rsidR="00196808" w:rsidRPr="001D0ADC" w:rsidRDefault="00196808" w:rsidP="00196808">
            <w:pPr>
              <w:pStyle w:val="NoSpacing"/>
              <w:ind w:firstLine="0"/>
              <w:rPr>
                <w:color w:val="auto"/>
                <w:lang w:val="en-GB" w:eastAsia="cs-CZ"/>
              </w:rPr>
            </w:pPr>
            <w:r w:rsidRPr="001D0ADC">
              <w:rPr>
                <w:color w:val="auto"/>
                <w:lang w:val="en-GB" w:eastAsia="cs-CZ"/>
              </w:rPr>
              <w:t>7d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0362811"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{"citationID":"4CXbdd15","properties":{"formattedCitation":"(Diniz et al. 2015)","plainCitation":"(Diniz et al. 2015)","noteIndex":0},"citationItems":[{"id":1281,"uris":["http://zotero.org/users/11614927/items/YV4FRWT5"],"itemData":{"id":1281,"type":"article-journal","abstract":"The occurrence of pharmaceutical compounds in wastewater treatment plants and surface waters has been detected worldwide, constituting a potential risk for aquatic ecosystems. Adult zebraﬁsh, of both sexes, were exposed to three common pharmaceutical compounds (atenolol, ketoprofen and diclofenac) and their UV photolysis by-products over seven days. The results show that diclofenac was removed to concentrations b LOD after 5 min of UV irradiation. The oxidative stress response of zebraﬁsh to pharmaceuticals and their photolysis by-products was evaluated through oxidative stress enzymes (glutathione-S-transferase, catalase, superoxide dismutase) and lipid peroxidation. Results suggest that the photolysis by-products of diclofenac were more toxic than those from the other compounds tested, showing an increase in GST and CAT levels, which are also supported by higher MDA levels. Overall, the toxicity of waters containing atenolol and ketoprofen was reduced after the parent compounds were transformed by photolysis, whereas the toxicity increased signiﬁcantly from the by-products generated through diclofenac photolysis. Therefore, diclofenac photolysis would possibly necessitate higher irradiation time to ensure that the associated by-products are completely degraded to harmless form(s).","container-title":"Science of The Total Environment","DOI":"10.1016/j.scitotenv.2014.09.103","ISSN":"00489697","journalAbbreviation":"Science of The Total Environment","language":"en","page":"282-289","source":"DOI.org (Crossref)","title":"Ecotoxicity of ketoprofen, diclofenac, atenolol and their photolysis byproducts in zebrafish (Danio rerio)","volume":"505","author":[{"family":"Diniz","given":"M.S."},{"family":"Salgado","given":"R."},{"family":"Pereira","given":"V.J."},{"family":"Carvalho","given":"G."},{"family":"Oehmen","given":"A."},{"family":"Reis","given":"M.A.M."},{"family":"Noronha","given":"J.P."}],"issued":{"date-parts":[["2015",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(Diniz et al. 2015)</w:t>
            </w:r>
            <w:r w:rsidRPr="001D0ADC">
              <w:rPr>
                <w:color w:val="auto"/>
                <w:lang w:val="en-GB" w:eastAsia="cs-CZ"/>
              </w:rPr>
              <w:fldChar w:fldCharType="end"/>
            </w:r>
          </w:p>
        </w:tc>
      </w:tr>
      <w:tr w:rsidR="001D0ADC" w:rsidRPr="001D0ADC" w14:paraId="3DDB2D0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5A06F1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6D2B5F9"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7C9BEB98" w14:textId="77777777" w:rsidR="00196808" w:rsidRPr="001D0ADC" w:rsidRDefault="00196808" w:rsidP="00196808">
            <w:pPr>
              <w:pStyle w:val="NoSpacing"/>
              <w:ind w:firstLine="0"/>
              <w:rPr>
                <w:color w:val="auto"/>
                <w:lang w:val="en-GB" w:eastAsia="cs-CZ"/>
              </w:rPr>
            </w:pPr>
            <w:r w:rsidRPr="001D0ADC">
              <w:rPr>
                <w:color w:val="auto"/>
                <w:lang w:val="en-GB" w:eastAsia="cs-CZ"/>
              </w:rPr>
              <w:t>LOEC – visceral mass enzyme activity of GST, SOD, CAT, and MDA concentration (TBARS)</w:t>
            </w:r>
          </w:p>
        </w:tc>
        <w:tc>
          <w:tcPr>
            <w:tcW w:w="2633" w:type="dxa"/>
            <w:vMerge/>
            <w:tcBorders>
              <w:left w:val="nil"/>
              <w:bottom w:val="single" w:sz="4" w:space="0" w:color="auto"/>
              <w:right w:val="single" w:sz="4" w:space="0" w:color="auto"/>
            </w:tcBorders>
          </w:tcPr>
          <w:p w14:paraId="04AA13C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BC50F43"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1E734A4" w14:textId="77777777" w:rsidR="00196808" w:rsidRPr="001D0ADC" w:rsidRDefault="00196808" w:rsidP="00196808">
            <w:pPr>
              <w:pStyle w:val="NoSpacing"/>
              <w:ind w:firstLine="0"/>
              <w:rPr>
                <w:color w:val="auto"/>
                <w:lang w:val="en-GB" w:eastAsia="cs-CZ"/>
              </w:rPr>
            </w:pPr>
          </w:p>
        </w:tc>
      </w:tr>
      <w:tr w:rsidR="001D0ADC" w:rsidRPr="001D0ADC" w14:paraId="73CB978D"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C5A466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E4B7206" w14:textId="0BED6B8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3F622825" w14:textId="77777777" w:rsidR="00196808" w:rsidRPr="001D0ADC" w:rsidRDefault="00196808" w:rsidP="00196808">
            <w:pPr>
              <w:pStyle w:val="NoSpacing"/>
              <w:ind w:firstLine="0"/>
              <w:rPr>
                <w:color w:val="auto"/>
                <w:lang w:val="en-GB" w:eastAsia="cs-CZ"/>
              </w:rPr>
            </w:pPr>
            <w:r w:rsidRPr="001D0ADC">
              <w:rPr>
                <w:color w:val="auto"/>
                <w:lang w:val="en-GB" w:eastAsia="cs-CZ"/>
              </w:rPr>
              <w:t>LOEC for hematological parameters, biochemical plasma changes, inoregulatory and enzymatic responses in plasma, ATPase activity in gill</w:t>
            </w:r>
          </w:p>
        </w:tc>
        <w:tc>
          <w:tcPr>
            <w:tcW w:w="2633" w:type="dxa"/>
            <w:tcBorders>
              <w:top w:val="single" w:sz="4" w:space="0" w:color="auto"/>
              <w:left w:val="nil"/>
              <w:bottom w:val="single" w:sz="4" w:space="0" w:color="auto"/>
              <w:right w:val="single" w:sz="4" w:space="0" w:color="auto"/>
            </w:tcBorders>
          </w:tcPr>
          <w:p w14:paraId="33AAF6B9" w14:textId="77777777" w:rsidR="00196808" w:rsidRPr="001D0ADC" w:rsidRDefault="00196808" w:rsidP="00196808">
            <w:pPr>
              <w:pStyle w:val="NoSpacing"/>
              <w:ind w:firstLine="0"/>
              <w:rPr>
                <w:color w:val="auto"/>
                <w:lang w:val="en-GB" w:eastAsia="cs-CZ"/>
              </w:rPr>
            </w:pPr>
            <w:r w:rsidRPr="001D0ADC">
              <w:rPr>
                <w:color w:val="auto"/>
                <w:lang w:val="en-GB" w:eastAsia="cs-CZ"/>
              </w:rPr>
              <w:t>Acute (CC) juveniles</w:t>
            </w:r>
          </w:p>
        </w:tc>
        <w:tc>
          <w:tcPr>
            <w:tcW w:w="1967" w:type="dxa"/>
            <w:tcBorders>
              <w:top w:val="single" w:sz="4" w:space="0" w:color="auto"/>
              <w:left w:val="single" w:sz="4" w:space="0" w:color="auto"/>
              <w:bottom w:val="single" w:sz="4" w:space="0" w:color="auto"/>
              <w:right w:val="single" w:sz="4" w:space="0" w:color="auto"/>
            </w:tcBorders>
          </w:tcPr>
          <w:p w14:paraId="40C7E489"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4F9720A1"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{"citationID":"IeqWdD9Y","properties":{"formattedCitation":"(Manoharan Saravanan et al. 2011)","plainCitation":"(Manoharan Saravanan et al. 2011)","noteIndex":0},"citationItems":[{"id":1257,"uris":["http://zotero.org/users/11614927/items/NM9TRR3K"],"itemData":{"id":1257,"type":"article-journal","container-title":"Journal of Hazardous Materials","DOI":"10.1016/j.jhazmat.2011.08.029","ISSN":"03043894","journalAbbreviation":"Journal of Hazardous Materials","language":"en","page":"188-194","source":"DOI.org (Crossref)","title":"Ecotoxicological impacts of clofibric acid and diclofenac in common carp (Cyprinus carpio) fingerlings: Hematological, biochemical, ionoregulatory and enzymological responses","title-short":"Ecotoxicological impacts of clofibric acid and diclofenac in common carp (Cyprinus carpio) fingerlings","volume":"195","author":[{"family":"Saravanan","given":"Manoharan"},{"family":"Karthika","given":"Subramanian"},{"family":"Malarvizhi","given":"Annamalai"},{"family":"Ramesh","given":"Mathan"}],"issued":{"date-parts":[["2011",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(Manoharan Saravanan et al. 2011)</w:t>
            </w:r>
            <w:r w:rsidRPr="001D0ADC">
              <w:rPr>
                <w:color w:val="auto"/>
                <w:lang w:val="en-GB" w:eastAsia="cs-CZ"/>
              </w:rPr>
              <w:fldChar w:fldCharType="end"/>
            </w:r>
          </w:p>
        </w:tc>
      </w:tr>
      <w:tr w:rsidR="001D0ADC" w:rsidRPr="001D0ADC" w14:paraId="3B66070C"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481FEF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A1F6EF2" w14:textId="77777777" w:rsidR="00196808" w:rsidRPr="001D0ADC" w:rsidRDefault="00196808" w:rsidP="00196808">
            <w:pPr>
              <w:pStyle w:val="NoSpacing"/>
              <w:ind w:firstLine="0"/>
              <w:rPr>
                <w:color w:val="auto"/>
                <w:lang w:val="en-GB" w:eastAsia="cs-CZ"/>
              </w:rPr>
            </w:pPr>
            <w:r w:rsidRPr="001D0ADC">
              <w:rPr>
                <w:color w:val="auto"/>
                <w:lang w:val="en-GB" w:eastAsia="cs-CZ"/>
              </w:rPr>
              <w:t>3</w:t>
            </w:r>
          </w:p>
        </w:tc>
        <w:tc>
          <w:tcPr>
            <w:tcW w:w="4520" w:type="dxa"/>
            <w:tcBorders>
              <w:top w:val="single" w:sz="4" w:space="0" w:color="auto"/>
              <w:left w:val="nil"/>
              <w:bottom w:val="single" w:sz="4" w:space="0" w:color="auto"/>
              <w:right w:val="single" w:sz="4" w:space="0" w:color="auto"/>
            </w:tcBorders>
            <w:shd w:val="clear" w:color="auto" w:fill="auto"/>
            <w:vAlign w:val="bottom"/>
          </w:tcPr>
          <w:p w14:paraId="52F0279C" w14:textId="77777777" w:rsidR="00196808" w:rsidRPr="001D0ADC" w:rsidRDefault="00196808" w:rsidP="00196808">
            <w:pPr>
              <w:pStyle w:val="NoSpacing"/>
              <w:ind w:firstLine="0"/>
              <w:rPr>
                <w:color w:val="auto"/>
                <w:lang w:val="en-GB" w:eastAsia="cs-CZ"/>
              </w:rPr>
            </w:pPr>
            <w:r w:rsidRPr="001D0ADC">
              <w:rPr>
                <w:color w:val="auto"/>
                <w:lang w:val="en-GB" w:eastAsia="cs-CZ"/>
              </w:rPr>
              <w:t>NOEC for micronuclei and erythrocytic nuclear anomalies, EROD activity, GST activity in liver, ABC transporters activity in liver, LPO in liver</w:t>
            </w:r>
          </w:p>
        </w:tc>
        <w:tc>
          <w:tcPr>
            <w:tcW w:w="2633" w:type="dxa"/>
            <w:vMerge w:val="restart"/>
            <w:tcBorders>
              <w:top w:val="single" w:sz="4" w:space="0" w:color="auto"/>
              <w:left w:val="nil"/>
              <w:right w:val="single" w:sz="4" w:space="0" w:color="auto"/>
            </w:tcBorders>
          </w:tcPr>
          <w:p w14:paraId="622C6283" w14:textId="77777777" w:rsidR="00196808" w:rsidRPr="001D0ADC" w:rsidRDefault="00196808" w:rsidP="00196808">
            <w:pPr>
              <w:pStyle w:val="NoSpacing"/>
              <w:ind w:firstLine="0"/>
              <w:rPr>
                <w:color w:val="auto"/>
                <w:lang w:val="en-GB" w:eastAsia="cs-CZ"/>
              </w:rPr>
            </w:pPr>
            <w:r w:rsidRPr="001D0ADC">
              <w:rPr>
                <w:color w:val="auto"/>
                <w:lang w:val="en-GB" w:eastAsia="cs-CZ"/>
              </w:rPr>
              <w:t>Acute (ZF) adult</w:t>
            </w:r>
          </w:p>
        </w:tc>
        <w:tc>
          <w:tcPr>
            <w:tcW w:w="1967" w:type="dxa"/>
            <w:vMerge w:val="restart"/>
            <w:tcBorders>
              <w:top w:val="single" w:sz="4" w:space="0" w:color="auto"/>
              <w:left w:val="single" w:sz="4" w:space="0" w:color="auto"/>
              <w:right w:val="single" w:sz="4" w:space="0" w:color="auto"/>
            </w:tcBorders>
          </w:tcPr>
          <w:p w14:paraId="5BCC296F"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25E6C1A"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{"citationID":"OZFk3Xwp","properties":{"formattedCitation":"(Penha et al. 2021)","plainCitation":"(Penha et al. 2021)","noteIndex":0},"citationItems":[{"id":1229,"uris":["http://zotero.org/users/11614927/items/EICNTBEN"],"itemData":{"id":1229,"type":"article-journal","abstract":"The entrance of the anti-inflammatory diclofenac in water bodies is a consequence of inappropriate use, incorrect disposal, and inefficiency of wastewater treatment plants (WWTPs) in removing this drug from sewage, among others. Effects of diclofenac on non-target aquatic organisms still need to be clarified. The objective of this work was to evaluate the toxic effects of the diclofenac on larvae and adults of Danio rerio. The LC50 values were 5.49 mg/L and 5.22 mg/L for the adult and larvae, respectively. A set of biochemical and genotoxic biomarkers were evaluated in fish exposed to an environmentally relevant concentration of 2 μg/L DCF and a no observed effect concentration (NOEC) of 3 mg/L diclofenac. At the NOEC, an increase in activities of glutathione-S-transferase (GST) enzyme and an increase in ATP binding cassette (ABC) transporters in gills of adult fish was observed; also, an increase in lipoperoxidation (LPO) was seen in the gills of adults and whole larvae. These results indicate that diclofenac activates the fish detoxification processes and may affect fish health.","container-title":"Comparative Biochemistry and Physiology Part C: Toxicology &amp; Pharmacology","DOI":"10.1016/j.cbpc.2020.108955","ISSN":"15320456","journalAbbreviation":"Comparative Biochemistry and Physiology Part C: Toxicology &amp; Pharmacology","language":"en","page":"108955","source":"DOI.org (Crossref)","title":"Effects of anti-inflammatory diclofenac assessed by toxicity tests and biomarkers in adults and larvae of Danio rerio","volume":"242","author":[{"family":"Penha","given":"Larissa Cristine De Carvalho"},{"family":"Rola","given":"Regina Coimbra"},{"family":"Martinez","given":"Claudia Bueno Dos Reis"},{"family":"Martins","given":"Camila De Martinez Gaspar"}],"issued":{"date-parts":[["2021",4]]}}}],"schema":"https://github.com/citation-style-language/schema/raw/master/csl-citation.json"}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(Penha et al. 2021)</w:t>
            </w:r>
            <w:r w:rsidRPr="001D0ADC">
              <w:rPr>
                <w:color w:val="auto"/>
                <w:lang w:val="en-GB" w:eastAsia="cs-CZ"/>
              </w:rPr>
              <w:fldChar w:fldCharType="end"/>
            </w:r>
          </w:p>
        </w:tc>
      </w:tr>
      <w:tr w:rsidR="001D0ADC" w:rsidRPr="001D0ADC" w14:paraId="0FF65E7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4293CE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D11AF06" w14:textId="77777777" w:rsidR="00196808" w:rsidRPr="001D0ADC" w:rsidRDefault="00196808" w:rsidP="00196808">
            <w:pPr>
              <w:pStyle w:val="NoSpacing"/>
              <w:ind w:firstLine="0"/>
              <w:rPr>
                <w:color w:val="auto"/>
                <w:lang w:val="en-GB" w:eastAsia="cs-CZ"/>
              </w:rPr>
            </w:pPr>
            <w:r w:rsidRPr="001D0ADC">
              <w:rPr>
                <w:color w:val="auto"/>
                <w:lang w:val="en-GB" w:eastAsia="cs-CZ"/>
              </w:rPr>
              <w:t>3</w:t>
            </w:r>
          </w:p>
        </w:tc>
        <w:tc>
          <w:tcPr>
            <w:tcW w:w="4520" w:type="dxa"/>
            <w:tcBorders>
              <w:top w:val="single" w:sz="4" w:space="0" w:color="auto"/>
              <w:left w:val="nil"/>
              <w:bottom w:val="single" w:sz="4" w:space="0" w:color="auto"/>
              <w:right w:val="single" w:sz="4" w:space="0" w:color="auto"/>
            </w:tcBorders>
            <w:shd w:val="clear" w:color="auto" w:fill="auto"/>
            <w:vAlign w:val="bottom"/>
          </w:tcPr>
          <w:p w14:paraId="3A745BDC" w14:textId="77777777" w:rsidR="00196808" w:rsidRPr="001D0ADC" w:rsidRDefault="00196808" w:rsidP="00196808">
            <w:pPr>
              <w:pStyle w:val="NoSpacing"/>
              <w:ind w:firstLine="0"/>
              <w:rPr>
                <w:color w:val="auto"/>
                <w:lang w:val="en-GB" w:eastAsia="cs-CZ"/>
              </w:rPr>
            </w:pPr>
            <w:r w:rsidRPr="001D0ADC">
              <w:rPr>
                <w:color w:val="auto"/>
                <w:lang w:val="en-GB" w:eastAsia="cs-CZ"/>
              </w:rPr>
              <w:t>LOEC for GST activity in gill, LPO in gill</w:t>
            </w:r>
          </w:p>
        </w:tc>
        <w:tc>
          <w:tcPr>
            <w:tcW w:w="2633" w:type="dxa"/>
            <w:vMerge/>
            <w:tcBorders>
              <w:left w:val="nil"/>
              <w:right w:val="single" w:sz="4" w:space="0" w:color="auto"/>
            </w:tcBorders>
          </w:tcPr>
          <w:p w14:paraId="1CF4E93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7AA43BE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99ABAA1" w14:textId="77777777" w:rsidR="00196808" w:rsidRPr="001D0ADC" w:rsidRDefault="00196808" w:rsidP="00196808">
            <w:pPr>
              <w:pStyle w:val="NoSpacing"/>
              <w:ind w:firstLine="0"/>
              <w:rPr>
                <w:color w:val="auto"/>
                <w:lang w:val="en-GB" w:eastAsia="cs-CZ"/>
              </w:rPr>
            </w:pPr>
          </w:p>
        </w:tc>
      </w:tr>
      <w:tr w:rsidR="001D0ADC" w:rsidRPr="001D0ADC" w14:paraId="719F0EB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993135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A5999BE" w14:textId="29F71B1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002</w:t>
            </w:r>
          </w:p>
        </w:tc>
        <w:tc>
          <w:tcPr>
            <w:tcW w:w="4520" w:type="dxa"/>
            <w:tcBorders>
              <w:top w:val="single" w:sz="4" w:space="0" w:color="auto"/>
              <w:left w:val="nil"/>
              <w:bottom w:val="single" w:sz="4" w:space="0" w:color="auto"/>
              <w:right w:val="single" w:sz="4" w:space="0" w:color="auto"/>
            </w:tcBorders>
            <w:shd w:val="clear" w:color="auto" w:fill="auto"/>
            <w:vAlign w:val="bottom"/>
          </w:tcPr>
          <w:p w14:paraId="7A6BDD38" w14:textId="77777777" w:rsidR="00196808" w:rsidRPr="001D0ADC" w:rsidRDefault="00196808" w:rsidP="00196808">
            <w:pPr>
              <w:pStyle w:val="NoSpacing"/>
              <w:ind w:firstLine="0"/>
              <w:rPr>
                <w:color w:val="auto"/>
                <w:lang w:val="en-GB" w:eastAsia="cs-CZ"/>
              </w:rPr>
            </w:pPr>
            <w:r w:rsidRPr="001D0ADC">
              <w:rPr>
                <w:color w:val="auto"/>
                <w:lang w:val="en-GB" w:eastAsia="cs-CZ"/>
              </w:rPr>
              <w:t>LOEC for ABC transporters activity in gill</w:t>
            </w:r>
          </w:p>
        </w:tc>
        <w:tc>
          <w:tcPr>
            <w:tcW w:w="2633" w:type="dxa"/>
            <w:vMerge/>
            <w:tcBorders>
              <w:left w:val="nil"/>
              <w:bottom w:val="single" w:sz="4" w:space="0" w:color="auto"/>
              <w:right w:val="single" w:sz="4" w:space="0" w:color="auto"/>
            </w:tcBorders>
          </w:tcPr>
          <w:p w14:paraId="1712AD5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29005EB"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A3FEE20" w14:textId="77777777" w:rsidR="00196808" w:rsidRPr="001D0ADC" w:rsidRDefault="00196808" w:rsidP="00196808">
            <w:pPr>
              <w:pStyle w:val="NoSpacing"/>
              <w:ind w:firstLine="0"/>
              <w:rPr>
                <w:color w:val="auto"/>
                <w:lang w:val="en-GB" w:eastAsia="cs-CZ"/>
              </w:rPr>
            </w:pPr>
          </w:p>
        </w:tc>
      </w:tr>
      <w:tr w:rsidR="001D0ADC" w:rsidRPr="001D0ADC" w14:paraId="3E2F299C"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E04CBE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90EA6E6" w14:textId="075A334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2257A87" w14:textId="77777777" w:rsidR="00196808" w:rsidRPr="001D0ADC" w:rsidRDefault="00196808" w:rsidP="00196808">
            <w:pPr>
              <w:pStyle w:val="NoSpacing"/>
              <w:ind w:firstLine="0"/>
              <w:rPr>
                <w:color w:val="auto"/>
                <w:lang w:val="en-GB" w:eastAsia="cs-CZ"/>
              </w:rPr>
            </w:pPr>
            <w:r w:rsidRPr="001D0ADC">
              <w:rPr>
                <w:color w:val="auto"/>
                <w:lang w:val="en-GB" w:eastAsia="cs-CZ"/>
              </w:rPr>
              <w:t>LOEC for glucose (incr.) and protein (decr.) content in plasma, electrolytes content</w:t>
            </w:r>
          </w:p>
        </w:tc>
        <w:tc>
          <w:tcPr>
            <w:tcW w:w="2633" w:type="dxa"/>
            <w:vMerge w:val="restart"/>
            <w:tcBorders>
              <w:top w:val="single" w:sz="4" w:space="0" w:color="auto"/>
              <w:left w:val="nil"/>
              <w:right w:val="single" w:sz="4" w:space="0" w:color="auto"/>
            </w:tcBorders>
          </w:tcPr>
          <w:p w14:paraId="52DA76FE" w14:textId="77777777" w:rsidR="00196808" w:rsidRPr="001D0ADC" w:rsidRDefault="00196808" w:rsidP="00196808">
            <w:pPr>
              <w:pStyle w:val="NoSpacing"/>
              <w:ind w:firstLine="0"/>
              <w:rPr>
                <w:color w:val="auto"/>
                <w:lang w:val="en-GB" w:eastAsia="cs-CZ"/>
              </w:rPr>
            </w:pPr>
            <w:r w:rsidRPr="001D0ADC">
              <w:rPr>
                <w:color w:val="auto"/>
                <w:lang w:val="en-GB" w:eastAsia="cs-CZ"/>
              </w:rPr>
              <w:t>Acute (CM)</w:t>
            </w:r>
          </w:p>
        </w:tc>
        <w:tc>
          <w:tcPr>
            <w:tcW w:w="1967" w:type="dxa"/>
            <w:vMerge w:val="restart"/>
            <w:tcBorders>
              <w:top w:val="single" w:sz="4" w:space="0" w:color="auto"/>
              <w:left w:val="single" w:sz="4" w:space="0" w:color="auto"/>
              <w:right w:val="single" w:sz="4" w:space="0" w:color="auto"/>
            </w:tcBorders>
          </w:tcPr>
          <w:p w14:paraId="2213C1F8"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B051CCF"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{"citationID":"zqGZ0yEC","properties":{"formattedCitation":"(M. Saravanan and Ramesh 2013)","plainCitation":"(M. Saravanan and Ramesh 2013)","noteIndex":0},"citationItems":[{"id":1254,"uris":["http://zotero.org/users/11614927/items/4RTBCDND"],"itemData":{"id":1254,"type":"article-journal","abstract":"Extensive use of pharmaceuticals in human and veterinary medicine and aquaculture practices pose a serious threat to aquatic organisms. In the present investigation, Cirrhinus mrigala an Indian major carp was exposed to different concentrations of cloﬁbric acid (CA) and diclofenac (DCF) and certain biochemical and ionoregulatory responses were assessed under short and long term exposures. During short-term (96 h) exposure period, plasma glucose and sodium (Na+) levels were increased at all concentrations (1, 10 and 100 lg LÀ1) of CA and DCF treated ﬁsh. Plasma protein and chloride (ClÀ) levels were found to be decreased at all concentrations of CA and DCF exposed ﬁsh comparatively to control groups. Meanwhile an increase in plasma potassium (K+) level was noted in ﬁsh exposed to CA treatments alone and in DCF treatments it was decreased. In long-term exposure (35 d), plasma Na+ and ClÀ levels were found to be signiﬁcantly increased at all concentration of CA and DCF. However, a biphasic trend was observed in plasma glucose, protein and K+ levels. In both the treatments, a signiﬁcant (P &lt; 0.01 and P &lt; 0.05) changes were observed in all parameters measured in ﬁsh exposed to different concentrations of CA and DCF. The results of the present investigation indicate that both the drugs caused signiﬁcant changes in biochemical and ionoregulatory responses of ﬁsh at all concentrations. The alterations of these parameters can be useful in monitoring of pharmaceutical residues present in aquatic environment.","container-title":"Chemosphere","DOI":"10.1016/j.chemosphere.2013.05.015","ISSN":"00456535","issue":"2","journalAbbreviation":"Chemosphere","language":"en","page":"388-396","source":"DOI.org (Crossref)","title":"Short and long-term effects of clofibric acid and diclofenac on certain biochemical and ionoregulatory responses in an Indian major carp, Cirrhinus mrigala","volume":"93","author":[{"family":"Saravanan","given":"M."},{"family":"Ramesh","given":"M."}],"issued":{"date-parts":[["2013",9]]}}}],"schema":"https://github.com/citation-style-language/schema/raw/master/csl-citation.json"}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(M. Saravanan and Ramesh 2013)</w:t>
            </w:r>
            <w:r w:rsidRPr="001D0ADC">
              <w:rPr>
                <w:color w:val="auto"/>
                <w:lang w:val="en-GB" w:eastAsia="cs-CZ"/>
              </w:rPr>
              <w:fldChar w:fldCharType="end"/>
            </w:r>
          </w:p>
        </w:tc>
      </w:tr>
      <w:tr w:rsidR="001D0ADC" w:rsidRPr="001D0ADC" w14:paraId="33448428" w14:textId="77777777" w:rsidTr="00F944AA">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25C1B9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29C3CFD" w14:textId="645991EC"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0EDC7F6B"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tcBorders>
              <w:left w:val="nil"/>
              <w:bottom w:val="single" w:sz="4" w:space="0" w:color="auto"/>
              <w:right w:val="single" w:sz="4" w:space="0" w:color="auto"/>
            </w:tcBorders>
          </w:tcPr>
          <w:p w14:paraId="3C10E69E"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F6BFE7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D0DBE26" w14:textId="77777777" w:rsidR="00196808" w:rsidRPr="001D0ADC" w:rsidRDefault="00196808" w:rsidP="00196808">
            <w:pPr>
              <w:pStyle w:val="NoSpacing"/>
              <w:ind w:firstLine="0"/>
              <w:rPr>
                <w:color w:val="auto"/>
                <w:lang w:val="en-GB" w:eastAsia="cs-CZ"/>
              </w:rPr>
            </w:pPr>
          </w:p>
        </w:tc>
      </w:tr>
      <w:tr w:rsidR="001D0ADC" w:rsidRPr="001D0ADC" w14:paraId="2FFC74C9" w14:textId="77777777" w:rsidTr="00F944AA">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668ECFE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FCA441C" w14:textId="3E10E2F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763</w:t>
            </w:r>
          </w:p>
        </w:tc>
        <w:tc>
          <w:tcPr>
            <w:tcW w:w="4520" w:type="dxa"/>
            <w:tcBorders>
              <w:top w:val="single" w:sz="4" w:space="0" w:color="auto"/>
              <w:left w:val="nil"/>
              <w:bottom w:val="single" w:sz="4" w:space="0" w:color="auto"/>
              <w:right w:val="single" w:sz="4" w:space="0" w:color="auto"/>
            </w:tcBorders>
            <w:shd w:val="clear" w:color="auto" w:fill="auto"/>
            <w:vAlign w:val="bottom"/>
          </w:tcPr>
          <w:p w14:paraId="5DA39753" w14:textId="7C1E0989" w:rsidR="00196808" w:rsidRPr="001D0ADC" w:rsidRDefault="00196808" w:rsidP="00196808">
            <w:pPr>
              <w:pStyle w:val="NoSpacing"/>
              <w:ind w:firstLine="0"/>
              <w:rPr>
                <w:color w:val="auto"/>
                <w:lang w:val="en-GB" w:eastAsia="cs-CZ"/>
              </w:rPr>
            </w:pPr>
            <w:r w:rsidRPr="001D0ADC">
              <w:rPr>
                <w:color w:val="auto"/>
                <w:lang w:val="en-GB" w:eastAsia="cs-CZ"/>
              </w:rPr>
              <w:t>LOEC for TBARS in gill, liver and kidney, NOEC for CAT in kidney, oxygen consumption and Ca and Na ion exchange</w:t>
            </w:r>
          </w:p>
        </w:tc>
        <w:tc>
          <w:tcPr>
            <w:tcW w:w="2633" w:type="dxa"/>
            <w:vMerge w:val="restart"/>
            <w:tcBorders>
              <w:top w:val="single" w:sz="4" w:space="0" w:color="auto"/>
              <w:left w:val="nil"/>
              <w:right w:val="single" w:sz="4" w:space="0" w:color="auto"/>
            </w:tcBorders>
          </w:tcPr>
          <w:p w14:paraId="67F12AFC" w14:textId="211EFBB9" w:rsidR="00196808" w:rsidRPr="001D0ADC" w:rsidRDefault="00196808" w:rsidP="00196808">
            <w:pPr>
              <w:pStyle w:val="NoSpacing"/>
              <w:ind w:firstLine="0"/>
              <w:rPr>
                <w:color w:val="auto"/>
                <w:lang w:val="en-GB" w:eastAsia="cs-CZ"/>
              </w:rPr>
            </w:pPr>
            <w:r w:rsidRPr="001D0ADC">
              <w:rPr>
                <w:color w:val="auto"/>
                <w:lang w:val="en-GB" w:eastAsia="cs-CZ"/>
              </w:rPr>
              <w:t>Acute (GM)</w:t>
            </w:r>
          </w:p>
        </w:tc>
        <w:tc>
          <w:tcPr>
            <w:tcW w:w="1967" w:type="dxa"/>
            <w:vMerge w:val="restart"/>
            <w:tcBorders>
              <w:top w:val="single" w:sz="4" w:space="0" w:color="auto"/>
              <w:left w:val="single" w:sz="4" w:space="0" w:color="auto"/>
              <w:right w:val="single" w:sz="4" w:space="0" w:color="auto"/>
            </w:tcBorders>
          </w:tcPr>
          <w:p w14:paraId="2A0AEB9A" w14:textId="68DDD589"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FFD358E" w14:textId="0587C646"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{"citationID":"afqsg312hi","properties":{"formattedCitation":"(McRae et al. 2018)","plainCitation":"(McRae et al. 2018)","noteIndex":0},"citationItems":[{"id":1502,"uris":["http://zotero.org/users/11614927/items/KDGUH7P4"],"itemData":{"id":1502,"type":"article-journal","abstract":"Abstract\n            \n              \n              \n                Diclofenac is a nonsteroidal anti‐inflammatory drug (NSAID) of growing concern in aquatic environments worldwide; nevertheless, knowledge of its effects on aquatic biota is restricted to a few model species with limited information regarding its mechanisms of impact. In the present study, diclofenac accumulation, its effects on metabolic rate, ionoregulation, and oxidative stress were examined at environmentally relevant (0.17 µg L\n                −1\n                ) and elevated (763 µg L\n                −1\n                ) concentrations in a culturally and economically important galaxiid fish, inanga (\n                Galaxias maculatus\n                ), from the Southern Hemisphere. This species is among the most widespread freshwater fish in the world but its sensitivity to emerging contaminants is unknown. Following an acute 96‐h exposure, bioconcentration of diclofenac was measured in the inanga whole‐body, resulting in an estimated bioconcentration factor of 87 for the 0.17‐µg L\n                −1\n                exposure concentration, approaching values where transfer through the food chain should be considered. Lipid peroxidation in the liver was significantly elevated at both 0.17‐ and 763‐µg L\n                −1\n                exposure concentrations but lipid peroxidation in the kidney and gill decreased after diclofenac exposure. Catalase activity was also elevated in the liver of inanga but activity decreased in the gill. There were no effects of diclofenac on metabolic rate or ion (sodium and calcium) influx rates. These data indicate that toxicologically relevant adverse outcomes and bioconcentration of diclofenac at environmentally relevant levels warrant additional study in this important fish.\n                Environ Toxicol Chem\n                2018;37:224–235. © 2017 SETAC","container-title":"Environmental Toxicology and Chemistry","DOI":"10.1002/etc.3948","ISSN":"0730-7268, 1552-8618","issue":"1","journalAbbreviation":"Enviro Toxic and Chemistry","language":"en","page":"224-235","source":"DOI.org (Crossref)","title":"Acute exposure to an environmentally relevant concentration of diclofenac elicits oxidative stress in the culturally important galaxiid fish &lt;i&gt;Galaxias maculatus&lt;/i&gt;","volume":"37","author":[{"family":"McRae","given":"Nicole K."},{"family":"Glover","given":"Chris N."},{"family":"Burket","given":"S. Rebekah"},{"family":"Brooks","given":"Bryan W."},{"family":"Gaw","given":"Sally"}],"issued":{"date-parts":[["2018",1]]}}}],"schema":"https://github.com/citation-style-language/schema/raw/master/csl-citation.json"}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(McRae et al. 2018)</w:t>
            </w:r>
            <w:r w:rsidRPr="001D0ADC">
              <w:rPr>
                <w:color w:val="auto"/>
                <w:lang w:val="en-GB" w:eastAsia="cs-CZ"/>
              </w:rPr>
              <w:fldChar w:fldCharType="end"/>
            </w:r>
          </w:p>
        </w:tc>
      </w:tr>
      <w:tr w:rsidR="001D0ADC" w:rsidRPr="001D0ADC" w14:paraId="1D83397C" w14:textId="77777777" w:rsidTr="00F944AA">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1798DFE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ED20352" w14:textId="5368FA49"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00017</w:t>
            </w:r>
          </w:p>
        </w:tc>
        <w:tc>
          <w:tcPr>
            <w:tcW w:w="4520" w:type="dxa"/>
            <w:tcBorders>
              <w:top w:val="single" w:sz="4" w:space="0" w:color="auto"/>
              <w:left w:val="nil"/>
              <w:bottom w:val="single" w:sz="4" w:space="0" w:color="auto"/>
              <w:right w:val="single" w:sz="4" w:space="0" w:color="auto"/>
            </w:tcBorders>
            <w:shd w:val="clear" w:color="auto" w:fill="auto"/>
            <w:vAlign w:val="bottom"/>
          </w:tcPr>
          <w:p w14:paraId="39D6444B" w14:textId="4694B007" w:rsidR="00196808" w:rsidRPr="001D0ADC" w:rsidRDefault="00196808" w:rsidP="00196808">
            <w:pPr>
              <w:pStyle w:val="NoSpacing"/>
              <w:ind w:firstLine="0"/>
              <w:rPr>
                <w:color w:val="auto"/>
                <w:lang w:val="en-GB" w:eastAsia="cs-CZ"/>
              </w:rPr>
            </w:pPr>
            <w:r w:rsidRPr="001D0ADC">
              <w:rPr>
                <w:color w:val="auto"/>
                <w:lang w:val="en-GB" w:eastAsia="cs-CZ"/>
              </w:rPr>
              <w:t>LOEC for CAT in gill and liver</w:t>
            </w:r>
          </w:p>
        </w:tc>
        <w:tc>
          <w:tcPr>
            <w:tcW w:w="2633" w:type="dxa"/>
            <w:vMerge/>
            <w:tcBorders>
              <w:left w:val="nil"/>
              <w:bottom w:val="single" w:sz="4" w:space="0" w:color="auto"/>
              <w:right w:val="single" w:sz="4" w:space="0" w:color="auto"/>
            </w:tcBorders>
          </w:tcPr>
          <w:p w14:paraId="6C06D37A"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CEBCE2E"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D51930D" w14:textId="77777777" w:rsidR="00196808" w:rsidRPr="001D0ADC" w:rsidRDefault="00196808" w:rsidP="00196808">
            <w:pPr>
              <w:pStyle w:val="NoSpacing"/>
              <w:ind w:firstLine="0"/>
              <w:rPr>
                <w:color w:val="auto"/>
                <w:lang w:val="en-GB" w:eastAsia="cs-CZ"/>
              </w:rPr>
            </w:pPr>
          </w:p>
        </w:tc>
      </w:tr>
      <w:tr w:rsidR="001D0ADC" w:rsidRPr="001D0ADC" w14:paraId="220E4F81"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3190197" w14:textId="77777777" w:rsidR="00196808" w:rsidRPr="001D0ADC" w:rsidRDefault="00196808" w:rsidP="00196808">
            <w:pPr>
              <w:pStyle w:val="NoSpacing"/>
              <w:ind w:firstLine="0"/>
              <w:rPr>
                <w:color w:val="auto"/>
                <w:lang w:val="en-GB" w:eastAsia="cs-CZ"/>
              </w:rPr>
            </w:pPr>
          </w:p>
        </w:tc>
        <w:tc>
          <w:tcPr>
            <w:tcW w:w="1702" w:type="dxa"/>
            <w:vMerge w:val="restart"/>
            <w:tcBorders>
              <w:top w:val="single" w:sz="4" w:space="0" w:color="auto"/>
              <w:left w:val="nil"/>
              <w:right w:val="single" w:sz="4" w:space="0" w:color="auto"/>
            </w:tcBorders>
            <w:shd w:val="clear" w:color="auto" w:fill="auto"/>
            <w:noWrap/>
            <w:vAlign w:val="center"/>
          </w:tcPr>
          <w:p w14:paraId="715EA4AA" w14:textId="0170E7C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6E01168" w14:textId="5A280E2D" w:rsidR="00196808" w:rsidRPr="001D0ADC" w:rsidRDefault="00196808" w:rsidP="00196808">
            <w:pPr>
              <w:pStyle w:val="NoSpacing"/>
              <w:ind w:firstLine="0"/>
              <w:rPr>
                <w:color w:val="auto"/>
                <w:lang w:val="en-GB" w:eastAsia="cs-CZ"/>
              </w:rPr>
            </w:pPr>
            <w:r w:rsidRPr="001D0ADC">
              <w:rPr>
                <w:color w:val="auto"/>
                <w:lang w:val="en-GB" w:eastAsia="cs-CZ"/>
              </w:rPr>
              <w:t xml:space="preserve">LOEC for oxidative stress related gene expression, GSH concentration, MDA content </w:t>
            </w:r>
          </w:p>
        </w:tc>
        <w:tc>
          <w:tcPr>
            <w:tcW w:w="2633" w:type="dxa"/>
            <w:vMerge w:val="restart"/>
            <w:tcBorders>
              <w:top w:val="single" w:sz="4" w:space="0" w:color="auto"/>
              <w:left w:val="nil"/>
              <w:right w:val="single" w:sz="4" w:space="0" w:color="auto"/>
            </w:tcBorders>
          </w:tcPr>
          <w:p w14:paraId="6D08B917" w14:textId="3C9A440C" w:rsidR="00196808" w:rsidRPr="001D0ADC" w:rsidRDefault="00196808" w:rsidP="00196808">
            <w:pPr>
              <w:pStyle w:val="NoSpacing"/>
              <w:ind w:firstLine="0"/>
              <w:rPr>
                <w:color w:val="auto"/>
                <w:lang w:val="en-GB" w:eastAsia="cs-CZ"/>
              </w:rPr>
            </w:pPr>
            <w:r w:rsidRPr="001D0ADC">
              <w:rPr>
                <w:color w:val="auto"/>
                <w:lang w:val="en-GB" w:eastAsia="cs-CZ"/>
              </w:rPr>
              <w:t>Acute (GAf)</w:t>
            </w:r>
          </w:p>
        </w:tc>
        <w:tc>
          <w:tcPr>
            <w:tcW w:w="1967" w:type="dxa"/>
            <w:tcBorders>
              <w:top w:val="single" w:sz="4" w:space="0" w:color="auto"/>
              <w:left w:val="single" w:sz="4" w:space="0" w:color="auto"/>
              <w:bottom w:val="single" w:sz="4" w:space="0" w:color="auto"/>
              <w:right w:val="single" w:sz="4" w:space="0" w:color="auto"/>
            </w:tcBorders>
          </w:tcPr>
          <w:p w14:paraId="02B1A04B" w14:textId="0C601015"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35F1750" w14:textId="4F471D65"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{"citationID":"a1cbcq2q85g","properties":{"formattedCitation":"(Bao et al. 2017)","plainCitation":"(Bao et al. 2017)","noteIndex":0},"citationItems":[{"id":1504,"uris":["http://zotero.org/users/11614927/items/BWJUGT2D"],"itemData":{"id":1504,"type":"article-journal","abstract":"Diclofenac (DCF) is one of widely used non-steroidal anti-inﬂammatory drugs. Recently, this drug has been universally detected in aquatic environment. However, its potential adverse eﬀects and oxidative stress toxic mechanisms on ﬁsh remain unclear. In the present study, we ﬁrst cloned the crucial partial sequences of some key oxidative stress related genes, which include NF-E2-related factor 2 (Nrf2), NAD(P)H: quinoneoxidoreductase (NQO1), glutamate-cysteine ligase catalytic subunit (GCLC), Cu–Zn superoxide dismutase (SOD2), catalase (CAT), alpha-glutathione S-transferase (GSTA), and UDP-glucuronosyltransferases (UGT) in mosquito ﬁsh (Gambusia aﬃnis). We also deduced amino acids of Nrf2 and then constructed the phylogenetic trees of Nrf2, NQO1 and GCLC, respectively. Results showed that a high identity percentage was founded between G. aﬃnis and other bony ﬁsh species, such as Xiphophorus maculates and Poecilia reticulate. The transcriptional expression of these genes and partly related enzymes activities were then investigated under the included environmental relevant concentration DCF exposure (0 μmol L−1, 1.572 × 10−3 μmol L−1, 1.572 × 10−2 μmol L−1, 0.1572 μmol L−1 and 1.572 μmol L−1) for 24 h and 168 h. The expression of Nrf2 was inhibited at 24 h but induced at 168 h, exhibiting a signiﬁcant time and/or dose-eﬀect relationship under DCF exposure. Similar observation was found in its downstream target genes. However, Nrf2-mediated antioxidant enzymes activities displayed diﬀerently under the same concentration of DCF exposure for the same time. Under DCF exposure for 168 h, the genes exhibited dramatic induction trend, but there were no signiﬁcant changes in enzyme activities and MDA content. Overall, mRNA responses were more sensitive than enzyme changes in mosquito ﬁsh under DCF exposure.","container-title":"Aquatic Toxicology","DOI":"10.1016/j.aquatox.2017.04.008","ISSN":"0166445X","journalAbbreviation":"Aquatic Toxicology","language":"en","page":"43-53","source":"DOI.org (Crossref)","title":"Effects of diclofenac on the expression of Nrf2 and its downstream target genes in mosquito fish (Gambusia affinis)","volume":"188","author":[{"family":"Bao","given":"Shuang"},{"family":"Nie","given":"Xiangping"},{"family":"Ou","given":"Ruikang"},{"family":"Wang","given":"Chao"},{"family":"Ku","given":"Peijia"},{"family":"Li","given":"Kaibing"}],"issued":{"date-parts":[["2017",7]]}}}],"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(Bao et al. 2017)</w:t>
            </w:r>
            <w:r w:rsidRPr="001D0ADC">
              <w:rPr>
                <w:color w:val="auto"/>
                <w:lang w:val="en-GB" w:eastAsia="cs-CZ"/>
              </w:rPr>
              <w:fldChar w:fldCharType="end"/>
            </w:r>
          </w:p>
        </w:tc>
      </w:tr>
      <w:tr w:rsidR="001D0ADC" w:rsidRPr="001D0ADC" w14:paraId="64554E25"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072A93B" w14:textId="77777777" w:rsidR="00196808" w:rsidRPr="001D0ADC" w:rsidRDefault="00196808" w:rsidP="00196808">
            <w:pPr>
              <w:pStyle w:val="NoSpacing"/>
              <w:ind w:firstLine="0"/>
              <w:rPr>
                <w:color w:val="auto"/>
                <w:lang w:val="en-GB" w:eastAsia="cs-CZ"/>
              </w:rPr>
            </w:pPr>
          </w:p>
        </w:tc>
        <w:tc>
          <w:tcPr>
            <w:tcW w:w="1702" w:type="dxa"/>
            <w:vMerge/>
            <w:tcBorders>
              <w:left w:val="nil"/>
              <w:bottom w:val="single" w:sz="4" w:space="0" w:color="auto"/>
              <w:right w:val="single" w:sz="4" w:space="0" w:color="auto"/>
            </w:tcBorders>
            <w:shd w:val="clear" w:color="auto" w:fill="auto"/>
            <w:noWrap/>
            <w:vAlign w:val="center"/>
          </w:tcPr>
          <w:p w14:paraId="09D31A3F"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02A2A640" w14:textId="4DB4A8A4" w:rsidR="00196808" w:rsidRPr="001D0ADC" w:rsidRDefault="00196808" w:rsidP="00196808">
            <w:pPr>
              <w:pStyle w:val="NoSpacing"/>
              <w:ind w:firstLine="0"/>
              <w:rPr>
                <w:color w:val="auto"/>
                <w:lang w:val="en-GB" w:eastAsia="cs-CZ"/>
              </w:rPr>
            </w:pPr>
            <w:r w:rsidRPr="001D0ADC">
              <w:rPr>
                <w:color w:val="auto"/>
                <w:lang w:val="en-GB" w:eastAsia="cs-CZ"/>
              </w:rPr>
              <w:t>LOEC for CAT acitivity, NOEC for SOD  activity</w:t>
            </w:r>
          </w:p>
        </w:tc>
        <w:tc>
          <w:tcPr>
            <w:tcW w:w="2633" w:type="dxa"/>
            <w:vMerge/>
            <w:tcBorders>
              <w:left w:val="nil"/>
              <w:right w:val="single" w:sz="4" w:space="0" w:color="auto"/>
            </w:tcBorders>
          </w:tcPr>
          <w:p w14:paraId="34D0A40A"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4331F5B7" w14:textId="1431BC4E" w:rsidR="00196808" w:rsidRPr="001D0ADC" w:rsidRDefault="00196808" w:rsidP="00196808">
            <w:pPr>
              <w:pStyle w:val="NoSpacing"/>
              <w:ind w:firstLine="0"/>
              <w:rPr>
                <w:color w:val="auto"/>
                <w:lang w:val="en-GB" w:eastAsia="cs-CZ"/>
              </w:rPr>
            </w:pPr>
            <w:r w:rsidRPr="001D0ADC">
              <w:rPr>
                <w:color w:val="auto"/>
                <w:lang w:val="en-GB" w:eastAsia="cs-CZ"/>
              </w:rPr>
              <w:t>168h</w:t>
            </w:r>
          </w:p>
        </w:tc>
        <w:tc>
          <w:tcPr>
            <w:tcW w:w="2300" w:type="dxa"/>
            <w:vMerge/>
            <w:tcBorders>
              <w:left w:val="single" w:sz="4" w:space="0" w:color="auto"/>
              <w:right w:val="single" w:sz="4" w:space="0" w:color="auto"/>
            </w:tcBorders>
            <w:shd w:val="clear" w:color="auto" w:fill="auto"/>
            <w:vAlign w:val="bottom"/>
          </w:tcPr>
          <w:p w14:paraId="6EAC5567" w14:textId="77777777" w:rsidR="00196808" w:rsidRPr="001D0ADC" w:rsidRDefault="00196808" w:rsidP="00196808">
            <w:pPr>
              <w:pStyle w:val="NoSpacing"/>
              <w:ind w:firstLine="0"/>
              <w:rPr>
                <w:color w:val="auto"/>
                <w:lang w:val="en-GB" w:eastAsia="cs-CZ"/>
              </w:rPr>
            </w:pPr>
          </w:p>
        </w:tc>
      </w:tr>
      <w:tr w:rsidR="001D0ADC" w:rsidRPr="001D0ADC" w14:paraId="62A5DBD6"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875114B" w14:textId="77777777" w:rsidR="00196808" w:rsidRPr="001D0ADC" w:rsidRDefault="00196808" w:rsidP="00196808">
            <w:pPr>
              <w:pStyle w:val="NoSpacing"/>
              <w:ind w:firstLine="0"/>
              <w:rPr>
                <w:color w:val="auto"/>
                <w:lang w:val="en-GB" w:eastAsia="cs-CZ"/>
              </w:rPr>
            </w:pPr>
          </w:p>
        </w:tc>
        <w:tc>
          <w:tcPr>
            <w:tcW w:w="1702" w:type="dxa"/>
            <w:vMerge w:val="restart"/>
            <w:tcBorders>
              <w:top w:val="single" w:sz="4" w:space="0" w:color="auto"/>
              <w:left w:val="nil"/>
              <w:right w:val="single" w:sz="4" w:space="0" w:color="auto"/>
            </w:tcBorders>
            <w:shd w:val="clear" w:color="auto" w:fill="auto"/>
            <w:noWrap/>
            <w:vAlign w:val="center"/>
          </w:tcPr>
          <w:p w14:paraId="3E255AF0" w14:textId="40FDFA78"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3A1E8A38" w14:textId="42C024A7" w:rsidR="00196808" w:rsidRPr="001D0ADC" w:rsidRDefault="00196808" w:rsidP="00196808">
            <w:pPr>
              <w:pStyle w:val="NoSpacing"/>
              <w:ind w:firstLine="0"/>
              <w:rPr>
                <w:color w:val="auto"/>
                <w:lang w:val="en-GB" w:eastAsia="cs-CZ"/>
              </w:rPr>
            </w:pPr>
            <w:r w:rsidRPr="001D0ADC">
              <w:rPr>
                <w:color w:val="auto"/>
                <w:lang w:val="en-GB" w:eastAsia="cs-CZ"/>
              </w:rPr>
              <w:t>LOEC for CAT, and SOD activity</w:t>
            </w:r>
          </w:p>
        </w:tc>
        <w:tc>
          <w:tcPr>
            <w:tcW w:w="2633" w:type="dxa"/>
            <w:vMerge/>
            <w:tcBorders>
              <w:left w:val="nil"/>
              <w:right w:val="single" w:sz="4" w:space="0" w:color="auto"/>
            </w:tcBorders>
          </w:tcPr>
          <w:p w14:paraId="40A968CD"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3E264DE0" w14:textId="67F19779"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right w:val="single" w:sz="4" w:space="0" w:color="auto"/>
            </w:tcBorders>
            <w:shd w:val="clear" w:color="auto" w:fill="auto"/>
            <w:vAlign w:val="bottom"/>
          </w:tcPr>
          <w:p w14:paraId="5E865633" w14:textId="77777777" w:rsidR="00196808" w:rsidRPr="001D0ADC" w:rsidRDefault="00196808" w:rsidP="00196808">
            <w:pPr>
              <w:pStyle w:val="NoSpacing"/>
              <w:ind w:firstLine="0"/>
              <w:rPr>
                <w:color w:val="auto"/>
                <w:lang w:val="en-GB" w:eastAsia="cs-CZ"/>
              </w:rPr>
            </w:pPr>
          </w:p>
        </w:tc>
      </w:tr>
      <w:tr w:rsidR="001D0ADC" w:rsidRPr="001D0ADC" w14:paraId="422A1CAB"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96156D1" w14:textId="77777777" w:rsidR="00196808" w:rsidRPr="001D0ADC" w:rsidRDefault="00196808" w:rsidP="00196808">
            <w:pPr>
              <w:pStyle w:val="NoSpacing"/>
              <w:ind w:firstLine="0"/>
              <w:rPr>
                <w:color w:val="auto"/>
                <w:lang w:val="en-GB" w:eastAsia="cs-CZ"/>
              </w:rPr>
            </w:pPr>
          </w:p>
        </w:tc>
        <w:tc>
          <w:tcPr>
            <w:tcW w:w="1702" w:type="dxa"/>
            <w:vMerge/>
            <w:tcBorders>
              <w:left w:val="nil"/>
              <w:bottom w:val="single" w:sz="4" w:space="0" w:color="auto"/>
              <w:right w:val="single" w:sz="4" w:space="0" w:color="auto"/>
            </w:tcBorders>
            <w:shd w:val="clear" w:color="auto" w:fill="auto"/>
            <w:noWrap/>
            <w:vAlign w:val="center"/>
          </w:tcPr>
          <w:p w14:paraId="264C8EA2"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62089652" w14:textId="604AF388" w:rsidR="00196808" w:rsidRPr="001D0ADC" w:rsidRDefault="00196808" w:rsidP="00196808">
            <w:pPr>
              <w:pStyle w:val="NoSpacing"/>
              <w:ind w:firstLine="0"/>
              <w:rPr>
                <w:color w:val="auto"/>
                <w:lang w:val="en-GB" w:eastAsia="cs-CZ"/>
              </w:rPr>
            </w:pPr>
            <w:r w:rsidRPr="001D0ADC">
              <w:rPr>
                <w:color w:val="auto"/>
                <w:lang w:val="en-GB" w:eastAsia="cs-CZ"/>
              </w:rPr>
              <w:t>NOEC for GST activity</w:t>
            </w:r>
          </w:p>
        </w:tc>
        <w:tc>
          <w:tcPr>
            <w:tcW w:w="2633" w:type="dxa"/>
            <w:vMerge/>
            <w:tcBorders>
              <w:left w:val="nil"/>
              <w:bottom w:val="single" w:sz="4" w:space="0" w:color="auto"/>
              <w:right w:val="single" w:sz="4" w:space="0" w:color="auto"/>
            </w:tcBorders>
          </w:tcPr>
          <w:p w14:paraId="7E7BADD7"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69C8FA14" w14:textId="369E9F4F" w:rsidR="00196808" w:rsidRPr="001D0ADC" w:rsidRDefault="00196808" w:rsidP="00196808">
            <w:pPr>
              <w:pStyle w:val="NoSpacing"/>
              <w:ind w:firstLine="0"/>
              <w:rPr>
                <w:color w:val="auto"/>
                <w:lang w:val="en-GB" w:eastAsia="cs-CZ"/>
              </w:rPr>
            </w:pPr>
            <w:r w:rsidRPr="001D0ADC">
              <w:rPr>
                <w:color w:val="auto"/>
                <w:lang w:val="en-GB" w:eastAsia="cs-CZ"/>
              </w:rPr>
              <w:t>168h</w:t>
            </w:r>
          </w:p>
        </w:tc>
        <w:tc>
          <w:tcPr>
            <w:tcW w:w="2300" w:type="dxa"/>
            <w:vMerge/>
            <w:tcBorders>
              <w:left w:val="single" w:sz="4" w:space="0" w:color="auto"/>
              <w:bottom w:val="single" w:sz="4" w:space="0" w:color="auto"/>
              <w:right w:val="single" w:sz="4" w:space="0" w:color="auto"/>
            </w:tcBorders>
            <w:shd w:val="clear" w:color="auto" w:fill="auto"/>
            <w:vAlign w:val="bottom"/>
          </w:tcPr>
          <w:p w14:paraId="5E2EBD89" w14:textId="77777777" w:rsidR="00196808" w:rsidRPr="001D0ADC" w:rsidRDefault="00196808" w:rsidP="00196808">
            <w:pPr>
              <w:pStyle w:val="NoSpacing"/>
              <w:ind w:firstLine="0"/>
              <w:rPr>
                <w:color w:val="auto"/>
                <w:lang w:val="en-GB" w:eastAsia="cs-CZ"/>
              </w:rPr>
            </w:pPr>
          </w:p>
        </w:tc>
      </w:tr>
      <w:tr w:rsidR="001D0ADC" w:rsidRPr="001D0ADC" w14:paraId="58B1DDAF"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46AFAD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72525A1" w14:textId="18378E23" w:rsidR="00196808" w:rsidRPr="001D0ADC" w:rsidRDefault="00CF2036" w:rsidP="00196808">
            <w:pPr>
              <w:pStyle w:val="NoSpacing"/>
              <w:ind w:firstLine="0"/>
              <w:rPr>
                <w:color w:val="auto"/>
                <w:lang w:val="en-GB" w:eastAsia="cs-CZ"/>
              </w:rPr>
            </w:pPr>
            <w:r w:rsidRPr="001D0ADC">
              <w:rPr>
                <w:color w:val="auto"/>
                <w:lang w:val="en-GB" w:eastAsia="cs-CZ"/>
              </w:rPr>
              <w:t>7.</w:t>
            </w:r>
            <w:r w:rsidR="00196808" w:rsidRPr="001D0ADC">
              <w:rPr>
                <w:color w:val="auto"/>
                <w:lang w:val="en-GB" w:eastAsia="cs-CZ"/>
              </w:rPr>
              <w:t>098</w:t>
            </w:r>
          </w:p>
        </w:tc>
        <w:tc>
          <w:tcPr>
            <w:tcW w:w="4520" w:type="dxa"/>
            <w:tcBorders>
              <w:top w:val="single" w:sz="4" w:space="0" w:color="auto"/>
              <w:left w:val="nil"/>
              <w:bottom w:val="single" w:sz="4" w:space="0" w:color="auto"/>
              <w:right w:val="single" w:sz="4" w:space="0" w:color="auto"/>
            </w:tcBorders>
            <w:shd w:val="clear" w:color="auto" w:fill="auto"/>
            <w:vAlign w:val="bottom"/>
          </w:tcPr>
          <w:p w14:paraId="37215513" w14:textId="640CA218" w:rsidR="00196808" w:rsidRPr="001D0ADC" w:rsidRDefault="00196808" w:rsidP="00196808">
            <w:pPr>
              <w:pStyle w:val="NoSpacing"/>
              <w:ind w:firstLine="0"/>
              <w:rPr>
                <w:color w:val="auto"/>
                <w:lang w:val="en-GB" w:eastAsia="cs-CZ"/>
              </w:rPr>
            </w:pPr>
            <w:r w:rsidRPr="001D0ADC">
              <w:rPr>
                <w:color w:val="auto"/>
                <w:lang w:val="en-GB" w:eastAsia="cs-CZ"/>
              </w:rPr>
              <w:t>LOEC for lipid peroxidation, SOD, GPx, and CAT activity, micronuclei, and comet assay</w:t>
            </w:r>
          </w:p>
        </w:tc>
        <w:tc>
          <w:tcPr>
            <w:tcW w:w="2633" w:type="dxa"/>
            <w:tcBorders>
              <w:top w:val="single" w:sz="4" w:space="0" w:color="auto"/>
              <w:left w:val="nil"/>
              <w:bottom w:val="single" w:sz="4" w:space="0" w:color="auto"/>
              <w:right w:val="single" w:sz="4" w:space="0" w:color="auto"/>
            </w:tcBorders>
          </w:tcPr>
          <w:p w14:paraId="14C98D9A" w14:textId="4B14891F" w:rsidR="00196808" w:rsidRPr="001D0ADC" w:rsidRDefault="00196808" w:rsidP="00196808">
            <w:pPr>
              <w:pStyle w:val="NoSpacing"/>
              <w:ind w:firstLine="0"/>
              <w:rPr>
                <w:color w:val="auto"/>
                <w:lang w:val="en-GB" w:eastAsia="cs-CZ"/>
              </w:rPr>
            </w:pPr>
            <w:r w:rsidRPr="001D0ADC">
              <w:rPr>
                <w:color w:val="auto"/>
                <w:lang w:val="en-GB" w:eastAsia="cs-CZ"/>
              </w:rPr>
              <w:t>Acute (CC)</w:t>
            </w:r>
          </w:p>
        </w:tc>
        <w:tc>
          <w:tcPr>
            <w:tcW w:w="1967" w:type="dxa"/>
            <w:tcBorders>
              <w:top w:val="single" w:sz="4" w:space="0" w:color="auto"/>
              <w:left w:val="single" w:sz="4" w:space="0" w:color="auto"/>
              <w:bottom w:val="single" w:sz="4" w:space="0" w:color="auto"/>
              <w:right w:val="single" w:sz="4" w:space="0" w:color="auto"/>
            </w:tcBorders>
          </w:tcPr>
          <w:p w14:paraId="1349FC4E" w14:textId="6DDD4286"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860E806" w14:textId="3ABB9525"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{"citationID":"rDD6ACZQ","properties":{"formattedCitation":"(Islas\\uc0\\u8208{}Flores et al. 2017)","plainCitation":"(Islas‐Flores et al. 2017)","noteIndex":0},"citationItems":[{"id":1928,"uris":["http://zotero.org/users/11614927/items/E2R4PIEQ"],"itemData":{"id":1928,"type":"article-journal","abstract":"Abstract\n            \n              Thirty million people worldwide consume each day nonsteroidal anti‐inflammatory drugs (NSAIDs), a heterogeneous group of pharmaceuticals used for its analgesic, antipyretic, and anti‐inflammatory properties. Recent studies report high NSAID concentrations in wastewater treatment plant effluents, in surface, ground, and drinking water, and in sediments. NSAIDs are also known to induce toxicity on aquatic organisms. However, toxicity in natural ecosystems is not usually the result of exposure to a single substance but to a mixture of toxic agents, yet only a few studies have evaluated the toxicity of mixtures. The aim of this study was to evaluate the toxicity induced by diclofenac (DCF), ibuprofen (IBP), and their mixture on a species of commercial interest, the common carp\n              Cyprinus carpio\n              . The median lethal concentration of IBP and DCF was determined, and oxidative stress was evaluated using the following biomarkers: lipid peroxidation and activity of the antioxidant enzymes superoxide dismutase, catalase and glutathione peroxidase. Cyto‐genotoxicity was evaluated by micronucleus test, comet assay, and the specific activity of caspase‐3. Results show that DCF, IBP, and a mixture of these pharmaceuticals induced free radical production, oxidative stress and cyto‐genotoxicity in tissues of\n              C. carpio\n              . However, a greater effect was elicited by the mixture than by either pharmaceutical alone in some biomarkers evaluated, particularly in gill. © 2016 Wiley Periodicals, Inc. Environ Toxicol 32: 1637–1650, 2017.","container-title":"Environmental Toxicology","DOI":"10.1002/tox.22392","ISSN":"1520-4081, 1522-7278","issue":"5","journalAbbreviation":"Environmental Toxicology","language":"en","page":"1637-1650","source":"DOI.org (Crossref)","title":"Cyto‐genotoxicity and oxidative stress in common carp ( &lt;i&gt;Cyprinus carpio&lt;/i&gt; ) exposed to a mixture of ibuprofen and diclofenac","volume":"32","author":[{"family":"Islas‐Flores","given":"Hariz"},{"family":"Manuel Gómez‐Oliván","given":"Leobardo"},{"family":"Galar‐Martínez","given":"Marcela"},{"family":"Michelle Sánchez‐Ocampo","given":"Esmeralda"},{"family":"SanJuan‐Reyes","given":"Nely"},{"family":"Ortíz‐Reynoso","given":"Mariana"},{"family":"Dublán‐García","given":"Octavio"}],"issued":{"date-parts":[["2017",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(Islas‐Flores et al. 2017)</w:t>
            </w:r>
            <w:r w:rsidRPr="001D0ADC">
              <w:rPr>
                <w:color w:val="auto"/>
                <w:lang w:val="en-GB" w:eastAsia="cs-CZ"/>
              </w:rPr>
              <w:fldChar w:fldCharType="end"/>
            </w:r>
          </w:p>
        </w:tc>
      </w:tr>
      <w:tr w:rsidR="001D0ADC" w:rsidRPr="001D0ADC" w14:paraId="60AE8FBC"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6EBBB4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C7BDBE0" w14:textId="144CEDBA" w:rsidR="00196808" w:rsidRPr="001D0ADC" w:rsidRDefault="00CF2036" w:rsidP="00196808">
            <w:pPr>
              <w:pStyle w:val="NoSpacing"/>
              <w:ind w:firstLine="0"/>
              <w:rPr>
                <w:color w:val="auto"/>
                <w:lang w:val="en-GB" w:eastAsia="cs-CZ"/>
              </w:rPr>
            </w:pPr>
            <w:r w:rsidRPr="001D0ADC">
              <w:rPr>
                <w:color w:val="auto"/>
                <w:lang w:val="en-GB" w:eastAsia="cs-CZ"/>
              </w:rPr>
              <w:t>7.</w:t>
            </w:r>
            <w:r w:rsidR="00196808" w:rsidRPr="001D0ADC">
              <w:rPr>
                <w:color w:val="auto"/>
                <w:lang w:val="en-GB" w:eastAsia="cs-CZ"/>
              </w:rPr>
              <w:t>098</w:t>
            </w:r>
          </w:p>
        </w:tc>
        <w:tc>
          <w:tcPr>
            <w:tcW w:w="4520" w:type="dxa"/>
            <w:tcBorders>
              <w:top w:val="single" w:sz="4" w:space="0" w:color="auto"/>
              <w:left w:val="nil"/>
              <w:bottom w:val="single" w:sz="4" w:space="0" w:color="auto"/>
              <w:right w:val="single" w:sz="4" w:space="0" w:color="auto"/>
            </w:tcBorders>
            <w:shd w:val="clear" w:color="auto" w:fill="auto"/>
            <w:vAlign w:val="bottom"/>
          </w:tcPr>
          <w:p w14:paraId="06AECE63" w14:textId="5C1364E6" w:rsidR="00196808" w:rsidRPr="001D0ADC" w:rsidRDefault="00196808" w:rsidP="00196808">
            <w:pPr>
              <w:pStyle w:val="NoSpacing"/>
              <w:ind w:firstLine="0"/>
              <w:rPr>
                <w:color w:val="auto"/>
                <w:lang w:val="en-GB" w:eastAsia="cs-CZ"/>
              </w:rPr>
            </w:pPr>
            <w:r w:rsidRPr="001D0ADC">
              <w:rPr>
                <w:color w:val="auto"/>
                <w:lang w:val="en-GB" w:eastAsia="cs-CZ"/>
              </w:rPr>
              <w:t>LOEC for HPC content, LPO, PCC, CAT, GPX, and SOD activity changes</w:t>
            </w:r>
          </w:p>
        </w:tc>
        <w:tc>
          <w:tcPr>
            <w:tcW w:w="2633" w:type="dxa"/>
            <w:tcBorders>
              <w:top w:val="single" w:sz="4" w:space="0" w:color="auto"/>
              <w:left w:val="nil"/>
              <w:bottom w:val="single" w:sz="4" w:space="0" w:color="auto"/>
              <w:right w:val="single" w:sz="4" w:space="0" w:color="auto"/>
            </w:tcBorders>
          </w:tcPr>
          <w:p w14:paraId="7B304D4E" w14:textId="3AA07EDF" w:rsidR="00196808" w:rsidRPr="001D0ADC" w:rsidRDefault="00196808" w:rsidP="00196808">
            <w:pPr>
              <w:pStyle w:val="NoSpacing"/>
              <w:ind w:firstLine="0"/>
              <w:rPr>
                <w:color w:val="auto"/>
                <w:lang w:val="en-GB" w:eastAsia="cs-CZ"/>
              </w:rPr>
            </w:pPr>
            <w:r w:rsidRPr="001D0ADC">
              <w:rPr>
                <w:color w:val="auto"/>
                <w:lang w:val="en-GB" w:eastAsia="cs-CZ"/>
              </w:rPr>
              <w:t>Acute (CC)</w:t>
            </w:r>
          </w:p>
        </w:tc>
        <w:tc>
          <w:tcPr>
            <w:tcW w:w="1967" w:type="dxa"/>
            <w:tcBorders>
              <w:top w:val="single" w:sz="4" w:space="0" w:color="auto"/>
              <w:left w:val="single" w:sz="4" w:space="0" w:color="auto"/>
              <w:bottom w:val="single" w:sz="4" w:space="0" w:color="auto"/>
              <w:right w:val="single" w:sz="4" w:space="0" w:color="auto"/>
            </w:tcBorders>
          </w:tcPr>
          <w:p w14:paraId="0712A306" w14:textId="3A3001C9"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104D00E" w14:textId="6806DC24"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{"citationID":"CAzhRote","properties":{"formattedCitation":"(Saucedo-Vence et al. 2015)","plainCitation":"(Saucedo-Vence et al. 2015)","noteIndex":0},"citationItems":[{"id":1493,"uris":["http://zotero.org/users/11614927/items/V72W9C2M"],"itemData":{"id":1493,"type":"article-journal","container-title":"Ecotoxicology","DOI":"10.1007/s10646-014-1401-9","ISSN":"0963-9292, 1573-3017","issue":"3","journalAbbreviation":"Ecotoxicology","language":"en","page":"527-539","source":"DOI.org (Crossref)","title":"Short and long-term exposure to diclofenac alter oxidative stress status in common carp Cyprinus carpio","volume":"24","author":[{"family":"Saucedo-Vence","given":"Karinne"},{"family":"Dublán-García","given":"Octavio"},{"family":"López-Martínez","given":"Leticia Xochitl"},{"family":"Morachis-Valdes","given":"Gabriela"},{"family":"Galar-Martínez","given":"Marcela"},{"family":"Islas-Flores","given":"Hariz"},{"family":"Gómez-Oliván","given":"Leobardo Manuel"}],"issued":{"date-parts":[["2015",4]]}}}],"schema":"https://github.com/citation-style-language/schema/raw/master/csl-citation.json"}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(Saucedo-Vence et al. 2015)</w:t>
            </w:r>
            <w:r w:rsidRPr="001D0ADC">
              <w:rPr>
                <w:color w:val="auto"/>
                <w:lang w:val="en-GB" w:eastAsia="cs-CZ"/>
              </w:rPr>
              <w:fldChar w:fldCharType="end"/>
            </w:r>
          </w:p>
        </w:tc>
      </w:tr>
      <w:tr w:rsidR="001D0ADC" w:rsidRPr="001D0ADC" w14:paraId="2BBD1F97"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2358488"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2A2A16E5" w14:textId="04E837E4"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with ZF</w:t>
            </w:r>
            <w:r w:rsidR="000F6A8E" w:rsidRPr="001D0ADC">
              <w:rPr>
                <w:b/>
                <w:bCs/>
                <w:color w:val="auto"/>
                <w:lang w:val="en-GB" w:eastAsia="cs-CZ"/>
              </w:rPr>
              <w:t xml:space="preserve"> (mg/l)</w:t>
            </w:r>
          </w:p>
        </w:tc>
      </w:tr>
      <w:tr w:rsidR="001D0ADC" w:rsidRPr="001D0ADC" w14:paraId="2A66E6C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171B9E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2F48DEE" w14:textId="164951C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625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0AF5CF36"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top w:val="single" w:sz="4" w:space="0" w:color="auto"/>
              <w:left w:val="nil"/>
              <w:right w:val="single" w:sz="4" w:space="0" w:color="auto"/>
            </w:tcBorders>
          </w:tcPr>
          <w:p w14:paraId="131B05BD"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0EB7E334" w14:textId="77777777"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3F93F691" w14:textId="5C713672"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{"citationID":"wVcAfQJz","properties":{"formattedCitation":"(P. Wang et al. 2020)","plainCitation":"(P. Wang et al. 2020)","noteIndex":0},"citationItems":[{"id":1214,"uris":["http://zotero.org/users/11614927/items/6CW5BJHZ"],"itemData":{"id":1214,"type":"article-journal","abstract":"Mechanistic information is essential to screen and predict the adverse effects of a large number of chemicals during early-life exposure. Concentration-dependent omics can capture the extent of perturbations of biological pathways or processes and provide information on the mechanism of toxicity. However, the application of concentration-dependent transcriptome to assess the developmental toxicity of environmental chemicals is still limited. Here, twelve chemicals representing ﬁve different modes of action (MOAs) were tested by the concentration-dependent reduced zebraﬁsh transcriptome approach (CRZT) in combination with a phenotype-based high content screen (PHCS). The responsiveness, sensitivity and mechanistic differentiation of CRZT were validated in comparison with PHCS. First, PHCS identiﬁed 10 chemicals with obvious embryotoxicity (LD50 range: 2.11e70.68 mM), while the potencies of the biological pathways perturbed by 12 chemicals (PODpath20 range: 0.002e2.1 mM) were demonstrated by CRZT. Second, although the potency of the transcriptome perturbations was positively correlated with lethality (LD50) (R2 ¼ 0.64, P-value &lt; 0.05) for most tested chemicals, BbF was nonembryotoxic but was the most potent on the perturbance of biological pathways. Finally, the proﬁles of the perturbed biological processes and the transcriptome potency (PODpath20) captured by CRZT could effectively classify most chemicals corresponding to their known MOAs. In summary, CRZT could signiﬁcantly improve testing the developmental toxicity of environmental chemicals.","container-title":"Chemosphere","DOI":"10.1016/j.chemosphere.2019.125632","ISSN":"00456535","journalAbbreviation":"Chemosphere","language":"en","page":"125632","source":"DOI.org (Crossref)","title":"Concentration-dependent transcriptome of zebrafish embryo for environmental chemical assessment","volume":"245","author":[{"family":"Wang","given":"Pingping"},{"family":"Wang","given":"Zhihao"},{"family":"Xia","given":"Pu"},{"family":"Zhang","given":"Xiaowei"}],"issued":{"date-parts":[["2020",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 Wang et al. 2020)</w:t>
            </w:r>
            <w:r w:rsidRPr="001D0ADC">
              <w:rPr>
                <w:color w:val="auto"/>
                <w:lang w:val="en-GB" w:eastAsia="cs-CZ"/>
              </w:rPr>
              <w:fldChar w:fldCharType="end"/>
            </w:r>
          </w:p>
        </w:tc>
      </w:tr>
      <w:tr w:rsidR="001D0ADC" w:rsidRPr="001D0ADC" w14:paraId="769BC14E"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8AF37E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50179AF" w14:textId="33B8CB5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74</w:t>
            </w:r>
          </w:p>
        </w:tc>
        <w:tc>
          <w:tcPr>
            <w:tcW w:w="4520" w:type="dxa"/>
            <w:tcBorders>
              <w:top w:val="single" w:sz="4" w:space="0" w:color="auto"/>
              <w:left w:val="nil"/>
              <w:bottom w:val="single" w:sz="4" w:space="0" w:color="auto"/>
              <w:right w:val="single" w:sz="4" w:space="0" w:color="auto"/>
            </w:tcBorders>
            <w:shd w:val="clear" w:color="auto" w:fill="auto"/>
            <w:vAlign w:val="bottom"/>
          </w:tcPr>
          <w:p w14:paraId="24A5E859" w14:textId="77777777" w:rsidR="00196808" w:rsidRPr="001D0ADC" w:rsidRDefault="00196808" w:rsidP="00196808">
            <w:pPr>
              <w:pStyle w:val="NoSpacing"/>
              <w:ind w:firstLine="0"/>
              <w:rPr>
                <w:color w:val="auto"/>
                <w:lang w:val="en-GB" w:eastAsia="cs-CZ"/>
              </w:rPr>
            </w:pPr>
            <w:r w:rsidRPr="001D0ADC">
              <w:rPr>
                <w:color w:val="auto"/>
                <w:lang w:val="en-GB" w:eastAsia="cs-CZ"/>
              </w:rPr>
              <w:t>LOEC malformations</w:t>
            </w:r>
          </w:p>
        </w:tc>
        <w:tc>
          <w:tcPr>
            <w:tcW w:w="2633" w:type="dxa"/>
            <w:vMerge/>
            <w:tcBorders>
              <w:left w:val="nil"/>
              <w:right w:val="single" w:sz="4" w:space="0" w:color="auto"/>
            </w:tcBorders>
          </w:tcPr>
          <w:p w14:paraId="0BCF538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2BC460E6"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7C61EE3" w14:textId="77777777" w:rsidR="00196808" w:rsidRPr="001D0ADC" w:rsidRDefault="00196808" w:rsidP="00196808">
            <w:pPr>
              <w:pStyle w:val="NoSpacing"/>
              <w:ind w:firstLine="0"/>
              <w:rPr>
                <w:color w:val="auto"/>
                <w:lang w:val="en-GB" w:eastAsia="cs-CZ"/>
              </w:rPr>
            </w:pPr>
          </w:p>
        </w:tc>
      </w:tr>
      <w:tr w:rsidR="001D0ADC" w:rsidRPr="001D0ADC" w14:paraId="21A4DAB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053BB2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740B8A4" w14:textId="7218955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0017</w:t>
            </w:r>
          </w:p>
        </w:tc>
        <w:tc>
          <w:tcPr>
            <w:tcW w:w="4520" w:type="dxa"/>
            <w:tcBorders>
              <w:top w:val="single" w:sz="4" w:space="0" w:color="auto"/>
              <w:left w:val="nil"/>
              <w:bottom w:val="single" w:sz="4" w:space="0" w:color="auto"/>
              <w:right w:val="single" w:sz="4" w:space="0" w:color="auto"/>
            </w:tcBorders>
            <w:shd w:val="clear" w:color="auto" w:fill="auto"/>
            <w:vAlign w:val="bottom"/>
          </w:tcPr>
          <w:p w14:paraId="48F838C1" w14:textId="77777777" w:rsidR="00196808" w:rsidRPr="001D0ADC" w:rsidRDefault="00196808" w:rsidP="00196808">
            <w:pPr>
              <w:pStyle w:val="NoSpacing"/>
              <w:ind w:firstLine="0"/>
              <w:rPr>
                <w:color w:val="auto"/>
                <w:lang w:val="en-GB" w:eastAsia="cs-CZ"/>
              </w:rPr>
            </w:pPr>
            <w:r w:rsidRPr="001D0ADC">
              <w:rPr>
                <w:color w:val="auto"/>
                <w:lang w:val="en-GB" w:eastAsia="cs-CZ"/>
              </w:rPr>
              <w:t>Transcriptome analysis – 20% genes affected</w:t>
            </w:r>
          </w:p>
        </w:tc>
        <w:tc>
          <w:tcPr>
            <w:tcW w:w="2633" w:type="dxa"/>
            <w:vMerge/>
            <w:tcBorders>
              <w:left w:val="nil"/>
              <w:right w:val="single" w:sz="4" w:space="0" w:color="auto"/>
            </w:tcBorders>
          </w:tcPr>
          <w:p w14:paraId="75A6216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015C255E"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7123C6C" w14:textId="77777777" w:rsidR="00196808" w:rsidRPr="001D0ADC" w:rsidRDefault="00196808" w:rsidP="00196808">
            <w:pPr>
              <w:pStyle w:val="NoSpacing"/>
              <w:ind w:firstLine="0"/>
              <w:rPr>
                <w:color w:val="auto"/>
                <w:lang w:val="en-GB" w:eastAsia="cs-CZ"/>
              </w:rPr>
            </w:pPr>
          </w:p>
        </w:tc>
      </w:tr>
      <w:tr w:rsidR="001D0ADC" w:rsidRPr="001D0ADC" w14:paraId="1BB505D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C66AD5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A14B1CF" w14:textId="269E38A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0027</w:t>
            </w:r>
          </w:p>
        </w:tc>
        <w:tc>
          <w:tcPr>
            <w:tcW w:w="4520" w:type="dxa"/>
            <w:tcBorders>
              <w:top w:val="single" w:sz="4" w:space="0" w:color="auto"/>
              <w:left w:val="nil"/>
              <w:bottom w:val="single" w:sz="4" w:space="0" w:color="auto"/>
              <w:right w:val="single" w:sz="4" w:space="0" w:color="auto"/>
            </w:tcBorders>
            <w:shd w:val="clear" w:color="auto" w:fill="auto"/>
            <w:vAlign w:val="bottom"/>
          </w:tcPr>
          <w:p w14:paraId="26F60574" w14:textId="77777777" w:rsidR="00196808" w:rsidRPr="001D0ADC" w:rsidRDefault="00196808" w:rsidP="00196808">
            <w:pPr>
              <w:pStyle w:val="NoSpacing"/>
              <w:ind w:firstLine="0"/>
              <w:rPr>
                <w:color w:val="auto"/>
                <w:lang w:val="en-GB" w:eastAsia="cs-CZ"/>
              </w:rPr>
            </w:pPr>
            <w:r w:rsidRPr="001D0ADC">
              <w:rPr>
                <w:color w:val="auto"/>
                <w:lang w:val="en-GB" w:eastAsia="cs-CZ"/>
              </w:rPr>
              <w:t>Transcriptome analysis – 20% of biological pathways affected</w:t>
            </w:r>
          </w:p>
        </w:tc>
        <w:tc>
          <w:tcPr>
            <w:tcW w:w="2633" w:type="dxa"/>
            <w:vMerge/>
            <w:tcBorders>
              <w:left w:val="nil"/>
              <w:bottom w:val="single" w:sz="4" w:space="0" w:color="auto"/>
              <w:right w:val="single" w:sz="4" w:space="0" w:color="auto"/>
            </w:tcBorders>
          </w:tcPr>
          <w:p w14:paraId="473BEFE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16F7D08"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D1C8F60" w14:textId="77777777" w:rsidR="00196808" w:rsidRPr="001D0ADC" w:rsidRDefault="00196808" w:rsidP="00196808">
            <w:pPr>
              <w:pStyle w:val="NoSpacing"/>
              <w:ind w:firstLine="0"/>
              <w:rPr>
                <w:color w:val="auto"/>
                <w:lang w:val="en-GB" w:eastAsia="cs-CZ"/>
              </w:rPr>
            </w:pPr>
          </w:p>
        </w:tc>
      </w:tr>
      <w:tr w:rsidR="001D0ADC" w:rsidRPr="001D0ADC" w14:paraId="4CCBF867"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AAD797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C18E5AD" w14:textId="3A877327" w:rsidR="00196808" w:rsidRPr="001D0ADC" w:rsidRDefault="00CF2036" w:rsidP="00196808">
            <w:pPr>
              <w:pStyle w:val="NoSpacing"/>
              <w:ind w:firstLine="0"/>
              <w:rPr>
                <w:color w:val="auto"/>
                <w:lang w:val="en-GB" w:eastAsia="cs-CZ"/>
              </w:rPr>
            </w:pPr>
            <w:r w:rsidRPr="001D0ADC">
              <w:rPr>
                <w:color w:val="auto"/>
                <w:lang w:val="en-GB" w:eastAsia="cs-CZ"/>
              </w:rPr>
              <w:t>6.</w:t>
            </w:r>
            <w:r w:rsidR="00196808" w:rsidRPr="001D0ADC">
              <w:rPr>
                <w:color w:val="auto"/>
                <w:lang w:val="en-GB" w:eastAsia="cs-CZ"/>
              </w:rPr>
              <w:t>11</w:t>
            </w:r>
          </w:p>
        </w:tc>
        <w:tc>
          <w:tcPr>
            <w:tcW w:w="4520" w:type="dxa"/>
            <w:tcBorders>
              <w:top w:val="single" w:sz="4" w:space="0" w:color="auto"/>
              <w:left w:val="nil"/>
              <w:bottom w:val="single" w:sz="4" w:space="0" w:color="auto"/>
              <w:right w:val="single" w:sz="4" w:space="0" w:color="auto"/>
            </w:tcBorders>
            <w:shd w:val="clear" w:color="auto" w:fill="auto"/>
            <w:vAlign w:val="bottom"/>
          </w:tcPr>
          <w:p w14:paraId="223000D4"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269C9CD5" w14:textId="77777777" w:rsidR="00196808" w:rsidRPr="001D0ADC" w:rsidRDefault="00196808" w:rsidP="00196808">
            <w:pPr>
              <w:pStyle w:val="NoSpacing"/>
              <w:ind w:firstLine="0"/>
              <w:rPr>
                <w:color w:val="auto"/>
                <w:lang w:val="en-GB" w:eastAsia="cs-CZ"/>
              </w:rPr>
            </w:pPr>
            <w:r w:rsidRPr="001D0ADC">
              <w:rPr>
                <w:color w:val="auto"/>
                <w:lang w:val="en-GB" w:eastAsia="cs-CZ"/>
              </w:rPr>
              <w:t>ELS (OECD210)(ZF)</w:t>
            </w:r>
          </w:p>
        </w:tc>
        <w:tc>
          <w:tcPr>
            <w:tcW w:w="1967" w:type="dxa"/>
            <w:tcBorders>
              <w:top w:val="single" w:sz="4" w:space="0" w:color="auto"/>
              <w:left w:val="single" w:sz="4" w:space="0" w:color="auto"/>
              <w:bottom w:val="single" w:sz="4" w:space="0" w:color="auto"/>
              <w:right w:val="single" w:sz="4" w:space="0" w:color="auto"/>
            </w:tcBorders>
          </w:tcPr>
          <w:p w14:paraId="61396CB8" w14:textId="77777777" w:rsidR="00196808" w:rsidRPr="001D0ADC" w:rsidRDefault="00196808" w:rsidP="00196808">
            <w:pPr>
              <w:pStyle w:val="NoSpacing"/>
              <w:ind w:firstLine="0"/>
              <w:rPr>
                <w:color w:val="auto"/>
                <w:lang w:val="en-GB" w:eastAsia="cs-CZ"/>
              </w:rPr>
            </w:pPr>
            <w:r w:rsidRPr="001D0ADC">
              <w:rPr>
                <w:color w:val="auto"/>
                <w:lang w:val="en-GB" w:eastAsia="cs-CZ"/>
              </w:rPr>
              <w:t>144h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30CCAC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{"citationID":"NgipoqkO","properties":{"formattedCitation":"(Praskova et al. 2011)","plainCitation":"(Praskova et al. 2011)","noteIndex":0},"citationItems":[{"id":1318,"uris":["http://zotero.org/users/11614927/items/F96RMY6B"],"itemData":{"id":1318,"type":"article-journal","abstract":"The aim of the study was to compare the acute toxicity of diclofenac to juvenile and embryonic stages of the zebrafish (Danio rerio). Acute toxicity tests were performed on the aquarium fish Danio rerio, which is one of the model organisms most commonly used in toxicity testing. The tests were performed using a semi-static method according to OECD guideline No. 203 (Fish, acute toxicity test). Embryo toxicity tests were performed in zebrafish embryos (Danio rerio) in compliance with OECD No. 212 methodology (Fish, short-term toxicity test on embryo and sac-fry stages). The results were subjected to a probit analysis using the EKO-TOX 5.2 programme to determine 96hLC50 and 144hLC50 (median lethal concentration, 50% mortality after a 96 h or 144 h interval, respectively) values of diclofenac. The statistical significance of the difference between LC50 values in juvenile and embryonic stages of Danio rerio was tested using the Mann-Whitney non-parametric test implemented in the Unistat 5.1 programme. The LC50 mean value of diclofenac was 166.6 ± 9.8 mg/L in juvenile Danio rerio, and 6.11 ± 2.48 mg/L in embryonic stages of Danio rerio. The study demonstrated a statistically higher sensitivity to diclofenac (P&lt;0.05) in embryonic stages compared to the juvenile fish.","container-title":"Polish Journal of Veterinary Sciences","DOI":"10.2478/v10181-011-0081-0","ISSN":"1505-1773","issue":"4","language":"en","page":"545-549","source":"DOI.org (Crossref)","title":"Assessment of diclofenac LC50 reference values in juvenile and embryonic stages of the zebrafish (Danio rerio)","volume":"14","author":[{"family":"Praskova","given":"E."},{"family":"Voslarova","given":"E."},{"family":"Siroka","given":"Z."},{"family":"Plhalova","given":"L."},{"family":"Macova","given":"S."},{"family":"Marsalek","given":"P."},{"family":"Pistekova","given":"V."},{"family":"Svobodova","given":"Z."}],"issued":{"date-parts":[["2011",12,1]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(Praskova et al. 2011)</w:t>
            </w:r>
            <w:r w:rsidRPr="001D0ADC">
              <w:rPr>
                <w:color w:val="auto"/>
                <w:lang w:val="en-GB" w:eastAsia="cs-CZ"/>
              </w:rPr>
              <w:fldChar w:fldCharType="end"/>
            </w:r>
          </w:p>
        </w:tc>
      </w:tr>
      <w:tr w:rsidR="001D0ADC" w:rsidRPr="001D0ADC" w14:paraId="155F9086"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805659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217AB27" w14:textId="77777777" w:rsidR="00196808" w:rsidRPr="001D0ADC" w:rsidRDefault="00196808" w:rsidP="00196808">
            <w:pPr>
              <w:pStyle w:val="NoSpacing"/>
              <w:ind w:firstLine="0"/>
              <w:rPr>
                <w:color w:val="auto"/>
                <w:lang w:val="en-GB" w:eastAsia="cs-CZ"/>
              </w:rPr>
            </w:pPr>
            <w:r w:rsidRPr="001D0ADC">
              <w:rPr>
                <w:color w:val="auto"/>
                <w:lang w:val="en-GB" w:eastAsia="cs-CZ"/>
              </w:rPr>
              <w:t>4</w:t>
            </w:r>
          </w:p>
        </w:tc>
        <w:tc>
          <w:tcPr>
            <w:tcW w:w="4520" w:type="dxa"/>
            <w:tcBorders>
              <w:top w:val="single" w:sz="4" w:space="0" w:color="auto"/>
              <w:left w:val="nil"/>
              <w:bottom w:val="single" w:sz="4" w:space="0" w:color="auto"/>
              <w:right w:val="single" w:sz="4" w:space="0" w:color="auto"/>
            </w:tcBorders>
            <w:shd w:val="clear" w:color="auto" w:fill="auto"/>
            <w:vAlign w:val="bottom"/>
          </w:tcPr>
          <w:p w14:paraId="310DA15B"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val="restart"/>
            <w:tcBorders>
              <w:top w:val="single" w:sz="4" w:space="0" w:color="auto"/>
              <w:left w:val="nil"/>
              <w:right w:val="single" w:sz="4" w:space="0" w:color="auto"/>
            </w:tcBorders>
          </w:tcPr>
          <w:p w14:paraId="72F3DDA6"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108B0EFC" w14:textId="77777777" w:rsidR="00196808" w:rsidRPr="001D0ADC" w:rsidRDefault="00196808" w:rsidP="00196808">
            <w:pPr>
              <w:pStyle w:val="NoSpacing"/>
              <w:ind w:firstLine="0"/>
              <w:rPr>
                <w:color w:val="auto"/>
                <w:lang w:val="en-GB" w:eastAsia="cs-CZ"/>
              </w:rPr>
            </w:pPr>
            <w:r w:rsidRPr="001D0ADC">
              <w:rPr>
                <w:color w:val="auto"/>
                <w:lang w:val="en-GB" w:eastAsia="cs-CZ"/>
              </w:rPr>
              <w:t>10d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1CA9FC1"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{"citationID":"IHaKEkvS","properties":{"formattedCitation":"(Ferrari et al. 2003)","plainCitation":"(Ferrari et al. 2003)","noteIndex":0},"citationItems":[{"id":1287,"uris":["http://zotero.org/users/11614927/items/Y95S6W2C"],"itemData":{"id":1287,"type":"article-journal","abstract":"In four countries (France, Greece, Italy, and Sweden) occurrence in sewage treatment plant (STP) efﬂuents and ecotoxicity of the pharmaceuticals carbamazepine, cloﬁbric acid, and diclofenac were investigated. Bioassays were performed on bacteria, algae, microcrustaceans, and ﬁshes in order to calculate their predicted no-effect concentrations (PNEC) and to perform a ﬁrst approach of risk characterization. For this aim, risk has been estimated by the predicted environmental concentration/PNEC ratio and the measured environmental concentration/PNEC ratio. First, regarding the PNEC, carbamazepine appears to be the more hazardous compound. Second, even though it is demonstrated that carbamazepine, cloﬁbric acid, and diclofenac have been detected in efﬂuents, only carbamazepine have been detected in all sewage treatment plants with the greatest concentrations. Third, risk quotients greater than unity were calculated only for carbamazepine, suggesting that risk for the water compartment is expected. r 2003 Elsevier Science (USA). All rights reserved.","container-title":"Ecotoxicology and Environmental Safety","DOI":"10.1016/S0147-6513(02)00082-9","ISSN":"01476513","issue":"3","journalAbbreviation":"Ecotoxicology and Environmental Safety","language":"en","page":"359-370","source":"DOI.org (Crossref)","title":"Ecotoxicological impact of pharmaceuticals found in treated wastewaters: study of carbamazepine, clofibric acid, and diclofenac","title-short":"Ecotoxicological impact of pharmaceuticals found in treated wastewaters","volume":"55","author":[{"family":"Ferrari","given":"Benoı̂t"},{"family":"Paxéus","given":"Nicklas"},{"family":"Giudice","given":"Roberto Lo"},{"family":"Pollio","given":"Antonino"},{"family":"Garric","given":"Jeanne"}],"issued":{"date-parts":[["2003",7]]}}}],"schema":"https://github.com/citation-style-language/schema/raw/master/csl-citation.json"}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(Ferrari et al. 2003)</w:t>
            </w:r>
            <w:r w:rsidRPr="001D0ADC">
              <w:rPr>
                <w:color w:val="auto"/>
                <w:lang w:val="en-GB" w:eastAsia="cs-CZ"/>
              </w:rPr>
              <w:fldChar w:fldCharType="end"/>
            </w:r>
          </w:p>
        </w:tc>
      </w:tr>
      <w:tr w:rsidR="001D0ADC" w:rsidRPr="001D0ADC" w14:paraId="44AB66F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E381D4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9C6FF69" w14:textId="77777777" w:rsidR="00196808" w:rsidRPr="001D0ADC" w:rsidRDefault="00196808" w:rsidP="00196808">
            <w:pPr>
              <w:pStyle w:val="NoSpacing"/>
              <w:ind w:firstLine="0"/>
              <w:rPr>
                <w:color w:val="auto"/>
                <w:lang w:val="en-GB" w:eastAsia="cs-CZ"/>
              </w:rPr>
            </w:pPr>
            <w:r w:rsidRPr="001D0ADC">
              <w:rPr>
                <w:color w:val="auto"/>
                <w:lang w:val="en-GB" w:eastAsia="cs-CZ"/>
              </w:rPr>
              <w:t>8</w:t>
            </w:r>
          </w:p>
        </w:tc>
        <w:tc>
          <w:tcPr>
            <w:tcW w:w="4520" w:type="dxa"/>
            <w:tcBorders>
              <w:top w:val="single" w:sz="4" w:space="0" w:color="auto"/>
              <w:left w:val="nil"/>
              <w:bottom w:val="single" w:sz="4" w:space="0" w:color="auto"/>
              <w:right w:val="single" w:sz="4" w:space="0" w:color="auto"/>
            </w:tcBorders>
            <w:shd w:val="clear" w:color="auto" w:fill="auto"/>
            <w:vAlign w:val="bottom"/>
          </w:tcPr>
          <w:p w14:paraId="02412CD9" w14:textId="77777777" w:rsidR="00196808" w:rsidRPr="001D0ADC" w:rsidRDefault="00196808" w:rsidP="00196808">
            <w:pPr>
              <w:pStyle w:val="NoSpacing"/>
              <w:ind w:firstLine="0"/>
              <w:rPr>
                <w:color w:val="auto"/>
                <w:lang w:val="en-GB" w:eastAsia="cs-CZ"/>
              </w:rPr>
            </w:pPr>
            <w:r w:rsidRPr="001D0ADC">
              <w:rPr>
                <w:color w:val="auto"/>
                <w:lang w:val="en-GB" w:eastAsia="cs-CZ"/>
              </w:rPr>
              <w:t>LOEC for mortality</w:t>
            </w:r>
          </w:p>
        </w:tc>
        <w:tc>
          <w:tcPr>
            <w:tcW w:w="2633" w:type="dxa"/>
            <w:vMerge/>
            <w:tcBorders>
              <w:left w:val="nil"/>
              <w:bottom w:val="single" w:sz="4" w:space="0" w:color="auto"/>
              <w:right w:val="single" w:sz="4" w:space="0" w:color="auto"/>
            </w:tcBorders>
          </w:tcPr>
          <w:p w14:paraId="1962422C"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9915472"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7618EAE" w14:textId="77777777" w:rsidR="00196808" w:rsidRPr="001D0ADC" w:rsidRDefault="00196808" w:rsidP="00196808">
            <w:pPr>
              <w:pStyle w:val="NoSpacing"/>
              <w:ind w:firstLine="0"/>
              <w:rPr>
                <w:color w:val="auto"/>
                <w:lang w:val="en-GB" w:eastAsia="cs-CZ"/>
              </w:rPr>
            </w:pPr>
          </w:p>
        </w:tc>
      </w:tr>
      <w:tr w:rsidR="001D0ADC" w:rsidRPr="001D0ADC" w14:paraId="7ACB24D3"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E996BE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ECCEE15" w14:textId="5FF449EE"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22</w:t>
            </w:r>
          </w:p>
        </w:tc>
        <w:tc>
          <w:tcPr>
            <w:tcW w:w="4520" w:type="dxa"/>
            <w:tcBorders>
              <w:top w:val="single" w:sz="4" w:space="0" w:color="auto"/>
              <w:left w:val="nil"/>
              <w:bottom w:val="single" w:sz="4" w:space="0" w:color="auto"/>
              <w:right w:val="single" w:sz="4" w:space="0" w:color="auto"/>
            </w:tcBorders>
            <w:shd w:val="clear" w:color="auto" w:fill="auto"/>
            <w:vAlign w:val="bottom"/>
          </w:tcPr>
          <w:p w14:paraId="76D676F7"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top w:val="single" w:sz="4" w:space="0" w:color="auto"/>
              <w:left w:val="nil"/>
              <w:right w:val="single" w:sz="4" w:space="0" w:color="auto"/>
            </w:tcBorders>
          </w:tcPr>
          <w:p w14:paraId="1C9ECBAE" w14:textId="77777777" w:rsidR="00196808" w:rsidRPr="001D0ADC" w:rsidRDefault="00196808" w:rsidP="00196808">
            <w:pPr>
              <w:pStyle w:val="NoSpacing"/>
              <w:ind w:firstLine="0"/>
              <w:rPr>
                <w:color w:val="auto"/>
                <w:lang w:val="en-GB" w:eastAsia="cs-CZ"/>
              </w:rPr>
            </w:pPr>
            <w:r w:rsidRPr="001D0ADC">
              <w:rPr>
                <w:color w:val="auto"/>
                <w:lang w:val="en-GB" w:eastAsia="cs-CZ"/>
              </w:rPr>
              <w:t>Sub chronic – ZF larvae 24h posthatch</w:t>
            </w:r>
          </w:p>
        </w:tc>
        <w:tc>
          <w:tcPr>
            <w:tcW w:w="1967" w:type="dxa"/>
            <w:vMerge w:val="restart"/>
            <w:tcBorders>
              <w:top w:val="single" w:sz="4" w:space="0" w:color="auto"/>
              <w:left w:val="single" w:sz="4" w:space="0" w:color="auto"/>
              <w:right w:val="single" w:sz="4" w:space="0" w:color="auto"/>
            </w:tcBorders>
          </w:tcPr>
          <w:p w14:paraId="12F8A60F" w14:textId="77777777" w:rsidR="00196808" w:rsidRPr="001D0ADC" w:rsidRDefault="00196808" w:rsidP="00196808">
            <w:pPr>
              <w:pStyle w:val="NoSpacing"/>
              <w:ind w:firstLine="0"/>
              <w:rPr>
                <w:color w:val="auto"/>
                <w:lang w:val="en-GB" w:eastAsia="cs-CZ"/>
              </w:rPr>
            </w:pPr>
            <w:r w:rsidRPr="001D0ADC">
              <w:rPr>
                <w:color w:val="auto"/>
                <w:lang w:val="en-GB" w:eastAsia="cs-CZ"/>
              </w:rPr>
              <w:t>7d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8074ABD"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{"citationID":"z102tU1j","properties":{"formattedCitation":"(Penha et al. 2021)","plainCitation":"(Penha et al. 2021)","noteIndex":0},"citationItems":[{"id":1229,"uris":["http://zotero.org/users/11614927/items/EICNTBEN"],"itemData":{"id":1229,"type":"article-journal","abstract":"The entrance of the anti-inflammatory diclofenac in water bodies is a consequence of inappropriate use, incorrect disposal, and inefficiency of wastewater treatment plants (WWTPs) in removing this drug from sewage, among others. Effects of diclofenac on non-target aquatic organisms still need to be clarified. The objective of this work was to evaluate the toxic effects of the diclofenac on larvae and adults of Danio rerio. The LC50 values were 5.49 mg/L and 5.22 mg/L for the adult and larvae, respectively. A set of biochemical and genotoxic biomarkers were evaluated in fish exposed to an environmentally relevant concentration of 2 μg/L DCF and a no observed effect concentration (NOEC) of 3 mg/L diclofenac. At the NOEC, an increase in activities of glutathione-S-transferase (GST) enzyme and an increase in ATP binding cassette (ABC) transporters in gills of adult fish was observed; also, an increase in lipoperoxidation (LPO) was seen in the gills of adults and whole larvae. These results indicate that diclofenac activates the fish detoxification processes and may affect fish health.","container-title":"Comparative Biochemistry and Physiology Part C: Toxicology &amp; Pharmacology","DOI":"10.1016/j.cbpc.2020.108955","ISSN":"15320456","journalAbbreviation":"Comparative Biochemistry and Physiology Part C: Toxicology &amp; Pharmacology","language":"en","page":"108955","source":"DOI.org (Crossref)","title":"Effects of anti-inflammatory diclofenac assessed by toxicity tests and biomarkers in adults and larvae of Danio rerio","volume":"242","author":[{"family":"Penha","given":"Larissa Cristine De Carvalho"},{"family":"Rola","given":"Regina Coimbra"},{"family":"Martinez","given":"Claudia Bueno Dos Reis"},{"family":"Martins","given":"Camila De Martinez Gaspar"}],"issued":{"date-parts":[["2021",4]]}}}],"schema":"https://github.com/citation-style-language/schema/raw/master/csl-citation.json"}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(Penha et al. 2021)</w:t>
            </w:r>
            <w:r w:rsidRPr="001D0ADC">
              <w:rPr>
                <w:color w:val="auto"/>
                <w:lang w:val="en-GB" w:eastAsia="cs-CZ"/>
              </w:rPr>
              <w:fldChar w:fldCharType="end"/>
            </w:r>
          </w:p>
        </w:tc>
      </w:tr>
      <w:tr w:rsidR="001D0ADC" w:rsidRPr="001D0ADC" w14:paraId="365128FE"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E50AFA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86EB2CA" w14:textId="77777777" w:rsidR="00196808" w:rsidRPr="001D0ADC" w:rsidRDefault="00196808" w:rsidP="00196808">
            <w:pPr>
              <w:pStyle w:val="NoSpacing"/>
              <w:ind w:firstLine="0"/>
              <w:rPr>
                <w:color w:val="auto"/>
                <w:lang w:val="en-GB" w:eastAsia="cs-CZ"/>
              </w:rPr>
            </w:pPr>
            <w:r w:rsidRPr="001D0ADC">
              <w:rPr>
                <w:color w:val="auto"/>
                <w:lang w:val="en-GB" w:eastAsia="cs-CZ"/>
              </w:rPr>
              <w:t>3</w:t>
            </w:r>
          </w:p>
        </w:tc>
        <w:tc>
          <w:tcPr>
            <w:tcW w:w="4520" w:type="dxa"/>
            <w:tcBorders>
              <w:top w:val="single" w:sz="4" w:space="0" w:color="auto"/>
              <w:left w:val="nil"/>
              <w:bottom w:val="single" w:sz="4" w:space="0" w:color="auto"/>
              <w:right w:val="single" w:sz="4" w:space="0" w:color="auto"/>
            </w:tcBorders>
            <w:shd w:val="clear" w:color="auto" w:fill="auto"/>
            <w:vAlign w:val="bottom"/>
          </w:tcPr>
          <w:p w14:paraId="29CDE087"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LOEC for LPO </w:t>
            </w:r>
          </w:p>
        </w:tc>
        <w:tc>
          <w:tcPr>
            <w:tcW w:w="2633" w:type="dxa"/>
            <w:vMerge/>
            <w:tcBorders>
              <w:left w:val="nil"/>
              <w:bottom w:val="single" w:sz="4" w:space="0" w:color="auto"/>
              <w:right w:val="single" w:sz="4" w:space="0" w:color="auto"/>
            </w:tcBorders>
          </w:tcPr>
          <w:p w14:paraId="5A2B592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C0843A0"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41720C5" w14:textId="77777777" w:rsidR="00196808" w:rsidRPr="001D0ADC" w:rsidRDefault="00196808" w:rsidP="00196808">
            <w:pPr>
              <w:pStyle w:val="NoSpacing"/>
              <w:ind w:firstLine="0"/>
              <w:rPr>
                <w:color w:val="auto"/>
                <w:lang w:val="en-GB" w:eastAsia="cs-CZ"/>
              </w:rPr>
            </w:pPr>
          </w:p>
        </w:tc>
      </w:tr>
      <w:tr w:rsidR="001D0ADC" w:rsidRPr="001D0ADC" w14:paraId="5DD7EDC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29E62D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1422E96" w14:textId="0DE62CF2"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3022CF3"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malformations and swimming activity and distance</w:t>
            </w:r>
          </w:p>
        </w:tc>
        <w:tc>
          <w:tcPr>
            <w:tcW w:w="2633" w:type="dxa"/>
            <w:vMerge w:val="restart"/>
            <w:tcBorders>
              <w:top w:val="single" w:sz="4" w:space="0" w:color="auto"/>
              <w:left w:val="nil"/>
              <w:right w:val="single" w:sz="4" w:space="0" w:color="auto"/>
            </w:tcBorders>
          </w:tcPr>
          <w:p w14:paraId="558334E0"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259063F9"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2F57FED5"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{"citationID":"do8Il2cW","properties":{"formattedCitation":"(Xia, Zheng, and Zhou 2017)","plainCitation":"(Xia, Zheng, and Zhou 2017)","noteIndex":0},"citationItems":[{"id":1197,"uris":["http://zotero.org/users/11614927/items/4CSU9JPH"],"itemData":{"id":1197,"type":"article-journal","abstract":"Non-steroidal anti-inﬂammatory drugs (NSAIDs) which are widely used as pain relief medicines are causing increasing environmental concern due to their incomplete removal in wastewater treatment plant and potential toxicity on endocrine, kidney and reproduction in teleost ﬁsh. This study focused on the effects of widely used ibuprofen, diclofenac and paracetamol on the hatch and motor ability of earlystage zebraﬁsh, by exposing embryos to the target chemicals at 5, 50 and 500 mg/L starting from 6 h postfertilization (hpf). A signiﬁcant reduction in hatch rate at 55 hpf was caused by both ibuprofen (À63%) and diclofenac (À58%) at 500 mg/L. Exposure to high concentration of ibuprofen signiﬁcantly decreased the spontaneous movement by 25%, and reduced the free swimming distance, duration and speed under dark condition by 41%, 29% and 30%, respectively. High concentration of diclofenac also caused 23% decrease in spontaneous movement, and reduced the swimming distance as well as active duration by 17% and 13% under light stimulation. In comparison, the exposure to paracetamol did not cause any notable effect. Among neuron related genes tested, the expression of neurog1 was downregulated from ibuprofen and diclofenac exposure by 19% and 26%, while the expression of neurod1 was up-regulated only by ibuprofen (31%). These ﬁndings indicated that ibuprofen and diclofenac signiﬁcantly affected embryo locomotivity and were potentially neurotoxic, thus posing threats to zebraﬁsh development.","container-title":"Chemosphere","DOI":"10.1016/j.chemosphere.2017.05.054","ISSN":"00456535","journalAbbreviation":"Chemosphere","language":"en","page":"416-425","source":"DOI.org (Crossref)","title":"Effects of ibuprofen, diclofenac and paracetamol on hatch and motor behavior in developing zebrafish ( Danio rerio )","volume":"182","author":[{"family":"Xia","given":"Liang"},{"family":"Zheng","given":"Liang"},{"family":"Zhou","given":"Jun Liang"}],"issued":{"date-parts":[["2017",9]]}}}],"schema":"https://github.com/citation-style-language/schema/raw/master/csl-citation.json"}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(Xia, Zheng, and Zhou 2017)</w:t>
            </w:r>
            <w:r w:rsidRPr="001D0ADC">
              <w:rPr>
                <w:color w:val="auto"/>
                <w:lang w:val="en-GB" w:eastAsia="cs-CZ"/>
              </w:rPr>
              <w:fldChar w:fldCharType="end"/>
            </w:r>
          </w:p>
        </w:tc>
      </w:tr>
      <w:tr w:rsidR="001D0ADC" w:rsidRPr="001D0ADC" w14:paraId="110EEA3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FC987D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16D24D0" w14:textId="6B6E046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32A1402" w14:textId="77777777" w:rsidR="00196808" w:rsidRPr="001D0ADC" w:rsidRDefault="00196808" w:rsidP="00196808">
            <w:pPr>
              <w:pStyle w:val="NoSpacing"/>
              <w:ind w:firstLine="0"/>
              <w:rPr>
                <w:color w:val="auto"/>
                <w:lang w:val="en-GB" w:eastAsia="cs-CZ"/>
              </w:rPr>
            </w:pPr>
            <w:r w:rsidRPr="001D0ADC">
              <w:rPr>
                <w:color w:val="auto"/>
                <w:lang w:val="en-GB" w:eastAsia="cs-CZ"/>
              </w:rPr>
              <w:t>LOEC for hatching success and gene expression</w:t>
            </w:r>
          </w:p>
        </w:tc>
        <w:tc>
          <w:tcPr>
            <w:tcW w:w="2633" w:type="dxa"/>
            <w:vMerge/>
            <w:tcBorders>
              <w:left w:val="nil"/>
              <w:right w:val="single" w:sz="4" w:space="0" w:color="auto"/>
            </w:tcBorders>
          </w:tcPr>
          <w:p w14:paraId="404E5F67"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19AEC19F"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046A403" w14:textId="77777777" w:rsidR="00196808" w:rsidRPr="001D0ADC" w:rsidRDefault="00196808" w:rsidP="00196808">
            <w:pPr>
              <w:pStyle w:val="NoSpacing"/>
              <w:ind w:firstLine="0"/>
              <w:rPr>
                <w:color w:val="auto"/>
                <w:lang w:val="en-GB" w:eastAsia="cs-CZ"/>
              </w:rPr>
            </w:pPr>
          </w:p>
        </w:tc>
      </w:tr>
      <w:tr w:rsidR="001D0ADC" w:rsidRPr="001D0ADC" w14:paraId="36703F6F"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43C4C1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8402830" w14:textId="22F8D49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0526964" w14:textId="77777777" w:rsidR="00196808" w:rsidRPr="001D0ADC" w:rsidRDefault="00196808" w:rsidP="00196808">
            <w:pPr>
              <w:pStyle w:val="NoSpacing"/>
              <w:ind w:firstLine="0"/>
              <w:rPr>
                <w:color w:val="auto"/>
                <w:lang w:val="en-GB" w:eastAsia="cs-CZ"/>
              </w:rPr>
            </w:pPr>
            <w:r w:rsidRPr="001D0ADC">
              <w:rPr>
                <w:color w:val="auto"/>
                <w:lang w:val="en-GB" w:eastAsia="cs-CZ"/>
              </w:rPr>
              <w:t>LOEC for spontaneous movement</w:t>
            </w:r>
          </w:p>
        </w:tc>
        <w:tc>
          <w:tcPr>
            <w:tcW w:w="2633" w:type="dxa"/>
            <w:vMerge/>
            <w:tcBorders>
              <w:left w:val="nil"/>
              <w:bottom w:val="single" w:sz="4" w:space="0" w:color="auto"/>
              <w:right w:val="single" w:sz="4" w:space="0" w:color="auto"/>
            </w:tcBorders>
          </w:tcPr>
          <w:p w14:paraId="24A204C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69D61D0"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EBE5284" w14:textId="77777777" w:rsidR="00196808" w:rsidRPr="001D0ADC" w:rsidRDefault="00196808" w:rsidP="00196808">
            <w:pPr>
              <w:pStyle w:val="NoSpacing"/>
              <w:ind w:firstLine="0"/>
              <w:rPr>
                <w:color w:val="auto"/>
                <w:lang w:val="en-GB" w:eastAsia="cs-CZ"/>
              </w:rPr>
            </w:pPr>
          </w:p>
        </w:tc>
      </w:tr>
      <w:tr w:rsidR="001D0ADC" w:rsidRPr="001D0ADC" w14:paraId="44F3317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B3E68F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44E2EFC" w14:textId="24190BF5" w:rsidR="00196808" w:rsidRPr="001D0ADC" w:rsidRDefault="00CF2036" w:rsidP="00196808">
            <w:pPr>
              <w:pStyle w:val="NoSpacing"/>
              <w:ind w:firstLine="0"/>
              <w:rPr>
                <w:color w:val="auto"/>
                <w:lang w:val="en-GB" w:eastAsia="cs-CZ"/>
              </w:rPr>
            </w:pPr>
            <w:r w:rsidRPr="001D0ADC">
              <w:rPr>
                <w:color w:val="auto"/>
                <w:lang w:val="en-GB" w:eastAsia="cs-CZ"/>
              </w:rPr>
              <w:t>1.</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66D7686" w14:textId="77777777" w:rsidR="00196808" w:rsidRPr="001D0ADC" w:rsidRDefault="00196808" w:rsidP="00196808">
            <w:pPr>
              <w:pStyle w:val="NoSpacing"/>
              <w:ind w:firstLine="0"/>
              <w:rPr>
                <w:color w:val="auto"/>
                <w:lang w:val="en-GB" w:eastAsia="cs-CZ"/>
              </w:rPr>
            </w:pPr>
            <w:r w:rsidRPr="001D0ADC">
              <w:rPr>
                <w:color w:val="auto"/>
                <w:lang w:val="en-GB" w:eastAsia="cs-CZ"/>
              </w:rPr>
              <w:t>NOEC</w:t>
            </w:r>
          </w:p>
        </w:tc>
        <w:tc>
          <w:tcPr>
            <w:tcW w:w="2633" w:type="dxa"/>
            <w:vMerge w:val="restart"/>
            <w:tcBorders>
              <w:top w:val="single" w:sz="4" w:space="0" w:color="auto"/>
              <w:left w:val="nil"/>
              <w:right w:val="single" w:sz="4" w:space="0" w:color="auto"/>
            </w:tcBorders>
          </w:tcPr>
          <w:p w14:paraId="6068F1FB" w14:textId="77777777" w:rsidR="00196808" w:rsidRPr="001D0ADC" w:rsidRDefault="00196808" w:rsidP="00196808">
            <w:pPr>
              <w:pStyle w:val="NoSpacing"/>
              <w:ind w:firstLine="0"/>
              <w:rPr>
                <w:color w:val="auto"/>
                <w:lang w:val="en-GB" w:eastAsia="cs-CZ"/>
              </w:rPr>
            </w:pPr>
            <w:r w:rsidRPr="001D0ADC">
              <w:rPr>
                <w:color w:val="auto"/>
                <w:lang w:val="en-GB" w:eastAsia="cs-CZ"/>
              </w:rPr>
              <w:t>FET (OECD draft)</w:t>
            </w:r>
          </w:p>
        </w:tc>
        <w:tc>
          <w:tcPr>
            <w:tcW w:w="1967" w:type="dxa"/>
            <w:vMerge w:val="restart"/>
            <w:tcBorders>
              <w:top w:val="single" w:sz="4" w:space="0" w:color="auto"/>
              <w:left w:val="single" w:sz="4" w:space="0" w:color="auto"/>
              <w:right w:val="single" w:sz="4" w:space="0" w:color="auto"/>
            </w:tcBorders>
          </w:tcPr>
          <w:p w14:paraId="35181B67"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8E00380"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{"citationID":"0gEEr6wq","properties":{"formattedCitation":"(Van Den Brandhof and Montforts 2010)","plainCitation":"(Van Den Brandhof and Montforts 2010)","noteIndex":0},"citationItems":[{"id":1282,"uris":["http://zotero.org/users/11614927/items/9TSCRHEG"],"itemData":{"id":1282,"type":"article-journal","abstract":"Frequently measured pharmaceuticals in environmental samples were tested in ﬁsh embryo toxicity (FET) tests with Danio rerio, based on the draft OECD test protocol. In this FET test 2-h-old zebraﬁsh embryos were exposed for 72 h to carbamazepine, diclofenac and metoprolol to observe effects on embryo mortality, gastrulation, somite formation, tail movement and detachment, pigmentation, heartbeat, malformation of head, otoliths and heart, scoliosis, deformity of yolk, and hatching success at 24, 48 and 72 h. We found speciﬁc effects on growth retardation above 30.6 mg/l for carbamazepine, on hatching, yolk sac and tail deformation above 1.5 mg/l for diclofenac, and on scoliosis and growth retardation above 12.6 mg/l for metoprolol. Scoring all effect parameters, the 72-h-EC50 values were: for carbamazepine 86.5 mg/l, for diclofenac 5.3 mg/l and for metoprolol 31.0 mg/l (mean measured concentrations). In conclusion, our results for carbamazepine and metoprolol are in agreement with other ﬁndings for aquatic toxicity, and also ﬁsh embryos responded in much the same way as rat embryos did. For diclofenac, the FET test performs comparably to Early Life Stage testing.","container-title":"Ecotoxicology and Environmental Safety","DOI":"10.1016/j.ecoenv.2010.08.031","ISSN":"01476513","issue":"8","journalAbbreviation":"Ecotoxicology and Environmental Safety","language":"en","page":"1862-1866","source":"DOI.org (Crossref)","title":"Fish embryo toxicity of carbamazepine, diclofenac and metoprolol","volume":"73","author":[{"family":"Van Den Brandhof","given":"Evert-Jan"},{"family":"Montforts","given":"Mark"}],"issued":{"date-parts":[["2010",11]]}}}],"schema":"https://github.com/citation-style-language/schema/raw/master/csl-citation.json"}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(Van Den Brandhof and Montforts 2010)</w:t>
            </w:r>
            <w:r w:rsidRPr="001D0ADC">
              <w:rPr>
                <w:color w:val="auto"/>
                <w:lang w:val="en-GB" w:eastAsia="cs-CZ"/>
              </w:rPr>
              <w:fldChar w:fldCharType="end"/>
            </w:r>
          </w:p>
        </w:tc>
      </w:tr>
      <w:tr w:rsidR="001D0ADC" w:rsidRPr="001D0ADC" w14:paraId="12F3D017"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0BDBF0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A575C98" w14:textId="57811AF4"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3</w:t>
            </w:r>
          </w:p>
        </w:tc>
        <w:tc>
          <w:tcPr>
            <w:tcW w:w="4520" w:type="dxa"/>
            <w:tcBorders>
              <w:top w:val="single" w:sz="4" w:space="0" w:color="auto"/>
              <w:left w:val="nil"/>
              <w:bottom w:val="single" w:sz="4" w:space="0" w:color="auto"/>
              <w:right w:val="single" w:sz="4" w:space="0" w:color="auto"/>
            </w:tcBorders>
            <w:shd w:val="clear" w:color="auto" w:fill="auto"/>
            <w:vAlign w:val="bottom"/>
          </w:tcPr>
          <w:p w14:paraId="14880B43" w14:textId="77777777" w:rsidR="00196808" w:rsidRPr="001D0ADC" w:rsidRDefault="00196808" w:rsidP="00196808">
            <w:pPr>
              <w:pStyle w:val="NoSpacing"/>
              <w:ind w:firstLine="0"/>
              <w:rPr>
                <w:color w:val="auto"/>
                <w:lang w:val="en-GB" w:eastAsia="cs-CZ"/>
              </w:rPr>
            </w:pPr>
            <w:r w:rsidRPr="001D0ADC">
              <w:rPr>
                <w:color w:val="auto"/>
                <w:lang w:val="en-GB" w:eastAsia="cs-CZ"/>
              </w:rPr>
              <w:t>EC50</w:t>
            </w:r>
          </w:p>
        </w:tc>
        <w:tc>
          <w:tcPr>
            <w:tcW w:w="2633" w:type="dxa"/>
            <w:vMerge/>
            <w:tcBorders>
              <w:left w:val="nil"/>
              <w:right w:val="single" w:sz="4" w:space="0" w:color="auto"/>
            </w:tcBorders>
          </w:tcPr>
          <w:p w14:paraId="4224CD3A"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18E1F34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F3EB007" w14:textId="77777777" w:rsidR="00196808" w:rsidRPr="001D0ADC" w:rsidRDefault="00196808" w:rsidP="00196808">
            <w:pPr>
              <w:pStyle w:val="NoSpacing"/>
              <w:ind w:firstLine="0"/>
              <w:rPr>
                <w:color w:val="auto"/>
                <w:lang w:val="en-GB" w:eastAsia="cs-CZ"/>
              </w:rPr>
            </w:pPr>
          </w:p>
        </w:tc>
      </w:tr>
      <w:tr w:rsidR="001D0ADC" w:rsidRPr="001D0ADC" w14:paraId="68F443E7" w14:textId="77777777" w:rsidTr="000C3BFB">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E82CA2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A917B00" w14:textId="0C424271" w:rsidR="00196808" w:rsidRPr="001D0ADC" w:rsidRDefault="00CF2036" w:rsidP="00196808">
            <w:pPr>
              <w:pStyle w:val="NoSpacing"/>
              <w:ind w:firstLine="0"/>
              <w:rPr>
                <w:color w:val="auto"/>
                <w:lang w:val="en-GB" w:eastAsia="cs-CZ"/>
              </w:rPr>
            </w:pPr>
            <w:r w:rsidRPr="001D0ADC">
              <w:rPr>
                <w:color w:val="auto"/>
                <w:lang w:val="en-GB" w:eastAsia="cs-CZ"/>
              </w:rPr>
              <w:t>7.</w:t>
            </w:r>
            <w:r w:rsidR="00196808" w:rsidRPr="001D0ADC">
              <w:rPr>
                <w:color w:val="auto"/>
                <w:lang w:val="en-GB" w:eastAsia="cs-CZ"/>
              </w:rPr>
              <w:t>8</w:t>
            </w:r>
          </w:p>
        </w:tc>
        <w:tc>
          <w:tcPr>
            <w:tcW w:w="4520" w:type="dxa"/>
            <w:tcBorders>
              <w:top w:val="single" w:sz="4" w:space="0" w:color="auto"/>
              <w:left w:val="nil"/>
              <w:bottom w:val="single" w:sz="4" w:space="0" w:color="auto"/>
              <w:right w:val="single" w:sz="4" w:space="0" w:color="auto"/>
            </w:tcBorders>
            <w:shd w:val="clear" w:color="auto" w:fill="auto"/>
            <w:vAlign w:val="bottom"/>
          </w:tcPr>
          <w:p w14:paraId="6A28AA7B"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tcBorders>
              <w:left w:val="nil"/>
              <w:bottom w:val="single" w:sz="4" w:space="0" w:color="auto"/>
              <w:right w:val="single" w:sz="4" w:space="0" w:color="auto"/>
            </w:tcBorders>
          </w:tcPr>
          <w:p w14:paraId="352117B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197719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9ED8AD8" w14:textId="77777777" w:rsidR="00196808" w:rsidRPr="001D0ADC" w:rsidRDefault="00196808" w:rsidP="00196808">
            <w:pPr>
              <w:pStyle w:val="NoSpacing"/>
              <w:ind w:firstLine="0"/>
              <w:rPr>
                <w:color w:val="auto"/>
                <w:lang w:val="en-GB" w:eastAsia="cs-CZ"/>
              </w:rPr>
            </w:pPr>
          </w:p>
        </w:tc>
      </w:tr>
      <w:tr w:rsidR="001D0ADC" w:rsidRPr="001D0ADC" w14:paraId="0E4CAD9F" w14:textId="77777777" w:rsidTr="000C3BFB">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7DDDE10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40F1A98" w14:textId="7997525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27C0AAB" w14:textId="49529C07" w:rsidR="00196808" w:rsidRPr="001D0ADC" w:rsidRDefault="00196808" w:rsidP="00196808">
            <w:pPr>
              <w:pStyle w:val="NoSpacing"/>
              <w:ind w:firstLine="0"/>
              <w:rPr>
                <w:color w:val="auto"/>
                <w:lang w:val="en-GB" w:eastAsia="cs-CZ"/>
              </w:rPr>
            </w:pPr>
            <w:r w:rsidRPr="001D0ADC">
              <w:rPr>
                <w:color w:val="auto"/>
                <w:lang w:val="en-GB" w:eastAsia="cs-CZ"/>
              </w:rPr>
              <w:t>LOEC for CAT activity, NOEC for TBARS</w:t>
            </w:r>
          </w:p>
        </w:tc>
        <w:tc>
          <w:tcPr>
            <w:tcW w:w="2633" w:type="dxa"/>
            <w:vMerge w:val="restart"/>
            <w:tcBorders>
              <w:top w:val="single" w:sz="4" w:space="0" w:color="auto"/>
              <w:left w:val="nil"/>
              <w:right w:val="single" w:sz="4" w:space="0" w:color="auto"/>
            </w:tcBorders>
          </w:tcPr>
          <w:p w14:paraId="3BB2069B" w14:textId="78A66155" w:rsidR="00196808" w:rsidRPr="001D0ADC" w:rsidRDefault="00196808" w:rsidP="00196808">
            <w:pPr>
              <w:pStyle w:val="NoSpacing"/>
              <w:ind w:firstLine="0"/>
              <w:rPr>
                <w:color w:val="auto"/>
                <w:lang w:val="en-GB" w:eastAsia="cs-CZ"/>
              </w:rPr>
            </w:pPr>
            <w:r w:rsidRPr="001D0ADC">
              <w:rPr>
                <w:color w:val="auto"/>
                <w:lang w:val="en-GB" w:eastAsia="cs-CZ"/>
              </w:rPr>
              <w:t>ELS (ZF)(OECD236)</w:t>
            </w:r>
          </w:p>
        </w:tc>
        <w:tc>
          <w:tcPr>
            <w:tcW w:w="1967" w:type="dxa"/>
            <w:vMerge w:val="restart"/>
            <w:tcBorders>
              <w:top w:val="single" w:sz="4" w:space="0" w:color="auto"/>
              <w:left w:val="single" w:sz="4" w:space="0" w:color="auto"/>
              <w:right w:val="single" w:sz="4" w:space="0" w:color="auto"/>
            </w:tcBorders>
          </w:tcPr>
          <w:p w14:paraId="37B442E6" w14:textId="14984065"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9773C30" w14:textId="5F0B18B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{"citationID":"QqRboS4l","properties":{"formattedCitation":"(Bio and Nunes 2020)","plainCitation":"(Bio and Nunes 2020)","noteIndex":0},"citationItems":[{"id":1510,"uris":["http://zotero.org/users/11614927/items/X6ZWCMPI"],"itemData":{"id":1510,"type":"article-journal","abstract":"With the increasing awareness about the contamination of the aquatic environment by pharmaceuticals, there is a growing need to study their adverse eﬀects on aquatic organisms. Diclofenac is a non-steroidal anti-inﬂammatory drug (NSAID), whose wide use contributes for its presence in freshwater ecosystems, increasing the probability of causing deleterious changes in aquatic biota. This study evaluated possible oxidative stress eﬀects in Danio rerio embryos and larvae when exposed to a range of ecologically relevant concentrations of diclofenac. It was possible to conclude that diclofenac caused a scenario of oxidative stress, since all tested toxicological parameters were responsive to the drug. In general, diclofenac caused not only signiﬁcant anti-oxidant adaptive responses for most levels of exposure, but also peroxidative damage. This work evidenced the responsiveness of D. rerio towards diclofenac in environmentally relevant concentrations, which shows that these organisms might face a scenario of oxidative stress in their natural habitat.","container-title":"Environmental Toxicology and Pharmacology","DOI":"10.1016/j.etap.2020.103394","ISSN":"13826689","journalAbbreviation":"Environmental Toxicology and Pharmacology","language":"en","page":"103394","source":"DOI.org (Crossref)","title":"Acute effects of diclofenac on zebrafish: Indications of oxidative effects and damages at environmentally realistic levels of exposure","title-short":"Acute effects of diclofenac on zebrafish","volume":"78","author":[{"family":"Bio","given":"Sofia"},{"family":"Nunes","given":"Bruno"}],"issued":{"date-parts":[["2020",8]]}}}],"schema":"https://github.com/citation-style-language/schema/raw/master/csl-citation.json"}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(Bio and Nunes 2020)</w:t>
            </w:r>
            <w:r w:rsidRPr="001D0ADC">
              <w:rPr>
                <w:color w:val="auto"/>
                <w:lang w:val="en-GB" w:eastAsia="cs-CZ"/>
              </w:rPr>
              <w:fldChar w:fldCharType="end"/>
            </w:r>
          </w:p>
        </w:tc>
      </w:tr>
      <w:tr w:rsidR="001D0ADC" w:rsidRPr="001D0ADC" w14:paraId="11A867D9" w14:textId="77777777" w:rsidTr="000C3BFB">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146F7B2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3D4FB96" w14:textId="52729DC6"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CC47099" w14:textId="54C4A4F0" w:rsidR="00196808" w:rsidRPr="001D0ADC" w:rsidRDefault="00196808" w:rsidP="00196808">
            <w:pPr>
              <w:pStyle w:val="NoSpacing"/>
              <w:ind w:firstLine="0"/>
              <w:rPr>
                <w:color w:val="auto"/>
                <w:lang w:val="en-GB" w:eastAsia="cs-CZ"/>
              </w:rPr>
            </w:pPr>
            <w:r w:rsidRPr="001D0ADC">
              <w:rPr>
                <w:color w:val="auto"/>
                <w:lang w:val="en-GB" w:eastAsia="cs-CZ"/>
              </w:rPr>
              <w:t>LOEC for GPx activity</w:t>
            </w:r>
          </w:p>
        </w:tc>
        <w:tc>
          <w:tcPr>
            <w:tcW w:w="2633" w:type="dxa"/>
            <w:vMerge/>
            <w:tcBorders>
              <w:left w:val="nil"/>
              <w:right w:val="single" w:sz="4" w:space="0" w:color="auto"/>
            </w:tcBorders>
          </w:tcPr>
          <w:p w14:paraId="472085E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45BD02F2"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7F26E191" w14:textId="77777777" w:rsidR="00196808" w:rsidRPr="001D0ADC" w:rsidRDefault="00196808" w:rsidP="00196808">
            <w:pPr>
              <w:pStyle w:val="NoSpacing"/>
              <w:ind w:firstLine="0"/>
              <w:rPr>
                <w:color w:val="auto"/>
                <w:lang w:val="en-GB" w:eastAsia="cs-CZ"/>
              </w:rPr>
            </w:pPr>
          </w:p>
        </w:tc>
      </w:tr>
      <w:tr w:rsidR="001D0ADC" w:rsidRPr="001D0ADC" w14:paraId="7F3AA478" w14:textId="77777777" w:rsidTr="000C3BFB">
        <w:trPr>
          <w:gridAfter w:val="4"/>
          <w:wAfter w:w="9200" w:type="dxa"/>
          <w:trHeight w:val="100"/>
        </w:trPr>
        <w:tc>
          <w:tcPr>
            <w:tcW w:w="760" w:type="dxa"/>
            <w:vMerge/>
            <w:tcBorders>
              <w:left w:val="single" w:sz="4" w:space="0" w:color="auto"/>
              <w:right w:val="single" w:sz="4" w:space="0" w:color="auto"/>
            </w:tcBorders>
            <w:shd w:val="clear" w:color="auto" w:fill="auto"/>
            <w:noWrap/>
            <w:vAlign w:val="bottom"/>
          </w:tcPr>
          <w:p w14:paraId="04A4A02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AA124CE" w14:textId="490CAD09"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30DB97E" w14:textId="259EC23E" w:rsidR="00196808" w:rsidRPr="001D0ADC" w:rsidRDefault="00196808" w:rsidP="00196808">
            <w:pPr>
              <w:pStyle w:val="NoSpacing"/>
              <w:ind w:firstLine="0"/>
              <w:rPr>
                <w:color w:val="auto"/>
                <w:lang w:val="en-GB" w:eastAsia="cs-CZ"/>
              </w:rPr>
            </w:pPr>
            <w:r w:rsidRPr="001D0ADC">
              <w:rPr>
                <w:color w:val="auto"/>
                <w:lang w:val="en-GB" w:eastAsia="cs-CZ"/>
              </w:rPr>
              <w:t>LOEC for GST activity</w:t>
            </w:r>
          </w:p>
        </w:tc>
        <w:tc>
          <w:tcPr>
            <w:tcW w:w="2633" w:type="dxa"/>
            <w:vMerge/>
            <w:tcBorders>
              <w:left w:val="nil"/>
              <w:bottom w:val="single" w:sz="4" w:space="0" w:color="auto"/>
              <w:right w:val="single" w:sz="4" w:space="0" w:color="auto"/>
            </w:tcBorders>
          </w:tcPr>
          <w:p w14:paraId="5091FBA0"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B6F15B3"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FA02F12" w14:textId="77777777" w:rsidR="00196808" w:rsidRPr="001D0ADC" w:rsidRDefault="00196808" w:rsidP="00196808">
            <w:pPr>
              <w:pStyle w:val="NoSpacing"/>
              <w:ind w:firstLine="0"/>
              <w:rPr>
                <w:color w:val="auto"/>
                <w:lang w:val="en-GB" w:eastAsia="cs-CZ"/>
              </w:rPr>
            </w:pPr>
          </w:p>
        </w:tc>
      </w:tr>
      <w:tr w:rsidR="001D0ADC" w:rsidRPr="001D0ADC" w14:paraId="39212DFC" w14:textId="77777777" w:rsidTr="00AB5B75">
        <w:trPr>
          <w:gridAfter w:val="4"/>
          <w:wAfter w:w="9200" w:type="dxa"/>
          <w:trHeight w:val="425"/>
        </w:trPr>
        <w:tc>
          <w:tcPr>
            <w:tcW w:w="760" w:type="dxa"/>
            <w:vMerge/>
            <w:tcBorders>
              <w:left w:val="single" w:sz="4" w:space="0" w:color="auto"/>
              <w:right w:val="single" w:sz="4" w:space="0" w:color="auto"/>
            </w:tcBorders>
            <w:shd w:val="clear" w:color="auto" w:fill="auto"/>
            <w:noWrap/>
            <w:vAlign w:val="bottom"/>
          </w:tcPr>
          <w:p w14:paraId="2EAD585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B240369" w14:textId="21F0E0E8"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3FA3B740" w14:textId="23859AA8" w:rsidR="00196808" w:rsidRPr="001D0ADC" w:rsidRDefault="00196808" w:rsidP="00196808">
            <w:pPr>
              <w:pStyle w:val="NoSpacing"/>
              <w:ind w:firstLine="0"/>
              <w:rPr>
                <w:color w:val="auto"/>
                <w:lang w:val="en-GB" w:eastAsia="cs-CZ"/>
              </w:rPr>
            </w:pPr>
            <w:r w:rsidRPr="001D0ADC">
              <w:rPr>
                <w:color w:val="auto"/>
                <w:lang w:val="en-GB" w:eastAsia="cs-CZ"/>
              </w:rPr>
              <w:t>LC2</w:t>
            </w:r>
            <w:r w:rsidR="00CF2036" w:rsidRPr="001D0ADC">
              <w:rPr>
                <w:color w:val="auto"/>
                <w:lang w:val="en-GB" w:eastAsia="cs-CZ"/>
              </w:rPr>
              <w:t>6.7.</w:t>
            </w:r>
            <w:r w:rsidRPr="001D0ADC">
              <w:rPr>
                <w:color w:val="auto"/>
                <w:lang w:val="en-GB" w:eastAsia="cs-CZ"/>
              </w:rPr>
              <w:t xml:space="preserve"> LOEC for malformations, gene expression</w:t>
            </w:r>
          </w:p>
        </w:tc>
        <w:tc>
          <w:tcPr>
            <w:tcW w:w="2633" w:type="dxa"/>
            <w:vMerge w:val="restart"/>
            <w:tcBorders>
              <w:top w:val="single" w:sz="4" w:space="0" w:color="auto"/>
              <w:left w:val="nil"/>
              <w:right w:val="single" w:sz="4" w:space="0" w:color="auto"/>
            </w:tcBorders>
          </w:tcPr>
          <w:p w14:paraId="06B9DF81" w14:textId="7CDAFA61"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23C015C2" w14:textId="6B7BEE21"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B0F684E" w14:textId="21A5874A"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{"citationID":"a1q7u3tnbl2","properties":{"formattedCitation":"(J.-B. Chen et al. 2014)","plainCitation":"(J.-B. Chen et al. 2014)","noteIndex":0},"citationItems":[{"id":1540,"uris":["http://zotero.org/users/11614927/items/LYRKQH9C"],"itemData":{"id":1540,"type":"article-journal","container-title":"Scientific Reports","DOI":"10.1038/srep04841","ISSN":"2045-2322","issue":"1","journalAbbreviation":"Sci Rep","language":"en","page":"4841","source":"DOI.org (Crossref)","title":"Developmental Toxicity of Diclofenac and Elucidation of Gene Regulation in zebrafish (Danio rerio)","volume":"4","author":[{"family":"Chen","given":"Jia-Bin"},{"family":"Gao","given":"Hong-Wen"},{"family":"Zhang","given":"Ya-Lei"},{"family":"Zhang","given":"Yong"},{"family":"Zhou","given":"Xue-Fei"},{"family":"Li","given":"Chun-Qi"},{"family":"Gao","given":"Hai-Ping"}],"issued":{"date-parts":[["2014",5,2]]}}}],"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(J.-B. Chen et al. 2014)</w:t>
            </w:r>
            <w:r w:rsidRPr="001D0ADC">
              <w:rPr>
                <w:color w:val="auto"/>
                <w:lang w:val="en-GB" w:eastAsia="cs-CZ"/>
              </w:rPr>
              <w:fldChar w:fldCharType="end"/>
            </w:r>
          </w:p>
        </w:tc>
      </w:tr>
      <w:tr w:rsidR="001D0ADC" w:rsidRPr="001D0ADC" w14:paraId="1AA4938C"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CEF4CB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35FF647" w14:textId="5DE2F61E" w:rsidR="00196808" w:rsidRPr="001D0ADC" w:rsidRDefault="00196808" w:rsidP="00196808">
            <w:pPr>
              <w:pStyle w:val="NoSpacing"/>
              <w:ind w:firstLine="0"/>
              <w:rPr>
                <w:color w:val="auto"/>
                <w:lang w:val="en-GB" w:eastAsia="cs-CZ"/>
              </w:rPr>
            </w:pPr>
            <w:r w:rsidRPr="001D0ADC">
              <w:rPr>
                <w:color w:val="auto"/>
                <w:lang w:val="en-GB" w:eastAsia="cs-CZ"/>
              </w:rPr>
              <w:t>3</w:t>
            </w:r>
          </w:p>
        </w:tc>
        <w:tc>
          <w:tcPr>
            <w:tcW w:w="4520" w:type="dxa"/>
            <w:tcBorders>
              <w:top w:val="single" w:sz="4" w:space="0" w:color="auto"/>
              <w:left w:val="nil"/>
              <w:bottom w:val="single" w:sz="4" w:space="0" w:color="auto"/>
              <w:right w:val="single" w:sz="4" w:space="0" w:color="auto"/>
            </w:tcBorders>
            <w:shd w:val="clear" w:color="auto" w:fill="auto"/>
            <w:vAlign w:val="bottom"/>
          </w:tcPr>
          <w:p w14:paraId="4377F927" w14:textId="7585877D" w:rsidR="00196808" w:rsidRPr="001D0ADC" w:rsidRDefault="00196808" w:rsidP="00196808">
            <w:pPr>
              <w:pStyle w:val="NoSpacing"/>
              <w:ind w:firstLine="0"/>
              <w:rPr>
                <w:color w:val="auto"/>
                <w:lang w:val="en-GB" w:eastAsia="cs-CZ"/>
              </w:rPr>
            </w:pPr>
            <w:r w:rsidRPr="001D0ADC">
              <w:rPr>
                <w:color w:val="auto"/>
                <w:lang w:val="en-GB" w:eastAsia="cs-CZ"/>
              </w:rPr>
              <w:t>LC100</w:t>
            </w:r>
          </w:p>
        </w:tc>
        <w:tc>
          <w:tcPr>
            <w:tcW w:w="2633" w:type="dxa"/>
            <w:vMerge/>
            <w:tcBorders>
              <w:left w:val="nil"/>
              <w:bottom w:val="single" w:sz="4" w:space="0" w:color="auto"/>
              <w:right w:val="single" w:sz="4" w:space="0" w:color="auto"/>
            </w:tcBorders>
          </w:tcPr>
          <w:p w14:paraId="6C9E34A4"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C5671D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B5AEF8B" w14:textId="77777777" w:rsidR="00196808" w:rsidRPr="001D0ADC" w:rsidRDefault="00196808" w:rsidP="00196808">
            <w:pPr>
              <w:pStyle w:val="NoSpacing"/>
              <w:ind w:firstLine="0"/>
              <w:rPr>
                <w:color w:val="auto"/>
                <w:lang w:val="en-GB" w:eastAsia="cs-CZ"/>
              </w:rPr>
            </w:pPr>
          </w:p>
        </w:tc>
      </w:tr>
      <w:tr w:rsidR="001D0ADC" w:rsidRPr="001D0ADC" w14:paraId="67F4FCE7"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68ADF4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8A3913C" w14:textId="64A0A54D" w:rsidR="00196808" w:rsidRPr="001D0ADC" w:rsidRDefault="00CF2036" w:rsidP="00196808">
            <w:pPr>
              <w:pStyle w:val="NoSpacing"/>
              <w:ind w:firstLine="0"/>
              <w:rPr>
                <w:color w:val="auto"/>
                <w:lang w:val="en-GB" w:eastAsia="cs-CZ"/>
              </w:rPr>
            </w:pPr>
            <w:r w:rsidRPr="001D0ADC">
              <w:rPr>
                <w:color w:val="auto"/>
                <w:lang w:val="en-GB" w:eastAsia="cs-CZ"/>
              </w:rPr>
              <w:t>3.</w:t>
            </w:r>
            <w:r w:rsidR="00196808" w:rsidRPr="001D0ADC">
              <w:rPr>
                <w:color w:val="auto"/>
                <w:lang w:val="en-GB" w:eastAsia="cs-CZ"/>
              </w:rPr>
              <w:t>08</w:t>
            </w:r>
          </w:p>
        </w:tc>
        <w:tc>
          <w:tcPr>
            <w:tcW w:w="4520" w:type="dxa"/>
            <w:tcBorders>
              <w:top w:val="single" w:sz="4" w:space="0" w:color="auto"/>
              <w:left w:val="nil"/>
              <w:bottom w:val="single" w:sz="4" w:space="0" w:color="auto"/>
              <w:right w:val="single" w:sz="4" w:space="0" w:color="auto"/>
            </w:tcBorders>
            <w:shd w:val="clear" w:color="auto" w:fill="auto"/>
            <w:vAlign w:val="bottom"/>
          </w:tcPr>
          <w:p w14:paraId="460795B8" w14:textId="7991032D" w:rsidR="00196808" w:rsidRPr="001D0ADC" w:rsidRDefault="00196808" w:rsidP="00196808">
            <w:pPr>
              <w:pStyle w:val="NoSpacing"/>
              <w:ind w:firstLine="0"/>
              <w:rPr>
                <w:color w:val="auto"/>
                <w:lang w:val="en-GB" w:eastAsia="cs-CZ"/>
              </w:rPr>
            </w:pPr>
            <w:r w:rsidRPr="001D0ADC">
              <w:rPr>
                <w:color w:val="auto"/>
                <w:lang w:val="en-GB" w:eastAsia="cs-CZ"/>
              </w:rPr>
              <w:t>NOEC for GSI, HIS, sperm concentration, and Vtg gene expr.; LOEC for hepatocyte histology, plasma steroid concentration</w:t>
            </w:r>
          </w:p>
        </w:tc>
        <w:tc>
          <w:tcPr>
            <w:tcW w:w="2633" w:type="dxa"/>
            <w:tcBorders>
              <w:top w:val="single" w:sz="4" w:space="0" w:color="auto"/>
              <w:left w:val="nil"/>
              <w:bottom w:val="single" w:sz="4" w:space="0" w:color="auto"/>
              <w:right w:val="single" w:sz="4" w:space="0" w:color="auto"/>
            </w:tcBorders>
          </w:tcPr>
          <w:p w14:paraId="2C079567" w14:textId="4A8D1675" w:rsidR="00196808" w:rsidRPr="001D0ADC" w:rsidRDefault="00196808" w:rsidP="00196808">
            <w:pPr>
              <w:pStyle w:val="NoSpacing"/>
              <w:ind w:firstLine="0"/>
              <w:rPr>
                <w:color w:val="auto"/>
                <w:lang w:val="en-GB" w:eastAsia="cs-CZ"/>
              </w:rPr>
            </w:pPr>
            <w:r w:rsidRPr="001D0ADC">
              <w:rPr>
                <w:color w:val="auto"/>
                <w:lang w:val="en-GB" w:eastAsia="cs-CZ"/>
              </w:rPr>
              <w:t>Acute (AsA)</w:t>
            </w:r>
          </w:p>
        </w:tc>
        <w:tc>
          <w:tcPr>
            <w:tcW w:w="1967" w:type="dxa"/>
            <w:tcBorders>
              <w:top w:val="single" w:sz="4" w:space="0" w:color="auto"/>
              <w:left w:val="single" w:sz="4" w:space="0" w:color="auto"/>
              <w:bottom w:val="single" w:sz="4" w:space="0" w:color="auto"/>
              <w:right w:val="single" w:sz="4" w:space="0" w:color="auto"/>
            </w:tcBorders>
          </w:tcPr>
          <w:p w14:paraId="39FB56ED" w14:textId="21A3618B"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A429903" w14:textId="0A109B8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{"citationID":"bUc4HFwT","properties":{"formattedCitation":"(Godoi et al. 2020)","plainCitation":"(Godoi et al. 2020)","noteIndex":0},"citationItems":[{"id":1926,"uris":["http://zotero.org/users/11614927/items/JWSUN2SZ"],"itemData":{"id":1926,"type":"article-journal","abstract":"Diclofenac (DCF) and caﬀeine (CAF) are persistent pharmaceuticals that occur in mixtures in the aquatic ecosystems causing eﬀects in the reproductive physiology of aquatic organisms. This study evaluated the physiological reproductive responses of Astyanax altiparanae males exposed to nominal concentrations of DCF (3.08 mg L−1) and CAF (9.59 mg L−1) separately and combined, for 96 h. The steroids proﬁle, estrogenic biomarker vitellogenin (vtgA), testes and liver morphology, and also mortality of males were assessed. DCF and CAF degradation was 5% of the initial concentration for 24 h. The LC50 of the DCF and CAF were 30.8 mg L−1 and 95.9 mg L−1, respectively. Males exposed to DCF and CAF exhibited a reduction of 17β-Estradiol (E2) concentration compared to control (CTL). Similarly, testosterone (T) was also reduced in the DCF treatment, but this response was not observed in 11-Ketotestosterone (11-KT). Males exposed to DCF + CAF combined did not exhibit diﬀerences in T, E2 and 11-KT steroids. The vtgA gene expression and the sperm concentration did not change among the treatments. Moreover, acute exposure revealed a hypertrophy of hepatocytes cells in the DCF and DCF + CAF treatments. In conclusion, DCF and CAF, isolated, exhibit an endocrine disruptive activity in A. altiparanae male, an opposite response observed with the mixture of both compounds that abolishes the endocrine disruptive eﬀects. DCF seems to be more toxic for this species, altering also hepatocytes morphology.","container-title":"Comparative Biochemistry and Physiology Part C: Toxicology &amp; Pharmacology","DOI":"10.1016/j.cbpc.2020.108720","ISSN":"15320456","journalAbbreviation":"Comparative Biochemistry and Physiology Part C: Toxicology &amp; Pharmacology","language":"en","page":"108720","source":"DOI.org (Crossref)","title":"Endocrine disruptive action of diclofenac and caffeine on Astyanax altiparanae males (Teleostei: Characiformes: Characidae)","title-short":"Endocrine disruptive action of diclofenac and caffeine on Astyanax altiparanae males (Teleostei","volume":"231","author":[{"family":"Godoi","given":"Filipe G.A."},{"family":"Muñoz-Peñuela","given":"Marcela"},{"family":"Gomes","given":"Aline D. Olio"},{"family":"Tolussi","given":"Carlos E."},{"family":"Brambila-Souza","given":"Gabriela"},{"family":"Branco","given":"Giovana S."},{"family":"Lo Nostro","given":"Fabiana L."},{"family":"Moreira","given":"Renata G."}],"issued":{"date-parts":[["2020",5]]}}}],"schema":"https://github.com/citation-style-language/schema/raw/master/csl-citation.json"}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(Godoi et al. 2020)</w:t>
            </w:r>
            <w:r w:rsidRPr="001D0ADC">
              <w:rPr>
                <w:color w:val="auto"/>
                <w:lang w:val="en-GB" w:eastAsia="cs-CZ"/>
              </w:rPr>
              <w:fldChar w:fldCharType="end"/>
            </w:r>
          </w:p>
        </w:tc>
      </w:tr>
      <w:tr w:rsidR="001D0ADC" w:rsidRPr="001D0ADC" w14:paraId="33FCCBE6" w14:textId="77777777" w:rsidTr="00AB5B75">
        <w:trPr>
          <w:gridAfter w:val="4"/>
          <w:wAfter w:w="9200" w:type="dxa"/>
          <w:trHeight w:val="278"/>
        </w:trPr>
        <w:tc>
          <w:tcPr>
            <w:tcW w:w="760" w:type="dxa"/>
            <w:vMerge/>
            <w:tcBorders>
              <w:left w:val="single" w:sz="4" w:space="0" w:color="auto"/>
              <w:right w:val="single" w:sz="4" w:space="0" w:color="auto"/>
            </w:tcBorders>
            <w:shd w:val="clear" w:color="auto" w:fill="auto"/>
            <w:noWrap/>
            <w:vAlign w:val="bottom"/>
          </w:tcPr>
          <w:p w14:paraId="10DF1467" w14:textId="77777777" w:rsidR="00196808" w:rsidRPr="001D0ADC" w:rsidRDefault="00196808" w:rsidP="00196808">
            <w:pPr>
              <w:pStyle w:val="NoSpacing"/>
              <w:ind w:firstLine="0"/>
              <w:rPr>
                <w:color w:val="auto"/>
                <w:lang w:val="en-GB" w:eastAsia="cs-CZ"/>
              </w:rPr>
            </w:pPr>
          </w:p>
        </w:tc>
        <w:tc>
          <w:tcPr>
            <w:tcW w:w="1702" w:type="dxa"/>
            <w:vMerge w:val="restart"/>
            <w:tcBorders>
              <w:top w:val="single" w:sz="4" w:space="0" w:color="auto"/>
              <w:left w:val="nil"/>
              <w:right w:val="single" w:sz="4" w:space="0" w:color="auto"/>
            </w:tcBorders>
            <w:shd w:val="clear" w:color="auto" w:fill="auto"/>
            <w:noWrap/>
            <w:vAlign w:val="center"/>
          </w:tcPr>
          <w:p w14:paraId="591E7F3F" w14:textId="4E0D6349" w:rsidR="00196808" w:rsidRPr="001D0ADC" w:rsidRDefault="00CF2036" w:rsidP="00196808">
            <w:pPr>
              <w:pStyle w:val="NoSpacing"/>
              <w:ind w:firstLine="0"/>
              <w:rPr>
                <w:color w:val="auto"/>
                <w:lang w:val="en-GB" w:eastAsia="cs-CZ"/>
              </w:rPr>
            </w:pPr>
            <w:r w:rsidRPr="001D0ADC">
              <w:rPr>
                <w:color w:val="auto"/>
                <w:lang w:val="en-GB" w:eastAsia="cs-CZ"/>
              </w:rPr>
              <w:t>3.</w:t>
            </w:r>
            <w:r w:rsidR="00196808" w:rsidRPr="001D0ADC">
              <w:rPr>
                <w:color w:val="auto"/>
                <w:lang w:val="en-GB" w:eastAsia="cs-CZ"/>
              </w:rPr>
              <w:t>08</w:t>
            </w:r>
          </w:p>
        </w:tc>
        <w:tc>
          <w:tcPr>
            <w:tcW w:w="4520" w:type="dxa"/>
            <w:tcBorders>
              <w:top w:val="single" w:sz="4" w:space="0" w:color="auto"/>
              <w:left w:val="nil"/>
              <w:bottom w:val="single" w:sz="4" w:space="0" w:color="auto"/>
              <w:right w:val="single" w:sz="4" w:space="0" w:color="auto"/>
            </w:tcBorders>
            <w:shd w:val="clear" w:color="auto" w:fill="auto"/>
            <w:vAlign w:val="bottom"/>
          </w:tcPr>
          <w:p w14:paraId="020466D6" w14:textId="1DAC1B02" w:rsidR="00196808" w:rsidRPr="001D0ADC" w:rsidRDefault="00196808" w:rsidP="00196808">
            <w:pPr>
              <w:pStyle w:val="NoSpacing"/>
              <w:ind w:firstLine="0"/>
              <w:rPr>
                <w:color w:val="auto"/>
                <w:lang w:val="en-GB" w:eastAsia="cs-CZ"/>
              </w:rPr>
            </w:pPr>
            <w:r w:rsidRPr="001D0ADC">
              <w:rPr>
                <w:color w:val="auto"/>
                <w:lang w:val="en-GB" w:eastAsia="cs-CZ"/>
              </w:rPr>
              <w:t>NOEC for CAT, GST, and LPO in liver; SOD, GPx, CAT, and GST in gill, AChE in brain and muscle, comet assay</w:t>
            </w:r>
          </w:p>
        </w:tc>
        <w:tc>
          <w:tcPr>
            <w:tcW w:w="2633" w:type="dxa"/>
            <w:vMerge w:val="restart"/>
            <w:tcBorders>
              <w:top w:val="single" w:sz="4" w:space="0" w:color="auto"/>
              <w:left w:val="nil"/>
              <w:right w:val="single" w:sz="4" w:space="0" w:color="auto"/>
            </w:tcBorders>
          </w:tcPr>
          <w:p w14:paraId="7DE9D623" w14:textId="076781B2" w:rsidR="00196808" w:rsidRPr="001D0ADC" w:rsidRDefault="00196808" w:rsidP="00196808">
            <w:pPr>
              <w:pStyle w:val="NoSpacing"/>
              <w:ind w:firstLine="0"/>
              <w:rPr>
                <w:color w:val="auto"/>
                <w:lang w:val="en-GB" w:eastAsia="cs-CZ"/>
              </w:rPr>
            </w:pPr>
            <w:r w:rsidRPr="001D0ADC">
              <w:rPr>
                <w:color w:val="auto"/>
                <w:lang w:val="en-GB" w:eastAsia="cs-CZ"/>
              </w:rPr>
              <w:t>Acute (AsA)</w:t>
            </w:r>
          </w:p>
        </w:tc>
        <w:tc>
          <w:tcPr>
            <w:tcW w:w="1967" w:type="dxa"/>
            <w:vMerge w:val="restart"/>
            <w:tcBorders>
              <w:top w:val="single" w:sz="4" w:space="0" w:color="auto"/>
              <w:left w:val="single" w:sz="4" w:space="0" w:color="auto"/>
              <w:right w:val="single" w:sz="4" w:space="0" w:color="auto"/>
            </w:tcBorders>
          </w:tcPr>
          <w:p w14:paraId="0EC8F7FA" w14:textId="28E7318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EDDF495" w14:textId="2756478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{"citationID":"a2fjt70ndgt","properties":{"formattedCitation":"(Mu\\uc0\\u241{}oz-Pe\\uc0\\u241{}uela et al. 2021)","plainCitation":"(Muñoz-Peñuela et al. 2021)","noteIndex":0},"citationItems":[{"id":1499,"uris":["http://zotero.org/users/11614927/items/8R8WGTCR"],"itemData":{"id":1499,"type":"article-journal","abstract":"Although concentrations of pharmaceutical compounds in aquatic ecosystems are low, they can cause toxic effects on organisms. The aim of this study was to evaluate the effects of diclofenac (DCF), a non-steroidal antiinflammatory drug, and caffeine (CAF), a central nervous system stimulant, both alone or combined, in Astyanax altiparanae males under acute exposure (96 h), measuring neurotoxicity biomarkers, antioxidant response and damage at biochemical and cellular levels. DCF concentration in water, separated and combined, was 3.08 mg L−1 and that of CAF was 9.59 mg L−1. To assess neurotoxicity, brain and muscle acetylcholinesterase (AChE) activities were measured. To evaluate oxidative stress, the enzymatic activities of superoxide dismutase (SOD), glutathione peroxidase (GPx), catalase (CAT) and glutathione S-transferase (GST), as well as lipoperoxidation (LPO), were analyzed in liver and gills. Activity of hepatic cyclooxygenase (COX) was also evaluated. Genotoxicity was assessed in blood using comet assay and micronucleus test, as well as nuclear abnormalities. DCF and CAF, alone or combined, had neither effect on AChE activity, nor in the activity of SOD, CAT, GPx and GST in gills. In liver, DCF inhibited SOD and GPx activity, CAF inhibited CAT activity, the mixture inhibited SOD and GST activity; although only fish exposed to CAF showed increased hepatic LPO. Under these experimental conditions, no effect on COX activity was observed, nor cytotoxic and genotoxic damage. The most pronounced effects were caused by the drugs separately, since both compounds altered the enzymes, but only CAF triggered LPO, showing more harmful effects.","container-title":"Comparative Biochemistry and Physiology Part C: Toxicology &amp; Pharmacology","DOI":"10.1016/j.cbpc.2020.108910","ISSN":"15320456","journalAbbreviation":"Comparative Biochemistry and Physiology Part C: Toxicology &amp; Pharmacology","language":"en","page":"108910","source":"DOI.org (Crossref)","title":"Diclofenac and caffeine inhibit hepatic antioxidant enzymes in the freshwater fish Astyanax altiparanae (Teleostei: Characiformes)","title-short":"Diclofenac and caffeine inhibit hepatic antioxidant enzymes in the freshwater fish Astyanax altiparanae (Teleostei","volume":"240","author":[{"family":"Muñoz-Peñuela","given":"Marcela"},{"family":"Lo Nostro","given":"Fabiana Laura"},{"family":"Dal'Olio Gomes","given":"Aline"},{"family":"Tolussi","given":"Carlos Eduardo"},{"family":"Branco","given":"Giovana Souza"},{"family":"Pinheiro","given":"João Paulo Silva"},{"family":"Godoi","given":"Filipe Guilherme Andrade De"},{"family":"Moreira","given":"Renata Guimarães"}],"issued":{"date-parts":[["2021",2]]}}}],"schema":"https://github.com/citation-style-language/schema/raw/master/csl-citation.json"}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(Muñoz-Peñuela et al. 2021)</w:t>
            </w:r>
            <w:r w:rsidRPr="001D0ADC">
              <w:rPr>
                <w:color w:val="auto"/>
                <w:lang w:val="en-GB" w:eastAsia="cs-CZ"/>
              </w:rPr>
              <w:fldChar w:fldCharType="end"/>
            </w:r>
          </w:p>
        </w:tc>
      </w:tr>
      <w:tr w:rsidR="001D0ADC" w:rsidRPr="001D0ADC" w14:paraId="287A800E" w14:textId="77777777" w:rsidTr="00AB5B75">
        <w:trPr>
          <w:gridAfter w:val="4"/>
          <w:wAfter w:w="9200" w:type="dxa"/>
          <w:trHeight w:val="277"/>
        </w:trPr>
        <w:tc>
          <w:tcPr>
            <w:tcW w:w="760" w:type="dxa"/>
            <w:vMerge/>
            <w:tcBorders>
              <w:left w:val="single" w:sz="4" w:space="0" w:color="auto"/>
              <w:right w:val="single" w:sz="4" w:space="0" w:color="auto"/>
            </w:tcBorders>
            <w:shd w:val="clear" w:color="auto" w:fill="auto"/>
            <w:noWrap/>
            <w:vAlign w:val="bottom"/>
          </w:tcPr>
          <w:p w14:paraId="74489A46" w14:textId="77777777" w:rsidR="00196808" w:rsidRPr="001D0ADC" w:rsidRDefault="00196808" w:rsidP="00196808">
            <w:pPr>
              <w:pStyle w:val="NoSpacing"/>
              <w:ind w:firstLine="0"/>
              <w:rPr>
                <w:color w:val="auto"/>
                <w:lang w:val="en-GB" w:eastAsia="cs-CZ"/>
              </w:rPr>
            </w:pPr>
          </w:p>
        </w:tc>
        <w:tc>
          <w:tcPr>
            <w:tcW w:w="1702" w:type="dxa"/>
            <w:vMerge/>
            <w:tcBorders>
              <w:left w:val="nil"/>
              <w:bottom w:val="single" w:sz="4" w:space="0" w:color="auto"/>
              <w:right w:val="single" w:sz="4" w:space="0" w:color="auto"/>
            </w:tcBorders>
            <w:shd w:val="clear" w:color="auto" w:fill="auto"/>
            <w:noWrap/>
            <w:vAlign w:val="center"/>
          </w:tcPr>
          <w:p w14:paraId="2053757B"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3CCEA183" w14:textId="5ECDD846" w:rsidR="00196808" w:rsidRPr="001D0ADC" w:rsidRDefault="00196808" w:rsidP="00196808">
            <w:pPr>
              <w:pStyle w:val="NoSpacing"/>
              <w:ind w:firstLine="0"/>
              <w:rPr>
                <w:color w:val="auto"/>
                <w:lang w:val="en-GB" w:eastAsia="cs-CZ"/>
              </w:rPr>
            </w:pPr>
            <w:r w:rsidRPr="001D0ADC">
              <w:rPr>
                <w:color w:val="auto"/>
                <w:lang w:val="en-GB" w:eastAsia="cs-CZ"/>
              </w:rPr>
              <w:t>LOEC for SOD and GPx in liver, LPO in liver</w:t>
            </w:r>
          </w:p>
        </w:tc>
        <w:tc>
          <w:tcPr>
            <w:tcW w:w="2633" w:type="dxa"/>
            <w:vMerge/>
            <w:tcBorders>
              <w:left w:val="nil"/>
              <w:bottom w:val="single" w:sz="4" w:space="0" w:color="auto"/>
              <w:right w:val="single" w:sz="4" w:space="0" w:color="auto"/>
            </w:tcBorders>
          </w:tcPr>
          <w:p w14:paraId="5E16F06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111D379"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3EA8EF1" w14:textId="77777777" w:rsidR="00196808" w:rsidRPr="001D0ADC" w:rsidRDefault="00196808" w:rsidP="00196808">
            <w:pPr>
              <w:pStyle w:val="NoSpacing"/>
              <w:ind w:firstLine="0"/>
              <w:rPr>
                <w:color w:val="auto"/>
                <w:lang w:val="en-GB" w:eastAsia="cs-CZ"/>
              </w:rPr>
            </w:pPr>
          </w:p>
        </w:tc>
      </w:tr>
      <w:tr w:rsidR="001D0ADC" w:rsidRPr="001D0ADC" w14:paraId="7656CCDA"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9F5B05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17B3827" w14:textId="55D9EFF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F25E045" w14:textId="0BAC834E" w:rsidR="00196808" w:rsidRPr="001D0ADC" w:rsidRDefault="00196808" w:rsidP="00196808">
            <w:pPr>
              <w:pStyle w:val="NoSpacing"/>
              <w:ind w:firstLine="0"/>
              <w:rPr>
                <w:color w:val="auto"/>
                <w:lang w:val="en-GB" w:eastAsia="cs-CZ"/>
              </w:rPr>
            </w:pPr>
            <w:r w:rsidRPr="001D0ADC">
              <w:rPr>
                <w:color w:val="auto"/>
                <w:lang w:val="en-GB" w:eastAsia="cs-CZ"/>
              </w:rPr>
              <w:t>LOEC for gene expression and enzyme activity in liver</w:t>
            </w:r>
          </w:p>
        </w:tc>
        <w:tc>
          <w:tcPr>
            <w:tcW w:w="2633" w:type="dxa"/>
            <w:tcBorders>
              <w:top w:val="single" w:sz="4" w:space="0" w:color="auto"/>
              <w:left w:val="nil"/>
              <w:bottom w:val="single" w:sz="4" w:space="0" w:color="auto"/>
              <w:right w:val="single" w:sz="4" w:space="0" w:color="auto"/>
            </w:tcBorders>
          </w:tcPr>
          <w:p w14:paraId="1B19A870" w14:textId="1385A79A" w:rsidR="00196808" w:rsidRPr="001D0ADC" w:rsidRDefault="00196808" w:rsidP="00196808">
            <w:pPr>
              <w:pStyle w:val="NoSpacing"/>
              <w:ind w:firstLine="0"/>
              <w:rPr>
                <w:color w:val="auto"/>
                <w:lang w:val="en-GB" w:eastAsia="cs-CZ"/>
              </w:rPr>
            </w:pPr>
            <w:r w:rsidRPr="001D0ADC">
              <w:rPr>
                <w:color w:val="auto"/>
                <w:lang w:val="en-GB" w:eastAsia="cs-CZ"/>
              </w:rPr>
              <w:t>Acute (GAf)</w:t>
            </w:r>
          </w:p>
        </w:tc>
        <w:tc>
          <w:tcPr>
            <w:tcW w:w="1967" w:type="dxa"/>
            <w:tcBorders>
              <w:top w:val="single" w:sz="4" w:space="0" w:color="auto"/>
              <w:left w:val="single" w:sz="4" w:space="0" w:color="auto"/>
              <w:bottom w:val="single" w:sz="4" w:space="0" w:color="auto"/>
              <w:right w:val="single" w:sz="4" w:space="0" w:color="auto"/>
            </w:tcBorders>
          </w:tcPr>
          <w:p w14:paraId="425F88F5" w14:textId="776998AC"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61608A7" w14:textId="13F78D79"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{"citationID":"ac0hjgv0bg","properties":{"formattedCitation":"(Bao et al. 2018)","plainCitation":"(Bao et al. 2018)","noteIndex":0},"citationItems":[{"id":1550,"uris":["http://zotero.org/users/11614927/items/JPCIDZHG"],"itemData":{"id":1550,"type":"article-journal","container-title":"Science of The Total Environment","DOI":"10.1016/j.scitotenv.2017.10.305","ISSN":"00489697","journalAbbreviation":"Science of The Total Environment","language":"en","page":"583-593","source":"DOI.org (Crossref)","title":"Diclofenac exposure alter the expression of PXR and its downstream target genes in mosquito fish (Gambusia affinis)","volume":"616-617","author":[{"family":"Bao","given":"Shuang"},{"family":"Nie","given":"Xiangping"},{"family":"Liu","given":"Yang"},{"family":"Wang","given":"Chao"},{"family":"Li","given":"Wenlong"},{"family":"Liu","given":"Sijia"}],"issued":{"date-parts":[["2018",3]]}}}],"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(Bao et al. 2018)</w:t>
            </w:r>
            <w:r w:rsidRPr="001D0ADC">
              <w:rPr>
                <w:color w:val="auto"/>
                <w:lang w:val="en-GB" w:eastAsia="cs-CZ"/>
              </w:rPr>
              <w:fldChar w:fldCharType="end"/>
            </w:r>
          </w:p>
        </w:tc>
      </w:tr>
      <w:tr w:rsidR="001D0ADC" w:rsidRPr="001D0ADC" w14:paraId="798F1862"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BAE997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4417E7C" w14:textId="5814E116"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F9E2D3E" w14:textId="3F188823"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tcBorders>
              <w:top w:val="single" w:sz="4" w:space="0" w:color="auto"/>
              <w:left w:val="nil"/>
              <w:bottom w:val="single" w:sz="4" w:space="0" w:color="auto"/>
              <w:right w:val="single" w:sz="4" w:space="0" w:color="auto"/>
            </w:tcBorders>
          </w:tcPr>
          <w:p w14:paraId="023A8755"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1A667942" w14:textId="227C2A32" w:rsidR="00196808" w:rsidRPr="001D0ADC" w:rsidRDefault="00196808" w:rsidP="00196808">
            <w:pPr>
              <w:pStyle w:val="NoSpacing"/>
              <w:ind w:firstLine="0"/>
              <w:rPr>
                <w:color w:val="auto"/>
                <w:lang w:val="en-GB" w:eastAsia="cs-CZ"/>
              </w:rPr>
            </w:pPr>
            <w:r w:rsidRPr="001D0ADC">
              <w:rPr>
                <w:color w:val="auto"/>
                <w:lang w:val="en-GB" w:eastAsia="cs-CZ"/>
              </w:rPr>
              <w:t>168h</w:t>
            </w:r>
          </w:p>
        </w:tc>
        <w:tc>
          <w:tcPr>
            <w:tcW w:w="2300" w:type="dxa"/>
            <w:vMerge/>
            <w:tcBorders>
              <w:left w:val="single" w:sz="4" w:space="0" w:color="auto"/>
              <w:bottom w:val="single" w:sz="4" w:space="0" w:color="auto"/>
              <w:right w:val="single" w:sz="4" w:space="0" w:color="auto"/>
            </w:tcBorders>
            <w:shd w:val="clear" w:color="auto" w:fill="auto"/>
            <w:vAlign w:val="bottom"/>
          </w:tcPr>
          <w:p w14:paraId="6846A75A" w14:textId="77777777" w:rsidR="00196808" w:rsidRPr="001D0ADC" w:rsidRDefault="00196808" w:rsidP="00196808">
            <w:pPr>
              <w:pStyle w:val="NoSpacing"/>
              <w:ind w:firstLine="0"/>
              <w:rPr>
                <w:color w:val="auto"/>
                <w:lang w:val="en-GB" w:eastAsia="cs-CZ"/>
              </w:rPr>
            </w:pPr>
          </w:p>
        </w:tc>
      </w:tr>
      <w:tr w:rsidR="001D0ADC" w:rsidRPr="001D0ADC" w14:paraId="5B494637"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9F9F43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51AFF42" w14:textId="5CBC982A" w:rsidR="00196808" w:rsidRPr="001D0ADC" w:rsidRDefault="00CF2036" w:rsidP="00196808">
            <w:pPr>
              <w:pStyle w:val="NoSpacing"/>
              <w:ind w:firstLine="0"/>
              <w:rPr>
                <w:color w:val="auto"/>
                <w:lang w:val="en-GB" w:eastAsia="cs-CZ"/>
              </w:rPr>
            </w:pPr>
            <w:r w:rsidRPr="001D0ADC">
              <w:rPr>
                <w:color w:val="auto"/>
                <w:lang w:val="en-GB" w:eastAsia="cs-CZ"/>
              </w:rPr>
              <w:t>1.</w:t>
            </w:r>
            <w:r w:rsidR="00196808" w:rsidRPr="001D0ADC">
              <w:rPr>
                <w:color w:val="auto"/>
                <w:lang w:val="en-GB" w:eastAsia="cs-CZ"/>
              </w:rPr>
              <w:t>42</w:t>
            </w:r>
          </w:p>
        </w:tc>
        <w:tc>
          <w:tcPr>
            <w:tcW w:w="4520" w:type="dxa"/>
            <w:tcBorders>
              <w:top w:val="single" w:sz="4" w:space="0" w:color="auto"/>
              <w:left w:val="nil"/>
              <w:bottom w:val="single" w:sz="4" w:space="0" w:color="auto"/>
              <w:right w:val="single" w:sz="4" w:space="0" w:color="auto"/>
            </w:tcBorders>
            <w:shd w:val="clear" w:color="auto" w:fill="auto"/>
            <w:vAlign w:val="bottom"/>
          </w:tcPr>
          <w:p w14:paraId="17BF4492" w14:textId="12B7AA34"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top w:val="single" w:sz="4" w:space="0" w:color="auto"/>
              <w:left w:val="nil"/>
              <w:right w:val="single" w:sz="4" w:space="0" w:color="auto"/>
            </w:tcBorders>
          </w:tcPr>
          <w:p w14:paraId="1FB6545B" w14:textId="6FE13A1E" w:rsidR="00196808" w:rsidRPr="001D0ADC" w:rsidRDefault="00196808" w:rsidP="00196808">
            <w:pPr>
              <w:pStyle w:val="NoSpacing"/>
              <w:ind w:firstLine="0"/>
              <w:rPr>
                <w:color w:val="auto"/>
                <w:lang w:val="en-GB" w:eastAsia="cs-CZ"/>
              </w:rPr>
            </w:pPr>
            <w:r w:rsidRPr="001D0ADC">
              <w:rPr>
                <w:color w:val="auto"/>
                <w:lang w:val="en-GB" w:eastAsia="cs-CZ"/>
              </w:rPr>
              <w:t>ELS(ZF) 12hpf</w:t>
            </w:r>
          </w:p>
        </w:tc>
        <w:tc>
          <w:tcPr>
            <w:tcW w:w="1967" w:type="dxa"/>
            <w:tcBorders>
              <w:top w:val="single" w:sz="4" w:space="0" w:color="auto"/>
              <w:left w:val="single" w:sz="4" w:space="0" w:color="auto"/>
              <w:bottom w:val="single" w:sz="4" w:space="0" w:color="auto"/>
              <w:right w:val="single" w:sz="4" w:space="0" w:color="auto"/>
            </w:tcBorders>
          </w:tcPr>
          <w:p w14:paraId="30CEED31" w14:textId="1CB9FEEE" w:rsidR="00196808" w:rsidRPr="001D0ADC" w:rsidRDefault="00196808" w:rsidP="00196808">
            <w:pPr>
              <w:pStyle w:val="NoSpacing"/>
              <w:ind w:firstLine="0"/>
              <w:rPr>
                <w:color w:val="auto"/>
                <w:lang w:val="en-GB" w:eastAsia="cs-CZ"/>
              </w:rPr>
            </w:pPr>
            <w:r w:rsidRPr="001D0ADC">
              <w:rPr>
                <w:color w:val="auto"/>
                <w:lang w:val="en-GB" w:eastAsia="cs-CZ"/>
              </w:rPr>
              <w:t>72 hpf</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D6E4B3E" w14:textId="7F873556"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{"citationID":"a294ebo1f1s","properties":{"formattedCitation":"(Y. Chen et al. 2011)","plainCitation":"(Y. Chen et al. 2011)","noteIndex":0},"citationItems":[{"id":1539,"uris":["http://zotero.org/users/11614927/items/GSPB5MCB"],"itemData":{"id":1539,"type":"article-journal","abstract":"Abstract\n            \n              The objective of this study was to investigate the embryotoxicity of diclofenac. Zebrafish (\n              Danio rerio\n              ) embryos at 12 hpf were treated with different dosages of diclofenac (0–2,000 ppm) for different time courses (12–72 hr). Results showed no evident differences in survival rates or morphological changes between the mock‐treated control (0 ppm) zebrafish embryos and those with 1‐ppm diclofenac‐exposure (12–24, 12–36 hpf). In contrast, after higher doses (5 and 10 ppm) of exposure, embryos displayed some defective phenotypes, including malformed somite boundary, a twisted body axis, and shorter body length. In addition, diclofenac‐treated embryos exhibited significantly reduced frequencies of spontaneous in‐chorion contractions in comparison with mock‐control littermates (mock‐control: 13.20±2.24 vs. 5–10 ppm diclofenac: 6.66±1.35–3.03±1.84). Subtle changes were easily observed by staining with specific monoclonal antibodies F59 and phalloidin to detect morphological changes in muscle fibers and formation of F‐actin, respectively. Our data show that diclofenac treatment disturbs actin organization and muscle fiber alignment, thus causing malformed somite phenotypes.\n              Birth Defects Res (Part B)\n              92:139–147, 2011. © 2011 Wiley‐Liss, Inc.","container-title":"Birth Defects Research Part B: Developmental and Reproductive Toxicology","DOI":"10.1002/bdrb.20292","ISSN":"1542-9733, 1542-9741","issue":"2","journalAbbreviation":"Birth Defects Research Pt B","language":"en","page":"139-147","source":"DOI.org (Crossref)","title":"Embryonic exposure to diclofenac disturbs actin organization and leads to myofibril misalignment","volume":"92","author":[{"family":"Chen","given":"Ying‐Hsin"},{"family":"Chang","given":"Chao‐Yuan"},{"family":"Wang","given":"Yun‐Hsin"},{"family":"Wen","given":"Chi‐Chung"},{"family":"Chen","given":"Yun‐Chen"},{"family":"Hu","given":"Sheng‐Chuan"},{"family":"Yu","given":"Dah‐Shyong"},{"family":"Chen","given":"Yau‐Hung"}],"issued":{"date-parts":[["2011",4]]}}}],"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(Y. Chen et al. 2011)</w:t>
            </w:r>
            <w:r w:rsidRPr="001D0ADC">
              <w:rPr>
                <w:color w:val="auto"/>
                <w:lang w:val="en-GB" w:eastAsia="cs-CZ"/>
              </w:rPr>
              <w:fldChar w:fldCharType="end"/>
            </w:r>
          </w:p>
        </w:tc>
      </w:tr>
      <w:tr w:rsidR="001D0ADC" w:rsidRPr="001D0ADC" w14:paraId="1F0DC19B"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15023D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A7AF472" w14:textId="2B095160" w:rsidR="00196808" w:rsidRPr="001D0ADC" w:rsidRDefault="00196808" w:rsidP="00196808">
            <w:pPr>
              <w:pStyle w:val="NoSpacing"/>
              <w:ind w:firstLine="0"/>
              <w:rPr>
                <w:color w:val="auto"/>
                <w:lang w:val="en-GB" w:eastAsia="cs-CZ"/>
              </w:rPr>
            </w:pPr>
            <w:r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A00AC5B" w14:textId="1FE6123F" w:rsidR="00196808" w:rsidRPr="001D0ADC" w:rsidRDefault="00196808" w:rsidP="00196808">
            <w:pPr>
              <w:pStyle w:val="NoSpacing"/>
              <w:ind w:firstLine="0"/>
              <w:rPr>
                <w:color w:val="auto"/>
                <w:lang w:val="en-GB" w:eastAsia="cs-CZ"/>
              </w:rPr>
            </w:pPr>
            <w:r w:rsidRPr="001D0ADC">
              <w:rPr>
                <w:color w:val="auto"/>
                <w:lang w:val="en-GB" w:eastAsia="cs-CZ"/>
              </w:rPr>
              <w:t>LOEC for spontaneous contraction</w:t>
            </w:r>
          </w:p>
        </w:tc>
        <w:tc>
          <w:tcPr>
            <w:tcW w:w="2633" w:type="dxa"/>
            <w:vMerge/>
            <w:tcBorders>
              <w:left w:val="nil"/>
              <w:bottom w:val="single" w:sz="4" w:space="0" w:color="auto"/>
              <w:right w:val="single" w:sz="4" w:space="0" w:color="auto"/>
            </w:tcBorders>
          </w:tcPr>
          <w:p w14:paraId="66E0F67F" w14:textId="0439707A"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5F5D655D" w14:textId="4FF5A62D" w:rsidR="00196808" w:rsidRPr="001D0ADC" w:rsidRDefault="00196808" w:rsidP="00196808">
            <w:pPr>
              <w:pStyle w:val="NoSpacing"/>
              <w:ind w:firstLine="0"/>
              <w:rPr>
                <w:color w:val="auto"/>
                <w:lang w:val="en-GB" w:eastAsia="cs-CZ"/>
              </w:rPr>
            </w:pPr>
            <w:r w:rsidRPr="001D0ADC">
              <w:rPr>
                <w:color w:val="auto"/>
                <w:lang w:val="en-GB" w:eastAsia="cs-CZ"/>
              </w:rPr>
              <w:t>12h</w:t>
            </w:r>
          </w:p>
        </w:tc>
        <w:tc>
          <w:tcPr>
            <w:tcW w:w="2300" w:type="dxa"/>
            <w:vMerge/>
            <w:tcBorders>
              <w:left w:val="single" w:sz="4" w:space="0" w:color="auto"/>
              <w:bottom w:val="single" w:sz="4" w:space="0" w:color="auto"/>
              <w:right w:val="single" w:sz="4" w:space="0" w:color="auto"/>
            </w:tcBorders>
            <w:shd w:val="clear" w:color="auto" w:fill="auto"/>
            <w:vAlign w:val="bottom"/>
          </w:tcPr>
          <w:p w14:paraId="1D068AF6" w14:textId="77777777" w:rsidR="00196808" w:rsidRPr="001D0ADC" w:rsidRDefault="00196808" w:rsidP="00196808">
            <w:pPr>
              <w:pStyle w:val="NoSpacing"/>
              <w:ind w:firstLine="0"/>
              <w:rPr>
                <w:color w:val="auto"/>
                <w:lang w:val="en-GB" w:eastAsia="cs-CZ"/>
              </w:rPr>
            </w:pPr>
          </w:p>
        </w:tc>
      </w:tr>
      <w:tr w:rsidR="001D0ADC" w:rsidRPr="001D0ADC" w14:paraId="2FDF00EA"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38D277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93021C6" w14:textId="072D0F33" w:rsidR="00196808" w:rsidRPr="001D0ADC" w:rsidRDefault="00CF2036" w:rsidP="00196808">
            <w:pPr>
              <w:pStyle w:val="NoSpacing"/>
              <w:ind w:firstLine="0"/>
              <w:rPr>
                <w:color w:val="auto"/>
                <w:lang w:val="en-GB" w:eastAsia="cs-CZ"/>
              </w:rPr>
            </w:pPr>
            <w:r w:rsidRPr="001D0ADC">
              <w:rPr>
                <w:color w:val="auto"/>
                <w:lang w:val="en-GB" w:eastAsia="cs-CZ"/>
              </w:rPr>
              <w:t>7.</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68C9A71" w14:textId="13C12A42" w:rsidR="00196808" w:rsidRPr="001D0ADC" w:rsidRDefault="00196808" w:rsidP="00196808">
            <w:pPr>
              <w:pStyle w:val="NoSpacing"/>
              <w:ind w:firstLine="0"/>
              <w:rPr>
                <w:color w:val="auto"/>
                <w:lang w:val="en-GB" w:eastAsia="cs-CZ"/>
              </w:rPr>
            </w:pPr>
            <w:r w:rsidRPr="001D0ADC">
              <w:rPr>
                <w:color w:val="auto"/>
                <w:lang w:val="en-GB" w:eastAsia="cs-CZ"/>
              </w:rPr>
              <w:t>EC81 (malformations + deaths), LC50</w:t>
            </w:r>
          </w:p>
        </w:tc>
        <w:tc>
          <w:tcPr>
            <w:tcW w:w="2633" w:type="dxa"/>
            <w:vMerge w:val="restart"/>
            <w:tcBorders>
              <w:top w:val="single" w:sz="4" w:space="0" w:color="auto"/>
              <w:left w:val="nil"/>
              <w:right w:val="single" w:sz="4" w:space="0" w:color="auto"/>
            </w:tcBorders>
          </w:tcPr>
          <w:p w14:paraId="0B0DE860" w14:textId="2A9CB64A" w:rsidR="00196808" w:rsidRPr="001D0ADC" w:rsidRDefault="00196808" w:rsidP="00196808">
            <w:pPr>
              <w:pStyle w:val="NoSpacing"/>
              <w:ind w:firstLine="0"/>
              <w:rPr>
                <w:color w:val="auto"/>
                <w:lang w:val="en-GB" w:eastAsia="cs-CZ"/>
              </w:rPr>
            </w:pPr>
            <w:r w:rsidRPr="001D0ADC">
              <w:rPr>
                <w:color w:val="auto"/>
                <w:lang w:val="en-GB" w:eastAsia="cs-CZ"/>
              </w:rPr>
              <w:t>ELS(ZF)</w:t>
            </w:r>
          </w:p>
        </w:tc>
        <w:tc>
          <w:tcPr>
            <w:tcW w:w="1967" w:type="dxa"/>
            <w:vMerge w:val="restart"/>
            <w:tcBorders>
              <w:top w:val="single" w:sz="4" w:space="0" w:color="auto"/>
              <w:left w:val="single" w:sz="4" w:space="0" w:color="auto"/>
              <w:right w:val="single" w:sz="4" w:space="0" w:color="auto"/>
            </w:tcBorders>
          </w:tcPr>
          <w:p w14:paraId="2F986026" w14:textId="77AC7EDC" w:rsidR="00196808" w:rsidRPr="001D0ADC" w:rsidRDefault="00196808" w:rsidP="00196808">
            <w:pPr>
              <w:pStyle w:val="NoSpacing"/>
              <w:ind w:firstLine="0"/>
              <w:rPr>
                <w:color w:val="auto"/>
                <w:lang w:val="en-GB" w:eastAsia="cs-CZ"/>
              </w:rPr>
            </w:pPr>
            <w:r w:rsidRPr="001D0ADC">
              <w:rPr>
                <w:color w:val="auto"/>
                <w:lang w:val="en-GB" w:eastAsia="cs-CZ"/>
              </w:rPr>
              <w:t>144h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3AD7144" w14:textId="52F84610"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{"citationID":"h3hINF8O","properties":{"formattedCitation":"(Pohl et al. 2019)","plainCitation":"(Pohl et al. 2019)","noteIndex":0},"citationItems":[{"id":1424,"uris":["http://zotero.org/users/11614927/items/H6MZTBJC"],"itemData":{"id":1424,"type":"article-journal","abstract":"Pharmaceutical residues are polluting the surface water environments worldwide. Sewage and wastewater treatment, therefore, needs to be improved in order to remove pharmaceutical residues from the efﬂuent. One such treatment improvement is efﬂuent ozonation. Even though ozonation has proven to be very efﬁcient in reducing pharmaceutical parent compound concentrations in wastewater efﬂuents, much remains unclear regarding potentially toxic ozonation by-product (OBP) formation. In this study, we sought to elucidate the aquatic toxicity of ozonated pharmaceuticals in zebraﬁsh (Danio rerio) embryos in a static 144 h post fertilization (hpf) ﬁsh embryotoxicity (ZFET) assay. Three pharmaceuticals commonly detected in wastewater efﬂuents, i.e. carbamazepine, diclofenac, and oxazepam, were selected for testing. Toxicity was assessed before and after 1 min ozonation (0.053 mg LÀ1 peak O3 concentration) and 10 min ozonation (0.147 mg LÀ1 peak O3 concentration). Chemical analysis showed that carbamazepine and diclofenac were largely removed by ozone (90 ± 11% and 97 ± 3.8%), whereas oxazepam was removed to a lesser extent (19 ± 5.7%). The ZFET assay revealed diverging toxicities. Diclofenac embryotoxicity decreased with increasing ozonation. Oxazepam did not cause embryotoxicity in the ZFET assay either pre- or post ozonation, but larvae swimming activity was affected at 144 hpf. Carbamazepine embryotoxicity, on the other hand, increased with increasing ozonation. Chemical analysis showed the formation of two OBPs (carbamazepine-10,11-epoxide and 10,11-dihydrocarbamazepine), possibly explaining the increased embryotoxicity. The results of this study highlight the importance of new chemical and toxicological knowledge regarding the formation of OBPs in post-ozonated efﬂuents.","container-title":"Chemosphere","DOI":"10.1016/j.chemosphere.2019.03.034","ISSN":"00456535","journalAbbreviation":"Chemosphere","language":"en","page":"191-199","source":"DOI.org (Crossref)","title":"Embryotoxicity of ozonated diclofenac, carbamazepine, and oxazepam in zebrafish (Danio rerio)","volume":"225","author":[{"family":"Pohl","given":"Johannes"},{"family":"Ahrens","given":"Lutz"},{"family":"Carlsson","given":"Gunnar"},{"family":"Golovko","given":"Oksana"},{"family":"Norrgren","given":"Leif"},{"family":"Weiss","given":"Jana"},{"family":"Örn","given":"Stefan"}],"issued":{"date-parts":[["2019",6]]}}}],"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(Pohl et al. 2019)</w:t>
            </w:r>
            <w:r w:rsidRPr="001D0ADC">
              <w:rPr>
                <w:color w:val="auto"/>
                <w:lang w:val="en-GB" w:eastAsia="cs-CZ"/>
              </w:rPr>
              <w:fldChar w:fldCharType="end"/>
            </w:r>
          </w:p>
        </w:tc>
      </w:tr>
      <w:tr w:rsidR="001D0ADC" w:rsidRPr="001D0ADC" w14:paraId="4FC94962"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B83020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BF1C3E7" w14:textId="20994867" w:rsidR="00196808" w:rsidRPr="001D0ADC" w:rsidRDefault="00196808" w:rsidP="00196808">
            <w:pPr>
              <w:pStyle w:val="NoSpacing"/>
              <w:ind w:firstLine="0"/>
              <w:rPr>
                <w:color w:val="auto"/>
                <w:lang w:val="en-GB" w:eastAsia="cs-CZ"/>
              </w:rPr>
            </w:pPr>
            <w:r w:rsidRPr="001D0ADC">
              <w:rPr>
                <w:color w:val="auto"/>
                <w:lang w:val="en-GB" w:eastAsia="cs-CZ"/>
              </w:rPr>
              <w:t>15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4F523F9" w14:textId="3E8CCEA5" w:rsidR="00196808" w:rsidRPr="001D0ADC" w:rsidRDefault="00196808" w:rsidP="00196808">
            <w:pPr>
              <w:pStyle w:val="NoSpacing"/>
              <w:ind w:firstLine="0"/>
              <w:rPr>
                <w:color w:val="auto"/>
                <w:lang w:val="en-GB" w:eastAsia="cs-CZ"/>
              </w:rPr>
            </w:pPr>
            <w:r w:rsidRPr="001D0ADC">
              <w:rPr>
                <w:color w:val="auto"/>
                <w:lang w:val="en-GB" w:eastAsia="cs-CZ"/>
              </w:rPr>
              <w:t>LOEC for heartbeat decrease</w:t>
            </w:r>
          </w:p>
        </w:tc>
        <w:tc>
          <w:tcPr>
            <w:tcW w:w="2633" w:type="dxa"/>
            <w:vMerge/>
            <w:tcBorders>
              <w:left w:val="nil"/>
              <w:bottom w:val="single" w:sz="4" w:space="0" w:color="auto"/>
              <w:right w:val="single" w:sz="4" w:space="0" w:color="auto"/>
            </w:tcBorders>
          </w:tcPr>
          <w:p w14:paraId="5B71E3FE"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B446DA0"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B2E719C" w14:textId="77777777" w:rsidR="00196808" w:rsidRPr="001D0ADC" w:rsidRDefault="00196808" w:rsidP="00196808">
            <w:pPr>
              <w:pStyle w:val="NoSpacing"/>
              <w:ind w:firstLine="0"/>
              <w:rPr>
                <w:color w:val="auto"/>
                <w:lang w:val="en-GB" w:eastAsia="cs-CZ"/>
              </w:rPr>
            </w:pPr>
          </w:p>
        </w:tc>
      </w:tr>
      <w:tr w:rsidR="001D0ADC" w:rsidRPr="001D0ADC" w14:paraId="3F84DEB4"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0CE09F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B613C92" w14:textId="4900E06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1395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C5D7FD5" w14:textId="4010D8A0" w:rsidR="00196808" w:rsidRPr="001D0ADC" w:rsidRDefault="00196808" w:rsidP="00196808">
            <w:pPr>
              <w:pStyle w:val="NoSpacing"/>
              <w:ind w:firstLine="0"/>
              <w:rPr>
                <w:color w:val="auto"/>
                <w:lang w:val="en-GB" w:eastAsia="cs-CZ"/>
              </w:rPr>
            </w:pPr>
            <w:r w:rsidRPr="001D0ADC">
              <w:rPr>
                <w:color w:val="auto"/>
                <w:lang w:val="en-GB" w:eastAsia="cs-CZ"/>
              </w:rPr>
              <w:t>NOEC for mortality, hatching, length and malformation, T3 level</w:t>
            </w:r>
          </w:p>
        </w:tc>
        <w:tc>
          <w:tcPr>
            <w:tcW w:w="2633" w:type="dxa"/>
            <w:vMerge w:val="restart"/>
            <w:tcBorders>
              <w:top w:val="single" w:sz="4" w:space="0" w:color="auto"/>
              <w:left w:val="nil"/>
              <w:right w:val="single" w:sz="4" w:space="0" w:color="auto"/>
            </w:tcBorders>
          </w:tcPr>
          <w:p w14:paraId="29FE0392" w14:textId="6ED8324C" w:rsidR="00196808" w:rsidRPr="001D0ADC" w:rsidRDefault="00196808" w:rsidP="00196808">
            <w:pPr>
              <w:pStyle w:val="NoSpacing"/>
              <w:ind w:firstLine="0"/>
              <w:rPr>
                <w:color w:val="auto"/>
                <w:lang w:val="en-GB" w:eastAsia="cs-CZ"/>
              </w:rPr>
            </w:pPr>
            <w:r w:rsidRPr="001D0ADC">
              <w:rPr>
                <w:color w:val="auto"/>
                <w:lang w:val="en-GB" w:eastAsia="cs-CZ"/>
              </w:rPr>
              <w:t>ELS(ZF)</w:t>
            </w:r>
          </w:p>
        </w:tc>
        <w:tc>
          <w:tcPr>
            <w:tcW w:w="1967" w:type="dxa"/>
            <w:vMerge w:val="restart"/>
            <w:tcBorders>
              <w:top w:val="single" w:sz="4" w:space="0" w:color="auto"/>
              <w:left w:val="single" w:sz="4" w:space="0" w:color="auto"/>
              <w:right w:val="single" w:sz="4" w:space="0" w:color="auto"/>
            </w:tcBorders>
          </w:tcPr>
          <w:p w14:paraId="10DBAED1" w14:textId="6613870D"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6CE32EF" w14:textId="78ECFED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{"citationID":"abaqg39dtp","properties":{"formattedCitation":"(H. Wang et al. 2022)","plainCitation":"(H. Wang et al. 2022)","noteIndex":0},"citationItems":[{"id":1547,"uris":["http://zotero.org/users/11614927/items/F6WDQF6Z"],"itemData":{"id":1547,"type":"article-journal","abstract":"Diclofenac (DCF), one of typical non-steroidal anti-inflammatory drugs (NSAIDs), has been frequently detected in various environmental media. Nevertheless</w:instrText>
            </w:r>
            <w:r w:rsidRPr="001D0ADC">
              <w:rPr>
                <w:rFonts w:ascii="MS Mincho" w:eastAsia="MS Mincho" w:hAnsi="MS Mincho" w:cs="MS Mincho"/>
                <w:color w:val="auto"/>
                <w:lang w:val="en-GB" w:eastAsia="cs-CZ"/>
              </w:rPr>
              <w:instrText>，</w:instrText>
            </w:r>
            <w:r w:rsidRPr="001D0ADC">
              <w:rPr>
                <w:color w:val="auto"/>
                <w:lang w:val="en-GB" w:eastAsia="cs-CZ"/>
              </w:rPr>
              <w:instrText xml:space="preserve">the potential endocrine disrupting effects of DCF on fish were poorly understood. In the present study, zebrafish embryos/larvae were used as a model to evaluate the adverse effects of DCF on development and thyroid system. The results demonstrated that DCF only significantly decreased the heart rate at 72 h post-fertilization (hpf), exhibiting limited influence on the embryonic devel­ opment of zebrafish. Treatment with DCF significantly reduced whole-body thyroxine (T4) levels, and changed transcriptional levels of several genes related to the hypothalamic-pituitary-thyroid (HPT) axis. These findings provide important information regarding to the mechanisms of DCF-induced developmental toxicity and thyroid disruption in fish.","container-title":"Comparative Biochemistry and Physiology Part C: Toxicology &amp; Pharmacology","DOI":"10.1016/j.cbpc.2022.109335","ISSN":"15320456","journalAbbreviation":"Comparative Biochemistry and Physiology Part C: Toxicology &amp; Pharmacology","language":"en","page":"109335","source":"DOI.org (Crossref)","title":"Exposure to diclofenac alters thyroid hormone levels and transcription of genes involved in the hypothalamic–pituitary–thyroid axis in zebrafish embryos/larvae","volume":"257","author":[{"family":"Wang","given":"Hongkai"},{"family":"Dong","given":"Feilong"},{"family":"Zhao","given":"Yixin"},{"family":"Fu","given":"Shirong"},{"family":"Zhao","given":"Haocheng"},{"family":"Liu","given":"Shangshu"},{"family":"Zhang","given":"Weini"},{"family":"Hu","given":"Fengxiao"}],"issued":{"date-parts":[["2022",7]]}}}],"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(H. Wang et al. 2022)</w:t>
            </w:r>
            <w:r w:rsidRPr="001D0ADC">
              <w:rPr>
                <w:color w:val="auto"/>
                <w:lang w:val="en-GB" w:eastAsia="cs-CZ"/>
              </w:rPr>
              <w:fldChar w:fldCharType="end"/>
            </w:r>
          </w:p>
        </w:tc>
      </w:tr>
      <w:tr w:rsidR="001D0ADC" w:rsidRPr="001D0ADC" w14:paraId="5B507CF1"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DB3FA4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C955879" w14:textId="5658E53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0155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86FFC43" w14:textId="23ACFEBA" w:rsidR="00196808" w:rsidRPr="001D0ADC" w:rsidRDefault="00196808" w:rsidP="00196808">
            <w:pPr>
              <w:pStyle w:val="NoSpacing"/>
              <w:ind w:firstLine="0"/>
              <w:rPr>
                <w:color w:val="auto"/>
                <w:lang w:val="en-GB" w:eastAsia="cs-CZ"/>
              </w:rPr>
            </w:pPr>
            <w:r w:rsidRPr="001D0ADC">
              <w:rPr>
                <w:color w:val="auto"/>
                <w:lang w:val="en-GB" w:eastAsia="cs-CZ"/>
              </w:rPr>
              <w:t>LOEC for heart rate decr., T4 level decr., gene expression</w:t>
            </w:r>
          </w:p>
        </w:tc>
        <w:tc>
          <w:tcPr>
            <w:tcW w:w="2633" w:type="dxa"/>
            <w:vMerge/>
            <w:tcBorders>
              <w:left w:val="nil"/>
              <w:bottom w:val="single" w:sz="4" w:space="0" w:color="auto"/>
              <w:right w:val="single" w:sz="4" w:space="0" w:color="auto"/>
            </w:tcBorders>
          </w:tcPr>
          <w:p w14:paraId="2B2D7C2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B0151B2"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CA7C57F" w14:textId="77777777" w:rsidR="00196808" w:rsidRPr="001D0ADC" w:rsidRDefault="00196808" w:rsidP="00196808">
            <w:pPr>
              <w:pStyle w:val="NoSpacing"/>
              <w:ind w:firstLine="0"/>
              <w:rPr>
                <w:color w:val="auto"/>
                <w:lang w:val="en-GB" w:eastAsia="cs-CZ"/>
              </w:rPr>
            </w:pPr>
          </w:p>
        </w:tc>
      </w:tr>
      <w:tr w:rsidR="001D0ADC" w:rsidRPr="001D0ADC" w14:paraId="1B5B604B"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12998B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3D366C4" w14:textId="069F1CD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0241</w:t>
            </w:r>
          </w:p>
        </w:tc>
        <w:tc>
          <w:tcPr>
            <w:tcW w:w="4520" w:type="dxa"/>
            <w:tcBorders>
              <w:top w:val="single" w:sz="4" w:space="0" w:color="auto"/>
              <w:left w:val="nil"/>
              <w:bottom w:val="single" w:sz="4" w:space="0" w:color="auto"/>
              <w:right w:val="single" w:sz="4" w:space="0" w:color="auto"/>
            </w:tcBorders>
            <w:shd w:val="clear" w:color="auto" w:fill="auto"/>
            <w:vAlign w:val="bottom"/>
          </w:tcPr>
          <w:p w14:paraId="001A23FB" w14:textId="47BC3548" w:rsidR="00196808" w:rsidRPr="001D0ADC" w:rsidRDefault="00196808" w:rsidP="00196808">
            <w:pPr>
              <w:pStyle w:val="NoSpacing"/>
              <w:ind w:firstLine="0"/>
              <w:rPr>
                <w:color w:val="auto"/>
                <w:lang w:val="en-GB" w:eastAsia="cs-CZ"/>
              </w:rPr>
            </w:pPr>
            <w:r w:rsidRPr="001D0ADC">
              <w:rPr>
                <w:color w:val="auto"/>
                <w:lang w:val="en-GB" w:eastAsia="cs-CZ"/>
              </w:rPr>
              <w:t>LOEC for heartbeat decr., cardiovascular gene expression, NOEC for cardiac output, hemodynamics</w:t>
            </w:r>
          </w:p>
        </w:tc>
        <w:tc>
          <w:tcPr>
            <w:tcW w:w="2633" w:type="dxa"/>
            <w:vMerge w:val="restart"/>
            <w:tcBorders>
              <w:top w:val="single" w:sz="4" w:space="0" w:color="auto"/>
              <w:left w:val="nil"/>
              <w:right w:val="single" w:sz="4" w:space="0" w:color="auto"/>
            </w:tcBorders>
          </w:tcPr>
          <w:p w14:paraId="05E2FF32" w14:textId="114110E3"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7064DEAE" w14:textId="08317E47" w:rsidR="00196808" w:rsidRPr="001D0ADC" w:rsidRDefault="00196808" w:rsidP="00196808">
            <w:pPr>
              <w:pStyle w:val="NoSpacing"/>
              <w:ind w:firstLine="0"/>
              <w:rPr>
                <w:color w:val="auto"/>
                <w:lang w:val="en-GB" w:eastAsia="cs-CZ"/>
              </w:rPr>
            </w:pPr>
            <w:r w:rsidRPr="001D0ADC">
              <w:rPr>
                <w:color w:val="auto"/>
                <w:lang w:val="en-GB" w:eastAsia="cs-CZ"/>
              </w:rPr>
              <w:t>56h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8BFA64A" w14:textId="0131A79A"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{"citationID":"a25rriqusel","properties":{"formattedCitation":"(K. Zhang et al. 2020)","plainCitation":"(K. Zhang et al. 2020)","noteIndex":0},"citationItems":[{"id":1517,"uris":["http://zotero.org/users/11614927/items/7ZBMGA2L"],"itemData":{"id":1517,"type":"article-journal","abstract":"The non-steroidal anti-inﬂammatory drugs (NSAIDs) ibuprofen and diclofenac are highly prescribed worldwide and their presence in aquatic system may pose a potential risk to aquatic organisms. Here, we systematically assessed their cardiovascular disruptive effects in zebraﬁsh (Danio rerio) at environmentally relevant concentrations between 0.04 and 25.0 mg/L. Ibuprofen signiﬁcantly increased the cardiac outputs of zebraﬁsh embryos at actual concentrations of 0.91, 4.3 and 21.9 mg/L. It up-regulated the blood cell velocity, total blood ﬂow and down-regulated the blood cell density at concentrations of 4.3 mg/L and higher. In comparison, diclofenac led to inhibition of spontaneous muscle contractions and decreased hatching rate of zebraﬁsh embryos at the highest concentration (24.1 mg/L), while it had negligible effects on the cardiac physiology and hemodynamics. Transcriptional analysis of biomarker genes involved in cardiovascular physiology, such as the signiﬁcantly up-regulated nppa and nkx2.5 expressions response to ibuprofen but not to diclofenac, is consistent with these observations. In addition, both ibuprofen and diclofenac altered the morphology of intersegmental vessels at high concentrations. Our results revealed unexpected cardiovascular functional alterations of NSAIDs to ﬁsh at environmental or slightly higher than surface water concentrations and thus provided novel insights into the understanding of their potential environmental risks.","container-title":"Environmental Pollution","DOI":"10.1016/j.envpol.2019.113613","ISSN":"02697491","journalAbbreviation":"Environmental Pollution","language":"en","page":"113613","source":"DOI.org (Crossref)","title":"Ibuprofen and diclofenac impair the cardiovascular development of zebrafish (Danio rerio) at low concentrations","volume":"258","author":[{"family":"Zhang","given":"Kun"},{"family":"Yuan","given":"Guanxiang"},{"family":"Werdich","given":"Andreas A."},{"family":"Zhao","given":"Yanbin"}],"issued":{"date-parts":[["2020",3]]}}}],"schema":"https://github.com/citation-style-language/schema/raw/master/csl-citation.json"}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(K. Zhang et al. 2020)</w:t>
            </w:r>
            <w:r w:rsidRPr="001D0ADC">
              <w:rPr>
                <w:color w:val="auto"/>
                <w:lang w:val="en-GB" w:eastAsia="cs-CZ"/>
              </w:rPr>
              <w:fldChar w:fldCharType="end"/>
            </w:r>
          </w:p>
        </w:tc>
      </w:tr>
      <w:tr w:rsidR="001D0ADC" w:rsidRPr="001D0ADC" w14:paraId="0D14C77D"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9B6072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73C7FA9" w14:textId="2120B96C"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6FA6E34" w14:textId="5F87C126" w:rsidR="00196808" w:rsidRPr="001D0ADC" w:rsidRDefault="00196808" w:rsidP="00196808">
            <w:pPr>
              <w:pStyle w:val="NoSpacing"/>
              <w:ind w:firstLine="0"/>
              <w:rPr>
                <w:color w:val="auto"/>
                <w:lang w:val="en-GB" w:eastAsia="cs-CZ"/>
              </w:rPr>
            </w:pPr>
            <w:r w:rsidRPr="001D0ADC">
              <w:rPr>
                <w:color w:val="auto"/>
                <w:lang w:val="en-GB" w:eastAsia="cs-CZ"/>
              </w:rPr>
              <w:t>NOEC for mortality and malformations</w:t>
            </w:r>
          </w:p>
        </w:tc>
        <w:tc>
          <w:tcPr>
            <w:tcW w:w="2633" w:type="dxa"/>
            <w:vMerge/>
            <w:tcBorders>
              <w:left w:val="nil"/>
              <w:right w:val="single" w:sz="4" w:space="0" w:color="auto"/>
            </w:tcBorders>
          </w:tcPr>
          <w:p w14:paraId="3062ABD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54662C1E"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EB767C4" w14:textId="77777777" w:rsidR="00196808" w:rsidRPr="001D0ADC" w:rsidRDefault="00196808" w:rsidP="00196808">
            <w:pPr>
              <w:pStyle w:val="NoSpacing"/>
              <w:ind w:firstLine="0"/>
              <w:rPr>
                <w:color w:val="auto"/>
                <w:lang w:val="en-GB" w:eastAsia="cs-CZ"/>
              </w:rPr>
            </w:pPr>
          </w:p>
        </w:tc>
      </w:tr>
      <w:tr w:rsidR="001D0ADC" w:rsidRPr="001D0ADC" w14:paraId="6487925E"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0F936A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3B35388" w14:textId="75C255E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00098</w:t>
            </w:r>
          </w:p>
        </w:tc>
        <w:tc>
          <w:tcPr>
            <w:tcW w:w="4520" w:type="dxa"/>
            <w:tcBorders>
              <w:top w:val="single" w:sz="4" w:space="0" w:color="auto"/>
              <w:left w:val="nil"/>
              <w:bottom w:val="single" w:sz="4" w:space="0" w:color="auto"/>
              <w:right w:val="single" w:sz="4" w:space="0" w:color="auto"/>
            </w:tcBorders>
            <w:shd w:val="clear" w:color="auto" w:fill="auto"/>
            <w:vAlign w:val="bottom"/>
          </w:tcPr>
          <w:p w14:paraId="1198433A" w14:textId="210E21A9" w:rsidR="00196808" w:rsidRPr="001D0ADC" w:rsidRDefault="00196808" w:rsidP="00196808">
            <w:pPr>
              <w:pStyle w:val="NoSpacing"/>
              <w:ind w:firstLine="0"/>
              <w:rPr>
                <w:color w:val="auto"/>
                <w:lang w:val="en-GB" w:eastAsia="cs-CZ"/>
              </w:rPr>
            </w:pPr>
            <w:r w:rsidRPr="001D0ADC">
              <w:rPr>
                <w:color w:val="auto"/>
                <w:lang w:val="en-GB" w:eastAsia="cs-CZ"/>
              </w:rPr>
              <w:t>LOEC for cardiovascular gene expression</w:t>
            </w:r>
          </w:p>
        </w:tc>
        <w:tc>
          <w:tcPr>
            <w:tcW w:w="2633" w:type="dxa"/>
            <w:vMerge/>
            <w:tcBorders>
              <w:left w:val="nil"/>
              <w:bottom w:val="single" w:sz="4" w:space="0" w:color="auto"/>
              <w:right w:val="single" w:sz="4" w:space="0" w:color="auto"/>
            </w:tcBorders>
          </w:tcPr>
          <w:p w14:paraId="1957D21A"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923F49A"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36BAAE2" w14:textId="77777777" w:rsidR="00196808" w:rsidRPr="001D0ADC" w:rsidRDefault="00196808" w:rsidP="00196808">
            <w:pPr>
              <w:pStyle w:val="NoSpacing"/>
              <w:ind w:firstLine="0"/>
              <w:rPr>
                <w:color w:val="auto"/>
                <w:lang w:val="en-GB" w:eastAsia="cs-CZ"/>
              </w:rPr>
            </w:pPr>
          </w:p>
        </w:tc>
      </w:tr>
      <w:tr w:rsidR="001D0ADC" w:rsidRPr="001D0ADC" w14:paraId="7506D70B"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5B8A083" w14:textId="77777777" w:rsidR="00B25F87" w:rsidRPr="001D0ADC" w:rsidRDefault="00B25F87"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6F285B3" w14:textId="3CFC57AF" w:rsidR="00B25F87" w:rsidRPr="001D0ADC" w:rsidRDefault="00CF2036" w:rsidP="00196808">
            <w:pPr>
              <w:pStyle w:val="NoSpacing"/>
              <w:ind w:firstLine="0"/>
              <w:rPr>
                <w:color w:val="auto"/>
                <w:lang w:val="en-GB" w:eastAsia="cs-CZ"/>
              </w:rPr>
            </w:pPr>
            <w:r w:rsidRPr="001D0ADC">
              <w:rPr>
                <w:color w:val="auto"/>
                <w:lang w:val="en-GB" w:eastAsia="cs-CZ"/>
              </w:rPr>
              <w:t>1.</w:t>
            </w:r>
            <w:r w:rsidR="00C12D74" w:rsidRPr="001D0ADC">
              <w:rPr>
                <w:color w:val="auto"/>
                <w:lang w:val="en-GB" w:eastAsia="cs-CZ"/>
              </w:rPr>
              <w:t>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1000224" w14:textId="5984FD33" w:rsidR="00B25F87" w:rsidRPr="001D0ADC" w:rsidRDefault="00C12D74" w:rsidP="00196808">
            <w:pPr>
              <w:pStyle w:val="NoSpacing"/>
              <w:ind w:firstLine="0"/>
              <w:rPr>
                <w:color w:val="auto"/>
                <w:lang w:val="en-GB" w:eastAsia="cs-CZ"/>
              </w:rPr>
            </w:pPr>
            <w:r w:rsidRPr="001D0ADC">
              <w:rPr>
                <w:color w:val="auto"/>
                <w:lang w:val="en-GB" w:eastAsia="cs-CZ"/>
              </w:rPr>
              <w:t>LOEC for abnormal growth</w:t>
            </w:r>
          </w:p>
        </w:tc>
        <w:tc>
          <w:tcPr>
            <w:tcW w:w="2633" w:type="dxa"/>
            <w:tcBorders>
              <w:left w:val="nil"/>
              <w:bottom w:val="single" w:sz="4" w:space="0" w:color="auto"/>
              <w:right w:val="single" w:sz="4" w:space="0" w:color="auto"/>
            </w:tcBorders>
          </w:tcPr>
          <w:p w14:paraId="485ED7F3" w14:textId="77777777" w:rsidR="00B25F87" w:rsidRPr="001D0ADC" w:rsidRDefault="00B25F87" w:rsidP="00196808">
            <w:pPr>
              <w:pStyle w:val="NoSpacing"/>
              <w:ind w:firstLine="0"/>
              <w:rPr>
                <w:color w:val="auto"/>
                <w:lang w:val="en-GB" w:eastAsia="cs-CZ"/>
              </w:rPr>
            </w:pPr>
          </w:p>
        </w:tc>
        <w:tc>
          <w:tcPr>
            <w:tcW w:w="1967" w:type="dxa"/>
            <w:tcBorders>
              <w:left w:val="single" w:sz="4" w:space="0" w:color="auto"/>
              <w:bottom w:val="single" w:sz="4" w:space="0" w:color="auto"/>
              <w:right w:val="single" w:sz="4" w:space="0" w:color="auto"/>
            </w:tcBorders>
          </w:tcPr>
          <w:p w14:paraId="798F59F1" w14:textId="77777777" w:rsidR="00B25F87" w:rsidRPr="001D0ADC" w:rsidRDefault="00B25F87" w:rsidP="00196808">
            <w:pPr>
              <w:pStyle w:val="NoSpacing"/>
              <w:ind w:firstLine="0"/>
              <w:rPr>
                <w:color w:val="auto"/>
                <w:lang w:val="en-GB" w:eastAsia="cs-CZ"/>
              </w:rPr>
            </w:pPr>
          </w:p>
        </w:tc>
        <w:tc>
          <w:tcPr>
            <w:tcW w:w="2300" w:type="dxa"/>
            <w:tcBorders>
              <w:left w:val="single" w:sz="4" w:space="0" w:color="auto"/>
              <w:bottom w:val="single" w:sz="4" w:space="0" w:color="auto"/>
              <w:right w:val="single" w:sz="4" w:space="0" w:color="auto"/>
            </w:tcBorders>
            <w:shd w:val="clear" w:color="auto" w:fill="auto"/>
            <w:vAlign w:val="bottom"/>
          </w:tcPr>
          <w:p w14:paraId="0B7A7C7F" w14:textId="69A708A6" w:rsidR="00B25F87" w:rsidRPr="001D0ADC" w:rsidRDefault="00B25F87" w:rsidP="00196808">
            <w:pPr>
              <w:pStyle w:val="NoSpacing"/>
              <w:ind w:firstLine="0"/>
              <w:rPr>
                <w:color w:val="auto"/>
                <w:lang w:val="en-GB" w:eastAsia="cs-CZ"/>
              </w:rPr>
            </w:pPr>
            <w:r w:rsidRPr="001D0ADC">
              <w:rPr>
                <w:color w:val="auto"/>
                <w:lang w:val="en-GB" w:eastAsia="cs-CZ"/>
              </w:rPr>
              <w:fldChar w:fldCharType="begin"/>
            </w:r>
            <w:r w:rsidR="004E4B09" w:rsidRPr="001D0ADC">
              <w:rPr>
                <w:color w:val="auto"/>
                <w:lang w:val="en-GB" w:eastAsia="cs-CZ"/>
              </w:rPr>
              <w:instrText xml:space="preserve"> ADDIN ZOTERO_ITEM CSL_CITATION {"citationID":"a2j9r3h2lkb","properties":{"formattedCitation":"(Ribeiro et al. 2015)","plainCitation":"(Ribeiro et al. 2015)","noteIndex":0},"citationItems":[{"id":908,"uris":["http://zotero.org/users/11614927/items/EN5CV5PR"],"itemData":{"id":908,"type":"article-journal","abstract":"Early life-stage bioassays have been used as an alternative to short-term adult toxicity tests since they are cost-effective. A single couple can produce hundreds or thousands of embryos and hence can be used as a simple high-throughput approach in toxicity studies. In the present study, zebraﬁsh and sea urchin embryo bioassays were used to test the toxicity of four pharmaceuticals belonging to different therapeutic classes: diclofenac, propranolol, simvastatin and sertraline. Simvastatin was the most toxic tested compound for zebraﬁsh embryo, followed by diclofenac. Sertraline was the most toxic drug to sea urchin embryos, inducing development abnormalities at the ng/L range. Overall, our results highlight the potential of sea urchin embryo bioassay as a promising and sensitive approach for the high-throughput methods to test the toxicity of new chemicals, including pharmaceuticals, and identify several drugs that should go through more detailed toxicity assays.","container-title":"Ecotoxicology and Environmental Safety","DOI":"10.1016/j.ecoenv.2015.01.008","ISSN":"01476513","journalAbbreviation":"Ecotoxicology and Environmental Safety","language":"en","page":"67-74","source":"DOI.org (Crossref)","title":"Toxicity screening of Diclofenac, Propranolol, Sertraline and Simvastatin using Danio rerio and Paracentrotus lividus embryo bioassays","volume":"114","author":[{"family":"Ribeiro","given":"Sílvia"},{"family":"Torres","given":"Tiago"},{"family":"Martins","given":"Rosário"},{"family":"Santos","given":"Miguel M."}],"issued":{"date-parts":[["2015",4]]}}}],"schema":"https://github.com/citation-style-language/schema/raw/master/csl-citation.json"} </w:instrText>
            </w:r>
            <w:r w:rsidRPr="001D0ADC">
              <w:rPr>
                <w:color w:val="auto"/>
                <w:lang w:val="en-GB" w:eastAsia="cs-CZ"/>
              </w:rPr>
              <w:fldChar w:fldCharType="separate"/>
            </w:r>
            <w:r w:rsidR="004E4B09" w:rsidRPr="001D0ADC">
              <w:rPr>
                <w:rFonts w:cs="Times New Roman"/>
                <w:color w:val="auto"/>
                <w:szCs w:val="24"/>
              </w:rPr>
              <w:t>(Ribeiro et al. 2015)</w:t>
            </w:r>
            <w:r w:rsidRPr="001D0ADC">
              <w:rPr>
                <w:color w:val="auto"/>
                <w:lang w:val="en-GB" w:eastAsia="cs-CZ"/>
              </w:rPr>
              <w:fldChar w:fldCharType="end"/>
            </w:r>
          </w:p>
        </w:tc>
      </w:tr>
      <w:tr w:rsidR="001D0ADC" w:rsidRPr="001D0ADC" w14:paraId="065F5242"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B561BD5" w14:textId="77777777" w:rsidR="00C12D74" w:rsidRPr="001D0ADC" w:rsidRDefault="00C12D74"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176A29B" w14:textId="3C7DBCAE" w:rsidR="00C12D74" w:rsidRPr="001D0ADC" w:rsidRDefault="00C12D74"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2.</w:t>
            </w:r>
            <w:r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2F48E143" w14:textId="39733119" w:rsidR="00C12D74" w:rsidRPr="001D0ADC" w:rsidRDefault="00C12D74" w:rsidP="00196808">
            <w:pPr>
              <w:pStyle w:val="NoSpacing"/>
              <w:ind w:firstLine="0"/>
              <w:rPr>
                <w:color w:val="auto"/>
                <w:lang w:val="en-GB" w:eastAsia="cs-CZ"/>
              </w:rPr>
            </w:pPr>
            <w:r w:rsidRPr="001D0ADC">
              <w:rPr>
                <w:color w:val="auto"/>
                <w:lang w:val="en-GB" w:eastAsia="cs-CZ"/>
              </w:rPr>
              <w:t>LOEC for hatching rate, yolk-sac abnormalities</w:t>
            </w:r>
          </w:p>
        </w:tc>
        <w:tc>
          <w:tcPr>
            <w:tcW w:w="2633" w:type="dxa"/>
            <w:tcBorders>
              <w:left w:val="nil"/>
              <w:bottom w:val="single" w:sz="4" w:space="0" w:color="auto"/>
              <w:right w:val="single" w:sz="4" w:space="0" w:color="auto"/>
            </w:tcBorders>
          </w:tcPr>
          <w:p w14:paraId="19F68FB9" w14:textId="77777777" w:rsidR="00C12D74" w:rsidRPr="001D0ADC" w:rsidRDefault="00C12D74" w:rsidP="00196808">
            <w:pPr>
              <w:pStyle w:val="NoSpacing"/>
              <w:ind w:firstLine="0"/>
              <w:rPr>
                <w:color w:val="auto"/>
                <w:lang w:val="en-GB" w:eastAsia="cs-CZ"/>
              </w:rPr>
            </w:pPr>
          </w:p>
        </w:tc>
        <w:tc>
          <w:tcPr>
            <w:tcW w:w="1967" w:type="dxa"/>
            <w:tcBorders>
              <w:left w:val="single" w:sz="4" w:space="0" w:color="auto"/>
              <w:bottom w:val="single" w:sz="4" w:space="0" w:color="auto"/>
              <w:right w:val="single" w:sz="4" w:space="0" w:color="auto"/>
            </w:tcBorders>
          </w:tcPr>
          <w:p w14:paraId="22F47185" w14:textId="77777777" w:rsidR="00C12D74" w:rsidRPr="001D0ADC" w:rsidRDefault="00C12D74" w:rsidP="00196808">
            <w:pPr>
              <w:pStyle w:val="NoSpacing"/>
              <w:ind w:firstLine="0"/>
              <w:rPr>
                <w:color w:val="auto"/>
                <w:lang w:val="en-GB" w:eastAsia="cs-CZ"/>
              </w:rPr>
            </w:pPr>
          </w:p>
        </w:tc>
        <w:tc>
          <w:tcPr>
            <w:tcW w:w="2300" w:type="dxa"/>
            <w:tcBorders>
              <w:left w:val="single" w:sz="4" w:space="0" w:color="auto"/>
              <w:bottom w:val="single" w:sz="4" w:space="0" w:color="auto"/>
              <w:right w:val="single" w:sz="4" w:space="0" w:color="auto"/>
            </w:tcBorders>
            <w:shd w:val="clear" w:color="auto" w:fill="auto"/>
            <w:vAlign w:val="bottom"/>
          </w:tcPr>
          <w:p w14:paraId="16B3AF78" w14:textId="77777777" w:rsidR="00C12D74" w:rsidRPr="001D0ADC" w:rsidRDefault="00C12D74" w:rsidP="00196808">
            <w:pPr>
              <w:pStyle w:val="NoSpacing"/>
              <w:ind w:firstLine="0"/>
              <w:rPr>
                <w:color w:val="auto"/>
                <w:lang w:val="en-GB" w:eastAsia="cs-CZ"/>
              </w:rPr>
            </w:pPr>
          </w:p>
        </w:tc>
      </w:tr>
      <w:tr w:rsidR="001D0ADC" w:rsidRPr="001D0ADC" w14:paraId="1A22AC8C"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8EDF87C"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6C628203" w14:textId="4509CB1C"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(other than ZF)</w:t>
            </w:r>
            <w:r w:rsidR="000F6A8E" w:rsidRPr="001D0ADC">
              <w:rPr>
                <w:b/>
                <w:bCs/>
                <w:color w:val="auto"/>
                <w:lang w:val="en-GB" w:eastAsia="cs-CZ"/>
              </w:rPr>
              <w:t xml:space="preserve"> (mg/l)</w:t>
            </w:r>
          </w:p>
        </w:tc>
      </w:tr>
      <w:tr w:rsidR="001D0ADC" w:rsidRPr="001D0ADC" w14:paraId="673A9F7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F42294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836B8B9" w14:textId="77777777" w:rsidR="00196808" w:rsidRPr="001D0ADC" w:rsidRDefault="00196808" w:rsidP="00196808">
            <w:pPr>
              <w:pStyle w:val="NoSpacing"/>
              <w:ind w:firstLine="0"/>
              <w:rPr>
                <w:color w:val="auto"/>
                <w:lang w:val="en-GB" w:eastAsia="cs-CZ"/>
              </w:rPr>
            </w:pPr>
            <w:r w:rsidRPr="001D0ADC">
              <w:rPr>
                <w:color w:val="auto"/>
                <w:lang w:val="en-GB" w:eastAsia="cs-CZ"/>
              </w:rPr>
              <w:t>12ng/egg</w:t>
            </w:r>
          </w:p>
        </w:tc>
        <w:tc>
          <w:tcPr>
            <w:tcW w:w="4520" w:type="dxa"/>
            <w:tcBorders>
              <w:top w:val="single" w:sz="4" w:space="0" w:color="auto"/>
              <w:left w:val="nil"/>
              <w:bottom w:val="single" w:sz="4" w:space="0" w:color="auto"/>
              <w:right w:val="single" w:sz="4" w:space="0" w:color="auto"/>
            </w:tcBorders>
            <w:shd w:val="clear" w:color="auto" w:fill="auto"/>
            <w:vAlign w:val="bottom"/>
          </w:tcPr>
          <w:p w14:paraId="16597DEE"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LOEC for survival, hemorrhage, delay in development and heartbeat </w:t>
            </w:r>
          </w:p>
        </w:tc>
        <w:tc>
          <w:tcPr>
            <w:tcW w:w="2633" w:type="dxa"/>
            <w:tcBorders>
              <w:top w:val="single" w:sz="4" w:space="0" w:color="auto"/>
              <w:left w:val="nil"/>
              <w:bottom w:val="single" w:sz="4" w:space="0" w:color="auto"/>
              <w:right w:val="single" w:sz="4" w:space="0" w:color="auto"/>
            </w:tcBorders>
          </w:tcPr>
          <w:p w14:paraId="0240DC72" w14:textId="77777777" w:rsidR="00196808" w:rsidRPr="001D0ADC" w:rsidRDefault="00196808" w:rsidP="00196808">
            <w:pPr>
              <w:pStyle w:val="NoSpacing"/>
              <w:ind w:firstLine="0"/>
              <w:rPr>
                <w:color w:val="auto"/>
                <w:lang w:val="en-GB" w:eastAsia="cs-CZ"/>
              </w:rPr>
            </w:pPr>
            <w:r w:rsidRPr="001D0ADC">
              <w:rPr>
                <w:color w:val="auto"/>
                <w:lang w:val="en-GB" w:eastAsia="cs-CZ"/>
              </w:rPr>
              <w:t>ELT (nanoinjection)</w:t>
            </w:r>
          </w:p>
        </w:tc>
        <w:tc>
          <w:tcPr>
            <w:tcW w:w="1967" w:type="dxa"/>
            <w:tcBorders>
              <w:top w:val="single" w:sz="4" w:space="0" w:color="auto"/>
              <w:left w:val="single" w:sz="4" w:space="0" w:color="auto"/>
              <w:bottom w:val="single" w:sz="4" w:space="0" w:color="auto"/>
              <w:right w:val="single" w:sz="4" w:space="0" w:color="auto"/>
            </w:tcBorders>
          </w:tcPr>
          <w:p w14:paraId="0D55B1BF" w14:textId="77777777" w:rsidR="00196808" w:rsidRPr="001D0ADC" w:rsidRDefault="00196808" w:rsidP="00196808">
            <w:pPr>
              <w:pStyle w:val="NoSpacing"/>
              <w:ind w:firstLine="0"/>
              <w:rPr>
                <w:color w:val="auto"/>
                <w:lang w:val="en-GB" w:eastAsia="cs-CZ"/>
              </w:rPr>
            </w:pPr>
            <w:r w:rsidRPr="001D0ADC">
              <w:rPr>
                <w:color w:val="auto"/>
                <w:lang w:val="en-GB" w:eastAsia="cs-CZ"/>
              </w:rPr>
              <w:t>6dpf</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B90A5F0"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{"citationID":"bNM8FVww","properties":{"formattedCitation":"(Nassef, Kim, et al. 2010)","plainCitation":"(Nassef, Kim, et al. 2010)","noteIndex":0},"citationItems":[{"id":1166,"uris":["http://zotero.org/users/11614927/items/BWG6NL95"],"itemData":{"id":1166,"type":"article-journal","abstract":"We examined the toxicity of three pharmaceuticals and personal care products (PPCPs) – triclosan (TCS), diclofenac (DCF), and carbamazepine (CBMZ) – on embryonic development of Japanese medaka (Oryzias latipes) using in ovo nanoinjection. Medaka eggs (8 h post-fertilization; late blastula stage) were injected with 0.5 nL of triolein (vehicle control) or 0.5 nL of PPCPs, using different doses of TCS (1, 5, or 9 ng), DCF (1, 5, or 12 ng), or CBMZ (1, 5, or 12 ng) per egg in triolein, in addition to uninjected control. Following injection, we recorded survival, embryonic lesions, delay in embryonic development (eye, embryonic body and internal organs), heart beat rate, hatchability, and hatching time of embryos and upward swimming of larvae. As a result, injected PPCPs caused toxic responses to medaka embryos during embryonic development and around the day of hatching. Based on estimated EC50 values of PPCPs doses on survival of injected embryos at hatching, TCS (at a dose of 4.2 ng egg–1) was generally more toxic to medaka embryos, followed by DCF (6.0 ng egg–1), and CBMZ (13.1 ng egg–1). We conclude that the nanoinjection medaka embryos model is a valuable tool for analyzing the effects of chemicals on the development of ﬁsh embryos and feasibility of nanoinjecting PPCPs into small ﬁsh eggs perhaps mimicking early exposure resulting from oocyte uptake of contaminants from maternal extra gonadal tissues.","container-title":"Chemosphere","DOI":"10.1016/j.chemosphere.2010.02.002","ISSN":"00456535","issue":"9","journalAbbreviation":"Chemosphere","language":"en","page":"966-973","source":"DOI.org (Crossref)","title":"In ovo nanoinjection of triclosan, diclofenac and carbamazepine affects embryonic development of medaka fish (Oryzias latipes)","volume":"79","author":[{"family":"Nassef","given":"Mohamed"},{"family":"Kim","given":"Sang Gyoon"},{"family":"Seki","given":"Masanori"},{"family":"Kang","given":"Ik Joon"},{"family":"Hano","given":"Takeshi"},{"family":"Shimasaki","given":"Yohei"},{"family":"Oshima","given":"Yuji"}],"issued":{"date-parts":[["2010",5]]}}}],"schema":"https://github.com/citation-style-language/schema/raw/master/csl-citation.json"}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(Nassef, Kim, et al. 2010)</w:t>
            </w:r>
            <w:r w:rsidRPr="001D0ADC">
              <w:rPr>
                <w:color w:val="auto"/>
                <w:lang w:val="en-GB" w:eastAsia="cs-CZ"/>
              </w:rPr>
              <w:fldChar w:fldCharType="end"/>
            </w:r>
          </w:p>
        </w:tc>
      </w:tr>
      <w:tr w:rsidR="001D0ADC" w:rsidRPr="001D0ADC" w14:paraId="4FB2188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61E8934"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1C82598C" w14:textId="5D313CC7"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(cell lines)</w:t>
            </w:r>
            <w:r w:rsidR="000F6A8E" w:rsidRPr="001D0ADC">
              <w:rPr>
                <w:b/>
                <w:bCs/>
                <w:color w:val="auto"/>
                <w:lang w:val="en-GB" w:eastAsia="cs-CZ"/>
              </w:rPr>
              <w:t xml:space="preserve"> (mg/l)</w:t>
            </w:r>
          </w:p>
        </w:tc>
      </w:tr>
      <w:tr w:rsidR="001D0ADC" w:rsidRPr="001D0ADC" w14:paraId="3DE626B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E64475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810B874" w14:textId="7D81BFBF" w:rsidR="00196808" w:rsidRPr="001D0ADC" w:rsidRDefault="00196808" w:rsidP="00196808">
            <w:pPr>
              <w:pStyle w:val="NoSpacing"/>
              <w:ind w:firstLine="0"/>
              <w:rPr>
                <w:color w:val="auto"/>
                <w:lang w:val="en-GB" w:eastAsia="cs-CZ"/>
              </w:rPr>
            </w:pPr>
            <w:r w:rsidRPr="001D0ADC">
              <w:rPr>
                <w:color w:val="auto"/>
                <w:lang w:val="en-GB" w:eastAsia="cs-CZ"/>
              </w:rPr>
              <w:t xml:space="preserve">&gt; </w:t>
            </w:r>
            <w:r w:rsidR="00CF2036" w:rsidRPr="001D0ADC">
              <w:rPr>
                <w:color w:val="auto"/>
                <w:lang w:val="en-GB" w:eastAsia="cs-CZ"/>
              </w:rPr>
              <w:t>8.</w:t>
            </w:r>
            <w:r w:rsidRPr="001D0ADC">
              <w:rPr>
                <w:color w:val="auto"/>
                <w:lang w:val="en-GB" w:eastAsia="cs-CZ"/>
              </w:rPr>
              <w:t>9</w:t>
            </w:r>
          </w:p>
        </w:tc>
        <w:tc>
          <w:tcPr>
            <w:tcW w:w="4520" w:type="dxa"/>
            <w:tcBorders>
              <w:top w:val="single" w:sz="4" w:space="0" w:color="auto"/>
              <w:left w:val="nil"/>
              <w:bottom w:val="single" w:sz="4" w:space="0" w:color="auto"/>
              <w:right w:val="single" w:sz="4" w:space="0" w:color="auto"/>
            </w:tcBorders>
            <w:shd w:val="clear" w:color="auto" w:fill="auto"/>
            <w:vAlign w:val="bottom"/>
          </w:tcPr>
          <w:p w14:paraId="648125A9" w14:textId="77777777" w:rsidR="00196808" w:rsidRPr="001D0ADC" w:rsidRDefault="00196808" w:rsidP="00196808">
            <w:pPr>
              <w:pStyle w:val="NoSpacing"/>
              <w:ind w:firstLine="0"/>
              <w:rPr>
                <w:color w:val="auto"/>
                <w:lang w:val="en-GB" w:eastAsia="cs-CZ"/>
              </w:rPr>
            </w:pPr>
            <w:r w:rsidRPr="001D0ADC">
              <w:rPr>
                <w:color w:val="auto"/>
                <w:lang w:val="en-GB" w:eastAsia="cs-CZ"/>
              </w:rPr>
              <w:t>EC20 for ER activation, IC20 for ER inhibition</w:t>
            </w:r>
          </w:p>
        </w:tc>
        <w:tc>
          <w:tcPr>
            <w:tcW w:w="2633" w:type="dxa"/>
            <w:tcBorders>
              <w:top w:val="single" w:sz="4" w:space="0" w:color="auto"/>
              <w:left w:val="nil"/>
              <w:bottom w:val="single" w:sz="4" w:space="0" w:color="auto"/>
              <w:right w:val="single" w:sz="4" w:space="0" w:color="auto"/>
            </w:tcBorders>
          </w:tcPr>
          <w:p w14:paraId="498EB756" w14:textId="77777777" w:rsidR="00196808" w:rsidRPr="001D0ADC" w:rsidRDefault="00196808" w:rsidP="00196808">
            <w:pPr>
              <w:pStyle w:val="NoSpacing"/>
              <w:ind w:firstLine="0"/>
              <w:rPr>
                <w:color w:val="auto"/>
                <w:lang w:val="en-GB" w:eastAsia="cs-CZ"/>
              </w:rPr>
            </w:pPr>
            <w:r w:rsidRPr="001D0ADC">
              <w:rPr>
                <w:color w:val="auto"/>
                <w:lang w:val="en-GB" w:eastAsia="cs-CZ"/>
              </w:rPr>
              <w:t>in vitro (ZFL with Era and ERb2)</w:t>
            </w:r>
          </w:p>
        </w:tc>
        <w:tc>
          <w:tcPr>
            <w:tcW w:w="1967" w:type="dxa"/>
            <w:tcBorders>
              <w:top w:val="single" w:sz="4" w:space="0" w:color="auto"/>
              <w:left w:val="single" w:sz="4" w:space="0" w:color="auto"/>
              <w:bottom w:val="single" w:sz="4" w:space="0" w:color="auto"/>
              <w:right w:val="single" w:sz="4" w:space="0" w:color="auto"/>
            </w:tcBorders>
          </w:tcPr>
          <w:p w14:paraId="031C2A26"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A89A75A"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{"citationID":"toqUPrZi","properties":{"formattedCitation":"(Serra et al. 2019)","plainCitation":"(Serra et al. 2019)","noteIndex":0},"citationItems":[{"id":1217,"uris":["http://zotero.org/users/11614927/items/4SDEJIVW"],"itemData":{"id":1217,"type":"article-journal","abstract":"Some recent studies showed that in vitro bioassays based on ﬁsh or human estrogen receptor (ER) activation may have distinct responses to environmental samples, highlighting the need to better understand bioassay-speciﬁc ER response to environmental mixtures. For this purpose, we investigated a 12-compound mixture in two mixture ratios (M1 and M2) on zebraﬁsh (zf) liver cells stably expressing zfERa (ZELHa cells) or zfERb2 (ZELHb2 cells) and on human ER-reporter gene (MELN) cells. The mixture included the well-known ER ligands bisphenol A (BPA) and genistein (GEN), and other compounds representatives of a freshwater background contamination. In this context, the study aimed at assessing the robustness of concentration addition (CA) model and the potential confounding inﬂuence of other chemicals by testing subgroups of ER activators, ER inhibitors or ER activators and inhibitors combined. Individual chemical testing showed a higher prevalence of ER inhibitors in zebraﬁsh than human cells (e.g. propiconazole), and some chemicals inhibited zfER but activated hER response (e.g. benzo(a)pyrene, triphenylphosphate). The estrogenic activity of M1 and M2 was well predicted by CA in MELN cells, whereas it was signiﬁcantly lower than predicted in ZELHb2 cells, contrasting with the additive effects observed for BPA and GEN binary mixtures. When testing the subgroups of ER activators and inhibitors combined, the deviation from additivity in ZELHb2 cells was caused by zebraﬁsh-speciﬁc inhibiting chemicals. This study provides novel information on the ability of environmental pollutants to interfere with zfER signalling and shows that non-estrogenic chemicals can inﬂuence the response to a mixture of xeno-estrogens in a bioassay-speciﬁc manner.","container-title":"Chemosphere","DOI":"10.1016/j.chemosphere.2019.04.060","ISSN":"00456535","journalAbbreviation":"Chemosphere","language":"en","page":"334-344","source":"DOI.org (Crossref)","title":"Combined effects of environmental xeno-estrogens within multi-component mixtures: Comparison of in vitro human- and zebrafish-based estrogenicity bioassays","title-short":"Combined effects of environmental xeno-estrogens within multi-component mixtures","volume":"227","author":[{"family":"Serra","given":"Hélène"},{"family":"Scholze","given":"Martin"},{"family":"Altenburger","given":"Rolf"},{"family":"Busch","given":"Wibke"},{"family":"Budzinski","given":"Hélène"},{"family":"Brion","given":"François"},{"family":"Aït-Aïssa","given":"Selim"}],"issued":{"date-parts":[["2019",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(Serra et al. 2019)</w:t>
            </w:r>
            <w:r w:rsidRPr="001D0ADC">
              <w:rPr>
                <w:color w:val="auto"/>
                <w:lang w:val="en-GB" w:eastAsia="cs-CZ"/>
              </w:rPr>
              <w:fldChar w:fldCharType="end"/>
            </w:r>
          </w:p>
        </w:tc>
      </w:tr>
      <w:tr w:rsidR="001D0ADC" w:rsidRPr="001D0ADC" w14:paraId="26090DEC"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1678D4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CA48882" w14:textId="77777777" w:rsidR="00196808" w:rsidRPr="001D0ADC" w:rsidRDefault="00196808" w:rsidP="00196808">
            <w:pPr>
              <w:pStyle w:val="NoSpacing"/>
              <w:ind w:firstLine="0"/>
              <w:rPr>
                <w:color w:val="auto"/>
                <w:lang w:val="en-GB" w:eastAsia="cs-CZ"/>
              </w:rPr>
            </w:pPr>
            <w:r w:rsidRPr="001D0ADC">
              <w:rPr>
                <w:color w:val="auto"/>
                <w:lang w:val="en-GB" w:eastAsia="cs-CZ"/>
              </w:rPr>
              <w:t>527</w:t>
            </w:r>
          </w:p>
        </w:tc>
        <w:tc>
          <w:tcPr>
            <w:tcW w:w="4520" w:type="dxa"/>
            <w:tcBorders>
              <w:top w:val="single" w:sz="4" w:space="0" w:color="auto"/>
              <w:left w:val="nil"/>
              <w:bottom w:val="single" w:sz="4" w:space="0" w:color="auto"/>
              <w:right w:val="single" w:sz="4" w:space="0" w:color="auto"/>
            </w:tcBorders>
            <w:shd w:val="clear" w:color="auto" w:fill="auto"/>
            <w:vAlign w:val="bottom"/>
          </w:tcPr>
          <w:p w14:paraId="0F15AC49"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4D7F23D1"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RTG-2 MTT</w:t>
            </w:r>
          </w:p>
        </w:tc>
        <w:tc>
          <w:tcPr>
            <w:tcW w:w="1967" w:type="dxa"/>
            <w:tcBorders>
              <w:top w:val="single" w:sz="4" w:space="0" w:color="auto"/>
              <w:left w:val="single" w:sz="4" w:space="0" w:color="auto"/>
              <w:bottom w:val="single" w:sz="4" w:space="0" w:color="auto"/>
              <w:right w:val="single" w:sz="4" w:space="0" w:color="auto"/>
            </w:tcBorders>
          </w:tcPr>
          <w:p w14:paraId="218DE4B7"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B8C0783"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{"citationID":"Z0KZJ2zw","properties":{"formattedCitation":"(Caminada, Escher, and Fent 2006)","plainCitation":"(Caminada, Escher, and Fent 2006)","noteIndex":0},"citationItems":[{"id":1190,"uris":["http://zotero.org/users/11614927/items/PF8NEWNG"],"itemData":{"id":1190,"type":"article-journal","abstract":"There is need for a better understanding of the ecotoxicity of pharmaceuticals present in aquatic systems as only little is known about their potential acute and chronic toxicity to aquatic organisms. In our work, we evaluate the in vitro cytotoxicity of 34 common pharmaceuticals from different classes and with different modes of action using the mitochondrial MTT reduction and neutral red uptake assays in the two ﬁsh cell lines, PLHC-1 and RTG-2. Cytotoxicity was found for 21 pharmaceuticals with EC50-values ranging from 2.1 </w:instrText>
            </w:r>
            <w:r w:rsidRPr="001D0ADC">
              <w:rPr>
                <w:rFonts w:cs="Times New Roman"/>
                <w:color w:val="auto"/>
                <w:lang w:val="en-GB" w:eastAsia="cs-CZ"/>
              </w:rPr>
              <w:instrText>␮</w:instrText>
            </w:r>
            <w:r w:rsidRPr="001D0ADC">
              <w:rPr>
                <w:color w:val="auto"/>
                <w:lang w:val="en-GB" w:eastAsia="cs-CZ"/>
              </w:rPr>
              <w:instrText xml:space="preserve">M (1.14 mg l−1) (doxorubicin) to 8.66 mM (1200 mg l−1) (salicylic acid). There was no signiﬁcant difference between the MTT and NR assays except for an increase in absorption observed with four pharmaceuticals at low concentrations in the MTT assay with PLHC-1 cells indicating a hormesis effect. The comparison of the cell lines revealed that the PLHC-1 cell line was slightly more sensitive than the RTG-2 cell line, showing cytotoxicity at smaller concentrations. The cytotoxicity of pharmaceuticals showed a correlation with their Log D-values at physiological conditions (pH 7.0). A correlation between the in vitro data and in vivo data was found for Daphnia, but not for ﬁsh due to insufﬁcient and heterogeneous data. Our work provides an indication that in vitro cytotoxicity assays with ﬁsh cell lines could be suited for the ﬁrst screening of the acute in vivo toxicity of pharmaceuticals, thereby contributing to the reduction of in vivo experiments. Further investigations with a larger set of pharmaceuticals are needed to strengthen the reliability of the assays and to validate the correlation with in vivo data.","container-title":"Aquatic Toxicology","DOI":"10.1016/j.aquatox.2006.05.010","ISSN":"0166445X","issue":"2","journalAbbreviation":"Aquatic Toxicology","language":"en","page":"114-123","source":"DOI.org (Crossref)","title":"Cytotoxicity of pharmaceuticals found in aquatic systems: Comparison of PLHC-1 and RTG-2 fish cell lines","title-short":"Cytotoxicity of pharmaceuticals found in aquatic systems","volume":"79","author":[{"family":"Caminada","given":"Daniel"},{"family":"Escher","given":"Claudia"},{"family":"Fent","given":"Karl"}],"issued":{"date-parts":[["2006",8]]}}}],"schema":"https://github.com/citation-style-language/schema/raw/master/csl-citation.json"}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(Caminada, Escher, and Fent 2006)</w:t>
            </w:r>
            <w:r w:rsidRPr="001D0ADC">
              <w:rPr>
                <w:color w:val="auto"/>
                <w:lang w:val="en-GB" w:eastAsia="cs-CZ"/>
              </w:rPr>
              <w:fldChar w:fldCharType="end"/>
            </w:r>
          </w:p>
        </w:tc>
      </w:tr>
      <w:tr w:rsidR="001D0ADC" w:rsidRPr="001D0ADC" w14:paraId="68C932BD"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467EEB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23D2C4E" w14:textId="5E089855" w:rsidR="00196808" w:rsidRPr="001D0ADC" w:rsidRDefault="00196808" w:rsidP="00196808">
            <w:pPr>
              <w:pStyle w:val="NoSpacing"/>
              <w:ind w:firstLine="0"/>
              <w:rPr>
                <w:color w:val="auto"/>
                <w:lang w:val="en-GB" w:eastAsia="cs-CZ"/>
              </w:rPr>
            </w:pPr>
            <w:r w:rsidRPr="001D0ADC">
              <w:rPr>
                <w:color w:val="auto"/>
                <w:lang w:val="en-GB" w:eastAsia="cs-CZ"/>
              </w:rPr>
              <w:t>7</w:t>
            </w:r>
            <w:r w:rsidR="00CF2036" w:rsidRPr="001D0ADC">
              <w:rPr>
                <w:color w:val="auto"/>
                <w:lang w:val="en-GB" w:eastAsia="cs-CZ"/>
              </w:rPr>
              <w:t>1.</w:t>
            </w:r>
            <w:r w:rsidRPr="001D0ADC">
              <w:rPr>
                <w:color w:val="auto"/>
                <w:lang w:val="en-GB" w:eastAsia="cs-CZ"/>
              </w:rPr>
              <w:t>95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FD9A006"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3ADCF167"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MTT</w:t>
            </w:r>
          </w:p>
        </w:tc>
        <w:tc>
          <w:tcPr>
            <w:tcW w:w="1967" w:type="dxa"/>
            <w:tcBorders>
              <w:top w:val="single" w:sz="4" w:space="0" w:color="auto"/>
              <w:left w:val="single" w:sz="4" w:space="0" w:color="auto"/>
              <w:bottom w:val="single" w:sz="4" w:space="0" w:color="auto"/>
              <w:right w:val="single" w:sz="4" w:space="0" w:color="auto"/>
            </w:tcBorders>
          </w:tcPr>
          <w:p w14:paraId="4925D37C"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right w:val="single" w:sz="4" w:space="0" w:color="auto"/>
            </w:tcBorders>
            <w:shd w:val="clear" w:color="auto" w:fill="auto"/>
            <w:vAlign w:val="bottom"/>
          </w:tcPr>
          <w:p w14:paraId="4B2F186F" w14:textId="77777777" w:rsidR="00196808" w:rsidRPr="001D0ADC" w:rsidRDefault="00196808" w:rsidP="00196808">
            <w:pPr>
              <w:pStyle w:val="NoSpacing"/>
              <w:ind w:firstLine="0"/>
              <w:rPr>
                <w:color w:val="auto"/>
                <w:lang w:val="en-GB" w:eastAsia="cs-CZ"/>
              </w:rPr>
            </w:pPr>
          </w:p>
        </w:tc>
      </w:tr>
      <w:tr w:rsidR="001D0ADC" w:rsidRPr="001D0ADC" w14:paraId="46609550"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9AC636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56DA7EE" w14:textId="033F71D7" w:rsidR="00196808" w:rsidRPr="001D0ADC" w:rsidRDefault="00196808" w:rsidP="00196808">
            <w:pPr>
              <w:pStyle w:val="NoSpacing"/>
              <w:ind w:firstLine="0"/>
              <w:rPr>
                <w:color w:val="auto"/>
                <w:lang w:val="en-GB" w:eastAsia="cs-CZ"/>
              </w:rPr>
            </w:pPr>
            <w:r w:rsidRPr="001D0ADC">
              <w:rPr>
                <w:color w:val="auto"/>
                <w:lang w:val="en-GB" w:eastAsia="cs-CZ"/>
              </w:rPr>
              <w:t>7</w:t>
            </w:r>
            <w:r w:rsidR="00CF2036" w:rsidRPr="001D0ADC">
              <w:rPr>
                <w:color w:val="auto"/>
                <w:lang w:val="en-GB" w:eastAsia="cs-CZ"/>
              </w:rPr>
              <w:t>9.</w:t>
            </w:r>
            <w:r w:rsidRPr="001D0ADC">
              <w:rPr>
                <w:color w:val="auto"/>
                <w:lang w:val="en-GB" w:eastAsia="cs-CZ"/>
              </w:rPr>
              <w:t>65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AD01C91"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2CE4CEFA"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NR</w:t>
            </w:r>
          </w:p>
        </w:tc>
        <w:tc>
          <w:tcPr>
            <w:tcW w:w="1967" w:type="dxa"/>
            <w:tcBorders>
              <w:top w:val="single" w:sz="4" w:space="0" w:color="auto"/>
              <w:left w:val="single" w:sz="4" w:space="0" w:color="auto"/>
              <w:bottom w:val="single" w:sz="4" w:space="0" w:color="auto"/>
              <w:right w:val="single" w:sz="4" w:space="0" w:color="auto"/>
            </w:tcBorders>
          </w:tcPr>
          <w:p w14:paraId="60E520AA"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bottom w:val="single" w:sz="4" w:space="0" w:color="auto"/>
              <w:right w:val="single" w:sz="4" w:space="0" w:color="auto"/>
            </w:tcBorders>
            <w:shd w:val="clear" w:color="auto" w:fill="auto"/>
            <w:vAlign w:val="bottom"/>
          </w:tcPr>
          <w:p w14:paraId="5122FD69" w14:textId="77777777" w:rsidR="00196808" w:rsidRPr="001D0ADC" w:rsidRDefault="00196808" w:rsidP="00196808">
            <w:pPr>
              <w:pStyle w:val="NoSpacing"/>
              <w:ind w:firstLine="0"/>
              <w:rPr>
                <w:color w:val="auto"/>
                <w:lang w:val="en-GB" w:eastAsia="cs-CZ"/>
              </w:rPr>
            </w:pPr>
          </w:p>
        </w:tc>
      </w:tr>
      <w:tr w:rsidR="001D0ADC" w:rsidRPr="001D0ADC" w14:paraId="15CDD59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24CF4A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D539026" w14:textId="3DDF5B07"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92</w:t>
            </w:r>
          </w:p>
        </w:tc>
        <w:tc>
          <w:tcPr>
            <w:tcW w:w="4520" w:type="dxa"/>
            <w:tcBorders>
              <w:top w:val="single" w:sz="4" w:space="0" w:color="auto"/>
              <w:left w:val="nil"/>
              <w:bottom w:val="single" w:sz="4" w:space="0" w:color="auto"/>
              <w:right w:val="single" w:sz="4" w:space="0" w:color="auto"/>
            </w:tcBorders>
            <w:shd w:val="clear" w:color="auto" w:fill="auto"/>
            <w:vAlign w:val="bottom"/>
          </w:tcPr>
          <w:p w14:paraId="69CDF2F2" w14:textId="77777777" w:rsidR="00196808" w:rsidRPr="001D0ADC" w:rsidRDefault="00196808" w:rsidP="00196808">
            <w:pPr>
              <w:pStyle w:val="NoSpacing"/>
              <w:ind w:firstLine="0"/>
              <w:rPr>
                <w:color w:val="auto"/>
                <w:lang w:val="en-GB" w:eastAsia="cs-CZ"/>
              </w:rPr>
            </w:pPr>
            <w:r w:rsidRPr="001D0ADC">
              <w:rPr>
                <w:color w:val="auto"/>
                <w:lang w:val="en-GB" w:eastAsia="cs-CZ"/>
              </w:rPr>
              <w:t>NOEC for viability</w:t>
            </w:r>
          </w:p>
        </w:tc>
        <w:tc>
          <w:tcPr>
            <w:tcW w:w="2633" w:type="dxa"/>
            <w:vMerge w:val="restart"/>
            <w:tcBorders>
              <w:top w:val="single" w:sz="4" w:space="0" w:color="auto"/>
              <w:left w:val="nil"/>
              <w:right w:val="single" w:sz="4" w:space="0" w:color="auto"/>
            </w:tcBorders>
          </w:tcPr>
          <w:p w14:paraId="1CEE2966"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In vitro PLHC-1 </w:t>
            </w:r>
          </w:p>
        </w:tc>
        <w:tc>
          <w:tcPr>
            <w:tcW w:w="1967" w:type="dxa"/>
            <w:tcBorders>
              <w:top w:val="single" w:sz="4" w:space="0" w:color="auto"/>
              <w:left w:val="single" w:sz="4" w:space="0" w:color="auto"/>
              <w:bottom w:val="single" w:sz="4" w:space="0" w:color="auto"/>
              <w:right w:val="single" w:sz="4" w:space="0" w:color="auto"/>
            </w:tcBorders>
          </w:tcPr>
          <w:p w14:paraId="77B6EEB7"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3FF0D951"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{"citationID":"xmtielag","properties":{"formattedCitation":"(Thibaut and Porte 2008)","plainCitation":"(Thibaut and Porte 2008)","noteIndex":0},"citationItems":[{"id":1219,"uris":["http://zotero.org/users/11614927/items/W5MVSDY6"],"itemData":{"id":1219,"type":"article-journal","abstract":"Effects of 11 pharmaceuticals belonging to three therapeutic classes (lipid regulators from the ﬁbrate group, non-steroidal anti-inﬂammatory drugs and anti-depressives from the selective serotonin reuptake inhibitors group) were assessed in the ﬁsh hepatoma cell line (PLHC-1) by looking at cytotoxicity and interactions with cytochrome P450 1A (CYP1A) function. Among the tested pharmaceuticals, ﬂuoxetine and paroxetine exerted cytotoxic effects, cell viability decreased to 52% and 6% after 24 h of exposure to 20 lM ﬂuoxetine and paroxetine, respectively. The cytotoxicity of both compounds was modulated by cytochrome P450 inhibitors and was dramatically reduced when culture medium was supplemented with reduced glutathione and vitamin E succinate. Additionally, exposure of PLHC-1 cells to some pharmaceuticals led to an early and transient induction of ethoxyresoruﬁn O-deethylase (EROD) activity: bezaﬁbrate and antidepressants induced EROD activity at a concentration of 1 lM whereas cloﬁbrate, ibuprofen and naproxen acted as inducers at a higher concentration (10 lM). These effects might be of toxicological concern since alterations of CYP1A may affect xenobiotic metabolism and toxicity.","container-title":"Toxicology in Vitro","DOI":"10.1016/j.tiv.2008.02.020","ISSN":"08872333","issue":"5","journalAbbreviation":"Toxicology in Vitro","language":"en","page":"1128-1135","source":"DOI.org (Crossref)","title":"Effects of fibrates, anti-inflammatory drugs and antidepressants in the fish hepatoma cell line PLHC-1: Cytotoxicity and interactions with cytochrome P450 1A","title-short":"Effects of fibrates, anti-inflammatory drugs and antidepressants in the fish hepatoma cell line PLHC-1","volume":"22","author":[{"family":"Thibaut","given":"Rémi"},{"family":"Porte","given":"Cinta"}],"issued":{"date-parts":[["2008",8]]}}}],"schema":"https://github.com/citation-style-language/schema/raw/master/csl-citation.json"}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(Thibaut and Porte 2008)</w:t>
            </w:r>
            <w:r w:rsidRPr="001D0ADC">
              <w:rPr>
                <w:color w:val="auto"/>
                <w:lang w:val="en-GB" w:eastAsia="cs-CZ"/>
              </w:rPr>
              <w:fldChar w:fldCharType="end"/>
            </w:r>
          </w:p>
        </w:tc>
      </w:tr>
      <w:tr w:rsidR="001D0ADC" w:rsidRPr="001D0ADC" w14:paraId="1467219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486C6B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1810B75" w14:textId="528CDFEF" w:rsidR="00196808" w:rsidRPr="001D0ADC" w:rsidRDefault="00CF2036" w:rsidP="00196808">
            <w:pPr>
              <w:pStyle w:val="NoSpacing"/>
              <w:ind w:firstLine="0"/>
              <w:rPr>
                <w:color w:val="auto"/>
                <w:lang w:val="en-GB" w:eastAsia="cs-CZ"/>
              </w:rPr>
            </w:pPr>
            <w:r w:rsidRPr="001D0ADC">
              <w:rPr>
                <w:color w:val="auto"/>
                <w:lang w:val="en-GB" w:eastAsia="cs-CZ"/>
              </w:rPr>
              <w:t>2.</w:t>
            </w:r>
            <w:r w:rsidR="00196808" w:rsidRPr="001D0ADC">
              <w:rPr>
                <w:color w:val="auto"/>
                <w:lang w:val="en-GB" w:eastAsia="cs-CZ"/>
              </w:rPr>
              <w:t>96</w:t>
            </w:r>
          </w:p>
        </w:tc>
        <w:tc>
          <w:tcPr>
            <w:tcW w:w="4520" w:type="dxa"/>
            <w:tcBorders>
              <w:top w:val="single" w:sz="4" w:space="0" w:color="auto"/>
              <w:left w:val="nil"/>
              <w:bottom w:val="single" w:sz="4" w:space="0" w:color="auto"/>
              <w:right w:val="single" w:sz="4" w:space="0" w:color="auto"/>
            </w:tcBorders>
            <w:shd w:val="clear" w:color="auto" w:fill="auto"/>
            <w:vAlign w:val="bottom"/>
          </w:tcPr>
          <w:p w14:paraId="1EA13FDA" w14:textId="77777777" w:rsidR="00196808" w:rsidRPr="001D0ADC" w:rsidRDefault="00196808" w:rsidP="00196808">
            <w:pPr>
              <w:pStyle w:val="NoSpacing"/>
              <w:ind w:firstLine="0"/>
              <w:rPr>
                <w:color w:val="auto"/>
                <w:lang w:val="en-GB" w:eastAsia="cs-CZ"/>
              </w:rPr>
            </w:pPr>
            <w:r w:rsidRPr="001D0ADC">
              <w:rPr>
                <w:color w:val="auto"/>
                <w:lang w:val="en-GB" w:eastAsia="cs-CZ"/>
              </w:rPr>
              <w:t>LOEC for EROD induction</w:t>
            </w:r>
          </w:p>
        </w:tc>
        <w:tc>
          <w:tcPr>
            <w:tcW w:w="2633" w:type="dxa"/>
            <w:vMerge/>
            <w:tcBorders>
              <w:left w:val="nil"/>
              <w:bottom w:val="single" w:sz="4" w:space="0" w:color="auto"/>
              <w:right w:val="single" w:sz="4" w:space="0" w:color="auto"/>
            </w:tcBorders>
          </w:tcPr>
          <w:p w14:paraId="2B1B5873"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531D0DD7" w14:textId="77777777" w:rsidR="00196808" w:rsidRPr="001D0ADC" w:rsidRDefault="00196808" w:rsidP="00196808">
            <w:pPr>
              <w:pStyle w:val="NoSpacing"/>
              <w:ind w:firstLine="0"/>
              <w:rPr>
                <w:color w:val="auto"/>
                <w:lang w:val="en-GB" w:eastAsia="cs-CZ"/>
              </w:rPr>
            </w:pPr>
            <w:r w:rsidRPr="001D0ADC">
              <w:rPr>
                <w:color w:val="auto"/>
                <w:lang w:val="en-GB" w:eastAsia="cs-CZ"/>
              </w:rPr>
              <w:t>6h</w:t>
            </w:r>
          </w:p>
        </w:tc>
        <w:tc>
          <w:tcPr>
            <w:tcW w:w="2300" w:type="dxa"/>
            <w:vMerge/>
            <w:tcBorders>
              <w:left w:val="single" w:sz="4" w:space="0" w:color="auto"/>
              <w:bottom w:val="single" w:sz="4" w:space="0" w:color="auto"/>
              <w:right w:val="single" w:sz="4" w:space="0" w:color="auto"/>
            </w:tcBorders>
            <w:shd w:val="clear" w:color="auto" w:fill="auto"/>
            <w:vAlign w:val="bottom"/>
          </w:tcPr>
          <w:p w14:paraId="1CA8D7AF" w14:textId="77777777" w:rsidR="00196808" w:rsidRPr="001D0ADC" w:rsidRDefault="00196808" w:rsidP="00196808">
            <w:pPr>
              <w:pStyle w:val="NoSpacing"/>
              <w:ind w:firstLine="0"/>
              <w:rPr>
                <w:color w:val="auto"/>
                <w:lang w:val="en-GB" w:eastAsia="cs-CZ"/>
              </w:rPr>
            </w:pPr>
          </w:p>
        </w:tc>
      </w:tr>
      <w:tr w:rsidR="001D0ADC" w:rsidRPr="001D0ADC" w14:paraId="69413040"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380E04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22984CD" w14:textId="5C839D2C"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63</w:t>
            </w:r>
          </w:p>
        </w:tc>
        <w:tc>
          <w:tcPr>
            <w:tcW w:w="4520" w:type="dxa"/>
            <w:tcBorders>
              <w:top w:val="single" w:sz="4" w:space="0" w:color="auto"/>
              <w:left w:val="nil"/>
              <w:bottom w:val="single" w:sz="4" w:space="0" w:color="auto"/>
              <w:right w:val="single" w:sz="4" w:space="0" w:color="auto"/>
            </w:tcBorders>
            <w:shd w:val="clear" w:color="auto" w:fill="auto"/>
            <w:vAlign w:val="bottom"/>
          </w:tcPr>
          <w:p w14:paraId="5DD860FF" w14:textId="77777777" w:rsidR="00196808" w:rsidRPr="001D0ADC" w:rsidRDefault="00196808" w:rsidP="00196808">
            <w:pPr>
              <w:pStyle w:val="NoSpacing"/>
              <w:ind w:firstLine="0"/>
              <w:rPr>
                <w:color w:val="auto"/>
                <w:lang w:val="en-GB" w:eastAsia="cs-CZ"/>
              </w:rPr>
            </w:pPr>
            <w:r w:rsidRPr="001D0ADC">
              <w:rPr>
                <w:color w:val="auto"/>
                <w:lang w:val="en-GB" w:eastAsia="cs-CZ"/>
              </w:rPr>
              <w:t>EC50 cytotoxicity MTT</w:t>
            </w:r>
          </w:p>
        </w:tc>
        <w:tc>
          <w:tcPr>
            <w:tcW w:w="2633" w:type="dxa"/>
            <w:tcBorders>
              <w:left w:val="nil"/>
              <w:bottom w:val="single" w:sz="4" w:space="0" w:color="auto"/>
              <w:right w:val="single" w:sz="4" w:space="0" w:color="auto"/>
            </w:tcBorders>
          </w:tcPr>
          <w:p w14:paraId="510DFD23"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w:t>
            </w:r>
          </w:p>
        </w:tc>
        <w:tc>
          <w:tcPr>
            <w:tcW w:w="1967" w:type="dxa"/>
            <w:tcBorders>
              <w:top w:val="single" w:sz="4" w:space="0" w:color="auto"/>
              <w:left w:val="single" w:sz="4" w:space="0" w:color="auto"/>
              <w:bottom w:val="single" w:sz="4" w:space="0" w:color="auto"/>
              <w:right w:val="single" w:sz="4" w:space="0" w:color="auto"/>
            </w:tcBorders>
          </w:tcPr>
          <w:p w14:paraId="20B51423"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left w:val="single" w:sz="4" w:space="0" w:color="auto"/>
              <w:bottom w:val="single" w:sz="4" w:space="0" w:color="auto"/>
              <w:right w:val="single" w:sz="4" w:space="0" w:color="auto"/>
            </w:tcBorders>
            <w:shd w:val="clear" w:color="auto" w:fill="auto"/>
            <w:vAlign w:val="bottom"/>
          </w:tcPr>
          <w:p w14:paraId="5DD2562F"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{"citationID":"J7HHpsPy","properties":{"formattedCitation":"(Laville et al. 2004)","plainCitation":"(Laville et al. 2004)","noteIndex":0},"citationItems":[{"id":1264,"uris":["http://zotero.org/users/11614927/items/42IL9Z9R"],"itemData":{"id":1264,"type":"article-journal","abstract":"Pharmaceuticals are found in the aquatic environment but their potential effects on non-target species like ﬁsh remain unknown. This in vitro study is a ﬁrst approach in the toxicity assessment of human drugs on ﬁsh. Nine pharmaceuticals were tested on two ﬁsh hepatocyte models: primary cultures of rainbow trout hepatocytes (PRTH) and PLHC-1 ﬁsh cell line. Cell viability, interaction with cytochrome P450 1A (CYP1A) enzyme and oxidative stress were assessed by using 3-(4,5-dimethylthiazol-2-yl)-2,5-diphenyltetrasodium bromide tetrazolium (MTT), 7-ethoxyresoruﬁn-o-deethylase (EROD) and dichloroﬂuorescein (DCFH-DA) assays, respectively. The tested drugs were cloﬁbrate (CF), fenoﬁbrate (FF), carbamazepine (CBZ), ﬂuoxetine (FX), diclofenac (DiCF), propranolol (POH), sulfamethoxazole (SFX), amoxicillin (AMX) and gadolinium chloride (GdCl3). All substances were cytotoxic, except AMX at concentration up to 500 </w:instrText>
            </w:r>
            <w:r w:rsidRPr="001D0ADC">
              <w:rPr>
                <w:rFonts w:cs="Times New Roman"/>
                <w:color w:val="auto"/>
                <w:lang w:val="en-GB" w:eastAsia="cs-CZ"/>
              </w:rPr>
              <w:instrText>␮</w:instrText>
            </w:r>
            <w:r w:rsidRPr="001D0ADC">
              <w:rPr>
                <w:color w:val="auto"/>
                <w:lang w:val="en-GB" w:eastAsia="cs-CZ"/>
              </w:rPr>
              <w:instrText xml:space="preserve">M. The calculated MTT EC50 values ranged from 2 </w:instrText>
            </w:r>
            <w:r w:rsidRPr="001D0ADC">
              <w:rPr>
                <w:rFonts w:cs="Times New Roman"/>
                <w:color w:val="auto"/>
                <w:lang w:val="en-GB" w:eastAsia="cs-CZ"/>
              </w:rPr>
              <w:instrText>␮</w:instrText>
            </w:r>
            <w:r w:rsidRPr="001D0ADC">
              <w:rPr>
                <w:color w:val="auto"/>
                <w:lang w:val="en-GB" w:eastAsia="cs-CZ"/>
              </w:rPr>
              <w:instrText xml:space="preserve">M (CF) to 651 </w:instrText>
            </w:r>
            <w:r w:rsidRPr="001D0ADC">
              <w:rPr>
                <w:rFonts w:cs="Times New Roman"/>
                <w:color w:val="auto"/>
                <w:lang w:val="en-GB" w:eastAsia="cs-CZ"/>
              </w:rPr>
              <w:instrText>␮</w:instrText>
            </w:r>
            <w:r w:rsidRPr="001D0ADC">
              <w:rPr>
                <w:color w:val="auto"/>
                <w:lang w:val="en-GB" w:eastAsia="cs-CZ"/>
              </w:rPr>
              <w:instrText xml:space="preserve">M (CBZ) in PLHC-1, and from 53 </w:instrText>
            </w:r>
            <w:r w:rsidRPr="001D0ADC">
              <w:rPr>
                <w:rFonts w:cs="Times New Roman"/>
                <w:color w:val="auto"/>
                <w:lang w:val="en-GB" w:eastAsia="cs-CZ"/>
              </w:rPr>
              <w:instrText>␮</w:instrText>
            </w:r>
            <w:r w:rsidRPr="001D0ADC">
              <w:rPr>
                <w:color w:val="auto"/>
                <w:lang w:val="en-GB" w:eastAsia="cs-CZ"/>
              </w:rPr>
              <w:instrText xml:space="preserve">M (FF) to 962 </w:instrText>
            </w:r>
            <w:r w:rsidRPr="001D0ADC">
              <w:rPr>
                <w:rFonts w:cs="Times New Roman"/>
                <w:color w:val="auto"/>
                <w:lang w:val="en-GB" w:eastAsia="cs-CZ"/>
              </w:rPr>
              <w:instrText>␮</w:instrText>
            </w:r>
            <w:r w:rsidRPr="001D0ADC">
              <w:rPr>
                <w:color w:val="auto"/>
                <w:lang w:val="en-GB" w:eastAsia="cs-CZ"/>
              </w:rPr>
              <w:instrText xml:space="preserve">M (GdCl3) in PRTH. CF, FF, and FX were the most cytotoxic drugs and induced oxidative stress before being cytotoxic. Compared to hepatocytes from human and dog, </w:instrText>
            </w:r>
            <w:r w:rsidRPr="001D0ADC">
              <w:rPr>
                <w:rFonts w:cs="Times New Roman"/>
                <w:color w:val="auto"/>
                <w:lang w:val="en-GB" w:eastAsia="cs-CZ"/>
              </w:rPr>
              <w:instrText>ﬁ</w:instrText>
            </w:r>
            <w:r w:rsidRPr="001D0ADC">
              <w:rPr>
                <w:color w:val="auto"/>
                <w:lang w:val="en-GB" w:eastAsia="cs-CZ"/>
              </w:rPr>
              <w:instrText xml:space="preserve">sh hepatocytes seemed to be more susceptible to the peroxisome proliferators (PPs) CF and FF. In PLHC-1 cells none of the tested drugs induced the EROD activity whereas POH appeared as a weak EROD inducer in PRTH. Moreover, in PRTH, SFX, DiCF, CBZ and to a lesser extend, FF and CF inhibited the basal EROD activity at clearly sublethal concentrations which may be of concern at the biological and chemical levels in a multipollution context.","container-title":"Toxicology","DOI":"10.1016/j.tox.2003.11.002","ISSN":"0300483X","issue":"1-2","journalAbbreviation":"Toxicology","language":"en","page":"41-55","source":"DOI.org (Crossref)","title":"Effects of human pharmaceuticals on cytotoxicity, EROD activity and ROS production in fish hepatocytes","volume":"196","author":[{"family":"Laville","given":"N"},{"family":"Aı̈t-Aı̈ssa","given":"S"},{"family":"Gomez","given":"E"},{"family":"Casellas","given":"C"},{"family":"Porcher","given":"J.M"}],"issued":{"date-parts":[["2004",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(Laville et al. 2004)</w:t>
            </w:r>
            <w:r w:rsidRPr="001D0ADC">
              <w:rPr>
                <w:color w:val="auto"/>
                <w:lang w:val="en-GB" w:eastAsia="cs-CZ"/>
              </w:rPr>
              <w:fldChar w:fldCharType="end"/>
            </w:r>
          </w:p>
        </w:tc>
      </w:tr>
      <w:tr w:rsidR="001D0ADC" w:rsidRPr="001D0ADC" w14:paraId="35F47CE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4E4E5A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C4B5923" w14:textId="0E031664" w:rsidR="00196808" w:rsidRPr="001D0ADC" w:rsidRDefault="00CF2036" w:rsidP="00196808">
            <w:pPr>
              <w:pStyle w:val="NoSpacing"/>
              <w:ind w:firstLine="0"/>
              <w:rPr>
                <w:color w:val="auto"/>
                <w:lang w:val="en-GB" w:eastAsia="cs-CZ"/>
              </w:rPr>
            </w:pPr>
            <w:r w:rsidRPr="001D0ADC">
              <w:rPr>
                <w:color w:val="auto"/>
                <w:lang w:val="en-GB" w:eastAsia="cs-CZ"/>
              </w:rPr>
              <w:t>7.</w:t>
            </w:r>
            <w:r w:rsidR="00196808" w:rsidRPr="001D0ADC">
              <w:rPr>
                <w:color w:val="auto"/>
                <w:lang w:val="en-GB" w:eastAsia="cs-CZ"/>
              </w:rPr>
              <w:t>4</w:t>
            </w:r>
          </w:p>
        </w:tc>
        <w:tc>
          <w:tcPr>
            <w:tcW w:w="4520" w:type="dxa"/>
            <w:tcBorders>
              <w:top w:val="single" w:sz="4" w:space="0" w:color="auto"/>
              <w:left w:val="nil"/>
              <w:bottom w:val="single" w:sz="4" w:space="0" w:color="auto"/>
              <w:right w:val="single" w:sz="4" w:space="0" w:color="auto"/>
            </w:tcBorders>
            <w:shd w:val="clear" w:color="auto" w:fill="auto"/>
            <w:vAlign w:val="bottom"/>
          </w:tcPr>
          <w:p w14:paraId="51A77E43"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LOEC Efflux pump inhibition </w:t>
            </w:r>
          </w:p>
        </w:tc>
        <w:tc>
          <w:tcPr>
            <w:tcW w:w="2633" w:type="dxa"/>
            <w:vMerge w:val="restart"/>
            <w:tcBorders>
              <w:left w:val="nil"/>
              <w:right w:val="single" w:sz="4" w:space="0" w:color="auto"/>
            </w:tcBorders>
          </w:tcPr>
          <w:p w14:paraId="21A3B56C"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w:t>
            </w:r>
          </w:p>
        </w:tc>
        <w:tc>
          <w:tcPr>
            <w:tcW w:w="1967" w:type="dxa"/>
            <w:vMerge w:val="restart"/>
            <w:tcBorders>
              <w:top w:val="single" w:sz="4" w:space="0" w:color="auto"/>
              <w:left w:val="single" w:sz="4" w:space="0" w:color="auto"/>
              <w:right w:val="single" w:sz="4" w:space="0" w:color="auto"/>
            </w:tcBorders>
          </w:tcPr>
          <w:p w14:paraId="2073A4FC"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left w:val="single" w:sz="4" w:space="0" w:color="auto"/>
              <w:right w:val="single" w:sz="4" w:space="0" w:color="auto"/>
            </w:tcBorders>
            <w:shd w:val="clear" w:color="auto" w:fill="auto"/>
            <w:vAlign w:val="bottom"/>
          </w:tcPr>
          <w:p w14:paraId="0F8D2C98"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{"citationID":"IzUlr4ct","properties":{"formattedCitation":"(Wassmur et al. 2013)","plainCitation":"(Wassmur et al. 2013)","noteIndex":0},"citationItems":[{"id":812,"uris":["http://zotero.org/users/11614927/items/5VVIXG3D"],"itemData":{"id":812,"type":"article-journal","abstract":"Fish are exposed to chemicals, including pharmaceuticals, in their natural habitat. This study focuses on effects of chemicals, including nine classes of pharmaceuticals, on key detoxiﬁcation mechanisms in a ﬁsh liver cell-line (PLHC-1). Chemical interactions were investigated on efﬂux pumps, P-glycoprotein (Pgp) and multidrug resistance associated proteins (MRP1/MRP2), and on biotransformation enzymes, cytochrome P450 (CYP1A/CYP3A). Diclofenac and troleandomycin inhibited efﬂux activities, whereas ethinylestradiol activated efﬂux function. Exposure to troleandomycin and b-naphthoﬂavone induced MRP2 mRNA levels, but no effects were seen on MRP1 or Pgp expressions. Inhibition of CYP1A activities were seen in cells exposed to a-naphthoﬂavone, b-naphthoﬂavone, clotrimazole, nocodazole, ketoconazole, omeprazole, ethinylestradiol, lithocholic acid, rifampicin and troleandomycin. Exposure to fulvestrant, clotrimazole and nocodazole resulted in induction of CYP1A mRNA levels. Although, exposure to nocodazole resulted in disassembled microtubules. A CYP3A-like cDNA sequence was isolated from PLHC-1, but basal expression and activities were low and the gene was not responsive to prototypical CYP3A inducers. Exposure to ibuprofen, lithocholic acid and omeprazole resulted in fragmentation of microtubules. This study revealed multiple interactions on key detoxiﬁcation systems, which illustrates the importance of study effects on regulation combined with functional studies to provide a better picture of the dynamics of the chemical defense system.","container-title":"Toxicology in Vitro","DOI":"10.1016/j.tiv.2012.10.002","ISSN":"08872333","issue":"1","journalAbbreviation":"Toxicology in Vitro","language":"en","page":"111-120","source":"DOI.org (Crossref)","title":"Interactions of pharmaceuticals and other xenobiotics on key detoxification mechanisms and cytoskeleton in Poeciliopsis lucida hepatocellular carcinoma, PLHC-1 cell line","volume":"27","author":[{"family":"Wassmur","given":"Britt"},{"family":"Gräns","given":"Johanna"},{"family":"Norström","given":"Elisabeth"},{"family":"Wallin","given":"Margareta"},{"family":"Celander","given":"Malin C."}],"issued":{"date-parts":[["2013",2]]}}}],"schema":"https://github.com/citation-style-language/schema/raw/master/csl-citation.json"}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(Wassmur et al. 2013)</w:t>
            </w:r>
            <w:r w:rsidRPr="001D0ADC">
              <w:rPr>
                <w:color w:val="auto"/>
                <w:lang w:val="en-GB" w:eastAsia="cs-CZ"/>
              </w:rPr>
              <w:fldChar w:fldCharType="end"/>
            </w:r>
          </w:p>
        </w:tc>
      </w:tr>
      <w:tr w:rsidR="001D0ADC" w:rsidRPr="001D0ADC" w14:paraId="6C0038D3"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F68F19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8097D8E" w14:textId="44768BA2" w:rsidR="00196808" w:rsidRPr="001D0ADC" w:rsidRDefault="00CF2036" w:rsidP="00196808">
            <w:pPr>
              <w:pStyle w:val="NoSpacing"/>
              <w:ind w:firstLine="0"/>
              <w:rPr>
                <w:color w:val="auto"/>
                <w:lang w:val="en-GB" w:eastAsia="cs-CZ"/>
              </w:rPr>
            </w:pPr>
            <w:r w:rsidRPr="001D0ADC">
              <w:rPr>
                <w:color w:val="auto"/>
                <w:lang w:val="en-GB" w:eastAsia="cs-CZ"/>
              </w:rPr>
              <w:t>7.</w:t>
            </w:r>
            <w:r w:rsidR="00196808" w:rsidRPr="001D0ADC">
              <w:rPr>
                <w:color w:val="auto"/>
                <w:lang w:val="en-GB" w:eastAsia="cs-CZ"/>
              </w:rPr>
              <w:t>4</w:t>
            </w:r>
          </w:p>
        </w:tc>
        <w:tc>
          <w:tcPr>
            <w:tcW w:w="4520" w:type="dxa"/>
            <w:tcBorders>
              <w:top w:val="single" w:sz="4" w:space="0" w:color="auto"/>
              <w:left w:val="nil"/>
              <w:bottom w:val="single" w:sz="4" w:space="0" w:color="auto"/>
              <w:right w:val="single" w:sz="4" w:space="0" w:color="auto"/>
            </w:tcBorders>
            <w:shd w:val="clear" w:color="auto" w:fill="auto"/>
            <w:vAlign w:val="bottom"/>
          </w:tcPr>
          <w:p w14:paraId="1F229DE9" w14:textId="77777777" w:rsidR="00196808" w:rsidRPr="001D0ADC" w:rsidRDefault="00196808" w:rsidP="00196808">
            <w:pPr>
              <w:pStyle w:val="NoSpacing"/>
              <w:ind w:firstLine="0"/>
              <w:rPr>
                <w:color w:val="auto"/>
                <w:lang w:val="en-GB" w:eastAsia="cs-CZ"/>
              </w:rPr>
            </w:pPr>
            <w:r w:rsidRPr="001D0ADC">
              <w:rPr>
                <w:color w:val="auto"/>
                <w:lang w:val="en-GB" w:eastAsia="cs-CZ"/>
              </w:rPr>
              <w:t>NOEC for CYP1 activity, gene expression (pumps, CYP), microtubule disruption</w:t>
            </w:r>
          </w:p>
        </w:tc>
        <w:tc>
          <w:tcPr>
            <w:tcW w:w="2633" w:type="dxa"/>
            <w:vMerge/>
            <w:tcBorders>
              <w:left w:val="nil"/>
              <w:bottom w:val="single" w:sz="4" w:space="0" w:color="auto"/>
              <w:right w:val="single" w:sz="4" w:space="0" w:color="auto"/>
            </w:tcBorders>
          </w:tcPr>
          <w:p w14:paraId="0E10A7B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FFF20E6"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99DF656" w14:textId="77777777" w:rsidR="00196808" w:rsidRPr="001D0ADC" w:rsidRDefault="00196808" w:rsidP="00196808">
            <w:pPr>
              <w:pStyle w:val="NoSpacing"/>
              <w:ind w:firstLine="0"/>
              <w:rPr>
                <w:color w:val="auto"/>
                <w:lang w:val="en-GB" w:eastAsia="cs-CZ"/>
              </w:rPr>
            </w:pPr>
          </w:p>
        </w:tc>
      </w:tr>
      <w:tr w:rsidR="001D0ADC" w:rsidRPr="001D0ADC" w14:paraId="43CC985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F90F2F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6C58807" w14:textId="3A6E519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79</w:t>
            </w:r>
          </w:p>
        </w:tc>
        <w:tc>
          <w:tcPr>
            <w:tcW w:w="4520" w:type="dxa"/>
            <w:tcBorders>
              <w:top w:val="single" w:sz="4" w:space="0" w:color="auto"/>
              <w:left w:val="nil"/>
              <w:bottom w:val="single" w:sz="4" w:space="0" w:color="auto"/>
              <w:right w:val="single" w:sz="4" w:space="0" w:color="auto"/>
            </w:tcBorders>
            <w:shd w:val="clear" w:color="auto" w:fill="auto"/>
            <w:vAlign w:val="bottom"/>
          </w:tcPr>
          <w:p w14:paraId="73006B60"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EC50 cytotox. </w:t>
            </w:r>
            <w:r w:rsidRPr="001D0ADC">
              <w:rPr>
                <w:rFonts w:cs="Times New Roman"/>
                <w:color w:val="auto"/>
                <w:lang w:val="en-GB" w:eastAsia="cs-CZ"/>
              </w:rPr>
              <w:t>β</w:t>
            </w:r>
            <w:r w:rsidRPr="001D0ADC">
              <w:rPr>
                <w:color w:val="auto"/>
                <w:lang w:val="en-GB" w:eastAsia="cs-CZ"/>
              </w:rPr>
              <w:t>galactosidase activity inh.</w:t>
            </w:r>
          </w:p>
        </w:tc>
        <w:tc>
          <w:tcPr>
            <w:tcW w:w="2633" w:type="dxa"/>
            <w:vMerge w:val="restart"/>
            <w:tcBorders>
              <w:left w:val="nil"/>
              <w:right w:val="single" w:sz="4" w:space="0" w:color="auto"/>
            </w:tcBorders>
          </w:tcPr>
          <w:p w14:paraId="72244539"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RTG-2 (w FBS)</w:t>
            </w:r>
          </w:p>
        </w:tc>
        <w:tc>
          <w:tcPr>
            <w:tcW w:w="1967" w:type="dxa"/>
            <w:vMerge w:val="restart"/>
            <w:tcBorders>
              <w:top w:val="single" w:sz="4" w:space="0" w:color="auto"/>
              <w:left w:val="single" w:sz="4" w:space="0" w:color="auto"/>
              <w:right w:val="single" w:sz="4" w:space="0" w:color="auto"/>
            </w:tcBorders>
          </w:tcPr>
          <w:p w14:paraId="74808594"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left w:val="single" w:sz="4" w:space="0" w:color="auto"/>
              <w:right w:val="single" w:sz="4" w:space="0" w:color="auto"/>
            </w:tcBorders>
            <w:shd w:val="clear" w:color="auto" w:fill="auto"/>
            <w:vAlign w:val="bottom"/>
          </w:tcPr>
          <w:p w14:paraId="019171EF"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{"citationID":"mMnrIu93","properties":{"formattedCitation":"(A. Fern\\uc0\\u225{}ndez, G. Carbonell, and M. Bab\\uc0\\u237{}n 2013)","plainCitation":"(A. Fernández, G. Carbonell, and M. Babín 2013)","noteIndex":0},"citationItems":[{"id":1329,"uris":["http://zotero.org/users/11614927/items/ESHYSQ96"],"itemData":{"id":1329,"type":"article-journal","container-title":"Journal of Applied Toxicology","DOI":"10.1002/jat.1446","issue":"33","page":"1203–1212","title":"Effects of individual and a mixture of pharmaceuticals and personal-care products on cytotoxicity, EROD activity and ROS production in a rainbow trout gonadal cell line (RTG-2)","author":[{"literal":"A. Fernández"},{"literal":"G. Carbonell"},{"literal":"M. Babín"}],"issued":{"date-parts":[["2013"]]}}}],"schema":"https://github.com/citation-style-language/schema/raw/master/csl-citation.json"}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(A. Fernández, G. Carbonell, and M. Babín 2013)</w:t>
            </w:r>
            <w:r w:rsidRPr="001D0ADC">
              <w:rPr>
                <w:color w:val="auto"/>
                <w:lang w:val="en-GB" w:eastAsia="cs-CZ"/>
              </w:rPr>
              <w:fldChar w:fldCharType="end"/>
            </w:r>
          </w:p>
        </w:tc>
      </w:tr>
      <w:tr w:rsidR="001D0ADC" w:rsidRPr="001D0ADC" w14:paraId="5C8E81C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AFD3C7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0066885" w14:textId="1085638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68</w:t>
            </w:r>
          </w:p>
        </w:tc>
        <w:tc>
          <w:tcPr>
            <w:tcW w:w="4520" w:type="dxa"/>
            <w:tcBorders>
              <w:top w:val="single" w:sz="4" w:space="0" w:color="auto"/>
              <w:left w:val="nil"/>
              <w:bottom w:val="single" w:sz="4" w:space="0" w:color="auto"/>
              <w:right w:val="single" w:sz="4" w:space="0" w:color="auto"/>
            </w:tcBorders>
            <w:shd w:val="clear" w:color="auto" w:fill="auto"/>
            <w:vAlign w:val="bottom"/>
          </w:tcPr>
          <w:p w14:paraId="10E47961" w14:textId="77777777" w:rsidR="00196808" w:rsidRPr="001D0ADC" w:rsidRDefault="00196808" w:rsidP="00196808">
            <w:pPr>
              <w:pStyle w:val="NoSpacing"/>
              <w:ind w:firstLine="0"/>
              <w:rPr>
                <w:color w:val="auto"/>
                <w:lang w:val="en-GB" w:eastAsia="cs-CZ"/>
              </w:rPr>
            </w:pPr>
            <w:r w:rsidRPr="001D0ADC">
              <w:rPr>
                <w:color w:val="auto"/>
                <w:lang w:val="en-GB" w:eastAsia="cs-CZ"/>
              </w:rPr>
              <w:t>EC50 cytotoxicity (NR)</w:t>
            </w:r>
          </w:p>
        </w:tc>
        <w:tc>
          <w:tcPr>
            <w:tcW w:w="2633" w:type="dxa"/>
            <w:vMerge/>
            <w:tcBorders>
              <w:left w:val="nil"/>
              <w:right w:val="single" w:sz="4" w:space="0" w:color="auto"/>
            </w:tcBorders>
          </w:tcPr>
          <w:p w14:paraId="2811478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39F1932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3A7EF28" w14:textId="77777777" w:rsidR="00196808" w:rsidRPr="001D0ADC" w:rsidRDefault="00196808" w:rsidP="00196808">
            <w:pPr>
              <w:pStyle w:val="NoSpacing"/>
              <w:ind w:firstLine="0"/>
              <w:rPr>
                <w:color w:val="auto"/>
                <w:lang w:val="en-GB" w:eastAsia="cs-CZ"/>
              </w:rPr>
            </w:pPr>
          </w:p>
        </w:tc>
      </w:tr>
      <w:tr w:rsidR="001D0ADC" w:rsidRPr="001D0ADC" w14:paraId="2756F92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215D4F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A97AC24" w14:textId="29CF8A6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045</w:t>
            </w:r>
          </w:p>
        </w:tc>
        <w:tc>
          <w:tcPr>
            <w:tcW w:w="4520" w:type="dxa"/>
            <w:tcBorders>
              <w:top w:val="single" w:sz="4" w:space="0" w:color="auto"/>
              <w:left w:val="nil"/>
              <w:bottom w:val="single" w:sz="4" w:space="0" w:color="auto"/>
              <w:right w:val="single" w:sz="4" w:space="0" w:color="auto"/>
            </w:tcBorders>
            <w:shd w:val="clear" w:color="auto" w:fill="auto"/>
            <w:vAlign w:val="bottom"/>
          </w:tcPr>
          <w:p w14:paraId="27B3EBEC" w14:textId="77777777" w:rsidR="00196808" w:rsidRPr="001D0ADC" w:rsidRDefault="00196808" w:rsidP="00196808">
            <w:pPr>
              <w:pStyle w:val="NoSpacing"/>
              <w:ind w:firstLine="0"/>
              <w:rPr>
                <w:color w:val="auto"/>
                <w:lang w:val="en-GB" w:eastAsia="cs-CZ"/>
              </w:rPr>
            </w:pPr>
            <w:r w:rsidRPr="001D0ADC">
              <w:rPr>
                <w:color w:val="auto"/>
                <w:lang w:val="en-GB" w:eastAsia="cs-CZ"/>
              </w:rPr>
              <w:t>EC50 ROS generation</w:t>
            </w:r>
          </w:p>
        </w:tc>
        <w:tc>
          <w:tcPr>
            <w:tcW w:w="2633" w:type="dxa"/>
            <w:vMerge/>
            <w:tcBorders>
              <w:left w:val="nil"/>
              <w:bottom w:val="single" w:sz="4" w:space="0" w:color="auto"/>
              <w:right w:val="single" w:sz="4" w:space="0" w:color="auto"/>
            </w:tcBorders>
          </w:tcPr>
          <w:p w14:paraId="3C6E868A"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72C32BF"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5A3C8B0" w14:textId="77777777" w:rsidR="00196808" w:rsidRPr="001D0ADC" w:rsidRDefault="00196808" w:rsidP="00196808">
            <w:pPr>
              <w:pStyle w:val="NoSpacing"/>
              <w:ind w:firstLine="0"/>
              <w:rPr>
                <w:color w:val="auto"/>
                <w:lang w:val="en-GB" w:eastAsia="cs-CZ"/>
              </w:rPr>
            </w:pPr>
          </w:p>
        </w:tc>
      </w:tr>
      <w:tr w:rsidR="001D0ADC" w:rsidRPr="001D0ADC" w14:paraId="1C6C9BE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EA138B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A08AAE1" w14:textId="77777777" w:rsidR="00196808" w:rsidRPr="001D0ADC" w:rsidRDefault="00196808" w:rsidP="00196808">
            <w:pPr>
              <w:pStyle w:val="NoSpacing"/>
              <w:ind w:firstLine="0"/>
              <w:rPr>
                <w:color w:val="auto"/>
                <w:lang w:val="en-GB" w:eastAsia="cs-CZ"/>
              </w:rPr>
            </w:pPr>
            <w:r w:rsidRPr="001D0ADC">
              <w:rPr>
                <w:color w:val="auto"/>
                <w:lang w:val="en-GB" w:eastAsia="cs-CZ"/>
              </w:rPr>
              <w:t>81.9</w:t>
            </w:r>
          </w:p>
        </w:tc>
        <w:tc>
          <w:tcPr>
            <w:tcW w:w="4520" w:type="dxa"/>
            <w:tcBorders>
              <w:top w:val="single" w:sz="4" w:space="0" w:color="auto"/>
              <w:left w:val="nil"/>
              <w:bottom w:val="single" w:sz="4" w:space="0" w:color="auto"/>
              <w:right w:val="single" w:sz="4" w:space="0" w:color="auto"/>
            </w:tcBorders>
            <w:shd w:val="clear" w:color="auto" w:fill="auto"/>
            <w:vAlign w:val="bottom"/>
          </w:tcPr>
          <w:p w14:paraId="599045A4" w14:textId="77777777" w:rsidR="00196808" w:rsidRPr="001D0ADC" w:rsidRDefault="00196808" w:rsidP="00196808">
            <w:pPr>
              <w:pStyle w:val="NoSpacing"/>
              <w:ind w:firstLine="0"/>
              <w:rPr>
                <w:color w:val="auto"/>
                <w:lang w:val="en-GB" w:eastAsia="cs-CZ"/>
              </w:rPr>
            </w:pPr>
            <w:r w:rsidRPr="001D0ADC">
              <w:rPr>
                <w:color w:val="auto"/>
                <w:lang w:val="en-GB" w:eastAsia="cs-CZ"/>
              </w:rPr>
              <w:t>EC50 AB</w:t>
            </w:r>
          </w:p>
        </w:tc>
        <w:tc>
          <w:tcPr>
            <w:tcW w:w="2633" w:type="dxa"/>
            <w:vMerge w:val="restart"/>
            <w:tcBorders>
              <w:left w:val="nil"/>
              <w:right w:val="single" w:sz="4" w:space="0" w:color="auto"/>
            </w:tcBorders>
          </w:tcPr>
          <w:p w14:paraId="0ECC7E7F"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(RTL-W1)</w:t>
            </w:r>
          </w:p>
        </w:tc>
        <w:tc>
          <w:tcPr>
            <w:tcW w:w="1967" w:type="dxa"/>
            <w:vMerge w:val="restart"/>
            <w:tcBorders>
              <w:left w:val="single" w:sz="4" w:space="0" w:color="auto"/>
              <w:right w:val="single" w:sz="4" w:space="0" w:color="auto"/>
            </w:tcBorders>
          </w:tcPr>
          <w:p w14:paraId="561D806A"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left w:val="single" w:sz="4" w:space="0" w:color="auto"/>
              <w:right w:val="single" w:sz="4" w:space="0" w:color="auto"/>
            </w:tcBorders>
            <w:shd w:val="clear" w:color="auto" w:fill="auto"/>
            <w:vAlign w:val="bottom"/>
          </w:tcPr>
          <w:p w14:paraId="44D437C7" w14:textId="0E118045"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{"citationID":"6r7lCumk","properties":{"formattedCitation":"(Schnell, Bols, et al. 2009)","plainCitation":"(Schnell, Bols, et al. 2009)","noteIndex":0},"citationItems":[{"id":1216,"uris":["http://zotero.org/users/11614927/items/8FL93SAW"],"itemData":{"id":1216,"type":"article-journal","abstract":"The toxicological implications of the presence of pharmaceuticals and personal care products (PPCPs) in the aquatic environment remain largely unknown. Acute toxicity tests have generally failed to detect the subtle action elicited by those compounds at environmentally relevant concentrations and they have often overlooked the fact that toxicity can be inﬂuenced by additive and synergistic effects. The aim of this study was to further assess the cytotoxicity of different pharmaceuticals and synthetic musks as well as their mixtures on the rainbow trout liver cell line RTL-W1. Eleven pharmaceuticals from different therapeutic classes (anti-inﬂammatory drugs, serotonin re-uptake inhibitors and lipid regulators) and ﬁve synthetic musks from the two major groups (nitro- and polycyclic musks) were selected for the study. Two ﬂuorescent dyes were used to monitor cell viability. Among the tested compounds, estimated EC50s (effective concentration causing 50% decline of cell viability) denoted that polycyclic musks (7–25 </w:instrText>
            </w:r>
            <w:r w:rsidRPr="001D0ADC">
              <w:rPr>
                <w:rFonts w:cs="Times New Roman"/>
                <w:color w:val="auto"/>
                <w:lang w:val="en-GB" w:eastAsia="cs-CZ"/>
              </w:rPr>
              <w:instrText>␮</w:instrText>
            </w:r>
            <w:r w:rsidRPr="001D0ADC">
              <w:rPr>
                <w:color w:val="auto"/>
                <w:lang w:val="en-GB" w:eastAsia="cs-CZ"/>
              </w:rPr>
              <w:instrText>M) followed by anti-depressives (7</w:instrText>
            </w:r>
            <w:r w:rsidRPr="001D0ADC">
              <w:rPr>
                <w:rFonts w:cs="Times New Roman"/>
                <w:color w:val="auto"/>
                <w:lang w:val="en-GB" w:eastAsia="cs-CZ"/>
              </w:rPr>
              <w:instrText>–</w:instrText>
            </w:r>
            <w:r w:rsidRPr="001D0ADC">
              <w:rPr>
                <w:color w:val="auto"/>
                <w:lang w:val="en-GB" w:eastAsia="cs-CZ"/>
              </w:rPr>
              <w:instrText xml:space="preserve">50 </w:instrText>
            </w:r>
            <w:r w:rsidRPr="001D0ADC">
              <w:rPr>
                <w:rFonts w:cs="Times New Roman"/>
                <w:color w:val="auto"/>
                <w:lang w:val="en-GB" w:eastAsia="cs-CZ"/>
              </w:rPr>
              <w:instrText>␮</w:instrText>
            </w:r>
            <w:r w:rsidRPr="001D0ADC">
              <w:rPr>
                <w:color w:val="auto"/>
                <w:lang w:val="en-GB" w:eastAsia="cs-CZ"/>
              </w:rPr>
              <w:instrText xml:space="preserve">M) showed the highest potential to induce cytotoxicity, whereas lipid regulators (20–380 </w:instrText>
            </w:r>
            <w:r w:rsidRPr="001D0ADC">
              <w:rPr>
                <w:rFonts w:cs="Times New Roman"/>
                <w:color w:val="auto"/>
                <w:lang w:val="en-GB" w:eastAsia="cs-CZ"/>
              </w:rPr>
              <w:instrText>␮</w:instrText>
            </w:r>
            <w:r w:rsidRPr="001D0ADC">
              <w:rPr>
                <w:color w:val="auto"/>
                <w:lang w:val="en-GB" w:eastAsia="cs-CZ"/>
              </w:rPr>
              <w:instrText>M), anti-in</w:instrText>
            </w:r>
            <w:r w:rsidRPr="001D0ADC">
              <w:rPr>
                <w:rFonts w:cs="Times New Roman"/>
                <w:color w:val="auto"/>
                <w:lang w:val="en-GB" w:eastAsia="cs-CZ"/>
              </w:rPr>
              <w:instrText>ﬂ</w:instrText>
            </w:r>
            <w:r w:rsidRPr="001D0ADC">
              <w:rPr>
                <w:color w:val="auto"/>
                <w:lang w:val="en-GB" w:eastAsia="cs-CZ"/>
              </w:rPr>
              <w:instrText>ammatory drugs (160</w:instrText>
            </w:r>
            <w:r w:rsidRPr="001D0ADC">
              <w:rPr>
                <w:rFonts w:cs="Times New Roman"/>
                <w:color w:val="auto"/>
                <w:lang w:val="en-GB" w:eastAsia="cs-CZ"/>
              </w:rPr>
              <w:instrText>–</w:instrText>
            </w:r>
            <w:r w:rsidRPr="001D0ADC">
              <w:rPr>
                <w:color w:val="auto"/>
                <w:lang w:val="en-GB" w:eastAsia="cs-CZ"/>
              </w:rPr>
              <w:instrText xml:space="preserve">260 </w:instrText>
            </w:r>
            <w:r w:rsidRPr="001D0ADC">
              <w:rPr>
                <w:rFonts w:cs="Times New Roman"/>
                <w:color w:val="auto"/>
                <w:lang w:val="en-GB" w:eastAsia="cs-CZ"/>
              </w:rPr>
              <w:instrText>␮</w:instrText>
            </w:r>
            <w:r w:rsidRPr="001D0ADC">
              <w:rPr>
                <w:color w:val="auto"/>
                <w:lang w:val="en-GB" w:eastAsia="cs-CZ"/>
              </w:rPr>
              <w:instrText>M) and nitromusks (100</w:instrText>
            </w:r>
            <w:r w:rsidRPr="001D0ADC">
              <w:rPr>
                <w:rFonts w:cs="Times New Roman"/>
                <w:color w:val="auto"/>
                <w:lang w:val="en-GB" w:eastAsia="cs-CZ"/>
              </w:rPr>
              <w:instrText>–</w:instrText>
            </w:r>
            <w:r w:rsidRPr="001D0ADC">
              <w:rPr>
                <w:color w:val="auto"/>
                <w:lang w:val="en-GB" w:eastAsia="cs-CZ"/>
              </w:rPr>
              <w:instrText xml:space="preserve">240 </w:instrText>
            </w:r>
            <w:r w:rsidRPr="001D0ADC">
              <w:rPr>
                <w:rFonts w:cs="Times New Roman"/>
                <w:color w:val="auto"/>
                <w:lang w:val="en-GB" w:eastAsia="cs-CZ"/>
              </w:rPr>
              <w:instrText>␮</w:instrText>
            </w:r>
            <w:r w:rsidRPr="001D0ADC">
              <w:rPr>
                <w:color w:val="auto"/>
                <w:lang w:val="en-GB" w:eastAsia="cs-CZ"/>
              </w:rPr>
              <w:instrText xml:space="preserve">M) had the lowest toxicity. Within a given therapeutic class, combined toxicity of mixtures was additive, following in most cases the concentration addition concept. However, the combined toxicity was higher than additive for those mixtures that included one compound from each class (i.e. dissimilar mixtures). Overall, this study shows that in the aquatic environment, toxicity of PPCPs on non-target organisms may occur at concentrations lower than expected due to synergistic effects between the different toxicants.","container-title":"Aquatic Toxicology","DOI":"10.1016/j.aquatox.2009.05.007","ISSN":"0166445X","issue":"4","journalAbbreviation":"Aquatic Toxicology","language":"en","page":"244-252","source":"DOI.org (Crossref)","title":"Single and combined toxicity of pharmaceuticals and personal care products (PPCPs) on the rainbow trout liver cell line RTL-W1","volume":"93","author":[{"family":"Schnell","given":"Sabine"},{"family":"Bols","given":"Niels C."},{"family":"Barata","given":"Carlos"},{"family":"Porte","given":"Cinta"}],"issued":{"date-parts":[["2009",7]]}}}],"schema":"https://github.com/citation-style-language/schema/raw/master/csl-citation.json"}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(Schnell, Bols, et al. 2009)</w:t>
            </w:r>
            <w:r w:rsidRPr="001D0ADC">
              <w:rPr>
                <w:color w:val="auto"/>
                <w:lang w:val="en-GB" w:eastAsia="cs-CZ"/>
              </w:rPr>
              <w:fldChar w:fldCharType="end"/>
            </w:r>
          </w:p>
        </w:tc>
      </w:tr>
      <w:tr w:rsidR="001D0ADC" w:rsidRPr="001D0ADC" w14:paraId="3E3E0EB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DA5686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DA3D4F9" w14:textId="15971E13" w:rsidR="00196808" w:rsidRPr="001D0ADC" w:rsidRDefault="00196808" w:rsidP="00196808">
            <w:pPr>
              <w:pStyle w:val="NoSpacing"/>
              <w:ind w:firstLine="0"/>
              <w:rPr>
                <w:color w:val="auto"/>
                <w:lang w:val="en-GB" w:eastAsia="cs-CZ"/>
              </w:rPr>
            </w:pPr>
            <w:r w:rsidRPr="001D0ADC">
              <w:rPr>
                <w:color w:val="auto"/>
                <w:lang w:val="en-GB" w:eastAsia="cs-CZ"/>
              </w:rPr>
              <w:t>8</w:t>
            </w:r>
            <w:r w:rsidR="00CF2036" w:rsidRPr="001D0ADC">
              <w:rPr>
                <w:color w:val="auto"/>
                <w:lang w:val="en-GB" w:eastAsia="cs-CZ"/>
              </w:rPr>
              <w:t>4.</w:t>
            </w:r>
            <w:r w:rsidRPr="001D0ADC">
              <w:rPr>
                <w:color w:val="auto"/>
                <w:lang w:val="en-GB" w:eastAsia="cs-CZ"/>
              </w:rPr>
              <w:t>9</w:t>
            </w:r>
          </w:p>
        </w:tc>
        <w:tc>
          <w:tcPr>
            <w:tcW w:w="4520" w:type="dxa"/>
            <w:tcBorders>
              <w:top w:val="single" w:sz="4" w:space="0" w:color="auto"/>
              <w:left w:val="nil"/>
              <w:bottom w:val="single" w:sz="4" w:space="0" w:color="auto"/>
              <w:right w:val="single" w:sz="4" w:space="0" w:color="auto"/>
            </w:tcBorders>
            <w:shd w:val="clear" w:color="auto" w:fill="auto"/>
            <w:vAlign w:val="bottom"/>
          </w:tcPr>
          <w:p w14:paraId="312E10DA" w14:textId="77777777" w:rsidR="00196808" w:rsidRPr="001D0ADC" w:rsidRDefault="00196808" w:rsidP="00196808">
            <w:pPr>
              <w:pStyle w:val="NoSpacing"/>
              <w:ind w:firstLine="0"/>
              <w:rPr>
                <w:color w:val="auto"/>
                <w:lang w:val="en-GB" w:eastAsia="cs-CZ"/>
              </w:rPr>
            </w:pPr>
            <w:r w:rsidRPr="001D0ADC">
              <w:rPr>
                <w:color w:val="auto"/>
                <w:lang w:val="en-GB" w:eastAsia="cs-CZ"/>
              </w:rPr>
              <w:t>EC50 CFDA-AM</w:t>
            </w:r>
          </w:p>
        </w:tc>
        <w:tc>
          <w:tcPr>
            <w:tcW w:w="2633" w:type="dxa"/>
            <w:vMerge/>
            <w:tcBorders>
              <w:left w:val="single" w:sz="4" w:space="0" w:color="auto"/>
              <w:bottom w:val="single" w:sz="4" w:space="0" w:color="auto"/>
              <w:right w:val="single" w:sz="4" w:space="0" w:color="auto"/>
            </w:tcBorders>
          </w:tcPr>
          <w:p w14:paraId="4F493E1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7E07384"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8BC6367" w14:textId="77777777" w:rsidR="00196808" w:rsidRPr="001D0ADC" w:rsidRDefault="00196808" w:rsidP="00196808">
            <w:pPr>
              <w:pStyle w:val="NoSpacing"/>
              <w:ind w:firstLine="0"/>
              <w:rPr>
                <w:color w:val="auto"/>
                <w:lang w:val="en-GB" w:eastAsia="cs-CZ"/>
              </w:rPr>
            </w:pPr>
          </w:p>
        </w:tc>
      </w:tr>
      <w:tr w:rsidR="001D0ADC" w:rsidRPr="001D0ADC" w14:paraId="0E6652A7" w14:textId="77777777" w:rsidTr="00AB5B75">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DC7EB2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99450F8" w14:textId="1BB7998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39F2F6DC" w14:textId="200538CF" w:rsidR="00196808" w:rsidRPr="001D0ADC" w:rsidRDefault="00196808" w:rsidP="00196808">
            <w:pPr>
              <w:pStyle w:val="NoSpacing"/>
              <w:ind w:firstLine="0"/>
              <w:rPr>
                <w:color w:val="auto"/>
                <w:lang w:val="en-GB" w:eastAsia="cs-CZ"/>
              </w:rPr>
            </w:pPr>
            <w:r w:rsidRPr="001D0ADC">
              <w:rPr>
                <w:color w:val="auto"/>
                <w:lang w:val="en-GB" w:eastAsia="cs-CZ"/>
              </w:rPr>
              <w:t>EC20</w:t>
            </w:r>
          </w:p>
        </w:tc>
        <w:tc>
          <w:tcPr>
            <w:tcW w:w="2633" w:type="dxa"/>
            <w:tcBorders>
              <w:top w:val="single" w:sz="4" w:space="0" w:color="auto"/>
              <w:left w:val="nil"/>
              <w:bottom w:val="single" w:sz="4" w:space="0" w:color="auto"/>
              <w:right w:val="single" w:sz="4" w:space="0" w:color="auto"/>
            </w:tcBorders>
          </w:tcPr>
          <w:p w14:paraId="38F53BAD" w14:textId="37C3441D" w:rsidR="00196808" w:rsidRPr="001D0ADC" w:rsidRDefault="00196808" w:rsidP="00196808">
            <w:pPr>
              <w:pStyle w:val="NoSpacing"/>
              <w:ind w:firstLine="0"/>
              <w:rPr>
                <w:color w:val="auto"/>
                <w:lang w:val="en-GB" w:eastAsia="cs-CZ"/>
              </w:rPr>
            </w:pPr>
            <w:r w:rsidRPr="001D0ADC">
              <w:rPr>
                <w:color w:val="auto"/>
                <w:lang w:val="en-GB" w:eastAsia="cs-CZ"/>
              </w:rPr>
              <w:t>In vitro (carp lymphocyte cell culture 95070628)</w:t>
            </w:r>
          </w:p>
        </w:tc>
        <w:tc>
          <w:tcPr>
            <w:tcW w:w="1967" w:type="dxa"/>
            <w:tcBorders>
              <w:top w:val="single" w:sz="4" w:space="0" w:color="auto"/>
              <w:left w:val="single" w:sz="4" w:space="0" w:color="auto"/>
              <w:bottom w:val="single" w:sz="4" w:space="0" w:color="auto"/>
              <w:right w:val="single" w:sz="4" w:space="0" w:color="auto"/>
            </w:tcBorders>
          </w:tcPr>
          <w:p w14:paraId="32FF28F3" w14:textId="73ABA4D9"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1D2C899" w14:textId="1A417E79"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{"citationID":"a19qnu6g27p","properties":{"formattedCitation":"(Nemcova et al. 2020)","plainCitation":"(Nemcova et al. 2020)","noteIndex":0},"citationItems":[{"id":1555,"uris":["http://zotero.org/users/11614927/items/7J4AS3NN"],"itemData":{"id":1555,"type":"article-journal","abstract":"Diclofenac is a drug commonly used in human and veterinary medicine for the treatment of diseases associated with inflammation and pain. Medicinal products enter waste and surface waters on an everyday basis and contaminate the aquatic environment. Fish are therefore permanently exposed to these chemicals dissolved in their aquatic environment. To simulate variable environmental conditions, the aim of our study was to examine adverse effects of diclofenac under different temperatures of cell incubation (18, 21, 24, 27 and 30 °C). Cytotoxic and -static effects of diclofenac in concentrations of 0.001 μg/ml, 0.01 μg/ml, 0.1 μg/ml, 1 μg/ml, 10 μg/ml and 100 μg/ml for the carp (Cyprinus carpio) cultured leukocytes were quantified using detection of lactate dehydrogenase released from damaged cells. Overall DCF cytotoxicity was relatively low and its impact was pronounced at higher temperature and DCF concentration. Cells growth inhibition is changing more rapidly but it is high mainly at the highest concentration from low temperature. DNA fragmentation was not detected in tested leukocyte cell line. CYP450 increased diclofenac cytotoxicity only at the highest concentration but at incubation temperatures 18 and 27 °C. Leukocyte viability is essential for immune functions and any change can lead to reduction of resistance against pathogens, mainly in cold year seasons, when the immune system is naturally suppressed.","container-title":"Physiological Research","DOI":"10.33549/physiolres.934609","ISSN":"1802-9973, 0862-8408","journalAbbreviation":"Physiol Res","language":"en","page":"S607-S618","source":"DOI.org (Crossref)","title":"Diclofenac-induced cytotoxicity in cultured carp leukocytes","author":[{"family":"Nemcova","given":"M"},{"family":"Pikula","given":"J"},{"family":"Zukal","given":"J"},{"family":"Seidlova","given":"V"}],"issued":{"date-parts":[["2020",12,31]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(Nemcova et al. 2020)</w:t>
            </w:r>
            <w:r w:rsidRPr="001D0ADC">
              <w:rPr>
                <w:color w:val="auto"/>
                <w:lang w:val="en-GB" w:eastAsia="cs-CZ"/>
              </w:rPr>
              <w:fldChar w:fldCharType="end"/>
            </w:r>
          </w:p>
        </w:tc>
      </w:tr>
      <w:tr w:rsidR="001D0ADC" w:rsidRPr="001D0ADC" w14:paraId="46EC93B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98FB466"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2908853F" w14:textId="1922759C"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(primary cultures)</w:t>
            </w:r>
            <w:r w:rsidR="000F6A8E" w:rsidRPr="001D0ADC">
              <w:rPr>
                <w:b/>
                <w:bCs/>
                <w:color w:val="auto"/>
                <w:lang w:val="en-GB" w:eastAsia="cs-CZ"/>
              </w:rPr>
              <w:t xml:space="preserve"> (mg/l)</w:t>
            </w:r>
          </w:p>
        </w:tc>
      </w:tr>
      <w:tr w:rsidR="001D0ADC" w:rsidRPr="001D0ADC" w14:paraId="076811E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CEB6E1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EEAE19C" w14:textId="77777777" w:rsidR="00196808" w:rsidRPr="001D0ADC" w:rsidRDefault="00196808" w:rsidP="00196808">
            <w:pPr>
              <w:pStyle w:val="NoSpacing"/>
              <w:ind w:firstLine="0"/>
              <w:rPr>
                <w:color w:val="auto"/>
                <w:lang w:val="en-GB" w:eastAsia="cs-CZ"/>
              </w:rPr>
            </w:pPr>
            <w:r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43DE10B0" w14:textId="77777777" w:rsidR="00196808" w:rsidRPr="001D0ADC" w:rsidRDefault="00196808" w:rsidP="00196808">
            <w:pPr>
              <w:pStyle w:val="NoSpacing"/>
              <w:ind w:firstLine="0"/>
              <w:rPr>
                <w:color w:val="auto"/>
                <w:lang w:val="en-GB" w:eastAsia="cs-CZ"/>
              </w:rPr>
            </w:pPr>
            <w:r w:rsidRPr="001D0ADC">
              <w:rPr>
                <w:color w:val="auto"/>
                <w:lang w:val="en-GB" w:eastAsia="cs-CZ"/>
              </w:rPr>
              <w:t>LOEC for genotoxicity (comet assay)</w:t>
            </w:r>
          </w:p>
        </w:tc>
        <w:tc>
          <w:tcPr>
            <w:tcW w:w="2633" w:type="dxa"/>
            <w:tcBorders>
              <w:top w:val="single" w:sz="4" w:space="0" w:color="auto"/>
              <w:left w:val="nil"/>
              <w:bottom w:val="single" w:sz="4" w:space="0" w:color="auto"/>
              <w:right w:val="single" w:sz="4" w:space="0" w:color="auto"/>
            </w:tcBorders>
          </w:tcPr>
          <w:p w14:paraId="393302E2" w14:textId="77777777" w:rsidR="00196808" w:rsidRPr="001D0ADC" w:rsidRDefault="00196808" w:rsidP="00196808">
            <w:pPr>
              <w:pStyle w:val="NoSpacing"/>
              <w:ind w:firstLine="0"/>
              <w:rPr>
                <w:color w:val="auto"/>
                <w:lang w:val="en-GB" w:eastAsia="cs-CZ"/>
              </w:rPr>
            </w:pPr>
            <w:r w:rsidRPr="001D0ADC">
              <w:rPr>
                <w:color w:val="auto"/>
                <w:lang w:val="en-GB" w:eastAsia="cs-CZ"/>
              </w:rPr>
              <w:t>In vitro (HM) anterior kidney monocyte primary cells</w:t>
            </w:r>
          </w:p>
        </w:tc>
        <w:tc>
          <w:tcPr>
            <w:tcW w:w="1967" w:type="dxa"/>
            <w:tcBorders>
              <w:top w:val="single" w:sz="4" w:space="0" w:color="auto"/>
              <w:left w:val="single" w:sz="4" w:space="0" w:color="auto"/>
              <w:bottom w:val="single" w:sz="4" w:space="0" w:color="auto"/>
              <w:right w:val="single" w:sz="4" w:space="0" w:color="auto"/>
            </w:tcBorders>
          </w:tcPr>
          <w:p w14:paraId="750274DC"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A4A172D"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{"citationID":"BhjmdphV","properties":{"formattedCitation":"(Ribas et al. 2014)","plainCitation":"(Ribas et al. 2014)","noteIndex":0},"citationItems":[{"id":1275,"uris":["http://zotero.org/users/11614927/items/DC28P7G2"],"itemData":{"id":1275,"type":"article-journal","abstract":"The non-steroidal anti-inﬂammatory drugs are emerging contaminants in aquatic ecosystems. This study aimed to evaluate toxic effects of some representative drugs of this pharmaceutical group on primary culture of monocytic lineage of Hoplias malabaricus anterior kidney. The effects of diclofenac, acetaminophen and ibuprofen in cell viability, lipopolysaccharide (LPS)-induced NO production and genotoxicity were evaluated. Cytometry analysis CD11bþ cells showed 71.5% of stem cells, 19.5% of macrophages and 9% of monocytes. Cell viability was lower in the ﬁcoll compared to percoll separation. LPS-induced NO production by these cells was blocked after treatment with dexamethasone and NGMethyl-L-Arginine (L-NMMA). Exposure of the cells to diclofenac (0.2e200 ng/mL), acetaminophen (0.025e250 ng/mL) ibuprofen (10e1000 ng/mL) reduced basal NO production and inhibited LPS-induced NO production at all concentrations after 24 h of exposure. Genotoxicity occurred at the highest concentration of diclofenac and at the intermediary concentration of acetaminophen. Genotoxicity was also observed by ibuprofen. In summary, the pharmaceuticals inﬂuenced NO production and caused DNA damage in monocytic cells suggesting that these drugs can induce immunosuppression and genotoxicity in ﬁsh.","container-title":"Fish &amp; Shellfish Immunology","DOI":"10.1016/j.fsi.2014.07.009","ISSN":"10504648","issue":"1","journalAbbreviation":"Fish &amp; Shellfish Immunology","language":"en","page":"296-303","source":"DOI.org (Crossref)","title":"Effects of anti-inflammatory drugs in primary kidney cell culture of a freshwater fish","volume":"40","author":[{"family":"Ribas","given":"João Luiz Coelho"},{"family":"Silva","given":"Cesar A. Da"},{"family":"Andrade","given":"Lucas De"},{"family":"Galvan","given":"Gabrieli Limberger"},{"family":"Cestari","given":"Marta Margarete"},{"family":"Trindade","given":"Edvaldo S."},{"family":"Zampronio","given":"Aleksander R."},{"family":"Silva De Assis","given":"Helena C."}],"issued":{"date-parts":[["2014",9]]}}}],"schema":"https://github.com/citation-style-language/schema/raw/master/csl-citation.json"}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(Ribas et al. 2014)</w:t>
            </w:r>
            <w:r w:rsidRPr="001D0ADC">
              <w:rPr>
                <w:color w:val="auto"/>
                <w:lang w:val="en-GB" w:eastAsia="cs-CZ"/>
              </w:rPr>
              <w:fldChar w:fldCharType="end"/>
            </w:r>
          </w:p>
        </w:tc>
      </w:tr>
      <w:tr w:rsidR="001D0ADC" w:rsidRPr="001D0ADC" w14:paraId="03B2A2F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E83D52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295649A" w14:textId="2680B776" w:rsidR="00196808" w:rsidRPr="001D0ADC" w:rsidRDefault="00196808" w:rsidP="00196808">
            <w:pPr>
              <w:pStyle w:val="NoSpacing"/>
              <w:ind w:firstLine="0"/>
              <w:rPr>
                <w:color w:val="auto"/>
                <w:lang w:val="en-GB" w:eastAsia="cs-CZ"/>
              </w:rPr>
            </w:pPr>
            <w:r w:rsidRPr="001D0ADC">
              <w:rPr>
                <w:color w:val="auto"/>
                <w:lang w:val="en-GB" w:eastAsia="cs-CZ"/>
              </w:rPr>
              <w:t>12</w:t>
            </w:r>
            <w:r w:rsidR="00CF2036" w:rsidRPr="001D0ADC">
              <w:rPr>
                <w:color w:val="auto"/>
                <w:lang w:val="en-GB" w:eastAsia="cs-CZ"/>
              </w:rPr>
              <w:t>4.</w:t>
            </w:r>
            <w:r w:rsidRPr="001D0ADC">
              <w:rPr>
                <w:color w:val="auto"/>
                <w:lang w:val="en-GB" w:eastAsia="cs-CZ"/>
              </w:rPr>
              <w:t>4</w:t>
            </w:r>
          </w:p>
        </w:tc>
        <w:tc>
          <w:tcPr>
            <w:tcW w:w="4520" w:type="dxa"/>
            <w:tcBorders>
              <w:top w:val="single" w:sz="4" w:space="0" w:color="auto"/>
              <w:left w:val="nil"/>
              <w:bottom w:val="single" w:sz="4" w:space="0" w:color="auto"/>
              <w:right w:val="single" w:sz="4" w:space="0" w:color="auto"/>
            </w:tcBorders>
            <w:shd w:val="clear" w:color="auto" w:fill="auto"/>
            <w:vAlign w:val="bottom"/>
          </w:tcPr>
          <w:p w14:paraId="18415891" w14:textId="77777777" w:rsidR="00196808" w:rsidRPr="001D0ADC" w:rsidRDefault="00196808" w:rsidP="00196808">
            <w:pPr>
              <w:pStyle w:val="NoSpacing"/>
              <w:ind w:firstLine="0"/>
              <w:rPr>
                <w:color w:val="auto"/>
                <w:lang w:val="en-GB" w:eastAsia="cs-CZ"/>
              </w:rPr>
            </w:pPr>
            <w:r w:rsidRPr="001D0ADC">
              <w:rPr>
                <w:color w:val="auto"/>
                <w:lang w:val="en-GB" w:eastAsia="cs-CZ"/>
              </w:rPr>
              <w:t>EC50 cytotoxicity MTT</w:t>
            </w:r>
          </w:p>
        </w:tc>
        <w:tc>
          <w:tcPr>
            <w:tcW w:w="2633" w:type="dxa"/>
            <w:vMerge w:val="restart"/>
            <w:tcBorders>
              <w:top w:val="single" w:sz="4" w:space="0" w:color="auto"/>
              <w:left w:val="nil"/>
              <w:right w:val="single" w:sz="4" w:space="0" w:color="auto"/>
            </w:tcBorders>
          </w:tcPr>
          <w:p w14:paraId="1DEF6661" w14:textId="77777777" w:rsidR="00196808" w:rsidRPr="001D0ADC" w:rsidRDefault="00196808" w:rsidP="00196808">
            <w:pPr>
              <w:pStyle w:val="NoSpacing"/>
              <w:ind w:firstLine="0"/>
              <w:rPr>
                <w:color w:val="auto"/>
                <w:lang w:val="en-GB" w:eastAsia="cs-CZ"/>
              </w:rPr>
            </w:pPr>
            <w:r w:rsidRPr="001D0ADC">
              <w:rPr>
                <w:color w:val="auto"/>
                <w:lang w:val="en-GB" w:eastAsia="cs-CZ"/>
              </w:rPr>
              <w:t>In vitro primary hepatocytes (OM)</w:t>
            </w:r>
          </w:p>
        </w:tc>
        <w:tc>
          <w:tcPr>
            <w:tcW w:w="1967" w:type="dxa"/>
            <w:vMerge w:val="restart"/>
            <w:tcBorders>
              <w:top w:val="single" w:sz="4" w:space="0" w:color="auto"/>
              <w:left w:val="single" w:sz="4" w:space="0" w:color="auto"/>
              <w:right w:val="single" w:sz="4" w:space="0" w:color="auto"/>
            </w:tcBorders>
          </w:tcPr>
          <w:p w14:paraId="04375775"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A22CA2A"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{"citationID":"zAkFehgJ","properties":{"formattedCitation":"(Laville et al. 2004)","plainCitation":"(Laville et al. 2004)","noteIndex":0},"citationItems":[{"id":1264,"uris":["http://zotero.org/users/11614927/items/42IL9Z9R"],"itemData":{"id":1264,"type":"article-journal","abstract":"Pharmaceuticals are found in the aquatic environment but their potential effects on non-target species like ﬁsh remain unknown. This in vitro study is a ﬁrst approach in the toxicity assessment of human drugs on ﬁsh. Nine pharmaceuticals were tested on two ﬁsh hepatocyte models: primary cultures of rainbow trout hepatocytes (PRTH) and PLHC-1 ﬁsh cell line. Cell viability, interaction with cytochrome P450 1A (CYP1A) enzyme and oxidative stress were assessed by using 3-(4,5-dimethylthiazol-2-yl)-2,5-diphenyltetrasodium bromide tetrazolium (MTT), 7-ethoxyresoruﬁn-o-deethylase (EROD) and dichloroﬂuorescein (DCFH-DA) assays, respectively. The tested drugs were cloﬁbrate (CF), fenoﬁbrate (FF), carbamazepine (CBZ), ﬂuoxetine (FX), diclofenac (DiCF), propranolol (POH), sulfamethoxazole (SFX), amoxicillin (AMX) and gadolinium chloride (GdCl3). All substances were cytotoxic, except AMX at concentration up to 500 </w:instrText>
            </w:r>
            <w:r w:rsidRPr="001D0ADC">
              <w:rPr>
                <w:rFonts w:cs="Times New Roman"/>
                <w:color w:val="auto"/>
                <w:lang w:val="en-GB" w:eastAsia="cs-CZ"/>
              </w:rPr>
              <w:instrText>␮</w:instrText>
            </w:r>
            <w:r w:rsidRPr="001D0ADC">
              <w:rPr>
                <w:color w:val="auto"/>
                <w:lang w:val="en-GB" w:eastAsia="cs-CZ"/>
              </w:rPr>
              <w:instrText xml:space="preserve">M. The calculated MTT EC50 values ranged from 2 </w:instrText>
            </w:r>
            <w:r w:rsidRPr="001D0ADC">
              <w:rPr>
                <w:rFonts w:cs="Times New Roman"/>
                <w:color w:val="auto"/>
                <w:lang w:val="en-GB" w:eastAsia="cs-CZ"/>
              </w:rPr>
              <w:instrText>␮</w:instrText>
            </w:r>
            <w:r w:rsidRPr="001D0ADC">
              <w:rPr>
                <w:color w:val="auto"/>
                <w:lang w:val="en-GB" w:eastAsia="cs-CZ"/>
              </w:rPr>
              <w:instrText xml:space="preserve">M (CF) to 651 </w:instrText>
            </w:r>
            <w:r w:rsidRPr="001D0ADC">
              <w:rPr>
                <w:rFonts w:cs="Times New Roman"/>
                <w:color w:val="auto"/>
                <w:lang w:val="en-GB" w:eastAsia="cs-CZ"/>
              </w:rPr>
              <w:instrText>␮</w:instrText>
            </w:r>
            <w:r w:rsidRPr="001D0ADC">
              <w:rPr>
                <w:color w:val="auto"/>
                <w:lang w:val="en-GB" w:eastAsia="cs-CZ"/>
              </w:rPr>
              <w:instrText xml:space="preserve">M (CBZ) in PLHC-1, and from 53 </w:instrText>
            </w:r>
            <w:r w:rsidRPr="001D0ADC">
              <w:rPr>
                <w:rFonts w:cs="Times New Roman"/>
                <w:color w:val="auto"/>
                <w:lang w:val="en-GB" w:eastAsia="cs-CZ"/>
              </w:rPr>
              <w:instrText>␮</w:instrText>
            </w:r>
            <w:r w:rsidRPr="001D0ADC">
              <w:rPr>
                <w:color w:val="auto"/>
                <w:lang w:val="en-GB" w:eastAsia="cs-CZ"/>
              </w:rPr>
              <w:instrText xml:space="preserve">M (FF) to 962 </w:instrText>
            </w:r>
            <w:r w:rsidRPr="001D0ADC">
              <w:rPr>
                <w:rFonts w:cs="Times New Roman"/>
                <w:color w:val="auto"/>
                <w:lang w:val="en-GB" w:eastAsia="cs-CZ"/>
              </w:rPr>
              <w:instrText>␮</w:instrText>
            </w:r>
            <w:r w:rsidRPr="001D0ADC">
              <w:rPr>
                <w:color w:val="auto"/>
                <w:lang w:val="en-GB" w:eastAsia="cs-CZ"/>
              </w:rPr>
              <w:instrText xml:space="preserve">M (GdCl3) in PRTH. CF, FF, and FX were the most cytotoxic drugs and induced oxidative stress before being cytotoxic. Compared to hepatocytes from human and dog, </w:instrText>
            </w:r>
            <w:r w:rsidRPr="001D0ADC">
              <w:rPr>
                <w:rFonts w:cs="Times New Roman"/>
                <w:color w:val="auto"/>
                <w:lang w:val="en-GB" w:eastAsia="cs-CZ"/>
              </w:rPr>
              <w:instrText>ﬁ</w:instrText>
            </w:r>
            <w:r w:rsidRPr="001D0ADC">
              <w:rPr>
                <w:color w:val="auto"/>
                <w:lang w:val="en-GB" w:eastAsia="cs-CZ"/>
              </w:rPr>
              <w:instrText xml:space="preserve">sh hepatocytes seemed to be more susceptible to the peroxisome proliferators (PPs) CF and FF. In PLHC-1 cells none of the tested drugs induced the EROD activity whereas POH appeared as a weak EROD inducer in PRTH. Moreover, in PRTH, SFX, DiCF, CBZ and to a lesser extend, FF and CF inhibited the basal EROD activity at clearly sublethal concentrations which may be of concern at the biological and chemical levels in a multipollution context.","container-title":"Toxicology","DOI":"10.1016/j.tox.2003.11.002","ISSN":"0300483X","issue":"1-2","journalAbbreviation":"Toxicology","language":"en","page":"41-55","source":"DOI.org (Crossref)","title":"Effects of human pharmaceuticals on cytotoxicity, EROD activity and ROS production in fish hepatocytes","volume":"196","author":[{"family":"Laville","given":"N"},{"family":"Aı̈t-Aı̈ssa","given":"S"},{"family":"Gomez","given":"E"},{"family":"Casellas","given":"C"},{"family":"Porcher","given":"J.M"}],"issued":{"date-parts":[["2004",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(Laville et al. 2004)</w:t>
            </w:r>
            <w:r w:rsidRPr="001D0ADC">
              <w:rPr>
                <w:color w:val="auto"/>
                <w:lang w:val="en-GB" w:eastAsia="cs-CZ"/>
              </w:rPr>
              <w:fldChar w:fldCharType="end"/>
            </w:r>
          </w:p>
        </w:tc>
      </w:tr>
      <w:tr w:rsidR="001D0ADC" w:rsidRPr="001D0ADC" w14:paraId="662E183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722EBA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1B6F3D5" w14:textId="7D25A7F1" w:rsidR="00196808" w:rsidRPr="001D0ADC" w:rsidRDefault="00196808"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8.</w:t>
            </w:r>
            <w:r w:rsidRPr="001D0ADC">
              <w:rPr>
                <w:color w:val="auto"/>
                <w:lang w:val="en-GB" w:eastAsia="cs-CZ"/>
              </w:rPr>
              <w:t>7</w:t>
            </w:r>
          </w:p>
        </w:tc>
        <w:tc>
          <w:tcPr>
            <w:tcW w:w="4520" w:type="dxa"/>
            <w:tcBorders>
              <w:top w:val="single" w:sz="4" w:space="0" w:color="auto"/>
              <w:left w:val="nil"/>
              <w:bottom w:val="single" w:sz="4" w:space="0" w:color="auto"/>
              <w:right w:val="single" w:sz="4" w:space="0" w:color="auto"/>
            </w:tcBorders>
            <w:shd w:val="clear" w:color="auto" w:fill="auto"/>
            <w:vAlign w:val="bottom"/>
          </w:tcPr>
          <w:p w14:paraId="32B4F298" w14:textId="77777777" w:rsidR="00196808" w:rsidRPr="001D0ADC" w:rsidRDefault="00196808" w:rsidP="00196808">
            <w:pPr>
              <w:pStyle w:val="NoSpacing"/>
              <w:ind w:firstLine="0"/>
              <w:rPr>
                <w:color w:val="auto"/>
                <w:lang w:val="en-GB" w:eastAsia="cs-CZ"/>
              </w:rPr>
            </w:pPr>
            <w:r w:rsidRPr="001D0ADC">
              <w:rPr>
                <w:color w:val="auto"/>
                <w:lang w:val="en-GB" w:eastAsia="cs-CZ"/>
              </w:rPr>
              <w:t>IC50 for EROD inhibition</w:t>
            </w:r>
          </w:p>
        </w:tc>
        <w:tc>
          <w:tcPr>
            <w:tcW w:w="2633" w:type="dxa"/>
            <w:vMerge/>
            <w:tcBorders>
              <w:left w:val="nil"/>
              <w:bottom w:val="single" w:sz="4" w:space="0" w:color="auto"/>
              <w:right w:val="single" w:sz="4" w:space="0" w:color="auto"/>
            </w:tcBorders>
          </w:tcPr>
          <w:p w14:paraId="62CB7E3E"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3B7063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F77135A" w14:textId="77777777" w:rsidR="00196808" w:rsidRPr="001D0ADC" w:rsidRDefault="00196808" w:rsidP="00196808">
            <w:pPr>
              <w:pStyle w:val="NoSpacing"/>
              <w:ind w:firstLine="0"/>
              <w:rPr>
                <w:color w:val="auto"/>
                <w:lang w:val="en-GB" w:eastAsia="cs-CZ"/>
              </w:rPr>
            </w:pPr>
          </w:p>
        </w:tc>
      </w:tr>
      <w:tr w:rsidR="001D0ADC" w:rsidRPr="001D0ADC" w14:paraId="1250B38F"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4BF5086A" w14:textId="77777777" w:rsidR="00196808" w:rsidRPr="001D0ADC" w:rsidRDefault="00196808" w:rsidP="00196808">
            <w:pPr>
              <w:pStyle w:val="NoSpacing"/>
              <w:ind w:firstLine="0"/>
              <w:rPr>
                <w:color w:val="auto"/>
                <w:lang w:val="en-GB" w:eastAsia="cs-CZ"/>
              </w:rPr>
            </w:pPr>
          </w:p>
        </w:tc>
      </w:tr>
      <w:tr w:rsidR="001D0ADC" w:rsidRPr="001D0ADC" w14:paraId="0DB84390"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3D0541C0" w14:textId="77777777" w:rsidR="00196808" w:rsidRPr="001D0ADC" w:rsidRDefault="00196808" w:rsidP="00196808">
            <w:pPr>
              <w:pStyle w:val="NoSpacing"/>
              <w:ind w:firstLine="0"/>
              <w:jc w:val="center"/>
              <w:rPr>
                <w:color w:val="auto"/>
                <w:lang w:val="en-GB" w:eastAsia="cs-CZ"/>
              </w:rPr>
            </w:pPr>
            <w:r w:rsidRPr="001D0ADC">
              <w:rPr>
                <w:color w:val="auto"/>
                <w:lang w:val="en-GB" w:eastAsia="cs-CZ"/>
              </w:rPr>
              <w:t>HDZ</w:t>
            </w:r>
          </w:p>
        </w:tc>
      </w:tr>
      <w:tr w:rsidR="001D0ADC" w:rsidRPr="001D0ADC" w14:paraId="34A00F0D" w14:textId="77777777" w:rsidTr="00AB5B75">
        <w:trPr>
          <w:gridAfter w:val="4"/>
          <w:wAfter w:w="9200" w:type="dxa"/>
          <w:trHeight w:val="300"/>
        </w:trPr>
        <w:tc>
          <w:tcPr>
            <w:tcW w:w="760" w:type="dxa"/>
            <w:vMerge w:val="restart"/>
            <w:tcBorders>
              <w:left w:val="single" w:sz="4" w:space="0" w:color="auto"/>
              <w:right w:val="single" w:sz="4" w:space="0" w:color="auto"/>
            </w:tcBorders>
            <w:shd w:val="clear" w:color="auto" w:fill="auto"/>
            <w:noWrap/>
            <w:vAlign w:val="center"/>
          </w:tcPr>
          <w:p w14:paraId="610B09A9" w14:textId="7BE3EB92" w:rsidR="00196808" w:rsidRPr="001D0ADC" w:rsidRDefault="00196808" w:rsidP="00196808">
            <w:pPr>
              <w:pStyle w:val="NoSpacing"/>
              <w:ind w:firstLine="0"/>
              <w:rPr>
                <w:color w:val="auto"/>
                <w:lang w:val="en-GB" w:eastAsia="cs-CZ"/>
              </w:rPr>
            </w:pPr>
            <w:r w:rsidRPr="001D0ADC">
              <w:rPr>
                <w:color w:val="auto"/>
                <w:lang w:val="en-GB" w:eastAsia="cs-CZ"/>
              </w:rPr>
              <w:t>HDZ</w:t>
            </w: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7F7E8ACE" w14:textId="4D7737BB"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with ZF</w:t>
            </w:r>
            <w:r w:rsidR="000F6A8E" w:rsidRPr="001D0ADC">
              <w:rPr>
                <w:b/>
                <w:bCs/>
                <w:color w:val="auto"/>
                <w:lang w:val="en-GB" w:eastAsia="cs-CZ"/>
              </w:rPr>
              <w:t xml:space="preserve"> (mg/l)</w:t>
            </w:r>
          </w:p>
        </w:tc>
      </w:tr>
      <w:tr w:rsidR="001D0ADC" w:rsidRPr="001D0ADC" w14:paraId="5ED08C8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B6E364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4E24D905" w14:textId="77777777" w:rsidR="00196808" w:rsidRPr="001D0ADC" w:rsidRDefault="00196808" w:rsidP="00196808">
            <w:pPr>
              <w:pStyle w:val="NoSpacing"/>
              <w:ind w:firstLine="0"/>
              <w:rPr>
                <w:color w:val="auto"/>
                <w:lang w:val="en-GB" w:eastAsia="cs-CZ"/>
              </w:rPr>
            </w:pPr>
            <w:r w:rsidRPr="001D0ADC">
              <w:rPr>
                <w:color w:val="auto"/>
                <w:lang w:val="en-GB" w:eastAsia="cs-CZ"/>
              </w:rPr>
              <w:t>&gt;298</w:t>
            </w:r>
          </w:p>
        </w:tc>
        <w:tc>
          <w:tcPr>
            <w:tcW w:w="4520" w:type="dxa"/>
            <w:tcBorders>
              <w:top w:val="single" w:sz="4" w:space="0" w:color="auto"/>
              <w:left w:val="nil"/>
              <w:bottom w:val="single" w:sz="4" w:space="0" w:color="auto"/>
              <w:right w:val="single" w:sz="4" w:space="0" w:color="auto"/>
            </w:tcBorders>
            <w:shd w:val="clear" w:color="auto" w:fill="auto"/>
            <w:vAlign w:val="bottom"/>
          </w:tcPr>
          <w:p w14:paraId="76A67AA4" w14:textId="472A6C57" w:rsidR="00196808" w:rsidRPr="001D0ADC" w:rsidRDefault="00196808" w:rsidP="00196808">
            <w:pPr>
              <w:pStyle w:val="NoSpacing"/>
              <w:ind w:firstLine="0"/>
              <w:rPr>
                <w:color w:val="auto"/>
                <w:lang w:val="en-GB" w:eastAsia="cs-CZ"/>
              </w:rPr>
            </w:pPr>
            <w:r w:rsidRPr="001D0ADC">
              <w:rPr>
                <w:color w:val="auto"/>
                <w:lang w:val="en-GB" w:eastAsia="cs-CZ"/>
              </w:rPr>
              <w:t>LC2</w:t>
            </w:r>
            <w:r w:rsidR="00CF2036" w:rsidRPr="001D0ADC">
              <w:rPr>
                <w:color w:val="auto"/>
                <w:lang w:val="en-GB" w:eastAsia="cs-CZ"/>
              </w:rPr>
              <w:t>5.</w:t>
            </w:r>
            <w:r w:rsidRPr="001D0ADC">
              <w:rPr>
                <w:color w:val="auto"/>
                <w:lang w:val="en-GB" w:eastAsia="cs-CZ"/>
              </w:rPr>
              <w:t xml:space="preserve"> NOAEL</w:t>
            </w:r>
          </w:p>
        </w:tc>
        <w:tc>
          <w:tcPr>
            <w:tcW w:w="2633" w:type="dxa"/>
            <w:tcBorders>
              <w:top w:val="single" w:sz="4" w:space="0" w:color="auto"/>
              <w:left w:val="nil"/>
              <w:bottom w:val="single" w:sz="4" w:space="0" w:color="auto"/>
              <w:right w:val="single" w:sz="4" w:space="0" w:color="auto"/>
            </w:tcBorders>
          </w:tcPr>
          <w:p w14:paraId="6BBBE002"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top w:val="single" w:sz="4" w:space="0" w:color="auto"/>
              <w:left w:val="single" w:sz="4" w:space="0" w:color="auto"/>
              <w:bottom w:val="single" w:sz="4" w:space="0" w:color="auto"/>
              <w:right w:val="single" w:sz="4" w:space="0" w:color="auto"/>
            </w:tcBorders>
          </w:tcPr>
          <w:p w14:paraId="218DA570" w14:textId="77777777"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2108524"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{"citationID":"pWQJXbRh","properties":{"formattedCitation":"(Gustafson et al. 2012)","plainCitation":"(Gustafson et al. 2012)","noteIndex":0},"citationItems":[{"id":1192,"uris":["http://zotero.org/users/11614927/items/5S4U6WJS"],"itemData":{"id":1192,"type":"article-journal","container-title":"Reproductive Toxicology","DOI":"10.1016/j.reprotox.2011.12.004","ISSN":"08906238","issue":"2","journalAbbreviation":"Reproductive Toxicology","language":"en","page":"155-164","source":"DOI.org (Crossref)","title":"Inter-laboratory assessment of a harmonized zebrafish developmental toxicology assay – Progress report on phase I","volume":"33","author":[{"family":"Gustafson","given":"A.-L."},{"family":"Stedman","given":"D.B."},{"family":"Ball","given":"J."},{"family":"Hillegass","given":"J.M."},{"family":"Flood","given":"A."},{"family":"Zhang","given":"C.X."},{"family":"Panzica-Kelly","given":"J."},{"family":"Cao","given":"J."},{"family":"Coburn","given":"A."},{"family":"Enright","given":"B.P."},{"family":"Tornesi","given":"M.B."},{"family":"Hetheridge","given":"M."},{"family":"Augustine-Rauch","given":"K.A."}],"issued":{"date-parts":[["2012",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(Gustafson et al. 2012)</w:t>
            </w:r>
            <w:r w:rsidRPr="001D0ADC">
              <w:rPr>
                <w:color w:val="auto"/>
                <w:lang w:val="en-GB" w:eastAsia="cs-CZ"/>
              </w:rPr>
              <w:fldChar w:fldCharType="end"/>
            </w:r>
          </w:p>
        </w:tc>
      </w:tr>
      <w:tr w:rsidR="001D0ADC" w:rsidRPr="001D0ADC" w14:paraId="2EF68A1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1ACA1DE"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56CA6E4E" w14:textId="684A3B7F"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(cell lines)</w:t>
            </w:r>
            <w:r w:rsidR="000F6A8E" w:rsidRPr="001D0ADC">
              <w:rPr>
                <w:b/>
                <w:bCs/>
                <w:color w:val="auto"/>
                <w:lang w:val="en-GB" w:eastAsia="cs-CZ"/>
              </w:rPr>
              <w:t xml:space="preserve"> (mg/l)</w:t>
            </w:r>
          </w:p>
        </w:tc>
      </w:tr>
      <w:tr w:rsidR="001D0ADC" w:rsidRPr="001D0ADC" w14:paraId="5F2E2D5D"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31B95F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14547B13" w14:textId="77777777" w:rsidR="00196808" w:rsidRPr="001D0ADC" w:rsidRDefault="00196808" w:rsidP="00196808">
            <w:pPr>
              <w:pStyle w:val="NoSpacing"/>
              <w:ind w:firstLine="0"/>
              <w:rPr>
                <w:color w:val="auto"/>
                <w:lang w:val="en-GB" w:eastAsia="cs-CZ"/>
              </w:rPr>
            </w:pPr>
            <w:r w:rsidRPr="001D0ADC">
              <w:rPr>
                <w:color w:val="auto"/>
                <w:lang w:val="en-GB" w:eastAsia="cs-CZ"/>
              </w:rPr>
              <w:t>590</w:t>
            </w:r>
          </w:p>
        </w:tc>
        <w:tc>
          <w:tcPr>
            <w:tcW w:w="4520" w:type="dxa"/>
            <w:tcBorders>
              <w:top w:val="single" w:sz="4" w:space="0" w:color="auto"/>
              <w:left w:val="nil"/>
              <w:bottom w:val="single" w:sz="4" w:space="0" w:color="auto"/>
              <w:right w:val="single" w:sz="4" w:space="0" w:color="auto"/>
            </w:tcBorders>
            <w:shd w:val="clear" w:color="auto" w:fill="auto"/>
            <w:vAlign w:val="bottom"/>
          </w:tcPr>
          <w:p w14:paraId="08023BAE"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58B84964"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RTG-2 MTT</w:t>
            </w:r>
          </w:p>
        </w:tc>
        <w:tc>
          <w:tcPr>
            <w:tcW w:w="1967" w:type="dxa"/>
            <w:tcBorders>
              <w:top w:val="single" w:sz="4" w:space="0" w:color="auto"/>
              <w:left w:val="single" w:sz="4" w:space="0" w:color="auto"/>
              <w:bottom w:val="single" w:sz="4" w:space="0" w:color="auto"/>
              <w:right w:val="single" w:sz="4" w:space="0" w:color="auto"/>
            </w:tcBorders>
          </w:tcPr>
          <w:p w14:paraId="30E47099"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6C06D4E"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{"citationID":"nJnLIl9Y","properties":{"formattedCitation":"(Caminada, Escher, and Fent 2006)","plainCitation":"(Caminada, Escher, and Fent 2006)","noteIndex":0},"citationItems":[{"id":1190,"uris":["http://zotero.org/users/11614927/items/PF8NEWNG"],"itemData":{"id":1190,"type":"article-journal","abstract":"There is need for a better understanding of the ecotoxicity of pharmaceuticals present in aquatic systems as only little is known about their potential acute and chronic toxicity to aquatic organisms. In our work, we evaluate the in vitro cytotoxicity of 34 common pharmaceuticals from different classes and with different modes of action using the mitochondrial MTT reduction and neutral red uptake assays in the two ﬁsh cell lines, PLHC-1 and RTG-2. Cytotoxicity was found for 21 pharmaceuticals with EC50-values ranging from 2.1 </w:instrText>
            </w:r>
            <w:r w:rsidRPr="001D0ADC">
              <w:rPr>
                <w:rFonts w:cs="Times New Roman"/>
                <w:color w:val="auto"/>
                <w:lang w:val="en-GB" w:eastAsia="cs-CZ"/>
              </w:rPr>
              <w:instrText>␮</w:instrText>
            </w:r>
            <w:r w:rsidRPr="001D0ADC">
              <w:rPr>
                <w:color w:val="auto"/>
                <w:lang w:val="en-GB" w:eastAsia="cs-CZ"/>
              </w:rPr>
              <w:instrText>M (1.14 mg l</w:instrText>
            </w:r>
            <w:r w:rsidRPr="001D0ADC">
              <w:rPr>
                <w:rFonts w:cs="Times New Roman"/>
                <w:color w:val="auto"/>
                <w:lang w:val="en-GB" w:eastAsia="cs-CZ"/>
              </w:rPr>
              <w:instrText>−</w:instrText>
            </w:r>
            <w:r w:rsidRPr="001D0ADC">
              <w:rPr>
                <w:color w:val="auto"/>
                <w:lang w:val="en-GB" w:eastAsia="cs-CZ"/>
              </w:rPr>
              <w:instrText>1) (doxorubicin) to 8.66 mM (1200 mg l</w:instrText>
            </w:r>
            <w:r w:rsidRPr="001D0ADC">
              <w:rPr>
                <w:rFonts w:cs="Times New Roman"/>
                <w:color w:val="auto"/>
                <w:lang w:val="en-GB" w:eastAsia="cs-CZ"/>
              </w:rPr>
              <w:instrText>−</w:instrText>
            </w:r>
            <w:r w:rsidRPr="001D0ADC">
              <w:rPr>
                <w:color w:val="auto"/>
                <w:lang w:val="en-GB" w:eastAsia="cs-CZ"/>
              </w:rPr>
              <w:instrText>1) (salicylic acid). There was no signi</w:instrText>
            </w:r>
            <w:r w:rsidRPr="001D0ADC">
              <w:rPr>
                <w:rFonts w:cs="Times New Roman"/>
                <w:color w:val="auto"/>
                <w:lang w:val="en-GB" w:eastAsia="cs-CZ"/>
              </w:rPr>
              <w:instrText>ﬁ</w:instrText>
            </w:r>
            <w:r w:rsidRPr="001D0ADC">
              <w:rPr>
                <w:color w:val="auto"/>
                <w:lang w:val="en-GB" w:eastAsia="cs-CZ"/>
              </w:rPr>
              <w:instrText xml:space="preserve">cant difference between the MTT and NR assays except for an increase in absorption observed with four pharmaceuticals at low concentrations in the MTT assay with PLHC-1 cells indicating a hormesis effect. The comparison of the cell lines revealed that the PLHC-1 cell line was slightly more sensitive than the RTG-2 cell line, showing cytotoxicity at smaller concentrations. The cytotoxicity of pharmaceuticals showed a correlation with their Log D-values at physiological conditions (pH 7.0). A correlation between the in vitro data and in vivo data was found for Daphnia, but not for ﬁsh due to insufﬁcient and heterogeneous data. Our work provides an indication that in vitro cytotoxicity assays with ﬁsh cell lines could be suited for the ﬁrst screening of the acute in vivo toxicity of pharmaceuticals, thereby contributing to the reduction of in vivo experiments. Further investigations with a larger set of pharmaceuticals are needed to strengthen the reliability of the assays and to validate the correlation with in vivo data.","container-title":"Aquatic Toxicology","DOI":"10.1016/j.aquatox.2006.05.010","ISSN":"0166445X","issue":"2","journalAbbreviation":"Aquatic Toxicology","language":"en","page":"114-123","source":"DOI.org (Crossref)","title":"Cytotoxicity of pharmaceuticals found in aquatic systems: Comparison of PLHC-1 and RTG-2 fish cell lines","title-short":"Cytotoxicity of pharmaceuticals found in aquatic systems","volume":"79","author":[{"family":"Caminada","given":"Daniel"},{"family":"Escher","given":"Claudia"},{"family":"Fent","given":"Karl"}],"issued":{"date-parts":[["2006",8]]}}}],"schema":"https://github.com/citation-style-language/schema/raw/master/csl-citation.json"}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(Caminada, Escher, and Fent 2006)</w:t>
            </w:r>
            <w:r w:rsidRPr="001D0ADC">
              <w:rPr>
                <w:color w:val="auto"/>
                <w:lang w:val="en-GB" w:eastAsia="cs-CZ"/>
              </w:rPr>
              <w:fldChar w:fldCharType="end"/>
            </w:r>
          </w:p>
        </w:tc>
      </w:tr>
      <w:tr w:rsidR="001D0ADC" w:rsidRPr="001D0ADC" w14:paraId="1167D0A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98F356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5601A556" w14:textId="77777777" w:rsidR="00196808" w:rsidRPr="001D0ADC" w:rsidRDefault="00196808" w:rsidP="00196808">
            <w:pPr>
              <w:pStyle w:val="NoSpacing"/>
              <w:ind w:firstLine="0"/>
              <w:rPr>
                <w:color w:val="auto"/>
                <w:lang w:val="en-GB" w:eastAsia="cs-CZ"/>
              </w:rPr>
            </w:pPr>
            <w:r w:rsidRPr="001D0ADC">
              <w:rPr>
                <w:color w:val="auto"/>
                <w:lang w:val="en-GB" w:eastAsia="cs-CZ"/>
              </w:rPr>
              <w:t>718</w:t>
            </w:r>
          </w:p>
        </w:tc>
        <w:tc>
          <w:tcPr>
            <w:tcW w:w="4520" w:type="dxa"/>
            <w:tcBorders>
              <w:top w:val="single" w:sz="4" w:space="0" w:color="auto"/>
              <w:left w:val="nil"/>
              <w:bottom w:val="single" w:sz="4" w:space="0" w:color="auto"/>
              <w:right w:val="single" w:sz="4" w:space="0" w:color="auto"/>
            </w:tcBorders>
            <w:shd w:val="clear" w:color="auto" w:fill="auto"/>
            <w:vAlign w:val="bottom"/>
          </w:tcPr>
          <w:p w14:paraId="1830AF0F"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1EB88B9F"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MTT</w:t>
            </w:r>
          </w:p>
        </w:tc>
        <w:tc>
          <w:tcPr>
            <w:tcW w:w="1967" w:type="dxa"/>
            <w:tcBorders>
              <w:top w:val="single" w:sz="4" w:space="0" w:color="auto"/>
              <w:left w:val="single" w:sz="4" w:space="0" w:color="auto"/>
              <w:bottom w:val="single" w:sz="4" w:space="0" w:color="auto"/>
              <w:right w:val="single" w:sz="4" w:space="0" w:color="auto"/>
            </w:tcBorders>
          </w:tcPr>
          <w:p w14:paraId="28D11CF1"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right w:val="single" w:sz="4" w:space="0" w:color="auto"/>
            </w:tcBorders>
            <w:shd w:val="clear" w:color="auto" w:fill="auto"/>
            <w:vAlign w:val="bottom"/>
          </w:tcPr>
          <w:p w14:paraId="79501CA5" w14:textId="77777777" w:rsidR="00196808" w:rsidRPr="001D0ADC" w:rsidRDefault="00196808" w:rsidP="00196808">
            <w:pPr>
              <w:pStyle w:val="NoSpacing"/>
              <w:ind w:firstLine="0"/>
              <w:rPr>
                <w:color w:val="auto"/>
                <w:lang w:val="en-GB" w:eastAsia="cs-CZ"/>
              </w:rPr>
            </w:pPr>
          </w:p>
        </w:tc>
      </w:tr>
      <w:tr w:rsidR="001D0ADC" w:rsidRPr="001D0ADC" w14:paraId="6ED9990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6BBF03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bottom"/>
          </w:tcPr>
          <w:p w14:paraId="02FBDA4F" w14:textId="77777777" w:rsidR="00196808" w:rsidRPr="001D0ADC" w:rsidRDefault="00196808" w:rsidP="00196808">
            <w:pPr>
              <w:pStyle w:val="NoSpacing"/>
              <w:ind w:firstLine="0"/>
              <w:rPr>
                <w:color w:val="auto"/>
                <w:lang w:val="en-GB" w:eastAsia="cs-CZ"/>
              </w:rPr>
            </w:pPr>
            <w:r w:rsidRPr="001D0ADC">
              <w:rPr>
                <w:color w:val="auto"/>
                <w:lang w:val="en-GB" w:eastAsia="cs-CZ"/>
              </w:rPr>
              <w:t>459</w:t>
            </w:r>
          </w:p>
        </w:tc>
        <w:tc>
          <w:tcPr>
            <w:tcW w:w="4520" w:type="dxa"/>
            <w:tcBorders>
              <w:top w:val="single" w:sz="4" w:space="0" w:color="auto"/>
              <w:left w:val="nil"/>
              <w:bottom w:val="single" w:sz="4" w:space="0" w:color="auto"/>
              <w:right w:val="single" w:sz="4" w:space="0" w:color="auto"/>
            </w:tcBorders>
            <w:shd w:val="clear" w:color="auto" w:fill="auto"/>
            <w:vAlign w:val="bottom"/>
          </w:tcPr>
          <w:p w14:paraId="12F2B822"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048EA302"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NR</w:t>
            </w:r>
          </w:p>
        </w:tc>
        <w:tc>
          <w:tcPr>
            <w:tcW w:w="1967" w:type="dxa"/>
            <w:tcBorders>
              <w:top w:val="single" w:sz="4" w:space="0" w:color="auto"/>
              <w:left w:val="single" w:sz="4" w:space="0" w:color="auto"/>
              <w:bottom w:val="single" w:sz="4" w:space="0" w:color="auto"/>
              <w:right w:val="single" w:sz="4" w:space="0" w:color="auto"/>
            </w:tcBorders>
          </w:tcPr>
          <w:p w14:paraId="6F10461C"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bottom w:val="single" w:sz="4" w:space="0" w:color="auto"/>
              <w:right w:val="single" w:sz="4" w:space="0" w:color="auto"/>
            </w:tcBorders>
            <w:shd w:val="clear" w:color="auto" w:fill="auto"/>
            <w:vAlign w:val="bottom"/>
          </w:tcPr>
          <w:p w14:paraId="5E5E9DD3" w14:textId="77777777" w:rsidR="00196808" w:rsidRPr="001D0ADC" w:rsidRDefault="00196808" w:rsidP="00196808">
            <w:pPr>
              <w:pStyle w:val="NoSpacing"/>
              <w:ind w:firstLine="0"/>
              <w:rPr>
                <w:color w:val="auto"/>
                <w:lang w:val="en-GB" w:eastAsia="cs-CZ"/>
              </w:rPr>
            </w:pPr>
          </w:p>
        </w:tc>
      </w:tr>
      <w:tr w:rsidR="001D0ADC" w:rsidRPr="001D0ADC" w14:paraId="0EF7DF9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CD027D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8952079" w14:textId="663E715C"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C0B92BB" w14:textId="77777777" w:rsidR="00196808" w:rsidRPr="001D0ADC" w:rsidRDefault="00196808" w:rsidP="00196808">
            <w:pPr>
              <w:pStyle w:val="NoSpacing"/>
              <w:ind w:firstLine="0"/>
              <w:rPr>
                <w:color w:val="auto"/>
                <w:lang w:val="en-GB" w:eastAsia="cs-CZ"/>
              </w:rPr>
            </w:pPr>
            <w:r w:rsidRPr="001D0ADC">
              <w:rPr>
                <w:color w:val="auto"/>
                <w:lang w:val="en-GB" w:eastAsia="cs-CZ"/>
              </w:rPr>
              <w:t>NOEC for cytotox. (</w:t>
            </w:r>
            <w:r w:rsidRPr="001D0ADC">
              <w:rPr>
                <w:rFonts w:cs="Times New Roman"/>
                <w:color w:val="auto"/>
                <w:lang w:val="en-GB" w:eastAsia="cs-CZ"/>
              </w:rPr>
              <w:t>β</w:t>
            </w:r>
            <w:r w:rsidRPr="001D0ADC">
              <w:rPr>
                <w:color w:val="auto"/>
                <w:lang w:val="en-GB" w:eastAsia="cs-CZ"/>
              </w:rPr>
              <w:t>gal. Act. inh., NR) and ROS generation</w:t>
            </w:r>
          </w:p>
        </w:tc>
        <w:tc>
          <w:tcPr>
            <w:tcW w:w="2633" w:type="dxa"/>
            <w:tcBorders>
              <w:top w:val="single" w:sz="4" w:space="0" w:color="auto"/>
              <w:left w:val="nil"/>
              <w:bottom w:val="single" w:sz="4" w:space="0" w:color="auto"/>
              <w:right w:val="single" w:sz="4" w:space="0" w:color="auto"/>
            </w:tcBorders>
          </w:tcPr>
          <w:p w14:paraId="0308E26F"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RTG-2 (w FBS)</w:t>
            </w:r>
          </w:p>
        </w:tc>
        <w:tc>
          <w:tcPr>
            <w:tcW w:w="1967" w:type="dxa"/>
            <w:tcBorders>
              <w:top w:val="single" w:sz="4" w:space="0" w:color="auto"/>
              <w:left w:val="single" w:sz="4" w:space="0" w:color="auto"/>
              <w:bottom w:val="single" w:sz="4" w:space="0" w:color="auto"/>
              <w:right w:val="single" w:sz="4" w:space="0" w:color="auto"/>
            </w:tcBorders>
          </w:tcPr>
          <w:p w14:paraId="06E36F47"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E30BE0D"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{"citationID":"lDT5C4v0","properties":{"formattedCitation":"(A. Fern\\uc0\\u225{}ndez, G. Carbonell, and M. Bab\\uc0\\u237{}n 2013)","plainCitation":"(A. Fernández, G. Carbonell, and M. Babín 2013)","noteIndex":0},"citationItems":[{"id":1329,"uris":["http://zotero.org/users/11614927/items/ESHYSQ96"],"itemData":{"id":1329,"type":"article-journal","container-title":"Journal of Applied Toxicology","DOI":"10.1002/jat.1446","issue":"33","page":"1203–1212","title":"Effects of individual and a mixture of pharmaceuticals and personal-care products on cytotoxicity, EROD activity and ROS production in a rainbow trout gonadal cell line (RTG-2)","author":[{"literal":"A. Fernández"},{"literal":"G. Carbonell"},{"literal":"M. Babín"}],"issued":{"date-parts":[["2013"]]}}}],"schema":"https://github.com/citation-style-language/schema/raw/master/csl-citation.json"}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(A. Fernández, G. Carbonell, and M. Babín 2013)</w:t>
            </w:r>
            <w:r w:rsidRPr="001D0ADC">
              <w:rPr>
                <w:color w:val="auto"/>
                <w:lang w:val="en-GB" w:eastAsia="cs-CZ"/>
              </w:rPr>
              <w:fldChar w:fldCharType="end"/>
            </w:r>
          </w:p>
        </w:tc>
      </w:tr>
      <w:tr w:rsidR="001D0ADC" w:rsidRPr="001D0ADC" w14:paraId="7EEFC647"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206C89D0" w14:textId="77777777" w:rsidR="00196808" w:rsidRPr="001D0ADC" w:rsidRDefault="00196808" w:rsidP="00196808">
            <w:pPr>
              <w:pStyle w:val="NoSpacing"/>
              <w:ind w:firstLine="0"/>
              <w:rPr>
                <w:color w:val="auto"/>
                <w:lang w:val="en-GB" w:eastAsia="cs-CZ"/>
              </w:rPr>
            </w:pPr>
          </w:p>
        </w:tc>
      </w:tr>
      <w:tr w:rsidR="001D0ADC" w:rsidRPr="001D0ADC" w14:paraId="5D40C2D5"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4F968A34" w14:textId="77777777" w:rsidR="00196808" w:rsidRPr="001D0ADC" w:rsidRDefault="00196808" w:rsidP="00196808">
            <w:pPr>
              <w:pStyle w:val="NoSpacing"/>
              <w:ind w:firstLine="0"/>
              <w:jc w:val="center"/>
              <w:rPr>
                <w:color w:val="auto"/>
                <w:lang w:val="en-GB" w:eastAsia="cs-CZ"/>
              </w:rPr>
            </w:pPr>
            <w:r w:rsidRPr="001D0ADC">
              <w:rPr>
                <w:color w:val="auto"/>
                <w:lang w:val="en-GB" w:eastAsia="cs-CZ"/>
              </w:rPr>
              <w:t>IBU</w:t>
            </w:r>
          </w:p>
        </w:tc>
      </w:tr>
      <w:tr w:rsidR="001D0ADC" w:rsidRPr="001D0ADC" w14:paraId="2853EAB6" w14:textId="77777777" w:rsidTr="00CF4707">
        <w:trPr>
          <w:gridAfter w:val="4"/>
          <w:wAfter w:w="9200" w:type="dxa"/>
          <w:trHeight w:val="300"/>
        </w:trPr>
        <w:tc>
          <w:tcPr>
            <w:tcW w:w="760" w:type="dxa"/>
            <w:vMerge w:val="restart"/>
            <w:tcBorders>
              <w:top w:val="single" w:sz="4" w:space="0" w:color="auto"/>
              <w:left w:val="single" w:sz="4" w:space="0" w:color="auto"/>
              <w:right w:val="single" w:sz="4" w:space="0" w:color="auto"/>
            </w:tcBorders>
            <w:shd w:val="clear" w:color="auto" w:fill="auto"/>
            <w:noWrap/>
            <w:vAlign w:val="bottom"/>
          </w:tcPr>
          <w:p w14:paraId="187F4C55" w14:textId="77777777" w:rsidR="00196808" w:rsidRPr="001D0ADC" w:rsidRDefault="00196808" w:rsidP="00196808">
            <w:pPr>
              <w:pStyle w:val="NoSpacing"/>
              <w:ind w:firstLine="0"/>
              <w:rPr>
                <w:color w:val="auto"/>
                <w:lang w:val="en-GB" w:eastAsia="cs-CZ"/>
              </w:rPr>
            </w:pPr>
            <w:r w:rsidRPr="001D0ADC">
              <w:rPr>
                <w:color w:val="auto"/>
                <w:lang w:val="en-GB" w:eastAsia="cs-CZ"/>
              </w:rPr>
              <w:t>IBU</w:t>
            </w: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66A02262" w14:textId="6B0C1E8D" w:rsidR="00196808" w:rsidRPr="001D0ADC" w:rsidRDefault="00196808" w:rsidP="00196808">
            <w:pPr>
              <w:pStyle w:val="NoSpacing"/>
              <w:ind w:firstLine="0"/>
              <w:rPr>
                <w:b/>
                <w:bCs/>
                <w:color w:val="auto"/>
                <w:lang w:val="en-GB" w:eastAsia="cs-CZ"/>
              </w:rPr>
            </w:pPr>
            <w:r w:rsidRPr="001D0ADC">
              <w:rPr>
                <w:b/>
                <w:bCs/>
                <w:color w:val="auto"/>
                <w:lang w:val="en-GB" w:eastAsia="cs-CZ"/>
              </w:rPr>
              <w:t>Acute Fish Toxicity (adults or juvenile)</w:t>
            </w:r>
            <w:r w:rsidR="000F6A8E" w:rsidRPr="001D0ADC">
              <w:rPr>
                <w:b/>
                <w:bCs/>
                <w:color w:val="auto"/>
                <w:lang w:val="en-GB" w:eastAsia="cs-CZ"/>
              </w:rPr>
              <w:t xml:space="preserve"> (mg/l)</w:t>
            </w:r>
          </w:p>
        </w:tc>
      </w:tr>
      <w:tr w:rsidR="001D0ADC" w:rsidRPr="001D0ADC" w14:paraId="4E723A37"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6600B2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D99ACFE" w14:textId="77777777" w:rsidR="00196808" w:rsidRPr="001D0ADC" w:rsidRDefault="00196808" w:rsidP="00196808">
            <w:pPr>
              <w:pStyle w:val="NoSpacing"/>
              <w:ind w:firstLine="0"/>
              <w:rPr>
                <w:color w:val="auto"/>
                <w:lang w:val="en-GB" w:eastAsia="cs-CZ"/>
              </w:rPr>
            </w:pPr>
            <w:r w:rsidRPr="001D0ADC">
              <w:rPr>
                <w:color w:val="auto"/>
                <w:lang w:val="en-GB" w:eastAsia="cs-CZ"/>
              </w:rPr>
              <w:t>142</w:t>
            </w:r>
          </w:p>
        </w:tc>
        <w:tc>
          <w:tcPr>
            <w:tcW w:w="4520" w:type="dxa"/>
            <w:tcBorders>
              <w:top w:val="single" w:sz="4" w:space="0" w:color="auto"/>
              <w:left w:val="nil"/>
              <w:bottom w:val="single" w:sz="4" w:space="0" w:color="auto"/>
              <w:right w:val="single" w:sz="4" w:space="0" w:color="auto"/>
            </w:tcBorders>
            <w:shd w:val="clear" w:color="auto" w:fill="auto"/>
            <w:vAlign w:val="bottom"/>
          </w:tcPr>
          <w:p w14:paraId="2B8E587A"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0EE50FBF" w14:textId="77777777" w:rsidR="00196808" w:rsidRPr="001D0ADC" w:rsidRDefault="00196808" w:rsidP="00196808">
            <w:pPr>
              <w:pStyle w:val="NoSpacing"/>
              <w:ind w:firstLine="0"/>
              <w:rPr>
                <w:color w:val="auto"/>
                <w:lang w:val="en-GB" w:eastAsia="cs-CZ"/>
              </w:rPr>
            </w:pPr>
            <w:r w:rsidRPr="001D0ADC">
              <w:rPr>
                <w:color w:val="auto"/>
                <w:lang w:val="en-GB" w:eastAsia="cs-CZ"/>
              </w:rPr>
              <w:t>Acute (CM) juvenile</w:t>
            </w:r>
          </w:p>
        </w:tc>
        <w:tc>
          <w:tcPr>
            <w:tcW w:w="1967" w:type="dxa"/>
            <w:tcBorders>
              <w:top w:val="single" w:sz="4" w:space="0" w:color="auto"/>
              <w:left w:val="single" w:sz="4" w:space="0" w:color="auto"/>
              <w:bottom w:val="single" w:sz="4" w:space="0" w:color="auto"/>
              <w:right w:val="single" w:sz="4" w:space="0" w:color="auto"/>
            </w:tcBorders>
          </w:tcPr>
          <w:p w14:paraId="0499DA8C"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D61DD44"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{"citationID":"ecDEdzZ8","properties":{"formattedCitation":"(M. Saravanan et al. 2012)","plainCitation":"(M. Saravanan et al. 2012)","noteIndex":0},"citationItems":[{"id":1208,"uris":["http://zotero.org/users/11614927/items/4V3RJRNS"],"itemData":{"id":1208,"type":"article-journal","container-title":"Environmental Toxicology and Pharmacology","DOI":"10.1016/j.etap.2012.02.005","ISSN":"13826689","issue":"1","journalAbbreviation":"Environmental Toxicology and Pharmacology","language":"en","page":"14-22","source":"DOI.org (Crossref)","title":"Effects of Ibuprofen on hematological, biochemical and enzymological parameters of blood in an Indian major carp, Cirrhinus mrigala","volume":"34","author":[{"family":"Saravanan","given":"M."},{"family":"Devi","given":"K. Usha"},{"family":"Malarvizhi","given":"A."},{"family":"Ramesh","given":"M."}],"issued":{"date-parts":[["2012",7]]}}}],"schema":"https://github.com/citation-style-language/schema/raw/master/csl-citation.json"}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(M. Saravanan et al. 2012)</w:t>
            </w:r>
            <w:r w:rsidRPr="001D0ADC">
              <w:rPr>
                <w:color w:val="auto"/>
                <w:lang w:val="en-GB" w:eastAsia="cs-CZ"/>
              </w:rPr>
              <w:fldChar w:fldCharType="end"/>
            </w:r>
          </w:p>
        </w:tc>
      </w:tr>
      <w:tr w:rsidR="001D0ADC" w:rsidRPr="001D0ADC" w14:paraId="7EE69CDF"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F3038E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802F4F7" w14:textId="1B4C5F4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38</w:t>
            </w:r>
          </w:p>
        </w:tc>
        <w:tc>
          <w:tcPr>
            <w:tcW w:w="4520" w:type="dxa"/>
            <w:tcBorders>
              <w:top w:val="single" w:sz="4" w:space="0" w:color="auto"/>
              <w:left w:val="nil"/>
              <w:bottom w:val="single" w:sz="4" w:space="0" w:color="auto"/>
              <w:right w:val="single" w:sz="4" w:space="0" w:color="auto"/>
            </w:tcBorders>
            <w:shd w:val="clear" w:color="auto" w:fill="auto"/>
            <w:vAlign w:val="bottom"/>
          </w:tcPr>
          <w:p w14:paraId="347C90C8" w14:textId="220F8A8A"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29CB1576" w14:textId="0EC02159" w:rsidR="00196808" w:rsidRPr="001D0ADC" w:rsidRDefault="00196808" w:rsidP="00196808">
            <w:pPr>
              <w:pStyle w:val="NoSpacing"/>
              <w:ind w:firstLine="0"/>
              <w:rPr>
                <w:color w:val="auto"/>
                <w:lang w:val="en-GB" w:eastAsia="cs-CZ"/>
              </w:rPr>
            </w:pPr>
            <w:r w:rsidRPr="001D0ADC">
              <w:rPr>
                <w:color w:val="auto"/>
                <w:lang w:val="en-GB" w:eastAsia="cs-CZ"/>
              </w:rPr>
              <w:t>Acute (CG) juvenile, ibuprofen tablets</w:t>
            </w:r>
          </w:p>
        </w:tc>
        <w:tc>
          <w:tcPr>
            <w:tcW w:w="1967" w:type="dxa"/>
            <w:tcBorders>
              <w:top w:val="single" w:sz="4" w:space="0" w:color="auto"/>
              <w:left w:val="single" w:sz="4" w:space="0" w:color="auto"/>
              <w:bottom w:val="single" w:sz="4" w:space="0" w:color="auto"/>
              <w:right w:val="single" w:sz="4" w:space="0" w:color="auto"/>
            </w:tcBorders>
          </w:tcPr>
          <w:p w14:paraId="6F030A4F" w14:textId="0BED9E05"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2AF6C9D" w14:textId="44CB1B7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{"citationID":"aod30nast0","properties":{"formattedCitation":"(Ogueji et al. 2018)","plainCitation":"(Ogueji et al. 2018)","noteIndex":0},"citationItems":[{"id":1457,"uris":["http://zotero.org/users/11614927/items/9EW9RTCY"],"itemData":{"id":1457,"type":"article-journal","abstract":"Indiscriminate discharge of pharmaceutical waste into the aquatic ecosystem may pose serious health challenges to aquatic biota. The effect of acute exposure to ibuprofen was evaluated using changes in behaviour and haematological parameters under static bio-assay method in Clarias gariepinus. Test specimens were exposed to acute concentrations of ibuprofen (0.28, 0.33, 0.38, 0.43 and 0.48 mg l−1) for 24, 48, 72 and 96 h durations respectively. Behavioural and phenotypic changes were observed in surviving fish. There were significant (p &lt; 0.05) concentration and duration-dependent increases in erythrocyte (RBC), haemoglobin (Hb), pack cell volume (PCV) and leukocytes (WBC) in treated fish compared to the control. Insignificant decreases (p &gt; 0.05) in mean corpuscular volume (MCV), mean corpuscular haemoglobin (MCH) and mean corpuscular haemoglobin concentration (MCHC) were observed in treated fish compared to the control. Ibuprofen elicited dose and durationdependent decrease in neutrophil counts with the decreases being significant (p &lt; 0.05) in the higher doses of 0.43 and 0.48 mg l−1. Ibuprofen did not elicit any significant changes in monocytes, basophils and eosinophils. Changes observed in this study showed that ibuprofen negatively affected the health of the fish and we recommend that discharge of ibuprofen into the aquatic environment should be monitored and controlled.","container-title":"African Journal of Aquatic Science","DOI":"10.2989/16085914.2018.1465393","ISSN":"1608-5914, 1727-9364","issue":"3","journalAbbreviation":"African Journal of Aquatic Science","language":"en","page":"293-303","source":"DOI.org (Crossref)","title":"Acute toxicity effects of ibuprofen on behaviour and haematological parameters of African catfish &lt;i&gt;Clarias gariepinus&lt;/i&gt; (Burchell, 1822)","volume":"43","author":[{"family":"Ogueji","given":"Eo"},{"family":"Nwani","given":"Cd"},{"family":"Iheanacho","given":"Sc"},{"family":"Mbah","given":"Ce"},{"family":"Okeke","given":"Co"},{"family":"Yaji","given":"A"}],"issued":{"date-parts":[["2018",9,25]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(Ogueji et al. 2018)</w:t>
            </w:r>
            <w:r w:rsidRPr="001D0ADC">
              <w:rPr>
                <w:color w:val="auto"/>
                <w:lang w:val="en-GB" w:eastAsia="cs-CZ"/>
              </w:rPr>
              <w:fldChar w:fldCharType="end"/>
            </w:r>
          </w:p>
        </w:tc>
      </w:tr>
      <w:tr w:rsidR="001D0ADC" w:rsidRPr="001D0ADC" w14:paraId="24A59D67"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128DA9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757D7BB" w14:textId="0FAFBC32" w:rsidR="00196808" w:rsidRPr="001D0ADC" w:rsidRDefault="00196808" w:rsidP="00196808">
            <w:pPr>
              <w:pStyle w:val="NoSpacing"/>
              <w:ind w:firstLine="0"/>
              <w:rPr>
                <w:color w:val="auto"/>
                <w:lang w:val="en-GB" w:eastAsia="cs-CZ"/>
              </w:rPr>
            </w:pPr>
            <w:r w:rsidRPr="001D0ADC">
              <w:rPr>
                <w:color w:val="auto"/>
                <w:lang w:val="en-GB" w:eastAsia="cs-CZ"/>
              </w:rPr>
              <w:t>17</w:t>
            </w:r>
            <w:r w:rsidR="00CF2036" w:rsidRPr="001D0ADC">
              <w:rPr>
                <w:color w:val="auto"/>
                <w:lang w:val="en-GB" w:eastAsia="cs-CZ"/>
              </w:rPr>
              <w:t>5.</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5FFC1632" w14:textId="4F3B192D"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64EC6044" w14:textId="200F707B" w:rsidR="00196808" w:rsidRPr="001D0ADC" w:rsidRDefault="00196808" w:rsidP="00196808">
            <w:pPr>
              <w:pStyle w:val="NoSpacing"/>
              <w:ind w:firstLine="0"/>
              <w:rPr>
                <w:color w:val="auto"/>
                <w:lang w:val="en-GB" w:eastAsia="cs-CZ"/>
              </w:rPr>
            </w:pPr>
            <w:r w:rsidRPr="001D0ADC">
              <w:rPr>
                <w:color w:val="auto"/>
                <w:lang w:val="en-GB" w:eastAsia="cs-CZ"/>
              </w:rPr>
              <w:t>Acute (CC)</w:t>
            </w:r>
          </w:p>
        </w:tc>
        <w:tc>
          <w:tcPr>
            <w:tcW w:w="1967" w:type="dxa"/>
            <w:tcBorders>
              <w:top w:val="single" w:sz="4" w:space="0" w:color="auto"/>
              <w:left w:val="single" w:sz="4" w:space="0" w:color="auto"/>
              <w:bottom w:val="single" w:sz="4" w:space="0" w:color="auto"/>
              <w:right w:val="single" w:sz="4" w:space="0" w:color="auto"/>
            </w:tcBorders>
          </w:tcPr>
          <w:p w14:paraId="5B360451" w14:textId="7E703378"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42507BAE" w14:textId="3C1C63A8"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004E4B09" w:rsidRPr="001D0ADC">
              <w:rPr>
                <w:color w:val="auto"/>
                <w:lang w:val="en-GB" w:eastAsia="cs-CZ"/>
              </w:rPr>
              <w:instrText xml:space="preserve"> ADDIN ZOTERO_ITEM CSL_CITATION {"citationID":"at6k3mb0sk","properties":{"formattedCitation":"(Islas-Flores et al. 2014; Islas\\uc0\\u8208{}Flores et al. 2017)","plainCitation":"(Islas-Flores et al. 2014; Islas‐Flores et al. 2017)","noteIndex":0},"citationItems":[{"id":1590,"uris":["http://zotero.org/users/11614927/items/V74MMKDY"],"itemData":{"id":1590,"type":"article-journal","abstract":"Although trace concentrations of ibuprofen (IBP) have been detected in diverse water bodies, there is currently insufficient information on the potentially deleterious effects of this xenobiotic. The present study aimed to determine whether IBP induces oxidative stress in brain, liver, gill, and blood of the common carp Cyprinus carpio. To this end, the median lethal concentration at 96 h (96-h LC50) was determined and the lowest observed adverse effect level was established. Carp were exposed to the latter concentration (17.6 mg L−1) for 12, 24, 48, 72, and 96 h, and the following biomarkers were evaluated: lipid peroxidation (LPX) and activity of the antioxidant enzymes superoxide dismutase, catalase, and glutathione peroxidase. Results indicated that LPX and antioxidant enzymes’ activity increased significantly (p&lt;0.05) with respect to the control group in liver, gill, and blood, while no significant differences occurred in brain. In conclusion, IBP induced oxidative stress on C. carpio, the liver being the organ most affected by this damage.","container-title":"Environmental Science and Pollution Research","DOI":"10.1007/s11356-013-2477-0","ISSN":"0944-1344, 1614-7499","issue":"7","journalAbbreviation":"Environ Sci Pollut Res","language":"en","page":"5157-5166","source":"DOI.org (Crossref)","title":"Effect of ibuprofen exposure on blood, gill, liver, and brain on common carp (Cyprinus carpio) using oxidative stress biomarkers","volume":"21","author":[{"family":"Islas-Flores","given":"Hariz"},{"family":"Gómez-Oliván","given":"Leobardo Manuel"},{"family":"Galar-Martínez","given":"Marcela"},{"family":"García-Medina","given":"Sandra"},{"family":"Neri-Cruz","given":"Nadia"},{"family":"Dublán-García","given":"Octavio"}],"issued":{"date-parts":[["2014",4]]}}},{"id":1928,"uris":["http://zotero.org/users/11614927/items/E2R4PIEQ"],"itemData":{"id":1928,"type":"article-journal","abstract":"Abstract\n            \n              Thirty million people worldwide consume each day nonsteroidal anti‐inflammatory drugs (NSAIDs), a heterogeneous group of pharmaceuticals used for its analgesic, antipyretic, and anti‐inflammatory properties. Recent studies report high NSAID concentrations in wastewater treatment plant effluents, in surface, ground, and drinking water, and in sediments. NSAIDs are also known to induce toxicity on aquatic organisms. However, toxicity in natural ecosystems is not usually the result of exposure to a single substance but to a mixture of toxic agents, yet only a few studies have evaluated the toxicity of mixtures. The aim of this study was to evaluate the toxicity induced by diclofenac (DCF), ibuprofen (IBP), and their mixture on a species of commercial interest, the common carp\n              Cyprinus carpio\n              . The median lethal concentration of IBP and DCF was determined, and oxidative stress was evaluated using the following biomarkers: lipid peroxidation and activity of the antioxidant enzymes superoxide dismutase, catalase and glutathione peroxidase. Cyto‐genotoxicity was evaluated by micronucleus test, comet assay, and the specific activity of caspase‐3. Results show that DCF, IBP, and a mixture of these pharmaceuticals induced free radical production, oxidative stress and cyto‐genotoxicity in tissues of\n              C. carpio\n              . However, a greater effect was elicited by the mixture than by either pharmaceutical alone in some biomarkers evaluated, particularly in gill. © 2016 Wiley Periodicals, Inc. Environ Toxicol 32: 1637–1650, 2017.","container-title":"Environmental Toxicology","DOI":"10.1002/tox.22392","ISSN":"1520-4081, 1522-7278","issue":"5","journalAbbreviation":"Environmental Toxicology","language":"en","page":"1637-1650","source":"DOI.org (Crossref)","title":"Cyto‐genotoxicity and oxidative stress in common carp ( &lt;i&gt;Cyprinus carpio&lt;/i&gt; ) exposed to a mixture of ibuprofen and diclofenac","volume":"32","author":[{"family":"Islas‐Flores","given":"Hariz"},{"family":"Manuel Gómez‐Oliván","given":"Leobardo"},{"family":"Galar‐Martínez","given":"Marcela"},{"family":"Michelle Sánchez‐Ocampo","given":"Esmeralda"},{"family":"SanJuan‐Reyes","given":"Nely"},{"family":"Ortíz‐Reynoso","given":"Mariana"},{"family":"Dublán‐García","given":"Octavio"}],"issued":{"date-parts":[["2017",5]]}}}],"schema":"https://github.com/citation-style-language/schema/raw/master/csl-citation.json"} </w:instrText>
            </w:r>
            <w:r w:rsidRPr="001D0ADC">
              <w:rPr>
                <w:color w:val="auto"/>
                <w:lang w:val="en-GB" w:eastAsia="cs-CZ"/>
              </w:rPr>
              <w:fldChar w:fldCharType="separate"/>
            </w:r>
            <w:r w:rsidR="004E4B09" w:rsidRPr="001D0ADC">
              <w:rPr>
                <w:rFonts w:cs="Times New Roman"/>
                <w:color w:val="auto"/>
                <w:szCs w:val="24"/>
              </w:rPr>
              <w:t>(Islas-Flores et al. 2014; Islas‐Flores et al. 2017)</w:t>
            </w:r>
            <w:r w:rsidRPr="001D0ADC">
              <w:rPr>
                <w:color w:val="auto"/>
                <w:lang w:val="en-GB" w:eastAsia="cs-CZ"/>
              </w:rPr>
              <w:fldChar w:fldCharType="end"/>
            </w:r>
          </w:p>
        </w:tc>
      </w:tr>
      <w:tr w:rsidR="001D0ADC" w:rsidRPr="001D0ADC" w14:paraId="0ABAE33E"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7A1785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8924139" w14:textId="76A2709A" w:rsidR="00196808" w:rsidRPr="001D0ADC" w:rsidRDefault="00196808" w:rsidP="00196808">
            <w:pPr>
              <w:pStyle w:val="NoSpacing"/>
              <w:ind w:firstLine="0"/>
              <w:rPr>
                <w:color w:val="auto"/>
                <w:lang w:val="en-GB" w:eastAsia="cs-CZ"/>
              </w:rPr>
            </w:pPr>
            <w:r w:rsidRPr="001D0ADC">
              <w:rPr>
                <w:color w:val="auto"/>
                <w:lang w:val="en-GB" w:eastAsia="cs-CZ"/>
              </w:rPr>
              <w:t>30</w:t>
            </w:r>
          </w:p>
        </w:tc>
        <w:tc>
          <w:tcPr>
            <w:tcW w:w="4520" w:type="dxa"/>
            <w:tcBorders>
              <w:top w:val="single" w:sz="4" w:space="0" w:color="auto"/>
              <w:left w:val="nil"/>
              <w:bottom w:val="single" w:sz="4" w:space="0" w:color="auto"/>
              <w:right w:val="single" w:sz="4" w:space="0" w:color="auto"/>
            </w:tcBorders>
            <w:shd w:val="clear" w:color="auto" w:fill="auto"/>
            <w:vAlign w:val="bottom"/>
          </w:tcPr>
          <w:p w14:paraId="7DDD1A92" w14:textId="47B8BC1A"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tcBorders>
              <w:top w:val="single" w:sz="4" w:space="0" w:color="auto"/>
              <w:left w:val="nil"/>
              <w:bottom w:val="single" w:sz="4" w:space="0" w:color="auto"/>
              <w:right w:val="single" w:sz="4" w:space="0" w:color="auto"/>
            </w:tcBorders>
          </w:tcPr>
          <w:p w14:paraId="26513E57" w14:textId="0FA1BF20" w:rsidR="00196808" w:rsidRPr="001D0ADC" w:rsidRDefault="00196808" w:rsidP="00196808">
            <w:pPr>
              <w:pStyle w:val="NoSpacing"/>
              <w:ind w:firstLine="0"/>
              <w:rPr>
                <w:color w:val="auto"/>
                <w:lang w:val="en-GB" w:eastAsia="cs-CZ"/>
              </w:rPr>
            </w:pPr>
            <w:r w:rsidRPr="001D0ADC">
              <w:rPr>
                <w:color w:val="auto"/>
                <w:lang w:val="en-GB" w:eastAsia="cs-CZ"/>
              </w:rPr>
              <w:t>Acute (ZF) (OECD203)</w:t>
            </w:r>
          </w:p>
        </w:tc>
        <w:tc>
          <w:tcPr>
            <w:tcW w:w="1967" w:type="dxa"/>
            <w:tcBorders>
              <w:top w:val="single" w:sz="4" w:space="0" w:color="auto"/>
              <w:left w:val="single" w:sz="4" w:space="0" w:color="auto"/>
              <w:bottom w:val="single" w:sz="4" w:space="0" w:color="auto"/>
              <w:right w:val="single" w:sz="4" w:space="0" w:color="auto"/>
            </w:tcBorders>
          </w:tcPr>
          <w:p w14:paraId="15D14748" w14:textId="11BA8D72"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8A84710" w14:textId="68A5CD2F"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{"citationID":"apevjqonrf","properties":{"formattedCitation":"(Bartoskova et al. 2013)","plainCitation":"(Bartoskova et al. 2013)","noteIndex":0},"citationItems":[{"id":1614,"uris":["http://zotero.org/users/11614927/items/U5IXNCN7"],"itemData":{"id":1614,"type":"article-journal","abstract":"OBJECTIVES: The aim of the study was to investigate the effects of subchronic exposure of zebrafish to ibuprofen, using selected oxidative stress parameters as a target. DESIGN: Toxicity tests were performed on Danio rerio according to OECD No. 203 and No. 215. In the growth test, fish were exposed to subletal concentrations of ibuprofen (0.0001, 0.05, 1, 8, and 25 mg.L–1) for 28 days. For the assessment of free radical defense in fish, the catalytic activities of glutathione reductase (GR), glutathione S-transferase (GST), glutathione peroxidase (GPx), and catalase (CAT), as well as the concentration of malondialdehyde (MDA) were measured.\nRESULTS: Ibuprofen did not affect the activity of glutathione reductase and catalase. A significant (p&lt;0.01) increase in the activity of glutathione peroxidase was found, which was proved dose-dependent (10.58 nmol NADPH per min per mg protein in the control and 20.53, 26.36, 26.89, and 45.87 nmol NADPH per min per mg protein in the ibuprofen concentrations of 0.5, 1, 8, and 25 mg.L–1. An increased (p&lt;0.05) activity of glutathione S-transferase in the highest concentration was found compared to control. Malondialdehyde levels were found significantly (p&lt;0.01) decreased from control in the concentrations of 0.0001 and 8 mg.L–1, but no dose-dependence was found.\nCONCLUSION: The results suggest that ibuprofen causes the increase in the activity of some antioxidative and biotransformation enzymes in zebrafish (GPx and GST). We also found a significant decrease in lipid peroxidation in the concentrations of 0.0001 and 8 mg.L–1 compared to control.","language":"en","source":"Zotero","title":"Evaluation of ibuprofen toxicity for zebrafish (Danio rerio) targeting on selected biomarkers of oxidative stress","author":[{"family":"Bartoskova","given":"Marta"},{"family":"Dobsikova","given":"Radka"},{"family":"Stancova","given":"Vlasta"},{"family":"Zivna","given":"Dana"},{"family":"Blahova","given":"Jana"},{"family":"Marsalek","given":"Petr"},{"family":"Zelnickova","given":"Lenka"},{"family":"Bartos","given":"Milan"},{"family":"Tocco","given":"Francesca Casuscelli","non-dropping-particle":"di"},{"family":"Faggio","given":"Caterina"}],"issued":{"date-parts":[["2013"]]}}}],"schema":"https://github.com/citation-style-language/schema/raw/master/csl-citation.json"}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(Bartoskova et al. 2013)</w:t>
            </w:r>
            <w:r w:rsidRPr="001D0ADC">
              <w:rPr>
                <w:color w:val="auto"/>
                <w:lang w:val="en-GB" w:eastAsia="cs-CZ"/>
              </w:rPr>
              <w:fldChar w:fldCharType="end"/>
            </w:r>
          </w:p>
        </w:tc>
      </w:tr>
      <w:tr w:rsidR="001D0ADC" w:rsidRPr="001D0ADC" w14:paraId="1EA420C8"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76FC0A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53E2999" w14:textId="478BD495" w:rsidR="00196808" w:rsidRPr="001D0ADC" w:rsidRDefault="00196808" w:rsidP="00196808">
            <w:pPr>
              <w:pStyle w:val="NoSpacing"/>
              <w:ind w:firstLine="0"/>
              <w:rPr>
                <w:color w:val="auto"/>
                <w:lang w:val="en-GB" w:eastAsia="cs-CZ"/>
              </w:rPr>
            </w:pPr>
            <w:r w:rsidRPr="001D0ADC">
              <w:rPr>
                <w:color w:val="auto"/>
                <w:lang w:val="en-GB" w:eastAsia="cs-CZ"/>
              </w:rPr>
              <w:t>3</w:t>
            </w:r>
            <w:r w:rsidR="00CF2036" w:rsidRPr="001D0ADC">
              <w:rPr>
                <w:color w:val="auto"/>
                <w:lang w:val="en-GB" w:eastAsia="cs-CZ"/>
              </w:rPr>
              <w:t>4.</w:t>
            </w:r>
            <w:r w:rsidRPr="001D0ADC">
              <w:rPr>
                <w:color w:val="auto"/>
                <w:lang w:val="en-GB" w:eastAsia="cs-CZ"/>
              </w:rPr>
              <w:t>35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CCE9A23" w14:textId="62C987C8"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7CFC1C75" w14:textId="5B04875D" w:rsidR="00196808" w:rsidRPr="001D0ADC" w:rsidRDefault="00196808" w:rsidP="00196808">
            <w:pPr>
              <w:pStyle w:val="NoSpacing"/>
              <w:ind w:firstLine="0"/>
              <w:rPr>
                <w:color w:val="auto"/>
                <w:lang w:val="en-GB" w:eastAsia="cs-CZ"/>
              </w:rPr>
            </w:pPr>
            <w:r w:rsidRPr="001D0ADC">
              <w:rPr>
                <w:color w:val="auto"/>
                <w:lang w:val="en-GB" w:eastAsia="cs-CZ"/>
              </w:rPr>
              <w:t>Acute (MB)</w:t>
            </w:r>
          </w:p>
        </w:tc>
        <w:tc>
          <w:tcPr>
            <w:tcW w:w="1967" w:type="dxa"/>
            <w:tcBorders>
              <w:top w:val="single" w:sz="4" w:space="0" w:color="auto"/>
              <w:left w:val="single" w:sz="4" w:space="0" w:color="auto"/>
              <w:bottom w:val="single" w:sz="4" w:space="0" w:color="auto"/>
              <w:right w:val="single" w:sz="4" w:space="0" w:color="auto"/>
            </w:tcBorders>
          </w:tcPr>
          <w:p w14:paraId="6EDCBC59" w14:textId="78193DCF"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5328850" w14:textId="5D6B412B"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{"citationID":"a28i0n23llg","properties":{"formattedCitation":"(Jeffries et al. 2015)","plainCitation":"(Jeffries et al. 2015)","noteIndex":0},"citationItems":[{"id":1598,"uris":["http://zotero.org/users/11614927/items/8EG5MUS2"],"itemData":{"id":1598,"type":"article-journal","container-title":"Environmental Science and Pollution Research","DOI":"10.1007/s11356-015-4227-y","ISSN":"0944-1344, 1614-7499","issue":"22","journalAbbreviation":"Environ Sci Pollut Res","language":"en","page":"17397-17413","source":"DOI.org (Crossref)","title":"Chronic exposures to low and high concentrations of ibuprofen elicit different gene response patterns in a euryhaline fish","volume":"22","author":[{"family":"Jeffries","given":"Ken M."},{"family":"Brander","given":"Susanne M."},{"family":"Britton","given":"Monica T."},{"family":"Fangue","given":"Nann A."},{"family":"Connon","given":"Richard E."}],"issued":{"date-parts":[["2015",11]]}}}],"schema":"https://github.com/citation-style-language/schema/raw/master/csl-citation.json"}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(Jeffries et al. 2015)</w:t>
            </w:r>
            <w:r w:rsidRPr="001D0ADC">
              <w:rPr>
                <w:color w:val="auto"/>
                <w:lang w:val="en-GB" w:eastAsia="cs-CZ"/>
              </w:rPr>
              <w:fldChar w:fldCharType="end"/>
            </w:r>
          </w:p>
        </w:tc>
      </w:tr>
      <w:tr w:rsidR="001D0ADC" w:rsidRPr="001D0ADC" w14:paraId="23A29E3B"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949367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8BB4714" w14:textId="05658BCB" w:rsidR="00196808" w:rsidRPr="001D0ADC" w:rsidRDefault="00CF2036" w:rsidP="00196808">
            <w:pPr>
              <w:pStyle w:val="NoSpacing"/>
              <w:ind w:firstLine="0"/>
              <w:rPr>
                <w:color w:val="auto"/>
                <w:lang w:val="en-GB" w:eastAsia="cs-CZ"/>
              </w:rPr>
            </w:pPr>
            <w:r w:rsidRPr="001D0ADC">
              <w:rPr>
                <w:color w:val="auto"/>
                <w:lang w:val="en-GB" w:eastAsia="cs-CZ"/>
              </w:rPr>
              <w:t>3.</w:t>
            </w:r>
            <w:r w:rsidR="00196808" w:rsidRPr="001D0ADC">
              <w:rPr>
                <w:color w:val="auto"/>
                <w:lang w:val="en-GB" w:eastAsia="cs-CZ"/>
              </w:rPr>
              <w:t>78</w:t>
            </w:r>
          </w:p>
        </w:tc>
        <w:tc>
          <w:tcPr>
            <w:tcW w:w="4520" w:type="dxa"/>
            <w:tcBorders>
              <w:top w:val="single" w:sz="4" w:space="0" w:color="auto"/>
              <w:left w:val="nil"/>
              <w:bottom w:val="single" w:sz="4" w:space="0" w:color="auto"/>
              <w:right w:val="single" w:sz="4" w:space="0" w:color="auto"/>
            </w:tcBorders>
            <w:shd w:val="clear" w:color="auto" w:fill="auto"/>
            <w:vAlign w:val="bottom"/>
          </w:tcPr>
          <w:p w14:paraId="63A2878E" w14:textId="446A0A5E"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6D3742C0" w14:textId="3B8BECF2" w:rsidR="00196808" w:rsidRPr="001D0ADC" w:rsidRDefault="00196808" w:rsidP="00196808">
            <w:pPr>
              <w:pStyle w:val="NoSpacing"/>
              <w:ind w:firstLine="0"/>
              <w:rPr>
                <w:color w:val="auto"/>
                <w:lang w:val="en-GB" w:eastAsia="cs-CZ"/>
              </w:rPr>
            </w:pPr>
            <w:r w:rsidRPr="001D0ADC">
              <w:rPr>
                <w:color w:val="auto"/>
                <w:lang w:val="en-GB" w:eastAsia="cs-CZ"/>
              </w:rPr>
              <w:t>Acute (CG)(OECD210)</w:t>
            </w:r>
          </w:p>
        </w:tc>
        <w:tc>
          <w:tcPr>
            <w:tcW w:w="1967" w:type="dxa"/>
            <w:tcBorders>
              <w:top w:val="single" w:sz="4" w:space="0" w:color="auto"/>
              <w:left w:val="single" w:sz="4" w:space="0" w:color="auto"/>
              <w:bottom w:val="single" w:sz="4" w:space="0" w:color="auto"/>
              <w:right w:val="single" w:sz="4" w:space="0" w:color="auto"/>
            </w:tcBorders>
          </w:tcPr>
          <w:p w14:paraId="7C08BCBA" w14:textId="09AB92A8"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63D2ADF" w14:textId="4A14EEC5"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{"citationID":"a1sqh2kn9c","properties":{"formattedCitation":"(Ogunwole et al. 2021)","plainCitation":"(Ogunwole et al. 2021)","noteIndex":0},"citationItems":[{"id":1591,"uris":["http://zotero.org/users/11614927/items/IGMZKQMN"],"itemData":{"id":1591,"type":"article-journal","abstract":"Numerous active pharmaceutical ingredients (APIs) have been detected in various environmental matrices. Thus, their potential to elicit their toxic effect on non-target organisms is a growing concern, especially in the aquatic environment. This study aimed to investigate the potential toxicity of ibuprofen (IBU) at environmentally relevant concentration on the haematology and histology of the gill, liver, and kidney over 30 days. The 96-h acute toxicity data showed that IBU was moderately toxic to C. gariepinus with an LC50 value of 3.78 mg/L. After 15 and 30 days of exposure, there was a significant alteration in haematological indices in the treated fishes when compared to the control group. Throughout the experimental duration, the level of the mean corpuscular volume (MCV) and mean corpuscular haemoglobin (MCH) were consistently lower significantly, in contrast to the control group. IBU induced histopathological deformities in the gills, liver, and kidney of the exposed fishes, with alterations such as showing severe secondary lamella necrosis (SLN), epithelial lifting (EL), mild deformity of the secondary lamella (DSL), mild secondary lamella necrosis (MLN), and mild vascular congestion in the liver and kidney, respectively. This study has demonstrated that IBU at environmentally relevant concentrations can significantly impact the haematology, gills, liver, and kidney of C. gariepinus. This study’s results can provide baseline info for regulatory agencies to set safe limits for NSAIDs as a safeguard for the aquatic environment.","container-title":"Environmental Science and Pollution Research","DOI":"10.1007/s11356-020-12286-7","ISSN":"0944-1344, 1614-7499","issue":"20","journalAbbreviation":"Environ Sci Pollut Res","language":"en","page":"25603-25613","source":"DOI.org (Crossref)","title":"Chronic levels of ibuprofen induces haematoxic and histopathology damage in the gills, liver, and kidney of the African sharptooth catfish (Clarias gariepinus)","volume":"28","author":[{"family":"Ogunwole","given":"Germaine Akinola"},{"family":"Saliu","given":"Joseph Kayode"},{"family":"Osuala","given":"Fidelia Ijeoma"},{"family":"Odunjo","given":"Faith Oluwaseyi"}],"issued":{"date-parts":[["2021",5]]}}}],"schema":"https://github.com/citation-style-language/schema/raw/master/csl-citation.json"}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(Ogunwole et al. 2021)</w:t>
            </w:r>
            <w:r w:rsidRPr="001D0ADC">
              <w:rPr>
                <w:color w:val="auto"/>
                <w:lang w:val="en-GB" w:eastAsia="cs-CZ"/>
              </w:rPr>
              <w:fldChar w:fldCharType="end"/>
            </w:r>
          </w:p>
        </w:tc>
      </w:tr>
      <w:tr w:rsidR="001D0ADC" w:rsidRPr="001D0ADC" w14:paraId="00DE0FFD"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43DEE4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6EA6F63" w14:textId="279F82D4" w:rsidR="00196808" w:rsidRPr="001D0ADC" w:rsidRDefault="00196808" w:rsidP="00196808">
            <w:pPr>
              <w:pStyle w:val="NoSpacing"/>
              <w:ind w:firstLine="0"/>
              <w:rPr>
                <w:color w:val="auto"/>
                <w:lang w:val="en-GB" w:eastAsia="cs-CZ"/>
              </w:rPr>
            </w:pPr>
            <w:r w:rsidRPr="001D0ADC">
              <w:rPr>
                <w:color w:val="auto"/>
                <w:lang w:val="en-GB" w:eastAsia="cs-CZ"/>
              </w:rPr>
              <w:t>89</w:t>
            </w:r>
          </w:p>
        </w:tc>
        <w:tc>
          <w:tcPr>
            <w:tcW w:w="4520" w:type="dxa"/>
            <w:tcBorders>
              <w:top w:val="single" w:sz="4" w:space="0" w:color="auto"/>
              <w:left w:val="nil"/>
              <w:bottom w:val="single" w:sz="4" w:space="0" w:color="auto"/>
              <w:right w:val="single" w:sz="4" w:space="0" w:color="auto"/>
            </w:tcBorders>
            <w:shd w:val="clear" w:color="auto" w:fill="auto"/>
            <w:vAlign w:val="bottom"/>
          </w:tcPr>
          <w:p w14:paraId="0ABFE3CA" w14:textId="6C995FDE"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7E92600C" w14:textId="52FFA6BC" w:rsidR="00196808" w:rsidRPr="001D0ADC" w:rsidRDefault="00196808" w:rsidP="00196808">
            <w:pPr>
              <w:pStyle w:val="NoSpacing"/>
              <w:ind w:firstLine="0"/>
              <w:rPr>
                <w:color w:val="auto"/>
                <w:lang w:val="en-GB" w:eastAsia="cs-CZ"/>
              </w:rPr>
            </w:pPr>
            <w:r w:rsidRPr="001D0ADC">
              <w:rPr>
                <w:color w:val="auto"/>
                <w:lang w:val="en-GB" w:eastAsia="cs-CZ"/>
              </w:rPr>
              <w:t>Acute (OL)(OECD203)</w:t>
            </w:r>
          </w:p>
        </w:tc>
        <w:tc>
          <w:tcPr>
            <w:tcW w:w="1967" w:type="dxa"/>
            <w:tcBorders>
              <w:top w:val="single" w:sz="4" w:space="0" w:color="auto"/>
              <w:left w:val="single" w:sz="4" w:space="0" w:color="auto"/>
              <w:bottom w:val="single" w:sz="4" w:space="0" w:color="auto"/>
              <w:right w:val="single" w:sz="4" w:space="0" w:color="auto"/>
            </w:tcBorders>
          </w:tcPr>
          <w:p w14:paraId="507B97E1" w14:textId="34AC5808"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307E85C1" w14:textId="0592AA9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{"citationID":"OUvibxB0","properties":{"formattedCitation":"(Yamamoto et al. 2007)","plainCitation":"(Yamamoto et al. 2007)","noteIndex":0},"citationItems":[{"id":1924,"uris":["http://zotero.org/users/11614927/items/WHW8LC7T"],"itemData":{"id":1924,"type":"article-journal","container-title":"Environmental Sciences","issue":"4","language":"en","source":"Zotero","title":"Initial Ecological Risk Assessment of Eight Selected Human Pharmaceuticals in Japan","volume":"14","author":[{"family":"Yamamoto","given":"Hiroshi"},{"family":"Nakamura","given":"Yudai"},{"family":"Nakamura","given":"Yuki"},{"family":"Kitani","given":"Chise"},{"family":"Imari","given":"Tetsuya"},{"family":"Sekizawa","given":"Jun"},{"family":"Takao","given":"Yuji"},{"family":"Yamashita","given":"Naoyuki"},{"family":"Hirai","given":"Narisato"},{"family":"Oda","given":"Shigeto"},{"family":"Tatarazako","given":"Norihisa"}],"issued":{"date-parts":[["2007"]]}}}],"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(Yamamoto et al. 2007)</w:t>
            </w:r>
            <w:r w:rsidRPr="001D0ADC">
              <w:rPr>
                <w:color w:val="auto"/>
                <w:lang w:val="en-GB" w:eastAsia="cs-CZ"/>
              </w:rPr>
              <w:fldChar w:fldCharType="end"/>
            </w:r>
          </w:p>
        </w:tc>
      </w:tr>
      <w:tr w:rsidR="001D0ADC" w:rsidRPr="001D0ADC" w14:paraId="3B72741C"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B0EF3F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7B27100" w14:textId="55E43AF4" w:rsidR="00196808" w:rsidRPr="001D0ADC" w:rsidRDefault="00196808" w:rsidP="00196808">
            <w:pPr>
              <w:pStyle w:val="NoSpacing"/>
              <w:ind w:firstLine="0"/>
              <w:rPr>
                <w:color w:val="auto"/>
                <w:lang w:val="en-GB" w:eastAsia="cs-CZ"/>
              </w:rPr>
            </w:pPr>
            <w:r w:rsidRPr="001D0ADC">
              <w:rPr>
                <w:color w:val="auto"/>
                <w:lang w:val="en-GB" w:eastAsia="cs-CZ"/>
              </w:rPr>
              <w:t>173</w:t>
            </w:r>
          </w:p>
        </w:tc>
        <w:tc>
          <w:tcPr>
            <w:tcW w:w="4520" w:type="dxa"/>
            <w:tcBorders>
              <w:top w:val="single" w:sz="4" w:space="0" w:color="auto"/>
              <w:left w:val="nil"/>
              <w:bottom w:val="single" w:sz="4" w:space="0" w:color="auto"/>
              <w:right w:val="single" w:sz="4" w:space="0" w:color="auto"/>
            </w:tcBorders>
            <w:shd w:val="clear" w:color="auto" w:fill="auto"/>
            <w:vAlign w:val="bottom"/>
          </w:tcPr>
          <w:p w14:paraId="63A5C2DF" w14:textId="71FD4275"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6931D5DA" w14:textId="100FF967" w:rsidR="00196808" w:rsidRPr="001D0ADC" w:rsidRDefault="00196808" w:rsidP="00196808">
            <w:pPr>
              <w:pStyle w:val="NoSpacing"/>
              <w:ind w:firstLine="0"/>
              <w:rPr>
                <w:color w:val="auto"/>
                <w:lang w:val="en-GB" w:eastAsia="cs-CZ"/>
              </w:rPr>
            </w:pPr>
            <w:r w:rsidRPr="001D0ADC">
              <w:rPr>
                <w:color w:val="auto"/>
                <w:lang w:val="en-GB" w:eastAsia="cs-CZ"/>
              </w:rPr>
              <w:t>Acute (LM)</w:t>
            </w:r>
          </w:p>
        </w:tc>
        <w:tc>
          <w:tcPr>
            <w:tcW w:w="1967" w:type="dxa"/>
            <w:tcBorders>
              <w:top w:val="single" w:sz="4" w:space="0" w:color="auto"/>
              <w:left w:val="single" w:sz="4" w:space="0" w:color="auto"/>
              <w:bottom w:val="single" w:sz="4" w:space="0" w:color="auto"/>
              <w:right w:val="single" w:sz="4" w:space="0" w:color="auto"/>
            </w:tcBorders>
          </w:tcPr>
          <w:p w14:paraId="37E5FB2A" w14:textId="1383B7EB"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CE1547A" w14:textId="081846F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{"citationID":"ae9ejulic9","properties":{"formattedCitation":"(Halling-S\\uc0\\u248{}rensen et al. 1998)","plainCitation":"(Halling-Sørensen et al. 1998)","noteIndex":0},"citationItems":[{"id":1453,"uris":["http://zotero.org/users/11614927/items/QZP98ZM4"],"itemData":{"id":1453,"type":"article-journal","container-title":"Chemosphere","DOI":"10.1016/S0045-6535(97)00354-8","ISSN":"00456535","issue":"2","journalAbbreviation":"Chemosphere","language":"en","page":"357-393","source":"DOI.org (Crossref)","title":"Occurrence, fate and effects of pharmaceutical substances in the environment- A review","volume":"36","author":[{"family":"Halling-Sørensen","given":"B."},{"family":"Nors Nielsen","given":"S."},{"family":"Lanzky","given":"P.F."},{"family":"Ingerslev","given":"F."},{"family":"Holten Lützhøft","given":"H.C."},{"family":"Jørgensen","given":"S.E."}],"issued":{"date-parts":[["1998",1]]}}}],"schema":"https://github.com/citation-style-language/schema/raw/master/csl-citation.json"}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(Halling-Sørensen et al. 1998)</w:t>
            </w:r>
            <w:r w:rsidRPr="001D0ADC">
              <w:rPr>
                <w:color w:val="auto"/>
                <w:lang w:val="en-GB" w:eastAsia="cs-CZ"/>
              </w:rPr>
              <w:fldChar w:fldCharType="end"/>
            </w:r>
          </w:p>
        </w:tc>
      </w:tr>
      <w:tr w:rsidR="001D0ADC" w:rsidRPr="001D0ADC" w14:paraId="47E30BCB"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01D0F0B"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25D718E7" w14:textId="67499253" w:rsidR="00196808" w:rsidRPr="001D0ADC" w:rsidRDefault="00196808" w:rsidP="00196808">
            <w:pPr>
              <w:pStyle w:val="NoSpacing"/>
              <w:ind w:firstLine="0"/>
              <w:rPr>
                <w:b/>
                <w:bCs/>
                <w:color w:val="auto"/>
                <w:lang w:val="en-GB" w:eastAsia="cs-CZ"/>
              </w:rPr>
            </w:pPr>
            <w:r w:rsidRPr="001D0ADC">
              <w:rPr>
                <w:b/>
                <w:bCs/>
                <w:color w:val="auto"/>
                <w:lang w:val="en-GB" w:eastAsia="cs-CZ"/>
              </w:rPr>
              <w:t>Non-lethal effects after acute exposure (adults or juvenile)</w:t>
            </w:r>
            <w:r w:rsidR="000F6A8E" w:rsidRPr="001D0ADC">
              <w:rPr>
                <w:b/>
                <w:bCs/>
                <w:color w:val="auto"/>
                <w:lang w:val="en-GB" w:eastAsia="cs-CZ"/>
              </w:rPr>
              <w:t xml:space="preserve"> (mg/l)</w:t>
            </w:r>
          </w:p>
        </w:tc>
      </w:tr>
      <w:tr w:rsidR="001D0ADC" w:rsidRPr="001D0ADC" w14:paraId="19445ED1"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C48353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92EBAAD" w14:textId="0F0D6B12"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00BC5924" w14:textId="77777777" w:rsidR="00196808" w:rsidRPr="001D0ADC" w:rsidRDefault="00196808" w:rsidP="00196808">
            <w:pPr>
              <w:pStyle w:val="NoSpacing"/>
              <w:ind w:firstLine="0"/>
              <w:rPr>
                <w:color w:val="auto"/>
                <w:lang w:val="en-GB" w:eastAsia="cs-CZ"/>
              </w:rPr>
            </w:pPr>
            <w:r w:rsidRPr="001D0ADC">
              <w:rPr>
                <w:color w:val="auto"/>
                <w:lang w:val="en-GB" w:eastAsia="cs-CZ"/>
              </w:rPr>
              <w:t>NOEC for ovarian COX activity, PGF2 content</w:t>
            </w:r>
          </w:p>
        </w:tc>
        <w:tc>
          <w:tcPr>
            <w:tcW w:w="2633" w:type="dxa"/>
            <w:vMerge w:val="restart"/>
            <w:tcBorders>
              <w:top w:val="single" w:sz="4" w:space="0" w:color="auto"/>
              <w:left w:val="nil"/>
              <w:right w:val="single" w:sz="4" w:space="0" w:color="auto"/>
            </w:tcBorders>
          </w:tcPr>
          <w:p w14:paraId="54B468D5" w14:textId="77777777" w:rsidR="00196808" w:rsidRPr="001D0ADC" w:rsidRDefault="00196808" w:rsidP="00196808">
            <w:pPr>
              <w:pStyle w:val="NoSpacing"/>
              <w:ind w:firstLine="0"/>
              <w:rPr>
                <w:color w:val="auto"/>
                <w:lang w:val="en-GB" w:eastAsia="cs-CZ"/>
              </w:rPr>
            </w:pPr>
            <w:r w:rsidRPr="001D0ADC">
              <w:rPr>
                <w:color w:val="auto"/>
                <w:lang w:val="en-GB" w:eastAsia="cs-CZ"/>
              </w:rPr>
              <w:t>Acute (FM)</w:t>
            </w:r>
          </w:p>
        </w:tc>
        <w:tc>
          <w:tcPr>
            <w:tcW w:w="1967" w:type="dxa"/>
            <w:vMerge w:val="restart"/>
            <w:tcBorders>
              <w:top w:val="single" w:sz="4" w:space="0" w:color="auto"/>
              <w:left w:val="single" w:sz="4" w:space="0" w:color="auto"/>
              <w:right w:val="single" w:sz="4" w:space="0" w:color="auto"/>
            </w:tcBorders>
          </w:tcPr>
          <w:p w14:paraId="28269A69"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BFE63B7"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{"citationID":"zuLfvALs","properties":{"formattedCitation":"(Martinovi\\uc0\\u263{}-Weigelt et al. 2017)","plainCitation":"(Martinović-Weigelt et al. 2017)","noteIndex":0},"citationItems":[{"id":1199,"uris":["http://zotero.org/users/11614927/items/M86R94Q4"],"itemData":{"id":1199,"type":"article-journal","abstract":"Cyclooxygenase (COX) inhibitors are ubiquitous in aquatic systems and have been detected in ﬁsh tissues. The exposure of ﬁsh to these pharmaceuticals is concerning because COX inhibitors disrupt the synthesis of prostaglandins (PGs), which modulate a variety of essential biological functions, including reproduction. In this study, we investigated the effects of wellcharacterized mammalian COX inhibitors on female fathead minnow reproductive health. Fish (n ¼ 8) were exposed for 96 h to water containing indomethacin (IN; 100 mg/l), ibuprofen (IB; 200 mg/l) or celecoxib (CX; 20 mg/l), and evaluated for effects on liver metabolome and ovarian gene expression. Metabolomic proﬁles of IN, IB and CX were not signiﬁcantly different from control or one another. Exposure to IB and CX resulted in differential expression of comparable numbers of genes (IB ¼ 433, CX ¼ 545). In contrast, 2558 genes were differentially expressed in IN-treated ﬁsh. Functional analyses (canonical pathway and gene set enrichment) indicated extensive effects of IN on PG synthesis pathway, oocyte meiosis, and several other processes consistent with physiological roles of PGs. Transcriptomic data were congruent with PG data; IN-reduced plasma PG F2a concentration, whereas IB and CX did not. Five putative AOPs were developed linking the assumed molecular initiating event of COX inhibition, with PG reduction and the adverse outcome of reproductive failure via reduction of: (1) ovulation, (2) reproductive behaviors mediated by exogenous or endogenous PGs, and (3) oocyte maturation in ﬁsh. These pathways were developed using, in part, empirical data from the present study and other publicly available data.","container-title":"Toxicological Sciences","DOI":"10.1093/toxsci/kfw257","ISSN":"1096-6080, 1096-0929","issue":"2","language":"en","page":"344-361","source":"DOI.org (Crossref)","title":"Derivation and Evaluation of Putative Adverse Outcome Pathways for the Effects of Cyclooxygenase Inhibitors on Reproductive Processes in Female Fish","volume":"156","author":[{"family":"Martinović-Weigelt","given":"Dalma"},{"family":"Mehinto","given":"Alvine C."},{"family":"Ankley","given":"Gerald T."},{"family":"Berninger","given":"Jason P."},{"family":"Collette","given":"Timothy W."},{"family":"Davis","given":"John M."},{"family":"Denslow","given":"Nancy D."},{"family":"Durhan","given":"Elizabeth J."},{"family":"Eid","given":"Evan"},{"family":"Ekman","given":"Drew R."},{"family":"Jensen","given":"Kathleen M."},{"family":"Kahl","given":"Michael D."},{"family":"LaLone","given":"Carlie A."},{"family":"Teng","given":"Quincy"},{"family":"Villeneuve","given":"Daniel L."}],"issued":{"date-parts":[["2017",4]]}}}],"schema":"https://github.com/citation-style-language/schema/raw/master/csl-citation.json"}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(Martinović-Weigelt et al. 2017)</w:t>
            </w:r>
            <w:r w:rsidRPr="001D0ADC">
              <w:rPr>
                <w:color w:val="auto"/>
                <w:lang w:val="en-GB" w:eastAsia="cs-CZ"/>
              </w:rPr>
              <w:fldChar w:fldCharType="end"/>
            </w:r>
          </w:p>
        </w:tc>
      </w:tr>
      <w:tr w:rsidR="001D0ADC" w:rsidRPr="001D0ADC" w14:paraId="5D8BF302"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EF62AC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4D4E11F" w14:textId="4693C4A9"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25CD5CC5" w14:textId="77777777" w:rsidR="00196808" w:rsidRPr="001D0ADC" w:rsidRDefault="00196808" w:rsidP="00196808">
            <w:pPr>
              <w:pStyle w:val="NoSpacing"/>
              <w:ind w:firstLine="0"/>
              <w:rPr>
                <w:color w:val="auto"/>
                <w:lang w:val="en-GB" w:eastAsia="cs-CZ"/>
              </w:rPr>
            </w:pPr>
            <w:r w:rsidRPr="001D0ADC">
              <w:rPr>
                <w:color w:val="auto"/>
                <w:lang w:val="en-GB" w:eastAsia="cs-CZ"/>
              </w:rPr>
              <w:t>LOEC for change in transcriptome</w:t>
            </w:r>
          </w:p>
        </w:tc>
        <w:tc>
          <w:tcPr>
            <w:tcW w:w="2633" w:type="dxa"/>
            <w:vMerge/>
            <w:tcBorders>
              <w:left w:val="nil"/>
              <w:bottom w:val="single" w:sz="4" w:space="0" w:color="auto"/>
              <w:right w:val="single" w:sz="4" w:space="0" w:color="auto"/>
            </w:tcBorders>
          </w:tcPr>
          <w:p w14:paraId="526CCACE"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2AD277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7D0BA68" w14:textId="77777777" w:rsidR="00196808" w:rsidRPr="001D0ADC" w:rsidRDefault="00196808" w:rsidP="00196808">
            <w:pPr>
              <w:pStyle w:val="NoSpacing"/>
              <w:ind w:firstLine="0"/>
              <w:rPr>
                <w:color w:val="auto"/>
                <w:lang w:val="en-GB" w:eastAsia="cs-CZ"/>
              </w:rPr>
            </w:pPr>
          </w:p>
        </w:tc>
      </w:tr>
      <w:tr w:rsidR="001D0ADC" w:rsidRPr="001D0ADC" w14:paraId="57C7F8A5"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CF67BA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6F28D08"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219642A"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glucose content</w:t>
            </w:r>
          </w:p>
        </w:tc>
        <w:tc>
          <w:tcPr>
            <w:tcW w:w="2633" w:type="dxa"/>
            <w:vMerge w:val="restart"/>
            <w:tcBorders>
              <w:top w:val="single" w:sz="4" w:space="0" w:color="auto"/>
              <w:left w:val="nil"/>
              <w:right w:val="single" w:sz="4" w:space="0" w:color="auto"/>
            </w:tcBorders>
          </w:tcPr>
          <w:p w14:paraId="33248DA1" w14:textId="77777777" w:rsidR="00196808" w:rsidRPr="001D0ADC" w:rsidRDefault="00196808" w:rsidP="00196808">
            <w:pPr>
              <w:pStyle w:val="NoSpacing"/>
              <w:ind w:firstLine="0"/>
              <w:rPr>
                <w:color w:val="auto"/>
                <w:lang w:val="en-GB" w:eastAsia="cs-CZ"/>
              </w:rPr>
            </w:pPr>
            <w:r w:rsidRPr="001D0ADC">
              <w:rPr>
                <w:color w:val="auto"/>
                <w:lang w:val="en-GB" w:eastAsia="cs-CZ"/>
              </w:rPr>
              <w:t>Acute (OM) fry</w:t>
            </w:r>
          </w:p>
        </w:tc>
        <w:tc>
          <w:tcPr>
            <w:tcW w:w="1967" w:type="dxa"/>
            <w:vMerge w:val="restart"/>
            <w:tcBorders>
              <w:top w:val="single" w:sz="4" w:space="0" w:color="auto"/>
              <w:left w:val="single" w:sz="4" w:space="0" w:color="auto"/>
              <w:right w:val="single" w:sz="4" w:space="0" w:color="auto"/>
            </w:tcBorders>
          </w:tcPr>
          <w:p w14:paraId="1C5A2252"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8E36C8B"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{"citationID":"G8nQcOK7","properties":{"formattedCitation":"(Gravel and Vijayan 2007)","plainCitation":"(Gravel and Vijayan 2007)","noteIndex":0},"citationItems":[{"id":1202,"uris":["http://zotero.org/users/11614927/items/WQBJWLKT"],"itemData":{"id":1202,"type":"article-journal","abstract":"Non-steroidal anti-inﬂammatory drugs (NSAIDS) have been detected in the aquatic environment, but little is known about either their impact or mode of action in aquatic organisms. We tested the hypothesis that NSAIDs disrupt the evolutionarily conserved heat shock response, critical for defense against stressor-mediated proteotoxicity, in rainbow trout (Oncorhynchus mykiss). Trout fry were exposed by immersion to a range of salicylate or ibuprofen concentrations (1, 10, 100 or 1000 </w:instrText>
            </w:r>
            <w:r w:rsidRPr="001D0ADC">
              <w:rPr>
                <w:rFonts w:cs="Times New Roman"/>
                <w:color w:val="auto"/>
                <w:lang w:val="en-GB" w:eastAsia="cs-CZ"/>
              </w:rPr>
              <w:instrText>␮</w:instrText>
            </w:r>
            <w:r w:rsidRPr="001D0ADC">
              <w:rPr>
                <w:color w:val="auto"/>
                <w:lang w:val="en-GB" w:eastAsia="cs-CZ"/>
              </w:rPr>
              <w:instrText xml:space="preserve">g/L) for 4 d. Ibuprofen, but not salicylate, at all concentrations induced heat shock protein 70 (hsp70) in trout liver. We used the highest concentration of the drugs to investigate their mode of action on the heat shock response. Fry were subjected to a standardized heat shock, 10 ◦C above ambient (13 ◦C) for 1 h, and the temporal changes in liver hsp70 mRNA and protein content as well as glucose dynamics during recovery from the heat stressor assessed. Ibuprofen exposure did not modify hsp70 mRNA abundance, but signiﬁcantly depressed the heat shock-induced hsp70 protein expression in the liver and gill of trout. Salicylate exposure elevated hsp70 mRNA abundance and delayed the hsp70 expression after a heat shock. Liver glucose levels and the activities of hexokinase, pyruvate kinase and lactate dehydrogenase, were elevated by NSAIDs suggesting enhanced tissue glycolytic capacity. Effects on whole body glucose dynamics, induced by the heat shock, were either absent with ibuprofen or completely modiﬁed by salicylate. Overall, NSAIDs disrupt the heat shock response in rainbow trout, while the mode of action of salicylate and ibuprofen in impacting the cellular stress response appears distinct.","container-title":"Aquatic Toxicology","DOI":"10.1016/j.aquatox.2006.12.001","ISSN":"0166445X","issue":"2","journalAbbreviation":"Aquatic Toxicology","language":"en","page":"197-206","source":"DOI.org (Crossref)","title":"Non-steroidal anti-inflammatory drugs disrupt the heat shock response in rainbow trout","volume":"81","author":[{"family":"Gravel","given":"A"},{"family":"Vijayan","given":"M"}],"issued":{"date-parts":[["2007",2,28]]}}}],"schema":"https://github.com/citation-style-language/schema/raw/master/csl-citation.json"}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(Gravel and Vijayan 2007)</w:t>
            </w:r>
            <w:r w:rsidRPr="001D0ADC">
              <w:rPr>
                <w:color w:val="auto"/>
                <w:lang w:val="en-GB" w:eastAsia="cs-CZ"/>
              </w:rPr>
              <w:fldChar w:fldCharType="end"/>
            </w:r>
          </w:p>
        </w:tc>
      </w:tr>
      <w:tr w:rsidR="001D0ADC" w:rsidRPr="001D0ADC" w14:paraId="3058F4C6"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D9ABE3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4800984" w14:textId="60CE074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EF9D602" w14:textId="77777777" w:rsidR="00196808" w:rsidRPr="001D0ADC" w:rsidRDefault="00196808" w:rsidP="00196808">
            <w:pPr>
              <w:pStyle w:val="NoSpacing"/>
              <w:ind w:firstLine="0"/>
              <w:rPr>
                <w:color w:val="auto"/>
                <w:lang w:val="en-GB" w:eastAsia="cs-CZ"/>
              </w:rPr>
            </w:pPr>
            <w:r w:rsidRPr="001D0ADC">
              <w:rPr>
                <w:color w:val="auto"/>
                <w:lang w:val="en-GB" w:eastAsia="cs-CZ"/>
              </w:rPr>
              <w:t>LOEC for hsp70 expression increase in liver</w:t>
            </w:r>
          </w:p>
        </w:tc>
        <w:tc>
          <w:tcPr>
            <w:tcW w:w="2633" w:type="dxa"/>
            <w:vMerge/>
            <w:tcBorders>
              <w:left w:val="nil"/>
              <w:right w:val="single" w:sz="4" w:space="0" w:color="auto"/>
            </w:tcBorders>
          </w:tcPr>
          <w:p w14:paraId="3193E86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1246F9C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7E82825" w14:textId="77777777" w:rsidR="00196808" w:rsidRPr="001D0ADC" w:rsidRDefault="00196808" w:rsidP="00196808">
            <w:pPr>
              <w:pStyle w:val="NoSpacing"/>
              <w:ind w:firstLine="0"/>
              <w:rPr>
                <w:color w:val="auto"/>
                <w:lang w:val="en-GB" w:eastAsia="cs-CZ"/>
              </w:rPr>
            </w:pPr>
          </w:p>
        </w:tc>
      </w:tr>
      <w:tr w:rsidR="001D0ADC" w:rsidRPr="001D0ADC" w14:paraId="2EDAD284"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FB327E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70E5F78"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7D717248" w14:textId="77777777" w:rsidR="00196808" w:rsidRPr="001D0ADC" w:rsidRDefault="00196808" w:rsidP="00196808">
            <w:pPr>
              <w:pStyle w:val="NoSpacing"/>
              <w:ind w:firstLine="0"/>
              <w:rPr>
                <w:color w:val="auto"/>
                <w:lang w:val="en-GB" w:eastAsia="cs-CZ"/>
              </w:rPr>
            </w:pPr>
            <w:r w:rsidRPr="001D0ADC">
              <w:rPr>
                <w:color w:val="auto"/>
                <w:lang w:val="en-GB" w:eastAsia="cs-CZ"/>
              </w:rPr>
              <w:t>LOEC for hsp70 protein decrease in gill, modulation of heat shock response</w:t>
            </w:r>
          </w:p>
        </w:tc>
        <w:tc>
          <w:tcPr>
            <w:tcW w:w="2633" w:type="dxa"/>
            <w:vMerge/>
            <w:tcBorders>
              <w:left w:val="nil"/>
              <w:bottom w:val="single" w:sz="4" w:space="0" w:color="auto"/>
              <w:right w:val="single" w:sz="4" w:space="0" w:color="auto"/>
            </w:tcBorders>
          </w:tcPr>
          <w:p w14:paraId="043A1F6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4D2A36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FD2A397" w14:textId="77777777" w:rsidR="00196808" w:rsidRPr="001D0ADC" w:rsidRDefault="00196808" w:rsidP="00196808">
            <w:pPr>
              <w:pStyle w:val="NoSpacing"/>
              <w:ind w:firstLine="0"/>
              <w:rPr>
                <w:color w:val="auto"/>
                <w:lang w:val="en-GB" w:eastAsia="cs-CZ"/>
              </w:rPr>
            </w:pPr>
          </w:p>
        </w:tc>
      </w:tr>
      <w:tr w:rsidR="001D0ADC" w:rsidRPr="001D0ADC" w14:paraId="6FBF051F"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AAAC24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3EBA908" w14:textId="602289E2"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2C07B2F" w14:textId="50E6805E" w:rsidR="00196808" w:rsidRPr="001D0ADC" w:rsidRDefault="00196808" w:rsidP="00196808">
            <w:pPr>
              <w:pStyle w:val="NoSpacing"/>
              <w:ind w:firstLine="0"/>
              <w:rPr>
                <w:color w:val="auto"/>
                <w:lang w:val="en-GB" w:eastAsia="cs-CZ"/>
              </w:rPr>
            </w:pPr>
            <w:r w:rsidRPr="001D0ADC">
              <w:rPr>
                <w:color w:val="auto"/>
                <w:lang w:val="en-GB" w:eastAsia="cs-CZ"/>
              </w:rPr>
              <w:t>NOEC for mortality, HIS, CF, GSI, biomarkers</w:t>
            </w:r>
          </w:p>
        </w:tc>
        <w:tc>
          <w:tcPr>
            <w:tcW w:w="2633" w:type="dxa"/>
            <w:vMerge w:val="restart"/>
            <w:tcBorders>
              <w:left w:val="nil"/>
              <w:right w:val="single" w:sz="4" w:space="0" w:color="auto"/>
            </w:tcBorders>
          </w:tcPr>
          <w:p w14:paraId="0D42ADC4" w14:textId="35D773CF" w:rsidR="00196808" w:rsidRPr="001D0ADC" w:rsidRDefault="00196808" w:rsidP="00196808">
            <w:pPr>
              <w:pStyle w:val="NoSpacing"/>
              <w:ind w:firstLine="0"/>
              <w:rPr>
                <w:color w:val="auto"/>
                <w:lang w:val="en-GB" w:eastAsia="cs-CZ"/>
              </w:rPr>
            </w:pPr>
            <w:r w:rsidRPr="001D0ADC">
              <w:rPr>
                <w:color w:val="auto"/>
                <w:lang w:val="en-GB" w:eastAsia="cs-CZ"/>
              </w:rPr>
              <w:t>Acute (CD)</w:t>
            </w:r>
          </w:p>
        </w:tc>
        <w:tc>
          <w:tcPr>
            <w:tcW w:w="1967" w:type="dxa"/>
            <w:vMerge w:val="restart"/>
            <w:tcBorders>
              <w:left w:val="single" w:sz="4" w:space="0" w:color="auto"/>
              <w:right w:val="single" w:sz="4" w:space="0" w:color="auto"/>
            </w:tcBorders>
          </w:tcPr>
          <w:p w14:paraId="5210FD10" w14:textId="2582A7FD"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left w:val="single" w:sz="4" w:space="0" w:color="auto"/>
              <w:right w:val="single" w:sz="4" w:space="0" w:color="auto"/>
            </w:tcBorders>
            <w:shd w:val="clear" w:color="auto" w:fill="auto"/>
            <w:vAlign w:val="bottom"/>
          </w:tcPr>
          <w:p w14:paraId="70C925E0" w14:textId="20735BF2"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{"citationID":"0qTbeGs7","properties":{"formattedCitation":"(Campos et al. 2023)","plainCitation":"(Campos et al. 2023)","noteIndex":0},"citationItems":[{"id":1603,"uris":["http://zotero.org/users/11614927/items/ECRTVCW2"],"itemData":{"id":1603,"type":"article-journal","abstract":"Ibuprofen (IBP) is an anti-inflammatory drug found in aquatic environments, potentially toxic for the biota. We exposed the test fish C. decemmaculatus to two environmentally relevant concentrations (50 and 100 μg IBP/L) for 4 and 12 d and evaluated the effect on some biomarkers. Micronucleus test, nuclear abnormality test and comet assay indicated cyto-genotoxicity at both concentrations and exposure periods. Oxidative stress and biochemical biomarkers were not affected, excepting muscle AChE activity for 4 d. Muscle metabolic biomarkers showed significant decrease in ETS, lipid and protein content, while carbohydrate content was not affected. The CEA index increased at the lower IBP concentration for 4 and 12 d, possibly due to changes in body energy reserves. A full-factorial GLM performed to assess the effects of IBP and exposure times showed that the meta­ bolic and genotoxicity biomarkers were the most sensitive to IBP toxicity, mainly at 50 μg IBP/L for 4 d.","container-title":"Chemosphere","DOI":"10.1016/j.chemosphere.2023.139895","ISSN":"00456535","journalAbbreviation":"Chemosphere","language":"en","page":"139895","source":"DOI.org (Crossref)","title":"Acute and subchronic effects of ibuprofen on the ten spotted live-bearer fish Cnesterodon decemmaculatus (Jenyns, 1842)","volume":"340","author":[{"family":"Campos","given":"L.B."},{"family":"González Núñez","given":"A.A."},{"family":"Palacio","given":"M.J."},{"family":"Ferro","given":"J.P."},{"family":"Castañé","given":"P.M."},{"family":"Ferrari","given":"L."},{"family":"Ossana","given":"N.A."}],"issued":{"date-parts":[["2023",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(Campos et al. 2023)</w:t>
            </w:r>
            <w:r w:rsidRPr="001D0ADC">
              <w:rPr>
                <w:color w:val="auto"/>
                <w:lang w:val="en-GB" w:eastAsia="cs-CZ"/>
              </w:rPr>
              <w:fldChar w:fldCharType="end"/>
            </w:r>
          </w:p>
        </w:tc>
      </w:tr>
      <w:tr w:rsidR="001D0ADC" w:rsidRPr="001D0ADC" w14:paraId="2FF709FF"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E34751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D7DC74F" w14:textId="1B5C7DD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2D53D926" w14:textId="4B706F11" w:rsidR="00196808" w:rsidRPr="001D0ADC" w:rsidRDefault="00196808" w:rsidP="00196808">
            <w:pPr>
              <w:pStyle w:val="NoSpacing"/>
              <w:ind w:firstLine="0"/>
              <w:rPr>
                <w:color w:val="auto"/>
                <w:lang w:val="en-GB" w:eastAsia="cs-CZ"/>
              </w:rPr>
            </w:pPr>
            <w:r w:rsidRPr="001D0ADC">
              <w:rPr>
                <w:color w:val="auto"/>
                <w:lang w:val="en-GB" w:eastAsia="cs-CZ"/>
              </w:rPr>
              <w:t>LOEC for micronuclei and comet assay in PB, biomarkers</w:t>
            </w:r>
          </w:p>
        </w:tc>
        <w:tc>
          <w:tcPr>
            <w:tcW w:w="2633" w:type="dxa"/>
            <w:vMerge/>
            <w:tcBorders>
              <w:left w:val="nil"/>
              <w:bottom w:val="single" w:sz="4" w:space="0" w:color="auto"/>
              <w:right w:val="single" w:sz="4" w:space="0" w:color="auto"/>
            </w:tcBorders>
          </w:tcPr>
          <w:p w14:paraId="04BE4A2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330126A"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63F283A" w14:textId="77777777" w:rsidR="00196808" w:rsidRPr="001D0ADC" w:rsidRDefault="00196808" w:rsidP="00196808">
            <w:pPr>
              <w:pStyle w:val="NoSpacing"/>
              <w:ind w:firstLine="0"/>
              <w:rPr>
                <w:color w:val="auto"/>
                <w:lang w:val="en-GB" w:eastAsia="cs-CZ"/>
              </w:rPr>
            </w:pPr>
          </w:p>
        </w:tc>
      </w:tr>
      <w:tr w:rsidR="001D0ADC" w:rsidRPr="001D0ADC" w14:paraId="10D9473E"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7E6B79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91E21FA" w14:textId="43B00C71"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625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40A530E" w14:textId="2E97AAEF"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val="restart"/>
            <w:tcBorders>
              <w:left w:val="nil"/>
              <w:right w:val="single" w:sz="4" w:space="0" w:color="auto"/>
            </w:tcBorders>
          </w:tcPr>
          <w:p w14:paraId="5B2114C1" w14:textId="72EC582F" w:rsidR="00196808" w:rsidRPr="001D0ADC" w:rsidRDefault="00196808" w:rsidP="00196808">
            <w:pPr>
              <w:pStyle w:val="NoSpacing"/>
              <w:ind w:firstLine="0"/>
              <w:rPr>
                <w:color w:val="auto"/>
                <w:lang w:val="en-GB" w:eastAsia="cs-CZ"/>
              </w:rPr>
            </w:pPr>
            <w:r w:rsidRPr="001D0ADC">
              <w:rPr>
                <w:color w:val="auto"/>
                <w:lang w:val="en-GB" w:eastAsia="cs-CZ"/>
              </w:rPr>
              <w:t>Acute (CA)</w:t>
            </w:r>
          </w:p>
        </w:tc>
        <w:tc>
          <w:tcPr>
            <w:tcW w:w="1967" w:type="dxa"/>
            <w:tcBorders>
              <w:left w:val="single" w:sz="4" w:space="0" w:color="auto"/>
              <w:bottom w:val="single" w:sz="4" w:space="0" w:color="auto"/>
              <w:right w:val="single" w:sz="4" w:space="0" w:color="auto"/>
            </w:tcBorders>
          </w:tcPr>
          <w:p w14:paraId="1F2613B2" w14:textId="597B3ECA" w:rsidR="00196808" w:rsidRPr="001D0ADC" w:rsidRDefault="00196808" w:rsidP="00196808">
            <w:pPr>
              <w:pStyle w:val="NoSpacing"/>
              <w:ind w:firstLine="0"/>
              <w:rPr>
                <w:color w:val="auto"/>
                <w:lang w:val="en-GB" w:eastAsia="cs-CZ"/>
              </w:rPr>
            </w:pPr>
            <w:r w:rsidRPr="001D0ADC">
              <w:rPr>
                <w:color w:val="auto"/>
                <w:lang w:val="en-GB" w:eastAsia="cs-CZ"/>
              </w:rPr>
              <w:t>7d</w:t>
            </w:r>
          </w:p>
        </w:tc>
        <w:tc>
          <w:tcPr>
            <w:tcW w:w="2300" w:type="dxa"/>
            <w:vMerge w:val="restart"/>
            <w:tcBorders>
              <w:left w:val="single" w:sz="4" w:space="0" w:color="auto"/>
              <w:right w:val="single" w:sz="4" w:space="0" w:color="auto"/>
            </w:tcBorders>
            <w:shd w:val="clear" w:color="auto" w:fill="auto"/>
            <w:vAlign w:val="bottom"/>
          </w:tcPr>
          <w:p w14:paraId="12CE5681" w14:textId="3CBDC8F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{"citationID":"a1p69meddj3","properties":{"formattedCitation":"(X. Yang et al. 2019)","plainCitation":"(X. Yang et al. 2019)","noteIndex":0},"citationItems":[{"id":1597,"uris":["http://zotero.org/users/11614927/items/GWFA3R2X"],"itemData":{"id":1597,"type":"article-journal","abstract":"Oﬂoxacin, sulfamethoxazole and ibuprofen are three commonly used drugs which can be detected in aquatic environments. To assess their ecotoxicity, the eﬀects of these three pharmaceuticals and their mixture on AChE (acetylcholinesterase) activity in the brain, and EROD (7-ethoxyresoruﬁn-O-deethylase) and SOD (superoxide dismutase) activities in the liver of the freshwater crucian carp Carassius auratus were tested after exposure for 1, 2, 4 and 7 days. The results showed that treatments with 0.002–0.01 mg/L oﬂoxacin and 0.0008–0.004 mg/L sulfamethoxazole did not signiﬁcantly change AChE, EROD and SOD activities. AChE activity was signiﬁcantly inhibited in response to treatment with &gt;0.05mg/L oﬂoxacin and &gt;0.02 mg/L sulfamethoxazole. All three biomarkers were induced signiﬁcantly in treatments with ibuprofen and the mixture of the three pharmaceuticals at all the tested concentrations. The combined eﬀects of oﬂoxacin, sulfamethoxazole and ibuprofen were compared with their isolated eﬀects on the three biomarkers, and the results indicated that exposure to ibuprofen and the mixture at environmentally relevant concentrations could trigger adverse impacts on Carassius auratus. The hazard quotient (HQ) index also demonstrated a high risk for ibuprofen. Moreover, the present study showed that the eﬀects of oﬂoxacin, sulfamethoxazole and ibuprofen might be additive on the physiological indices of Carassius auratus.","container-title":"International Journal of Environmental Research and Public Health","DOI":"10.3390/ijerph16091628","ISSN":"1660-4601","issue":"9","journalAbbreviation":"IJERPH","language":"en","page":"1628","source":"DOI.org (Crossref)","title":"Biomarker Effects in Carassius auratus Exposure to Ofloxacin, Sulfamethoxazole and Ibuprofen","volume":"16","author":[{"family":"Yang","given":"Xiaofan"},{"family":"Xu","given":"Xiaoping"},{"family":"Wei","given":"Xueyu"},{"family":"Wan","given":"Jie"},{"family":"Zhang","given":"Yu"}],"issued":{"date-parts":[["2019",5,9]]}}}],"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(X. Yang et al. 2019)</w:t>
            </w:r>
            <w:r w:rsidRPr="001D0ADC">
              <w:rPr>
                <w:color w:val="auto"/>
                <w:lang w:val="en-GB" w:eastAsia="cs-CZ"/>
              </w:rPr>
              <w:fldChar w:fldCharType="end"/>
            </w:r>
          </w:p>
        </w:tc>
      </w:tr>
      <w:tr w:rsidR="001D0ADC" w:rsidRPr="001D0ADC" w14:paraId="4F2B2E7F" w14:textId="77777777" w:rsidTr="005707F7">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6E54BDFC" w14:textId="77777777" w:rsidR="00196808" w:rsidRPr="001D0ADC" w:rsidRDefault="00196808" w:rsidP="00196808">
            <w:pPr>
              <w:pStyle w:val="NoSpacing"/>
              <w:ind w:firstLine="0"/>
              <w:rPr>
                <w:color w:val="auto"/>
                <w:lang w:val="en-GB" w:eastAsia="cs-CZ"/>
              </w:rPr>
            </w:pPr>
          </w:p>
        </w:tc>
        <w:tc>
          <w:tcPr>
            <w:tcW w:w="1702" w:type="dxa"/>
            <w:vMerge w:val="restart"/>
            <w:tcBorders>
              <w:top w:val="single" w:sz="4" w:space="0" w:color="auto"/>
              <w:left w:val="nil"/>
              <w:right w:val="single" w:sz="4" w:space="0" w:color="auto"/>
            </w:tcBorders>
            <w:shd w:val="clear" w:color="auto" w:fill="auto"/>
            <w:noWrap/>
            <w:vAlign w:val="center"/>
          </w:tcPr>
          <w:p w14:paraId="4409719F" w14:textId="04C8B041"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009</w:t>
            </w:r>
          </w:p>
        </w:tc>
        <w:tc>
          <w:tcPr>
            <w:tcW w:w="4520" w:type="dxa"/>
            <w:tcBorders>
              <w:top w:val="single" w:sz="4" w:space="0" w:color="auto"/>
              <w:left w:val="nil"/>
              <w:bottom w:val="single" w:sz="4" w:space="0" w:color="auto"/>
              <w:right w:val="single" w:sz="4" w:space="0" w:color="auto"/>
            </w:tcBorders>
            <w:shd w:val="clear" w:color="auto" w:fill="auto"/>
            <w:vAlign w:val="bottom"/>
          </w:tcPr>
          <w:p w14:paraId="3958B68E" w14:textId="56146E8C" w:rsidR="00196808" w:rsidRPr="001D0ADC" w:rsidRDefault="00196808" w:rsidP="00196808">
            <w:pPr>
              <w:pStyle w:val="NoSpacing"/>
              <w:ind w:firstLine="0"/>
              <w:rPr>
                <w:color w:val="auto"/>
                <w:lang w:val="en-GB" w:eastAsia="cs-CZ"/>
              </w:rPr>
            </w:pPr>
            <w:r w:rsidRPr="001D0ADC">
              <w:rPr>
                <w:color w:val="auto"/>
                <w:lang w:val="en-GB" w:eastAsia="cs-CZ"/>
              </w:rPr>
              <w:t>LOEC for AChE, EROD activity</w:t>
            </w:r>
          </w:p>
        </w:tc>
        <w:tc>
          <w:tcPr>
            <w:tcW w:w="2633" w:type="dxa"/>
            <w:vMerge/>
            <w:tcBorders>
              <w:left w:val="nil"/>
              <w:right w:val="single" w:sz="4" w:space="0" w:color="auto"/>
            </w:tcBorders>
          </w:tcPr>
          <w:p w14:paraId="1B603E9A"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564E6BB1" w14:textId="31F50CF6" w:rsidR="00196808" w:rsidRPr="001D0ADC" w:rsidRDefault="00196808" w:rsidP="00196808">
            <w:pPr>
              <w:pStyle w:val="NoSpacing"/>
              <w:ind w:firstLine="0"/>
              <w:rPr>
                <w:color w:val="auto"/>
                <w:lang w:val="en-GB" w:eastAsia="cs-CZ"/>
              </w:rPr>
            </w:pPr>
            <w:r w:rsidRPr="001D0ADC">
              <w:rPr>
                <w:color w:val="auto"/>
                <w:lang w:val="en-GB" w:eastAsia="cs-CZ"/>
              </w:rPr>
              <w:t>1d</w:t>
            </w:r>
          </w:p>
        </w:tc>
        <w:tc>
          <w:tcPr>
            <w:tcW w:w="2300" w:type="dxa"/>
            <w:vMerge/>
            <w:tcBorders>
              <w:left w:val="single" w:sz="4" w:space="0" w:color="auto"/>
              <w:right w:val="single" w:sz="4" w:space="0" w:color="auto"/>
            </w:tcBorders>
            <w:shd w:val="clear" w:color="auto" w:fill="auto"/>
            <w:vAlign w:val="bottom"/>
          </w:tcPr>
          <w:p w14:paraId="198645A9" w14:textId="77777777" w:rsidR="00196808" w:rsidRPr="001D0ADC" w:rsidRDefault="00196808" w:rsidP="00196808">
            <w:pPr>
              <w:pStyle w:val="NoSpacing"/>
              <w:ind w:firstLine="0"/>
              <w:rPr>
                <w:color w:val="auto"/>
                <w:lang w:val="en-GB" w:eastAsia="cs-CZ"/>
              </w:rPr>
            </w:pPr>
          </w:p>
        </w:tc>
      </w:tr>
      <w:tr w:rsidR="001D0ADC" w:rsidRPr="001D0ADC" w14:paraId="721EEA6A" w14:textId="77777777" w:rsidTr="005707F7">
        <w:trPr>
          <w:gridAfter w:val="4"/>
          <w:wAfter w:w="9200" w:type="dxa"/>
          <w:trHeight w:val="150"/>
        </w:trPr>
        <w:tc>
          <w:tcPr>
            <w:tcW w:w="760" w:type="dxa"/>
            <w:vMerge/>
            <w:tcBorders>
              <w:left w:val="single" w:sz="4" w:space="0" w:color="auto"/>
              <w:right w:val="single" w:sz="4" w:space="0" w:color="auto"/>
            </w:tcBorders>
            <w:shd w:val="clear" w:color="auto" w:fill="auto"/>
            <w:noWrap/>
            <w:vAlign w:val="bottom"/>
          </w:tcPr>
          <w:p w14:paraId="6BADDC29" w14:textId="77777777" w:rsidR="00196808" w:rsidRPr="001D0ADC" w:rsidRDefault="00196808" w:rsidP="00196808">
            <w:pPr>
              <w:pStyle w:val="NoSpacing"/>
              <w:ind w:firstLine="0"/>
              <w:rPr>
                <w:color w:val="auto"/>
                <w:lang w:val="en-GB" w:eastAsia="cs-CZ"/>
              </w:rPr>
            </w:pPr>
          </w:p>
        </w:tc>
        <w:tc>
          <w:tcPr>
            <w:tcW w:w="1702" w:type="dxa"/>
            <w:vMerge/>
            <w:tcBorders>
              <w:left w:val="nil"/>
              <w:bottom w:val="single" w:sz="4" w:space="0" w:color="auto"/>
              <w:right w:val="single" w:sz="4" w:space="0" w:color="auto"/>
            </w:tcBorders>
            <w:shd w:val="clear" w:color="auto" w:fill="auto"/>
            <w:noWrap/>
            <w:vAlign w:val="center"/>
          </w:tcPr>
          <w:p w14:paraId="07E406FC"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51ECAF36" w14:textId="3B891828" w:rsidR="00196808" w:rsidRPr="001D0ADC" w:rsidRDefault="00196808" w:rsidP="00196808">
            <w:pPr>
              <w:pStyle w:val="NoSpacing"/>
              <w:ind w:firstLine="0"/>
              <w:rPr>
                <w:color w:val="auto"/>
                <w:lang w:val="en-GB" w:eastAsia="cs-CZ"/>
              </w:rPr>
            </w:pPr>
            <w:r w:rsidRPr="001D0ADC">
              <w:rPr>
                <w:color w:val="auto"/>
                <w:lang w:val="en-GB" w:eastAsia="cs-CZ"/>
              </w:rPr>
              <w:t>LOEC for SOD activity</w:t>
            </w:r>
          </w:p>
        </w:tc>
        <w:tc>
          <w:tcPr>
            <w:tcW w:w="2633" w:type="dxa"/>
            <w:vMerge/>
            <w:tcBorders>
              <w:left w:val="nil"/>
              <w:right w:val="single" w:sz="4" w:space="0" w:color="auto"/>
            </w:tcBorders>
          </w:tcPr>
          <w:p w14:paraId="000A9744"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3159CDB7" w14:textId="748AEA2E" w:rsidR="00196808" w:rsidRPr="001D0ADC" w:rsidRDefault="00196808" w:rsidP="00196808">
            <w:pPr>
              <w:pStyle w:val="NoSpacing"/>
              <w:ind w:firstLine="0"/>
              <w:rPr>
                <w:color w:val="auto"/>
                <w:lang w:val="en-GB" w:eastAsia="cs-CZ"/>
              </w:rPr>
            </w:pPr>
            <w:r w:rsidRPr="001D0ADC">
              <w:rPr>
                <w:color w:val="auto"/>
                <w:lang w:val="en-GB" w:eastAsia="cs-CZ"/>
              </w:rPr>
              <w:t>2d</w:t>
            </w:r>
          </w:p>
        </w:tc>
        <w:tc>
          <w:tcPr>
            <w:tcW w:w="2300" w:type="dxa"/>
            <w:vMerge/>
            <w:tcBorders>
              <w:left w:val="single" w:sz="4" w:space="0" w:color="auto"/>
              <w:right w:val="single" w:sz="4" w:space="0" w:color="auto"/>
            </w:tcBorders>
            <w:shd w:val="clear" w:color="auto" w:fill="auto"/>
            <w:vAlign w:val="bottom"/>
          </w:tcPr>
          <w:p w14:paraId="5D35C04B" w14:textId="77777777" w:rsidR="00196808" w:rsidRPr="001D0ADC" w:rsidRDefault="00196808" w:rsidP="00196808">
            <w:pPr>
              <w:pStyle w:val="NoSpacing"/>
              <w:ind w:firstLine="0"/>
              <w:rPr>
                <w:color w:val="auto"/>
                <w:lang w:val="en-GB" w:eastAsia="cs-CZ"/>
              </w:rPr>
            </w:pPr>
          </w:p>
        </w:tc>
      </w:tr>
      <w:tr w:rsidR="001D0ADC" w:rsidRPr="001D0ADC" w14:paraId="5BFEFBF5"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7D4F27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F67069E" w14:textId="053161F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045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E759C23" w14:textId="7154EF22" w:rsidR="00196808" w:rsidRPr="001D0ADC" w:rsidRDefault="00196808" w:rsidP="00196808">
            <w:pPr>
              <w:pStyle w:val="NoSpacing"/>
              <w:ind w:firstLine="0"/>
              <w:rPr>
                <w:color w:val="auto"/>
                <w:lang w:val="en-GB" w:eastAsia="cs-CZ"/>
              </w:rPr>
            </w:pPr>
            <w:r w:rsidRPr="001D0ADC">
              <w:rPr>
                <w:color w:val="auto"/>
                <w:lang w:val="en-GB" w:eastAsia="cs-CZ"/>
              </w:rPr>
              <w:t xml:space="preserve">LOEC for SOD activity </w:t>
            </w:r>
          </w:p>
        </w:tc>
        <w:tc>
          <w:tcPr>
            <w:tcW w:w="2633" w:type="dxa"/>
            <w:vMerge/>
            <w:tcBorders>
              <w:left w:val="nil"/>
              <w:bottom w:val="single" w:sz="4" w:space="0" w:color="auto"/>
              <w:right w:val="single" w:sz="4" w:space="0" w:color="auto"/>
            </w:tcBorders>
          </w:tcPr>
          <w:p w14:paraId="10F3C229" w14:textId="77777777" w:rsidR="00196808" w:rsidRPr="001D0ADC" w:rsidRDefault="00196808" w:rsidP="00196808">
            <w:pPr>
              <w:pStyle w:val="NoSpacing"/>
              <w:ind w:firstLine="0"/>
              <w:rPr>
                <w:color w:val="auto"/>
                <w:lang w:val="en-GB" w:eastAsia="cs-CZ"/>
              </w:rPr>
            </w:pPr>
          </w:p>
        </w:tc>
        <w:tc>
          <w:tcPr>
            <w:tcW w:w="1967" w:type="dxa"/>
            <w:tcBorders>
              <w:left w:val="single" w:sz="4" w:space="0" w:color="auto"/>
              <w:bottom w:val="single" w:sz="4" w:space="0" w:color="auto"/>
              <w:right w:val="single" w:sz="4" w:space="0" w:color="auto"/>
            </w:tcBorders>
          </w:tcPr>
          <w:p w14:paraId="726C5165" w14:textId="0C40634F" w:rsidR="00196808" w:rsidRPr="001D0ADC" w:rsidRDefault="00196808" w:rsidP="00196808">
            <w:pPr>
              <w:pStyle w:val="NoSpacing"/>
              <w:ind w:firstLine="0"/>
              <w:rPr>
                <w:color w:val="auto"/>
                <w:lang w:val="en-GB" w:eastAsia="cs-CZ"/>
              </w:rPr>
            </w:pPr>
            <w:r w:rsidRPr="001D0ADC">
              <w:rPr>
                <w:color w:val="auto"/>
                <w:lang w:val="en-GB" w:eastAsia="cs-CZ"/>
              </w:rPr>
              <w:t>1d</w:t>
            </w:r>
          </w:p>
        </w:tc>
        <w:tc>
          <w:tcPr>
            <w:tcW w:w="2300" w:type="dxa"/>
            <w:vMerge/>
            <w:tcBorders>
              <w:left w:val="single" w:sz="4" w:space="0" w:color="auto"/>
              <w:bottom w:val="single" w:sz="4" w:space="0" w:color="auto"/>
              <w:right w:val="single" w:sz="4" w:space="0" w:color="auto"/>
            </w:tcBorders>
            <w:shd w:val="clear" w:color="auto" w:fill="auto"/>
            <w:vAlign w:val="bottom"/>
          </w:tcPr>
          <w:p w14:paraId="407B79DD" w14:textId="77777777" w:rsidR="00196808" w:rsidRPr="001D0ADC" w:rsidRDefault="00196808" w:rsidP="00196808">
            <w:pPr>
              <w:pStyle w:val="NoSpacing"/>
              <w:ind w:firstLine="0"/>
              <w:rPr>
                <w:color w:val="auto"/>
                <w:lang w:val="en-GB" w:eastAsia="cs-CZ"/>
              </w:rPr>
            </w:pPr>
          </w:p>
        </w:tc>
      </w:tr>
      <w:tr w:rsidR="001D0ADC" w:rsidRPr="001D0ADC" w14:paraId="582E8081"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2E65B8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A51B2BD" w14:textId="7615EF76" w:rsidR="00196808" w:rsidRPr="001D0ADC" w:rsidRDefault="00196808"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7.</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5B42EA0E" w14:textId="4312701F" w:rsidR="00196808" w:rsidRPr="001D0ADC" w:rsidRDefault="00196808" w:rsidP="00196808">
            <w:pPr>
              <w:pStyle w:val="NoSpacing"/>
              <w:ind w:firstLine="0"/>
              <w:rPr>
                <w:color w:val="auto"/>
                <w:lang w:val="en-GB" w:eastAsia="cs-CZ"/>
              </w:rPr>
            </w:pPr>
            <w:r w:rsidRPr="001D0ADC">
              <w:rPr>
                <w:color w:val="auto"/>
                <w:lang w:val="en-GB" w:eastAsia="cs-CZ"/>
              </w:rPr>
              <w:t>LOEC for lipid peroxidation, SOD, CAT, and GPX activity in liver (other tissues at later endpoints)</w:t>
            </w:r>
          </w:p>
        </w:tc>
        <w:tc>
          <w:tcPr>
            <w:tcW w:w="2633" w:type="dxa"/>
            <w:tcBorders>
              <w:left w:val="nil"/>
              <w:bottom w:val="single" w:sz="4" w:space="0" w:color="auto"/>
              <w:right w:val="single" w:sz="4" w:space="0" w:color="auto"/>
            </w:tcBorders>
          </w:tcPr>
          <w:p w14:paraId="3119FC6B" w14:textId="6BB666C4" w:rsidR="00196808" w:rsidRPr="001D0ADC" w:rsidRDefault="00196808" w:rsidP="00196808">
            <w:pPr>
              <w:pStyle w:val="NoSpacing"/>
              <w:ind w:firstLine="0"/>
              <w:rPr>
                <w:color w:val="auto"/>
                <w:lang w:val="en-GB" w:eastAsia="cs-CZ"/>
              </w:rPr>
            </w:pPr>
            <w:r w:rsidRPr="001D0ADC">
              <w:rPr>
                <w:color w:val="auto"/>
                <w:lang w:val="en-GB" w:eastAsia="cs-CZ"/>
              </w:rPr>
              <w:t>Acute (CC)</w:t>
            </w:r>
          </w:p>
        </w:tc>
        <w:tc>
          <w:tcPr>
            <w:tcW w:w="1967" w:type="dxa"/>
            <w:tcBorders>
              <w:left w:val="single" w:sz="4" w:space="0" w:color="auto"/>
              <w:bottom w:val="single" w:sz="4" w:space="0" w:color="auto"/>
              <w:right w:val="single" w:sz="4" w:space="0" w:color="auto"/>
            </w:tcBorders>
          </w:tcPr>
          <w:p w14:paraId="4CF56CD6" w14:textId="7FE730D7" w:rsidR="00196808" w:rsidRPr="001D0ADC" w:rsidRDefault="00196808" w:rsidP="00196808">
            <w:pPr>
              <w:pStyle w:val="NoSpacing"/>
              <w:ind w:firstLine="0"/>
              <w:rPr>
                <w:color w:val="auto"/>
                <w:lang w:val="en-GB" w:eastAsia="cs-CZ"/>
              </w:rPr>
            </w:pPr>
            <w:r w:rsidRPr="001D0ADC">
              <w:rPr>
                <w:color w:val="auto"/>
                <w:lang w:val="en-GB" w:eastAsia="cs-CZ"/>
              </w:rPr>
              <w:t>12h</w:t>
            </w:r>
          </w:p>
        </w:tc>
        <w:tc>
          <w:tcPr>
            <w:tcW w:w="2300" w:type="dxa"/>
            <w:tcBorders>
              <w:left w:val="single" w:sz="4" w:space="0" w:color="auto"/>
              <w:bottom w:val="single" w:sz="4" w:space="0" w:color="auto"/>
              <w:right w:val="single" w:sz="4" w:space="0" w:color="auto"/>
            </w:tcBorders>
            <w:shd w:val="clear" w:color="auto" w:fill="auto"/>
            <w:vAlign w:val="bottom"/>
          </w:tcPr>
          <w:p w14:paraId="7E5D3105" w14:textId="0F4A596A"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{"citationID":"6Cc4nyzs","properties":{"formattedCitation":"(Islas-Flores et al. 2014)","plainCitation":"(Islas-Flores et al. 2014)","noteIndex":0},"citationItems":[{"id":1590,"uris":["http://zotero.org/users/11614927/items/V74MMKDY"],"itemData":{"id":1590,"type":"article-journal","abstract":"Although trace concentrations of ibuprofen (IBP) have been detected in diverse water bodies, there is currently insufficient information on the potentially deleterious effects of this xenobiotic. The present study aimed to determine whether IBP induces oxidative stress in brain, liver, gill, and blood of the common carp Cyprinus carpio. To this end, the median lethal concentration at 96 h (96-h LC50) was determined and the lowest observed adverse effect level was established. Carp were exposed to the latter concentration (17.6 mg L−1) for 12, 24, 48, 72, and 96 h, and the following biomarkers were evaluated: lipid peroxidation (LPX) and activity of the antioxidant enzymes superoxide dismutase, catalase, and glutathione peroxidase. Results indicated that LPX and antioxidant enzymes’ activity increased significantly (p&lt;0.05) with respect to the control group in liver, gill, and blood, while no significant differences occurred in brain. In conclusion, IBP induced oxidative stress on C. carpio, the liver being the organ most affected by this damage.","container-title":"Environmental Science and Pollution Research","DOI":"10.1007/s11356-013-2477-0","ISSN":"0944-1344, 1614-7499","issue":"7","journalAbbreviation":"Environ Sci Pollut Res","language":"en","page":"5157-5166","source":"DOI.org (Crossref)","title":"Effect of ibuprofen exposure on blood, gill, liver, and brain on common carp (Cyprinus carpio) using oxidative stress biomarkers","volume":"21","author":[{"family":"Islas-Flores","given":"Hariz"},{"family":"Gómez-Oliván","given":"Leobardo Manuel"},{"family":"Galar-Martínez","given":"Marcela"},{"family":"García-Medina","given":"Sandra"},{"family":"Neri-Cruz","given":"Nadia"},{"family":"Dublán-García","given":"Octavio"}],"issued":{"date-parts":[["2014",4]]}}}],"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(Islas-Flores et al. 2014)</w:t>
            </w:r>
            <w:r w:rsidRPr="001D0ADC">
              <w:rPr>
                <w:color w:val="auto"/>
                <w:lang w:val="en-GB" w:eastAsia="cs-CZ"/>
              </w:rPr>
              <w:fldChar w:fldCharType="end"/>
            </w:r>
          </w:p>
        </w:tc>
      </w:tr>
      <w:tr w:rsidR="001D0ADC" w:rsidRPr="001D0ADC" w14:paraId="147E3D0D"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B8C7BA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770C454" w14:textId="39908441" w:rsidR="00196808" w:rsidRPr="001D0ADC" w:rsidRDefault="00196808" w:rsidP="00196808">
            <w:pPr>
              <w:pStyle w:val="NoSpacing"/>
              <w:ind w:firstLine="0"/>
              <w:rPr>
                <w:color w:val="auto"/>
                <w:lang w:val="en-GB" w:eastAsia="cs-CZ"/>
              </w:rPr>
            </w:pPr>
            <w:r w:rsidRPr="001D0ADC">
              <w:rPr>
                <w:color w:val="auto"/>
                <w:lang w:val="en-GB" w:eastAsia="cs-CZ"/>
              </w:rPr>
              <w:t>1</w:t>
            </w:r>
            <w:r w:rsidR="00CF2036" w:rsidRPr="001D0ADC">
              <w:rPr>
                <w:color w:val="auto"/>
                <w:lang w:val="en-GB" w:eastAsia="cs-CZ"/>
              </w:rPr>
              <w:t>7.</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6C28C4B9" w14:textId="534FC14A" w:rsidR="00196808" w:rsidRPr="001D0ADC" w:rsidRDefault="00196808" w:rsidP="00196808">
            <w:pPr>
              <w:pStyle w:val="NoSpacing"/>
              <w:ind w:firstLine="0"/>
              <w:rPr>
                <w:color w:val="auto"/>
                <w:lang w:val="en-GB" w:eastAsia="cs-CZ"/>
              </w:rPr>
            </w:pPr>
            <w:r w:rsidRPr="001D0ADC">
              <w:rPr>
                <w:color w:val="auto"/>
                <w:lang w:val="en-GB" w:eastAsia="cs-CZ"/>
              </w:rPr>
              <w:t>LOEC for lipid peroxidation, SOD, GPx, and CAT activity, comet assay, NOEC for micronuclei</w:t>
            </w:r>
          </w:p>
        </w:tc>
        <w:tc>
          <w:tcPr>
            <w:tcW w:w="2633" w:type="dxa"/>
            <w:tcBorders>
              <w:left w:val="nil"/>
              <w:bottom w:val="single" w:sz="4" w:space="0" w:color="auto"/>
              <w:right w:val="single" w:sz="4" w:space="0" w:color="auto"/>
            </w:tcBorders>
          </w:tcPr>
          <w:p w14:paraId="730FD0DC" w14:textId="7C2482D6" w:rsidR="00196808" w:rsidRPr="001D0ADC" w:rsidRDefault="00196808" w:rsidP="00196808">
            <w:pPr>
              <w:pStyle w:val="NoSpacing"/>
              <w:ind w:firstLine="0"/>
              <w:rPr>
                <w:color w:val="auto"/>
                <w:lang w:val="en-GB" w:eastAsia="cs-CZ"/>
              </w:rPr>
            </w:pPr>
            <w:r w:rsidRPr="001D0ADC">
              <w:rPr>
                <w:color w:val="auto"/>
                <w:lang w:val="en-GB" w:eastAsia="cs-CZ"/>
              </w:rPr>
              <w:t>Acute (CC)</w:t>
            </w:r>
          </w:p>
        </w:tc>
        <w:tc>
          <w:tcPr>
            <w:tcW w:w="1967" w:type="dxa"/>
            <w:tcBorders>
              <w:left w:val="single" w:sz="4" w:space="0" w:color="auto"/>
              <w:bottom w:val="single" w:sz="4" w:space="0" w:color="auto"/>
              <w:right w:val="single" w:sz="4" w:space="0" w:color="auto"/>
            </w:tcBorders>
          </w:tcPr>
          <w:p w14:paraId="40CC783D" w14:textId="1FBC334C"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left w:val="single" w:sz="4" w:space="0" w:color="auto"/>
              <w:bottom w:val="single" w:sz="4" w:space="0" w:color="auto"/>
              <w:right w:val="single" w:sz="4" w:space="0" w:color="auto"/>
            </w:tcBorders>
            <w:shd w:val="clear" w:color="auto" w:fill="auto"/>
            <w:vAlign w:val="bottom"/>
          </w:tcPr>
          <w:p w14:paraId="7F2DA0C9" w14:textId="33609D0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{"citationID":"TpvJFOIx","properties":{"formattedCitation":"(Islas\\uc0\\u8208{}Flores et al. 2017)","plainCitation":"(Islas‐Flores et al. 2017)","noteIndex":0},"citationItems":[{"id":1928,"uris":["http://zotero.org/users/11614927/items/E2R4PIEQ"],"itemData":{"id":1928,"type":"article-journal","abstract":"Abstract\n            \n              Thirty million people worldwide consume each day nonsteroidal anti‐inflammatory drugs (NSAIDs), a heterogeneous group of pharmaceuticals used for its analgesic, antipyretic, and anti‐inflammatory properties. Recent studies report high NSAID concentrations in wastewater treatment plant effluents, in surface, ground, and drinking water, and in sediments. NSAIDs are also known to induce toxicity on aquatic organisms. However, toxicity in natural ecosystems is not usually the result of exposure to a single substance but to a mixture of toxic agents, yet only a few studies have evaluated the toxicity of mixtures. The aim of this study was to evaluate the toxicity induced by diclofenac (DCF), ibuprofen (IBP), and their mixture on a species of commercial interest, the common carp\n              Cyprinus carpio\n              . The median lethal concentration of IBP and DCF was determined, and oxidative stress was evaluated using the following biomarkers: lipid peroxidation and activity of the antioxidant enzymes superoxide dismutase, catalase and glutathione peroxidase. Cyto‐genotoxicity was evaluated by micronucleus test, comet assay, and the specific activity of caspase‐3. Results show that DCF, IBP, and a mixture of these pharmaceuticals induced free radical production, oxidative stress and cyto‐genotoxicity in tissues of\n              C. carpio\n              . However, a greater effect was elicited by the mixture than by either pharmaceutical alone in some biomarkers evaluated, particularly in gill. © 2016 Wiley Periodicals, Inc. Environ Toxicol 32: 1637–1650, 2017.","container-title":"Environmental Toxicology","DOI":"10.1002/tox.22392","ISSN":"1520-4081, 1522-7278","issue":"5","journalAbbreviation":"Environmental Toxicology","language":"en","page":"1637-1650","source":"DOI.org (Crossref)","title":"Cyto‐genotoxicity and oxidative stress in common carp ( &lt;i&gt;Cyprinus carpio&lt;/i&gt; ) exposed to a mixture of ibuprofen and diclofenac","volume":"32","author":[{"family":"Islas‐Flores","given":"Hariz"},{"family":"Manuel Gómez‐Oliván","given":"Leobardo"},{"family":"Galar‐Martínez","given":"Marcela"},{"family":"Michelle Sánchez‐Ocampo","given":"Esmeralda"},{"family":"SanJuan‐Reyes","given":"Nely"},{"family":"Ortíz‐Reynoso","given":"Mariana"},{"family":"Dublán‐García","given":"Octavio"}],"issued":{"date-parts":[["2017",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(Islas‐Flores et al. 2017)</w:t>
            </w:r>
            <w:r w:rsidRPr="001D0ADC">
              <w:rPr>
                <w:color w:val="auto"/>
                <w:lang w:val="en-GB" w:eastAsia="cs-CZ"/>
              </w:rPr>
              <w:fldChar w:fldCharType="end"/>
            </w:r>
          </w:p>
        </w:tc>
      </w:tr>
      <w:tr w:rsidR="001D0ADC" w:rsidRPr="001D0ADC" w14:paraId="3A358C11"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3FD2DD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2D3C85A" w14:textId="6E1F49B6"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0003</w:t>
            </w:r>
          </w:p>
        </w:tc>
        <w:tc>
          <w:tcPr>
            <w:tcW w:w="4520" w:type="dxa"/>
            <w:tcBorders>
              <w:top w:val="single" w:sz="4" w:space="0" w:color="auto"/>
              <w:left w:val="nil"/>
              <w:bottom w:val="single" w:sz="4" w:space="0" w:color="auto"/>
              <w:right w:val="single" w:sz="4" w:space="0" w:color="auto"/>
            </w:tcBorders>
            <w:shd w:val="clear" w:color="auto" w:fill="auto"/>
            <w:vAlign w:val="bottom"/>
          </w:tcPr>
          <w:p w14:paraId="61B9F039" w14:textId="0D6D0F5D" w:rsidR="00196808" w:rsidRPr="001D0ADC" w:rsidRDefault="00196808" w:rsidP="00196808">
            <w:pPr>
              <w:pStyle w:val="NoSpacing"/>
              <w:ind w:firstLine="0"/>
              <w:rPr>
                <w:color w:val="auto"/>
                <w:lang w:val="en-GB" w:eastAsia="cs-CZ"/>
              </w:rPr>
            </w:pPr>
            <w:r w:rsidRPr="001D0ADC">
              <w:rPr>
                <w:color w:val="auto"/>
                <w:lang w:val="en-GB" w:eastAsia="cs-CZ"/>
              </w:rPr>
              <w:t>LOEC for micronuclei in peripheral blood</w:t>
            </w:r>
          </w:p>
        </w:tc>
        <w:tc>
          <w:tcPr>
            <w:tcW w:w="2633" w:type="dxa"/>
            <w:tcBorders>
              <w:left w:val="nil"/>
              <w:bottom w:val="single" w:sz="4" w:space="0" w:color="auto"/>
              <w:right w:val="single" w:sz="4" w:space="0" w:color="auto"/>
            </w:tcBorders>
          </w:tcPr>
          <w:p w14:paraId="35419825" w14:textId="5D44A129" w:rsidR="00196808" w:rsidRPr="001D0ADC" w:rsidRDefault="00196808" w:rsidP="00196808">
            <w:pPr>
              <w:pStyle w:val="NoSpacing"/>
              <w:ind w:firstLine="0"/>
              <w:rPr>
                <w:color w:val="auto"/>
                <w:lang w:val="en-GB" w:eastAsia="cs-CZ"/>
              </w:rPr>
            </w:pPr>
            <w:r w:rsidRPr="001D0ADC">
              <w:rPr>
                <w:color w:val="auto"/>
                <w:lang w:val="en-GB" w:eastAsia="cs-CZ"/>
              </w:rPr>
              <w:t>Acute (ON)</w:t>
            </w:r>
          </w:p>
        </w:tc>
        <w:tc>
          <w:tcPr>
            <w:tcW w:w="1967" w:type="dxa"/>
            <w:tcBorders>
              <w:left w:val="single" w:sz="4" w:space="0" w:color="auto"/>
              <w:bottom w:val="single" w:sz="4" w:space="0" w:color="auto"/>
              <w:right w:val="single" w:sz="4" w:space="0" w:color="auto"/>
            </w:tcBorders>
          </w:tcPr>
          <w:p w14:paraId="30768A53" w14:textId="633A4897" w:rsidR="00196808" w:rsidRPr="001D0ADC" w:rsidRDefault="00196808" w:rsidP="00196808">
            <w:pPr>
              <w:pStyle w:val="NoSpacing"/>
              <w:ind w:firstLine="0"/>
              <w:rPr>
                <w:color w:val="auto"/>
                <w:lang w:val="en-GB" w:eastAsia="cs-CZ"/>
              </w:rPr>
            </w:pPr>
            <w:r w:rsidRPr="001D0ADC">
              <w:rPr>
                <w:color w:val="auto"/>
                <w:lang w:val="en-GB" w:eastAsia="cs-CZ"/>
              </w:rPr>
              <w:t>2d and 10d</w:t>
            </w:r>
          </w:p>
        </w:tc>
        <w:tc>
          <w:tcPr>
            <w:tcW w:w="2300" w:type="dxa"/>
            <w:tcBorders>
              <w:left w:val="single" w:sz="4" w:space="0" w:color="auto"/>
              <w:bottom w:val="single" w:sz="4" w:space="0" w:color="auto"/>
              <w:right w:val="single" w:sz="4" w:space="0" w:color="auto"/>
            </w:tcBorders>
            <w:shd w:val="clear" w:color="auto" w:fill="auto"/>
            <w:vAlign w:val="bottom"/>
          </w:tcPr>
          <w:p w14:paraId="4EA5658C" w14:textId="071D5E8D"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{"citationID":"a146b7occ17","properties":{"formattedCitation":"(Ragugnetti et al. 2011)","plainCitation":"(Ragugnetti et al. 2011)","noteIndex":0},"citationItems":[{"id":1615,"uris":["http://zotero.org/users/11614927/items/63V99K3X"],"itemData":{"id":1615,"type":"article-journal","container-title":"Water, Air, &amp; Soil Pollution","DOI":"10.1007/s11270-010-0698-0","ISSN":"0049-6979, 1573-2932","issue":"1-4","journalAbbreviation":"Water Air Soil Pollut","language":"en","page":"361-364","source":"DOI.org (Crossref)","title":"Ibuprofen Genotoxicity in Aquatic Environment: An Experimental Model Using Oreochromis niloticus","title-short":"Ibuprofen Genotoxicity in Aquatic Environment","volume":"218","author":[{"family":"Ragugnetti","given":"Marilaine"},{"family":"Adams","given":"Mônica L."},{"family":"Guimarães","given":"Ana T. B."},{"family":"Sponchiado","given":"Graziela"},{"family":"De Vasconcelos","given":"Eliane Carvalho"},{"family":"De Oliveira","given":"Cíntia Mara Ribas"}],"issued":{"date-parts":[["2011",6]]}}}],"schema":"https://github.com/citation-style-language/schema/raw/master/csl-citation.json"}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(Ragugnetti et al. 2011)</w:t>
            </w:r>
            <w:r w:rsidRPr="001D0ADC">
              <w:rPr>
                <w:color w:val="auto"/>
                <w:lang w:val="en-GB" w:eastAsia="cs-CZ"/>
              </w:rPr>
              <w:fldChar w:fldCharType="end"/>
            </w:r>
          </w:p>
        </w:tc>
      </w:tr>
      <w:tr w:rsidR="001D0ADC" w:rsidRPr="001D0ADC" w14:paraId="7C8F4B7A"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F55E0D1"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4C9EA0E5" w14:textId="0D5596F9"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with ZF</w:t>
            </w:r>
            <w:r w:rsidR="000F6A8E" w:rsidRPr="001D0ADC">
              <w:rPr>
                <w:b/>
                <w:bCs/>
                <w:color w:val="auto"/>
                <w:lang w:val="en-GB" w:eastAsia="cs-CZ"/>
              </w:rPr>
              <w:t xml:space="preserve"> (mg/l)</w:t>
            </w:r>
          </w:p>
        </w:tc>
      </w:tr>
      <w:tr w:rsidR="001D0ADC" w:rsidRPr="001D0ADC" w14:paraId="5BA952E5"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04F82C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559D980" w14:textId="774974E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02F9D3FA" w14:textId="77777777" w:rsidR="00196808" w:rsidRPr="001D0ADC" w:rsidRDefault="00196808" w:rsidP="00196808">
            <w:pPr>
              <w:pStyle w:val="NoSpacing"/>
              <w:ind w:firstLine="0"/>
              <w:rPr>
                <w:color w:val="auto"/>
                <w:lang w:val="en-GB" w:eastAsia="cs-CZ"/>
              </w:rPr>
            </w:pPr>
            <w:r w:rsidRPr="001D0ADC">
              <w:rPr>
                <w:color w:val="auto"/>
                <w:lang w:val="en-GB" w:eastAsia="cs-CZ"/>
              </w:rPr>
              <w:t>LOEC for mortality, decrease in hatching, and body length</w:t>
            </w:r>
          </w:p>
        </w:tc>
        <w:tc>
          <w:tcPr>
            <w:tcW w:w="2633" w:type="dxa"/>
            <w:vMerge w:val="restart"/>
            <w:tcBorders>
              <w:top w:val="single" w:sz="4" w:space="0" w:color="auto"/>
              <w:left w:val="nil"/>
              <w:right w:val="single" w:sz="4" w:space="0" w:color="auto"/>
            </w:tcBorders>
          </w:tcPr>
          <w:p w14:paraId="4545D471" w14:textId="77777777" w:rsidR="00196808" w:rsidRPr="001D0ADC" w:rsidRDefault="00196808" w:rsidP="00196808">
            <w:pPr>
              <w:pStyle w:val="NoSpacing"/>
              <w:ind w:firstLine="0"/>
              <w:rPr>
                <w:color w:val="auto"/>
                <w:lang w:val="en-GB" w:eastAsia="cs-CZ"/>
              </w:rPr>
            </w:pPr>
            <w:r w:rsidRPr="001D0ADC">
              <w:rPr>
                <w:color w:val="auto"/>
                <w:lang w:val="en-GB" w:eastAsia="cs-CZ"/>
              </w:rPr>
              <w:t>ELS (ZF), distilled water</w:t>
            </w:r>
          </w:p>
        </w:tc>
        <w:tc>
          <w:tcPr>
            <w:tcW w:w="1967" w:type="dxa"/>
            <w:vMerge w:val="restart"/>
            <w:tcBorders>
              <w:top w:val="single" w:sz="4" w:space="0" w:color="auto"/>
              <w:left w:val="single" w:sz="4" w:space="0" w:color="auto"/>
              <w:right w:val="single" w:sz="4" w:space="0" w:color="auto"/>
            </w:tcBorders>
          </w:tcPr>
          <w:p w14:paraId="22F3DCDB" w14:textId="77777777" w:rsidR="00196808" w:rsidRPr="001D0ADC" w:rsidRDefault="00196808" w:rsidP="00196808">
            <w:pPr>
              <w:pStyle w:val="NoSpacing"/>
              <w:ind w:firstLine="0"/>
              <w:rPr>
                <w:color w:val="auto"/>
                <w:lang w:val="en-GB" w:eastAsia="cs-CZ"/>
              </w:rPr>
            </w:pPr>
            <w:r w:rsidRPr="001D0ADC">
              <w:rPr>
                <w:color w:val="auto"/>
                <w:lang w:val="en-GB" w:eastAsia="cs-CZ"/>
              </w:rPr>
              <w:t>122h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06C73F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{"citationID":"ET0BA5pn","properties":{"formattedCitation":"(Anuradha David and Pancharatna 2009)","plainCitation":"(Anuradha David and Pancharatna 2009)","noteIndex":0},"citationItems":[{"id":1206,"uris":["http://zotero.org/users/11614927/items/LM68BXU5"],"itemData":{"id":1206,"type":"article-journal","abstract":"Effects of ibuprofen (a non-selective COX inhibitor) on the embryonic development, hatching success, larval growth, behavioral pattern and survival competence were studied in Danio rerio. Embryos at 2/4 celled stage were exposed to graded doses (0, 1, 5, 10, 50 and 100 </w:instrText>
            </w:r>
            <w:r w:rsidRPr="001D0ADC">
              <w:rPr>
                <w:rFonts w:cs="Times New Roman"/>
                <w:color w:val="auto"/>
                <w:lang w:val="en-GB" w:eastAsia="cs-CZ"/>
              </w:rPr>
              <w:instrText>␮</w:instrText>
            </w:r>
            <w:r w:rsidRPr="001D0ADC">
              <w:rPr>
                <w:color w:val="auto"/>
                <w:lang w:val="en-GB" w:eastAsia="cs-CZ"/>
              </w:rPr>
              <w:instrText xml:space="preserve">g/L distilled water) of ibuprofen in triplicate sets (n = 30). The experiment was repeated thrice. The results indicate that developing embryos tolerated lower (1 and 5 </w:instrText>
            </w:r>
            <w:r w:rsidRPr="001D0ADC">
              <w:rPr>
                <w:rFonts w:cs="Times New Roman"/>
                <w:color w:val="auto"/>
                <w:lang w:val="en-GB" w:eastAsia="cs-CZ"/>
              </w:rPr>
              <w:instrText>␮</w:instrText>
            </w:r>
            <w:r w:rsidRPr="001D0ADC">
              <w:rPr>
                <w:color w:val="auto"/>
                <w:lang w:val="en-GB" w:eastAsia="cs-CZ"/>
              </w:rPr>
              <w:instrText xml:space="preserve">g/L) doses of the drug readily but, exposure to higher doses (&gt;10 </w:instrText>
            </w:r>
            <w:r w:rsidRPr="001D0ADC">
              <w:rPr>
                <w:rFonts w:cs="Times New Roman"/>
                <w:color w:val="auto"/>
                <w:lang w:val="en-GB" w:eastAsia="cs-CZ"/>
              </w:rPr>
              <w:instrText>␮</w:instrText>
            </w:r>
            <w:r w:rsidRPr="001D0ADC">
              <w:rPr>
                <w:color w:val="auto"/>
                <w:lang w:val="en-GB" w:eastAsia="cs-CZ"/>
              </w:rPr>
              <w:instrText xml:space="preserve">g/L) caused retarded development, decreased hatching rate and growth, cardiac anomalies, spinal curvature, pectoral </w:instrText>
            </w:r>
            <w:r w:rsidRPr="001D0ADC">
              <w:rPr>
                <w:rFonts w:cs="Times New Roman"/>
                <w:color w:val="auto"/>
                <w:lang w:val="en-GB" w:eastAsia="cs-CZ"/>
              </w:rPr>
              <w:instrText>ﬁ</w:instrText>
            </w:r>
            <w:r w:rsidRPr="001D0ADC">
              <w:rPr>
                <w:color w:val="auto"/>
                <w:lang w:val="en-GB" w:eastAsia="cs-CZ"/>
              </w:rPr>
              <w:instrText xml:space="preserve">n malformation and behavioral alterations resulting in greater mortality of experimental embryos. This study suggests that, ibuprofen which is marketed as over-the-counter (OTC) drug is embryotoxic at least at higher (&gt;10 </w:instrText>
            </w:r>
            <w:r w:rsidRPr="001D0ADC">
              <w:rPr>
                <w:rFonts w:cs="Times New Roman"/>
                <w:color w:val="auto"/>
                <w:lang w:val="en-GB" w:eastAsia="cs-CZ"/>
              </w:rPr>
              <w:instrText>␮</w:instrText>
            </w:r>
            <w:r w:rsidRPr="001D0ADC">
              <w:rPr>
                <w:color w:val="auto"/>
                <w:lang w:val="en-GB" w:eastAsia="cs-CZ"/>
              </w:rPr>
              <w:instrText>g/L) dose level to zebra</w:instrText>
            </w:r>
            <w:r w:rsidRPr="001D0ADC">
              <w:rPr>
                <w:rFonts w:cs="Times New Roman"/>
                <w:color w:val="auto"/>
                <w:lang w:val="en-GB" w:eastAsia="cs-CZ"/>
              </w:rPr>
              <w:instrText>ﬁ</w:instrText>
            </w:r>
            <w:r w:rsidRPr="001D0ADC">
              <w:rPr>
                <w:color w:val="auto"/>
                <w:lang w:val="en-GB" w:eastAsia="cs-CZ"/>
              </w:rPr>
              <w:instrText xml:space="preserve">sh embryos.","container-title":"Environmental Toxicology and Pharmacology","DOI":"10.1016/j.etap.2009.01.002","ISSN":"13826689","issue":"3","journalAbbreviation":"Environmental Toxicology and Pharmacology","language":"en","page":"390-395","source":"DOI.org (Crossref)","title":"Developmental anomalies induced by a non-selective COX inhibitor (ibuprofen) in zebrafish (Danio rerio)","volume":"27","author":[{"family":"David","given":"Anuradha"},{"family":"Pancharatna","given":"Katti"}],"issued":{"date-parts":[["2009",5]]}}}],"schema":"https://github.com/citation-style-language/schema/raw/master/csl-citation.json"}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(Anuradha David and Pancharatna 2009)</w:t>
            </w:r>
            <w:r w:rsidRPr="001D0ADC">
              <w:rPr>
                <w:color w:val="auto"/>
                <w:lang w:val="en-GB" w:eastAsia="cs-CZ"/>
              </w:rPr>
              <w:fldChar w:fldCharType="end"/>
            </w:r>
          </w:p>
        </w:tc>
      </w:tr>
      <w:tr w:rsidR="001D0ADC" w:rsidRPr="001D0ADC" w14:paraId="100651D6"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9DE13A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7A5BC26" w14:textId="0DDCC4E2"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C2FD1A7"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tcBorders>
              <w:left w:val="nil"/>
              <w:right w:val="single" w:sz="4" w:space="0" w:color="auto"/>
            </w:tcBorders>
          </w:tcPr>
          <w:p w14:paraId="718AB0F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70B3972B"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34BB49AD" w14:textId="77777777" w:rsidR="00196808" w:rsidRPr="001D0ADC" w:rsidRDefault="00196808" w:rsidP="00196808">
            <w:pPr>
              <w:pStyle w:val="NoSpacing"/>
              <w:ind w:firstLine="0"/>
              <w:rPr>
                <w:color w:val="auto"/>
                <w:lang w:val="en-GB" w:eastAsia="cs-CZ"/>
              </w:rPr>
            </w:pPr>
          </w:p>
        </w:tc>
      </w:tr>
      <w:tr w:rsidR="001D0ADC" w:rsidRPr="001D0ADC" w14:paraId="2ED5168A"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D7E260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B84D518" w14:textId="7E13C22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1EFE6AA" w14:textId="77777777" w:rsidR="00196808" w:rsidRPr="001D0ADC" w:rsidRDefault="00196808" w:rsidP="00196808">
            <w:pPr>
              <w:pStyle w:val="NoSpacing"/>
              <w:ind w:firstLine="0"/>
              <w:rPr>
                <w:color w:val="auto"/>
                <w:lang w:val="en-GB" w:eastAsia="cs-CZ"/>
              </w:rPr>
            </w:pPr>
            <w:r w:rsidRPr="001D0ADC">
              <w:rPr>
                <w:color w:val="auto"/>
                <w:lang w:val="en-GB" w:eastAsia="cs-CZ"/>
              </w:rPr>
              <w:t>LOEC decrease in body mass</w:t>
            </w:r>
          </w:p>
        </w:tc>
        <w:tc>
          <w:tcPr>
            <w:tcW w:w="2633" w:type="dxa"/>
            <w:vMerge/>
            <w:tcBorders>
              <w:left w:val="nil"/>
              <w:right w:val="single" w:sz="4" w:space="0" w:color="auto"/>
            </w:tcBorders>
          </w:tcPr>
          <w:p w14:paraId="2B70E5A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526B546"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5904F919" w14:textId="77777777" w:rsidR="00196808" w:rsidRPr="001D0ADC" w:rsidRDefault="00196808" w:rsidP="00196808">
            <w:pPr>
              <w:pStyle w:val="NoSpacing"/>
              <w:ind w:firstLine="0"/>
              <w:rPr>
                <w:color w:val="auto"/>
                <w:lang w:val="en-GB" w:eastAsia="cs-CZ"/>
              </w:rPr>
            </w:pPr>
          </w:p>
        </w:tc>
      </w:tr>
      <w:tr w:rsidR="001D0ADC" w:rsidRPr="001D0ADC" w14:paraId="6E0D241F"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FCE798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F194898" w14:textId="0D0ECBB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3802E887"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LOEC for decrease in heartbeat </w:t>
            </w:r>
          </w:p>
        </w:tc>
        <w:tc>
          <w:tcPr>
            <w:tcW w:w="2633" w:type="dxa"/>
            <w:vMerge/>
            <w:tcBorders>
              <w:left w:val="nil"/>
              <w:bottom w:val="single" w:sz="4" w:space="0" w:color="auto"/>
              <w:right w:val="single" w:sz="4" w:space="0" w:color="auto"/>
            </w:tcBorders>
          </w:tcPr>
          <w:p w14:paraId="629F5FE1"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172E169A" w14:textId="77777777" w:rsidR="00196808" w:rsidRPr="001D0ADC" w:rsidRDefault="00196808" w:rsidP="00196808">
            <w:pPr>
              <w:pStyle w:val="NoSpacing"/>
              <w:ind w:firstLine="0"/>
              <w:rPr>
                <w:color w:val="auto"/>
                <w:lang w:val="en-GB" w:eastAsia="cs-CZ"/>
              </w:rPr>
            </w:pPr>
            <w:r w:rsidRPr="001D0ADC">
              <w:rPr>
                <w:color w:val="auto"/>
                <w:lang w:val="en-GB" w:eastAsia="cs-CZ"/>
              </w:rPr>
              <w:t>72h, 96h, 120h, and 122h</w:t>
            </w:r>
          </w:p>
        </w:tc>
        <w:tc>
          <w:tcPr>
            <w:tcW w:w="2300" w:type="dxa"/>
            <w:vMerge/>
            <w:tcBorders>
              <w:left w:val="single" w:sz="4" w:space="0" w:color="auto"/>
              <w:bottom w:val="single" w:sz="4" w:space="0" w:color="auto"/>
              <w:right w:val="single" w:sz="4" w:space="0" w:color="auto"/>
            </w:tcBorders>
            <w:shd w:val="clear" w:color="auto" w:fill="auto"/>
            <w:vAlign w:val="bottom"/>
          </w:tcPr>
          <w:p w14:paraId="5E25DFF2" w14:textId="77777777" w:rsidR="00196808" w:rsidRPr="001D0ADC" w:rsidRDefault="00196808" w:rsidP="00196808">
            <w:pPr>
              <w:pStyle w:val="NoSpacing"/>
              <w:ind w:firstLine="0"/>
              <w:rPr>
                <w:color w:val="auto"/>
                <w:lang w:val="en-GB" w:eastAsia="cs-CZ"/>
              </w:rPr>
            </w:pPr>
          </w:p>
        </w:tc>
      </w:tr>
      <w:tr w:rsidR="001D0ADC" w:rsidRPr="001D0ADC" w14:paraId="31C714AF"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92FB7F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6B15E91" w14:textId="100EC0D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D85A05D"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and malformations</w:t>
            </w:r>
          </w:p>
        </w:tc>
        <w:tc>
          <w:tcPr>
            <w:tcW w:w="2633" w:type="dxa"/>
            <w:vMerge w:val="restart"/>
            <w:tcBorders>
              <w:top w:val="single" w:sz="4" w:space="0" w:color="auto"/>
              <w:left w:val="nil"/>
              <w:right w:val="single" w:sz="4" w:space="0" w:color="auto"/>
            </w:tcBorders>
          </w:tcPr>
          <w:p w14:paraId="6A65F8C2"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650516AC"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F43A96B"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{"citationID":"NaYB3I2L","properties":{"formattedCitation":"(Xia, Zheng, and Zhou 2017)","plainCitation":"(Xia, Zheng, and Zhou 2017)","noteIndex":0},"citationItems":[{"id":1197,"uris":["http://zotero.org/users/11614927/items/4CSU9JPH"],"itemData":{"id":1197,"type":"article-journal","abstract":"Non-steroidal anti-inﬂammatory drugs (NSAIDs) which are widely used as pain relief medicines are causing increasing environmental concern due to their incomplete removal in wastewater treatment plant and potential toxicity on endocrine, kidney and reproduction in teleost ﬁsh. This study focused on the effects of widely used ibuprofen, diclofenac and paracetamol on the hatch and motor ability of earlystage zebraﬁsh, by exposing embryos to the target chemicals at 5, 50 and 500 mg/L starting from 6 h postfertilization (hpf). A signiﬁcant reduction in hatch rate at 55 hpf was caused by both ibuprofen (À63%) and diclofenac (À58%) at 500 mg/L. Exposure to high concentration of ibuprofen signiﬁcantly decreased the spontaneous movement by 25%, and reduced the free swimming distance, duration and speed under dark condition by 41%, 29% and 30%, respectively. High concentration of diclofenac also caused 23% decrease in spontaneous movement, and reduced the swimming distance as well as active duration by 17% and 13% under light stimulation. In comparison, the exposure to paracetamol did not cause any notable effect. Among neuron related genes tested, the expression of neurog1 was downregulated from ibuprofen and diclofenac exposure by 19% and 26%, while the expression of neurod1 was up-regulated only by ibuprofen (31%). These ﬁndings indicated that ibuprofen and diclofenac signiﬁcantly affected embryo locomotivity and were potentially neurotoxic, thus posing threats to zebraﬁsh development.","container-title":"Chemosphere","DOI":"10.1016/j.chemosphere.2017.05.054","ISSN":"00456535","journalAbbreviation":"Chemosphere","language":"en","page":"416-425","source":"DOI.org (Crossref)","title":"Effects of ibuprofen, diclofenac and paracetamol on hatch and motor behavior in developing zebrafish ( Danio rerio )","volume":"182","author":[{"family":"Xia","given":"Liang"},{"family":"Zheng","given":"Liang"},{"family":"Zhou","given":"Jun Liang"}],"issued":{"date-parts":[["2017",9]]}}}],"schema":"https://github.com/citation-style-language/schema/raw/master/csl-citation.json"}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(Xia, Zheng, and Zhou 2017)</w:t>
            </w:r>
            <w:r w:rsidRPr="001D0ADC">
              <w:rPr>
                <w:color w:val="auto"/>
                <w:lang w:val="en-GB" w:eastAsia="cs-CZ"/>
              </w:rPr>
              <w:fldChar w:fldCharType="end"/>
            </w:r>
          </w:p>
        </w:tc>
      </w:tr>
      <w:tr w:rsidR="001D0ADC" w:rsidRPr="001D0ADC" w14:paraId="42B738B4"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D715AD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0B7893B" w14:textId="6782841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C187812" w14:textId="77777777" w:rsidR="00196808" w:rsidRPr="001D0ADC" w:rsidRDefault="00196808" w:rsidP="00196808">
            <w:pPr>
              <w:pStyle w:val="NoSpacing"/>
              <w:ind w:firstLine="0"/>
              <w:rPr>
                <w:color w:val="auto"/>
                <w:lang w:val="en-GB" w:eastAsia="cs-CZ"/>
              </w:rPr>
            </w:pPr>
            <w:r w:rsidRPr="001D0ADC">
              <w:rPr>
                <w:color w:val="auto"/>
                <w:lang w:val="en-GB" w:eastAsia="cs-CZ"/>
              </w:rPr>
              <w:t>LOEC for hatching success and swimming distance</w:t>
            </w:r>
          </w:p>
        </w:tc>
        <w:tc>
          <w:tcPr>
            <w:tcW w:w="2633" w:type="dxa"/>
            <w:vMerge/>
            <w:tcBorders>
              <w:left w:val="nil"/>
              <w:right w:val="single" w:sz="4" w:space="0" w:color="auto"/>
            </w:tcBorders>
          </w:tcPr>
          <w:p w14:paraId="31C32A00"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272F0536"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51E7BFD5" w14:textId="77777777" w:rsidR="00196808" w:rsidRPr="001D0ADC" w:rsidRDefault="00196808" w:rsidP="00196808">
            <w:pPr>
              <w:pStyle w:val="NoSpacing"/>
              <w:ind w:firstLine="0"/>
              <w:rPr>
                <w:color w:val="auto"/>
                <w:lang w:val="en-GB" w:eastAsia="cs-CZ"/>
              </w:rPr>
            </w:pPr>
          </w:p>
        </w:tc>
      </w:tr>
      <w:tr w:rsidR="001D0ADC" w:rsidRPr="001D0ADC" w14:paraId="6DD85D14"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A07219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E9F78CA" w14:textId="6B9F40CF"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6E9B14D" w14:textId="77777777" w:rsidR="00196808" w:rsidRPr="001D0ADC" w:rsidRDefault="00196808" w:rsidP="00196808">
            <w:pPr>
              <w:pStyle w:val="NoSpacing"/>
              <w:ind w:firstLine="0"/>
              <w:rPr>
                <w:color w:val="auto"/>
                <w:lang w:val="en-GB" w:eastAsia="cs-CZ"/>
              </w:rPr>
            </w:pPr>
            <w:r w:rsidRPr="001D0ADC">
              <w:rPr>
                <w:color w:val="auto"/>
                <w:lang w:val="en-GB" w:eastAsia="cs-CZ"/>
              </w:rPr>
              <w:t>LOEC for spontaneous movement and swimming activity</w:t>
            </w:r>
          </w:p>
        </w:tc>
        <w:tc>
          <w:tcPr>
            <w:tcW w:w="2633" w:type="dxa"/>
            <w:vMerge/>
            <w:tcBorders>
              <w:left w:val="nil"/>
              <w:right w:val="single" w:sz="4" w:space="0" w:color="auto"/>
            </w:tcBorders>
          </w:tcPr>
          <w:p w14:paraId="5E43C19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6866D043"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B5097B2" w14:textId="77777777" w:rsidR="00196808" w:rsidRPr="001D0ADC" w:rsidRDefault="00196808" w:rsidP="00196808">
            <w:pPr>
              <w:pStyle w:val="NoSpacing"/>
              <w:ind w:firstLine="0"/>
              <w:rPr>
                <w:color w:val="auto"/>
                <w:lang w:val="en-GB" w:eastAsia="cs-CZ"/>
              </w:rPr>
            </w:pPr>
          </w:p>
        </w:tc>
      </w:tr>
      <w:tr w:rsidR="001D0ADC" w:rsidRPr="001D0ADC" w14:paraId="0810646F"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077CB2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EB9F0B0" w14:textId="51BA5946"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2E534F07" w14:textId="77777777" w:rsidR="00196808" w:rsidRPr="001D0ADC" w:rsidRDefault="00196808" w:rsidP="00196808">
            <w:pPr>
              <w:pStyle w:val="NoSpacing"/>
              <w:ind w:firstLine="0"/>
              <w:rPr>
                <w:color w:val="auto"/>
                <w:lang w:val="en-GB" w:eastAsia="cs-CZ"/>
              </w:rPr>
            </w:pPr>
            <w:r w:rsidRPr="001D0ADC">
              <w:rPr>
                <w:color w:val="auto"/>
                <w:lang w:val="en-GB" w:eastAsia="cs-CZ"/>
              </w:rPr>
              <w:t>LOEC for gene expression</w:t>
            </w:r>
          </w:p>
        </w:tc>
        <w:tc>
          <w:tcPr>
            <w:tcW w:w="2633" w:type="dxa"/>
            <w:vMerge/>
            <w:tcBorders>
              <w:left w:val="nil"/>
              <w:bottom w:val="single" w:sz="4" w:space="0" w:color="auto"/>
              <w:right w:val="single" w:sz="4" w:space="0" w:color="auto"/>
            </w:tcBorders>
          </w:tcPr>
          <w:p w14:paraId="4D0B972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0B1DA2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20AEC19" w14:textId="77777777" w:rsidR="00196808" w:rsidRPr="001D0ADC" w:rsidRDefault="00196808" w:rsidP="00196808">
            <w:pPr>
              <w:pStyle w:val="NoSpacing"/>
              <w:ind w:firstLine="0"/>
              <w:rPr>
                <w:color w:val="auto"/>
                <w:lang w:val="en-GB" w:eastAsia="cs-CZ"/>
              </w:rPr>
            </w:pPr>
          </w:p>
        </w:tc>
      </w:tr>
      <w:tr w:rsidR="001D0ADC" w:rsidRPr="001D0ADC" w14:paraId="5DB59FA1"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7E9B8A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C5D1589" w14:textId="77777777" w:rsidR="00196808" w:rsidRPr="001D0ADC" w:rsidRDefault="00196808" w:rsidP="00196808">
            <w:pPr>
              <w:pStyle w:val="NoSpacing"/>
              <w:ind w:firstLine="0"/>
              <w:rPr>
                <w:color w:val="auto"/>
                <w:lang w:val="en-GB" w:eastAsia="cs-CZ"/>
              </w:rPr>
            </w:pPr>
            <w:r w:rsidRPr="001D0ADC">
              <w:rPr>
                <w:color w:val="auto"/>
                <w:lang w:val="en-GB" w:eastAsia="cs-CZ"/>
              </w:rPr>
              <w:t>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7A101E2E" w14:textId="77777777" w:rsidR="00196808" w:rsidRPr="001D0ADC" w:rsidRDefault="00196808" w:rsidP="00196808">
            <w:pPr>
              <w:pStyle w:val="NoSpacing"/>
              <w:ind w:firstLine="0"/>
              <w:rPr>
                <w:color w:val="auto"/>
                <w:lang w:val="en-GB" w:eastAsia="cs-CZ"/>
              </w:rPr>
            </w:pPr>
            <w:r w:rsidRPr="001D0ADC">
              <w:rPr>
                <w:color w:val="auto"/>
                <w:lang w:val="en-GB" w:eastAsia="cs-CZ"/>
              </w:rPr>
              <w:t>EC100 for mortality (24h)</w:t>
            </w:r>
          </w:p>
        </w:tc>
        <w:tc>
          <w:tcPr>
            <w:tcW w:w="2633" w:type="dxa"/>
            <w:vMerge w:val="restart"/>
            <w:tcBorders>
              <w:top w:val="single" w:sz="4" w:space="0" w:color="auto"/>
              <w:left w:val="nil"/>
              <w:right w:val="single" w:sz="4" w:space="0" w:color="auto"/>
            </w:tcBorders>
          </w:tcPr>
          <w:p w14:paraId="5762BCC0"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01EFFD47" w14:textId="77777777" w:rsidR="00196808" w:rsidRPr="001D0ADC" w:rsidRDefault="00196808" w:rsidP="00196808">
            <w:pPr>
              <w:pStyle w:val="NoSpacing"/>
              <w:ind w:firstLine="0"/>
              <w:rPr>
                <w:color w:val="auto"/>
                <w:lang w:val="en-GB" w:eastAsia="cs-CZ"/>
              </w:rPr>
            </w:pPr>
            <w:r w:rsidRPr="001D0ADC">
              <w:rPr>
                <w:color w:val="auto"/>
                <w:lang w:val="en-GB" w:eastAsia="cs-CZ"/>
              </w:rPr>
              <w:t>144h (from 1hpf)</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ED43301"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{"citationID":"DACMSNle","properties":{"formattedCitation":"(Bereketoglu, Pradhan, and Olsson 2020)","plainCitation":"(Bereketoglu, Pradhan, and Olsson 2020)","noteIndex":0},"citationItems":[{"id":1195,"uris":["http://zotero.org/users/11614927/items/JKPE5NH6"],"itemData":{"id":1195,"type":"article-journal","abstract":"Nonsteroidal anti-inﬂammatory drugs (NSAIDs) are widely used pharmaceuticals to treat pain, fever and inﬂammation. NSAIDs are also known to have many side eﬀects including adverse eﬀects on reproduction in both humans and animals. As NSAIDs usage is not regulated they are frequently detected at high concentrations in the environment. In order to understand the eﬀect of NSAIDs on zebraﬁsh sex diﬀerentiation, we used seven different NSAIDs which were either Cox-1 selective, Cox-1 biased, non-selective or COX-2 selective. We show that at higher concentration, NSAIDs are toxic to zebraﬁsh embryo as they lead to mortality and hatching delay. Gene expression analysis following short term exposure of NSAIDs led to downregulation of female speciﬁc genes including zp2, vtg2 foxl2 and wnt4. Long term exposure of larvae to environmentally relevant concentrations of Cox-2 selective and non-selective NSAIDs resulted in male-biased sex ratio which conﬁrmed the qRT-PCR analysis. However, the Cox-1 selective acetylsalicylic acid and the Cox-1 biased ketoprofen did not alter sex ratio. The observed male-biased sex ratio could also be due to induction of apoptosis process as the genes including p21 and casp8 were signiﬁcantly upregulated following exposure to the Cox-2 selective and the nonselective NSAIDs. The present study indicates that NSAIDs alter sex diﬀerentiation in zebraﬁsh, primarily through inhibition of Cox-2. This study clearly demonstrates that the use of NSAIDs and their release into the aquatic environment should be carefully monitored to avoid adverse eﬀects to the aquatic organisms.","container-title":"Aquatic Toxicology","DOI":"10.1016/j.aquatox.2020.105476","ISSN":"0166445X","journalAbbreviation":"Aquatic Toxicology","language":"en","page":"105476","source":"DOI.org (Crossref)","title":"Nonsteroidal anti-inflammatory drugs (NSAIDs) cause male-biased sex differentiation in zebrafish","volume":"223","author":[{"family":"Bereketoglu","given":"Ceyhun"},{"family":"Pradhan","given":"Ajay"},{"family":"Olsson","given":"Per-Erik"}],"issued":{"date-parts":[["2020",6]]}}}],"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(Bereketoglu, Pradhan, and Olsson 2020)</w:t>
            </w:r>
            <w:r w:rsidRPr="001D0ADC">
              <w:rPr>
                <w:color w:val="auto"/>
                <w:lang w:val="en-GB" w:eastAsia="cs-CZ"/>
              </w:rPr>
              <w:fldChar w:fldCharType="end"/>
            </w:r>
          </w:p>
        </w:tc>
      </w:tr>
      <w:tr w:rsidR="001D0ADC" w:rsidRPr="001D0ADC" w14:paraId="2C68D4E5"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BB9D46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316695B" w14:textId="77777777" w:rsidR="00196808" w:rsidRPr="001D0ADC" w:rsidRDefault="00196808" w:rsidP="00196808">
            <w:pPr>
              <w:pStyle w:val="NoSpacing"/>
              <w:ind w:firstLine="0"/>
              <w:rPr>
                <w:color w:val="auto"/>
                <w:lang w:val="en-GB" w:eastAsia="cs-CZ"/>
              </w:rPr>
            </w:pPr>
            <w:r w:rsidRPr="001D0ADC">
              <w:rPr>
                <w:color w:val="auto"/>
                <w:lang w:val="en-GB" w:eastAsia="cs-CZ"/>
              </w:rPr>
              <w:t>10</w:t>
            </w:r>
          </w:p>
        </w:tc>
        <w:tc>
          <w:tcPr>
            <w:tcW w:w="4520" w:type="dxa"/>
            <w:tcBorders>
              <w:top w:val="single" w:sz="4" w:space="0" w:color="auto"/>
              <w:left w:val="nil"/>
              <w:bottom w:val="single" w:sz="4" w:space="0" w:color="auto"/>
              <w:right w:val="single" w:sz="4" w:space="0" w:color="auto"/>
            </w:tcBorders>
            <w:shd w:val="clear" w:color="auto" w:fill="auto"/>
            <w:vAlign w:val="bottom"/>
          </w:tcPr>
          <w:p w14:paraId="4DD49E27"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and hatching success</w:t>
            </w:r>
          </w:p>
        </w:tc>
        <w:tc>
          <w:tcPr>
            <w:tcW w:w="2633" w:type="dxa"/>
            <w:vMerge/>
            <w:tcBorders>
              <w:left w:val="nil"/>
              <w:right w:val="single" w:sz="4" w:space="0" w:color="auto"/>
            </w:tcBorders>
          </w:tcPr>
          <w:p w14:paraId="70C40CB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C27C9EE"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D7A6B08" w14:textId="77777777" w:rsidR="00196808" w:rsidRPr="001D0ADC" w:rsidRDefault="00196808" w:rsidP="00196808">
            <w:pPr>
              <w:pStyle w:val="NoSpacing"/>
              <w:ind w:firstLine="0"/>
              <w:rPr>
                <w:color w:val="auto"/>
                <w:lang w:val="en-GB" w:eastAsia="cs-CZ"/>
              </w:rPr>
            </w:pPr>
          </w:p>
        </w:tc>
      </w:tr>
      <w:tr w:rsidR="001D0ADC" w:rsidRPr="001D0ADC" w14:paraId="69DBFB7B"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CBC1781" w14:textId="77777777" w:rsidR="00196808" w:rsidRPr="001D0ADC" w:rsidRDefault="00196808" w:rsidP="00196808">
            <w:pPr>
              <w:pStyle w:val="NoSpacing"/>
              <w:ind w:firstLine="0"/>
              <w:rPr>
                <w:color w:val="auto"/>
                <w:lang w:val="en-GB" w:eastAsia="cs-CZ"/>
              </w:rPr>
            </w:pPr>
          </w:p>
        </w:tc>
        <w:tc>
          <w:tcPr>
            <w:tcW w:w="1702" w:type="dxa"/>
            <w:vMerge w:val="restart"/>
            <w:tcBorders>
              <w:top w:val="single" w:sz="4" w:space="0" w:color="auto"/>
              <w:left w:val="nil"/>
              <w:right w:val="single" w:sz="4" w:space="0" w:color="auto"/>
            </w:tcBorders>
            <w:shd w:val="clear" w:color="auto" w:fill="auto"/>
            <w:noWrap/>
            <w:vAlign w:val="center"/>
          </w:tcPr>
          <w:p w14:paraId="66DE802F" w14:textId="1297212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00E8807E" w14:textId="77777777" w:rsidR="00196808" w:rsidRPr="001D0ADC" w:rsidRDefault="00196808" w:rsidP="00196808">
            <w:pPr>
              <w:pStyle w:val="NoSpacing"/>
              <w:ind w:firstLine="0"/>
              <w:rPr>
                <w:color w:val="auto"/>
                <w:lang w:val="en-GB" w:eastAsia="cs-CZ"/>
              </w:rPr>
            </w:pPr>
            <w:r w:rsidRPr="001D0ADC">
              <w:rPr>
                <w:color w:val="auto"/>
                <w:lang w:val="en-GB" w:eastAsia="cs-CZ"/>
              </w:rPr>
              <w:t>NOEC for drug metabolism associated genes</w:t>
            </w:r>
          </w:p>
        </w:tc>
        <w:tc>
          <w:tcPr>
            <w:tcW w:w="2633" w:type="dxa"/>
            <w:vMerge/>
            <w:tcBorders>
              <w:left w:val="nil"/>
              <w:right w:val="single" w:sz="4" w:space="0" w:color="auto"/>
            </w:tcBorders>
          </w:tcPr>
          <w:p w14:paraId="72960716" w14:textId="77777777" w:rsidR="00196808" w:rsidRPr="001D0ADC" w:rsidRDefault="00196808" w:rsidP="00196808">
            <w:pPr>
              <w:pStyle w:val="NoSpacing"/>
              <w:ind w:firstLine="0"/>
              <w:rPr>
                <w:color w:val="auto"/>
                <w:lang w:val="en-GB" w:eastAsia="cs-CZ"/>
              </w:rPr>
            </w:pPr>
          </w:p>
        </w:tc>
        <w:tc>
          <w:tcPr>
            <w:tcW w:w="1967" w:type="dxa"/>
            <w:vMerge w:val="restart"/>
            <w:tcBorders>
              <w:top w:val="single" w:sz="4" w:space="0" w:color="auto"/>
              <w:left w:val="single" w:sz="4" w:space="0" w:color="auto"/>
              <w:right w:val="single" w:sz="4" w:space="0" w:color="auto"/>
            </w:tcBorders>
          </w:tcPr>
          <w:p w14:paraId="009AC25F" w14:textId="77777777" w:rsidR="00196808" w:rsidRPr="001D0ADC" w:rsidRDefault="00196808" w:rsidP="00196808">
            <w:pPr>
              <w:pStyle w:val="NoSpacing"/>
              <w:ind w:firstLine="0"/>
              <w:rPr>
                <w:color w:val="auto"/>
                <w:lang w:val="en-GB" w:eastAsia="cs-CZ"/>
              </w:rPr>
            </w:pPr>
            <w:r w:rsidRPr="001D0ADC">
              <w:rPr>
                <w:color w:val="auto"/>
                <w:lang w:val="en-GB" w:eastAsia="cs-CZ"/>
              </w:rPr>
              <w:t>6d (20dpf to 26dpf)</w:t>
            </w:r>
          </w:p>
        </w:tc>
        <w:tc>
          <w:tcPr>
            <w:tcW w:w="2300" w:type="dxa"/>
            <w:vMerge/>
            <w:tcBorders>
              <w:left w:val="single" w:sz="4" w:space="0" w:color="auto"/>
              <w:right w:val="single" w:sz="4" w:space="0" w:color="auto"/>
            </w:tcBorders>
            <w:shd w:val="clear" w:color="auto" w:fill="auto"/>
            <w:vAlign w:val="bottom"/>
          </w:tcPr>
          <w:p w14:paraId="4C1F5A67" w14:textId="77777777" w:rsidR="00196808" w:rsidRPr="001D0ADC" w:rsidRDefault="00196808" w:rsidP="00196808">
            <w:pPr>
              <w:pStyle w:val="NoSpacing"/>
              <w:ind w:firstLine="0"/>
              <w:rPr>
                <w:color w:val="auto"/>
                <w:lang w:val="en-GB" w:eastAsia="cs-CZ"/>
              </w:rPr>
            </w:pPr>
          </w:p>
        </w:tc>
      </w:tr>
      <w:tr w:rsidR="001D0ADC" w:rsidRPr="001D0ADC" w14:paraId="0F1B0639"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74B8FBA" w14:textId="77777777" w:rsidR="00196808" w:rsidRPr="001D0ADC" w:rsidRDefault="00196808" w:rsidP="00196808">
            <w:pPr>
              <w:pStyle w:val="NoSpacing"/>
              <w:ind w:firstLine="0"/>
              <w:rPr>
                <w:color w:val="auto"/>
                <w:lang w:val="en-GB" w:eastAsia="cs-CZ"/>
              </w:rPr>
            </w:pPr>
          </w:p>
        </w:tc>
        <w:tc>
          <w:tcPr>
            <w:tcW w:w="1702" w:type="dxa"/>
            <w:vMerge/>
            <w:tcBorders>
              <w:left w:val="nil"/>
              <w:right w:val="single" w:sz="4" w:space="0" w:color="auto"/>
            </w:tcBorders>
            <w:shd w:val="clear" w:color="auto" w:fill="auto"/>
            <w:noWrap/>
            <w:vAlign w:val="center"/>
          </w:tcPr>
          <w:p w14:paraId="68D59794"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6524EDC4" w14:textId="77777777" w:rsidR="00196808" w:rsidRPr="001D0ADC" w:rsidRDefault="00196808" w:rsidP="00196808">
            <w:pPr>
              <w:pStyle w:val="NoSpacing"/>
              <w:ind w:firstLine="0"/>
              <w:rPr>
                <w:color w:val="auto"/>
                <w:lang w:val="en-GB" w:eastAsia="cs-CZ"/>
              </w:rPr>
            </w:pPr>
            <w:r w:rsidRPr="001D0ADC">
              <w:rPr>
                <w:color w:val="auto"/>
                <w:lang w:val="en-GB" w:eastAsia="cs-CZ"/>
              </w:rPr>
              <w:t>LOEC for prostaglandin synthase genes and female-biased genes downregulation</w:t>
            </w:r>
          </w:p>
        </w:tc>
        <w:tc>
          <w:tcPr>
            <w:tcW w:w="2633" w:type="dxa"/>
            <w:vMerge/>
            <w:tcBorders>
              <w:left w:val="nil"/>
              <w:right w:val="single" w:sz="4" w:space="0" w:color="auto"/>
            </w:tcBorders>
          </w:tcPr>
          <w:p w14:paraId="54C272B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2B78948"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161A6ED8" w14:textId="77777777" w:rsidR="00196808" w:rsidRPr="001D0ADC" w:rsidRDefault="00196808" w:rsidP="00196808">
            <w:pPr>
              <w:pStyle w:val="NoSpacing"/>
              <w:ind w:firstLine="0"/>
              <w:rPr>
                <w:color w:val="auto"/>
                <w:lang w:val="en-GB" w:eastAsia="cs-CZ"/>
              </w:rPr>
            </w:pPr>
          </w:p>
        </w:tc>
      </w:tr>
      <w:tr w:rsidR="001D0ADC" w:rsidRPr="001D0ADC" w14:paraId="6B32F906"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ACA8390" w14:textId="77777777" w:rsidR="00196808" w:rsidRPr="001D0ADC" w:rsidRDefault="00196808" w:rsidP="00196808">
            <w:pPr>
              <w:pStyle w:val="NoSpacing"/>
              <w:ind w:firstLine="0"/>
              <w:rPr>
                <w:color w:val="auto"/>
                <w:lang w:val="en-GB" w:eastAsia="cs-CZ"/>
              </w:rPr>
            </w:pPr>
          </w:p>
        </w:tc>
        <w:tc>
          <w:tcPr>
            <w:tcW w:w="1702" w:type="dxa"/>
            <w:vMerge/>
            <w:tcBorders>
              <w:left w:val="nil"/>
              <w:bottom w:val="single" w:sz="4" w:space="0" w:color="auto"/>
              <w:right w:val="single" w:sz="4" w:space="0" w:color="auto"/>
            </w:tcBorders>
            <w:shd w:val="clear" w:color="auto" w:fill="auto"/>
            <w:noWrap/>
            <w:vAlign w:val="center"/>
          </w:tcPr>
          <w:p w14:paraId="6625F065"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58843EA9" w14:textId="77777777" w:rsidR="00196808" w:rsidRPr="001D0ADC" w:rsidRDefault="00196808" w:rsidP="00196808">
            <w:pPr>
              <w:pStyle w:val="NoSpacing"/>
              <w:ind w:firstLine="0"/>
              <w:rPr>
                <w:color w:val="auto"/>
                <w:lang w:val="en-GB" w:eastAsia="cs-CZ"/>
              </w:rPr>
            </w:pPr>
            <w:r w:rsidRPr="001D0ADC">
              <w:rPr>
                <w:color w:val="auto"/>
                <w:lang w:val="en-GB" w:eastAsia="cs-CZ"/>
              </w:rPr>
              <w:t>LOEC for male-biased sex-differentiation</w:t>
            </w:r>
          </w:p>
        </w:tc>
        <w:tc>
          <w:tcPr>
            <w:tcW w:w="2633" w:type="dxa"/>
            <w:vMerge/>
            <w:tcBorders>
              <w:left w:val="nil"/>
              <w:bottom w:val="single" w:sz="4" w:space="0" w:color="auto"/>
              <w:right w:val="single" w:sz="4" w:space="0" w:color="auto"/>
            </w:tcBorders>
          </w:tcPr>
          <w:p w14:paraId="6464CFC8"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0A840533" w14:textId="77777777" w:rsidR="00196808" w:rsidRPr="001D0ADC" w:rsidRDefault="00196808" w:rsidP="00196808">
            <w:pPr>
              <w:pStyle w:val="NoSpacing"/>
              <w:ind w:firstLine="0"/>
              <w:rPr>
                <w:color w:val="auto"/>
                <w:lang w:val="en-GB" w:eastAsia="cs-CZ"/>
              </w:rPr>
            </w:pPr>
            <w:r w:rsidRPr="001D0ADC">
              <w:rPr>
                <w:color w:val="auto"/>
                <w:lang w:val="en-GB" w:eastAsia="cs-CZ"/>
              </w:rPr>
              <w:t>25d (15dpf to 40dpf)</w:t>
            </w:r>
          </w:p>
        </w:tc>
        <w:tc>
          <w:tcPr>
            <w:tcW w:w="2300" w:type="dxa"/>
            <w:vMerge/>
            <w:tcBorders>
              <w:left w:val="single" w:sz="4" w:space="0" w:color="auto"/>
              <w:bottom w:val="single" w:sz="4" w:space="0" w:color="auto"/>
              <w:right w:val="single" w:sz="4" w:space="0" w:color="auto"/>
            </w:tcBorders>
            <w:shd w:val="clear" w:color="auto" w:fill="auto"/>
            <w:vAlign w:val="bottom"/>
          </w:tcPr>
          <w:p w14:paraId="05C82B54" w14:textId="77777777" w:rsidR="00196808" w:rsidRPr="001D0ADC" w:rsidRDefault="00196808" w:rsidP="00196808">
            <w:pPr>
              <w:pStyle w:val="NoSpacing"/>
              <w:ind w:firstLine="0"/>
              <w:rPr>
                <w:color w:val="auto"/>
                <w:lang w:val="en-GB" w:eastAsia="cs-CZ"/>
              </w:rPr>
            </w:pPr>
          </w:p>
        </w:tc>
      </w:tr>
      <w:tr w:rsidR="001D0ADC" w:rsidRPr="001D0ADC" w14:paraId="471E39C9"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D884E4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12F86E9" w14:textId="6FCF32A4"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56</w:t>
            </w:r>
          </w:p>
        </w:tc>
        <w:tc>
          <w:tcPr>
            <w:tcW w:w="4520" w:type="dxa"/>
            <w:tcBorders>
              <w:top w:val="single" w:sz="4" w:space="0" w:color="auto"/>
              <w:left w:val="nil"/>
              <w:bottom w:val="single" w:sz="4" w:space="0" w:color="auto"/>
              <w:right w:val="single" w:sz="4" w:space="0" w:color="auto"/>
            </w:tcBorders>
            <w:shd w:val="clear" w:color="auto" w:fill="auto"/>
            <w:vAlign w:val="bottom"/>
          </w:tcPr>
          <w:p w14:paraId="675743F3"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19D6C108"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top w:val="single" w:sz="4" w:space="0" w:color="auto"/>
              <w:left w:val="single" w:sz="4" w:space="0" w:color="auto"/>
              <w:bottom w:val="single" w:sz="4" w:space="0" w:color="auto"/>
              <w:right w:val="single" w:sz="4" w:space="0" w:color="auto"/>
            </w:tcBorders>
          </w:tcPr>
          <w:p w14:paraId="5EB81E21" w14:textId="77777777"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868CA1A"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{"citationID":"WgaY9GU2","properties":{"formattedCitation":"(C. Zhang, Willett, and Fremgen 2003)","plainCitation":"(C. Zhang, Willett, and Fremgen 2003)","noteIndex":0},"citationItems":[{"id":1316,"uris":["http://zotero.org/users/11614927/items/T6DZN6YT"],"itemData":{"id":1316,"type":"article-journal","abstract":"Abstract\n            \n              Zebrafish (\n              Danio rerio\n              ) has been extensively studied and well described for environmental toxicity studies. Molecular biology and genetics have recently been used to elucidate the underlying mechanisms of toxicity in zebrafish and to predict effects in mammals. The versatile zebrafish is now incorporated in many areas of toxicological programs for assessing human risk and for preclinical drug discovery and screening.","container-title":"Current Protocols in Toxicology","DOI":"10.1002/0471140856.tx0107s17","ISSN":"1934-9254, 1934-9262","issue":"1","journalAbbreviation":"CP Toxicology","language":"en","source":"DOI.org (Crossref)","title":"Zebrafish: An Animal Model for Toxicological Studies","title-short":"Zebrafish","URL":"https://currentprotocols.onlinelibrary.wiley.com/doi/10.1002/0471140856.tx0107s17","volume":"17","author":[{"family":"Zhang","given":"Chaojie"},{"family":"Willett","given":"Catherine"},{"family":"Fremgen","given":"Trisha"}],"accessed":{"date-parts":[["2024",2,19]]},"issued":{"date-parts":[["2003",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 Zhang, Willett, and Fremgen 2003)</w:t>
            </w:r>
            <w:r w:rsidRPr="001D0ADC">
              <w:rPr>
                <w:color w:val="auto"/>
                <w:lang w:val="en-GB" w:eastAsia="cs-CZ"/>
              </w:rPr>
              <w:fldChar w:fldCharType="end"/>
            </w:r>
          </w:p>
        </w:tc>
      </w:tr>
      <w:tr w:rsidR="001D0ADC" w:rsidRPr="001D0ADC" w14:paraId="32373132"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D9BB4E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977D671" w14:textId="219D889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56A5C54" w14:textId="4AA01CCC" w:rsidR="00196808" w:rsidRPr="001D0ADC" w:rsidRDefault="00196808" w:rsidP="00196808">
            <w:pPr>
              <w:pStyle w:val="NoSpacing"/>
              <w:ind w:firstLine="0"/>
              <w:rPr>
                <w:color w:val="auto"/>
                <w:lang w:val="en-GB" w:eastAsia="cs-CZ"/>
              </w:rPr>
            </w:pPr>
            <w:r w:rsidRPr="001D0ADC">
              <w:rPr>
                <w:color w:val="auto"/>
                <w:lang w:val="en-GB" w:eastAsia="cs-CZ"/>
              </w:rPr>
              <w:t>NOEC for mortality, AchE act. (120h)</w:t>
            </w:r>
          </w:p>
        </w:tc>
        <w:tc>
          <w:tcPr>
            <w:tcW w:w="2633" w:type="dxa"/>
            <w:vMerge w:val="restart"/>
            <w:tcBorders>
              <w:top w:val="single" w:sz="4" w:space="0" w:color="auto"/>
              <w:left w:val="nil"/>
              <w:right w:val="single" w:sz="4" w:space="0" w:color="auto"/>
            </w:tcBorders>
          </w:tcPr>
          <w:p w14:paraId="6C64F3F4" w14:textId="26D3F089"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77EFD7FD" w14:textId="48CEAE02"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73E0AF5" w14:textId="0C5DCD4B"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{"citationID":"a1mk4h38r23","properties":{"formattedCitation":"(Islam et al. 2023)","plainCitation":"(Islam et al. 2023)","noteIndex":0},"citationItems":[{"id":1592,"uris":["http://zotero.org/users/11614927/items/6B4GAZDI"],"itemData":{"id":1592,"type":"article-journal","container-title":"Chemosphere","DOI":"10.1016/j.chemosphere.2023.140373","ISSN":"00456535","journalAbbreviation":"Chemosphere","language":"en","page":"140373","source":"DOI.org (Crossref)","title":"Behavioural, developmental and biochemical effects in zebrafish caused by ibuprofen, irgarol and terbuthylazine","volume":"344","author":[{"family":"Islam","given":"Mohammed Ariful"},{"family":"Lopes","given":"Isabel"},{"family":"Domingues","given":"Inês"},{"family":"Silva","given":"Daniel C.V.R."},{"family":"Blasco","given":"Julián"},{"family":"Pereira","given":"Joana Luísa"},{"family":"Araújo","given":"Cristiano V.M."}],"issued":{"date-parts":[["2023",12]]}}}],"schema":"https://github.com/citation-style-language/schema/raw/master/csl-citation.json"}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(Islam et al. 2023)</w:t>
            </w:r>
            <w:r w:rsidRPr="001D0ADC">
              <w:rPr>
                <w:color w:val="auto"/>
                <w:lang w:val="en-GB" w:eastAsia="cs-CZ"/>
              </w:rPr>
              <w:fldChar w:fldCharType="end"/>
            </w:r>
          </w:p>
        </w:tc>
      </w:tr>
      <w:tr w:rsidR="001D0ADC" w:rsidRPr="001D0ADC" w14:paraId="2402DB90"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06F8A8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22249D7" w14:textId="559D4C5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8778D0D" w14:textId="4B513387" w:rsidR="00196808" w:rsidRPr="001D0ADC" w:rsidRDefault="00196808" w:rsidP="00196808">
            <w:pPr>
              <w:pStyle w:val="NoSpacing"/>
              <w:ind w:firstLine="0"/>
              <w:rPr>
                <w:color w:val="auto"/>
                <w:lang w:val="en-GB" w:eastAsia="cs-CZ"/>
              </w:rPr>
            </w:pPr>
            <w:r w:rsidRPr="001D0ADC">
              <w:rPr>
                <w:color w:val="auto"/>
                <w:lang w:val="en-GB" w:eastAsia="cs-CZ"/>
              </w:rPr>
              <w:t>LOEC for delay in hatching, time of swimming, AchE act. (4h – non forced exp.)</w:t>
            </w:r>
          </w:p>
        </w:tc>
        <w:tc>
          <w:tcPr>
            <w:tcW w:w="2633" w:type="dxa"/>
            <w:vMerge/>
            <w:tcBorders>
              <w:left w:val="nil"/>
              <w:right w:val="single" w:sz="4" w:space="0" w:color="auto"/>
            </w:tcBorders>
          </w:tcPr>
          <w:p w14:paraId="4D6B24A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226A215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5C8CE38F" w14:textId="77777777" w:rsidR="00196808" w:rsidRPr="001D0ADC" w:rsidRDefault="00196808" w:rsidP="00196808">
            <w:pPr>
              <w:pStyle w:val="NoSpacing"/>
              <w:ind w:firstLine="0"/>
              <w:rPr>
                <w:color w:val="auto"/>
                <w:lang w:val="en-GB" w:eastAsia="cs-CZ"/>
              </w:rPr>
            </w:pPr>
          </w:p>
        </w:tc>
      </w:tr>
      <w:tr w:rsidR="001D0ADC" w:rsidRPr="001D0ADC" w14:paraId="39BA40A5"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D8D8C7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A51E3D5" w14:textId="72CF9ED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29E23F0" w14:textId="4F32AA7B" w:rsidR="00196808" w:rsidRPr="001D0ADC" w:rsidRDefault="00196808" w:rsidP="00196808">
            <w:pPr>
              <w:pStyle w:val="NoSpacing"/>
              <w:ind w:firstLine="0"/>
              <w:rPr>
                <w:color w:val="auto"/>
                <w:lang w:val="en-GB" w:eastAsia="cs-CZ"/>
              </w:rPr>
            </w:pPr>
            <w:r w:rsidRPr="001D0ADC">
              <w:rPr>
                <w:color w:val="auto"/>
                <w:lang w:val="en-GB" w:eastAsia="cs-CZ"/>
              </w:rPr>
              <w:t>LOEC for swimming distance, avoidance (larvae moved into lower concentrations)</w:t>
            </w:r>
          </w:p>
        </w:tc>
        <w:tc>
          <w:tcPr>
            <w:tcW w:w="2633" w:type="dxa"/>
            <w:vMerge/>
            <w:tcBorders>
              <w:left w:val="nil"/>
              <w:bottom w:val="single" w:sz="4" w:space="0" w:color="auto"/>
              <w:right w:val="single" w:sz="4" w:space="0" w:color="auto"/>
            </w:tcBorders>
          </w:tcPr>
          <w:p w14:paraId="37D5ABE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B31286C"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7E866BD" w14:textId="77777777" w:rsidR="00196808" w:rsidRPr="001D0ADC" w:rsidRDefault="00196808" w:rsidP="00196808">
            <w:pPr>
              <w:pStyle w:val="NoSpacing"/>
              <w:ind w:firstLine="0"/>
              <w:rPr>
                <w:color w:val="auto"/>
                <w:lang w:val="en-GB" w:eastAsia="cs-CZ"/>
              </w:rPr>
            </w:pPr>
          </w:p>
        </w:tc>
      </w:tr>
      <w:tr w:rsidR="001D0ADC" w:rsidRPr="001D0ADC" w14:paraId="764A15D4"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F7F9D6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DC5DAAB" w14:textId="6521BE1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00806</w:t>
            </w:r>
          </w:p>
        </w:tc>
        <w:tc>
          <w:tcPr>
            <w:tcW w:w="4520" w:type="dxa"/>
            <w:tcBorders>
              <w:top w:val="single" w:sz="4" w:space="0" w:color="auto"/>
              <w:left w:val="nil"/>
              <w:bottom w:val="single" w:sz="4" w:space="0" w:color="auto"/>
              <w:right w:val="single" w:sz="4" w:space="0" w:color="auto"/>
            </w:tcBorders>
            <w:shd w:val="clear" w:color="auto" w:fill="auto"/>
            <w:vAlign w:val="bottom"/>
          </w:tcPr>
          <w:p w14:paraId="5A62CE0D" w14:textId="46C85FF6"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left w:val="nil"/>
              <w:right w:val="single" w:sz="4" w:space="0" w:color="auto"/>
            </w:tcBorders>
          </w:tcPr>
          <w:p w14:paraId="1B87B359" w14:textId="193243AD" w:rsidR="00196808" w:rsidRPr="001D0ADC" w:rsidRDefault="00196808" w:rsidP="00196808">
            <w:pPr>
              <w:pStyle w:val="NoSpacing"/>
              <w:ind w:firstLine="0"/>
              <w:rPr>
                <w:color w:val="auto"/>
                <w:lang w:val="en-GB" w:eastAsia="cs-CZ"/>
              </w:rPr>
            </w:pPr>
            <w:r w:rsidRPr="001D0ADC">
              <w:rPr>
                <w:color w:val="auto"/>
                <w:lang w:val="en-GB" w:eastAsia="cs-CZ"/>
              </w:rPr>
              <w:t>ELS (ZF) (OECD236)</w:t>
            </w:r>
          </w:p>
        </w:tc>
        <w:tc>
          <w:tcPr>
            <w:tcW w:w="1967" w:type="dxa"/>
            <w:vMerge w:val="restart"/>
            <w:tcBorders>
              <w:left w:val="single" w:sz="4" w:space="0" w:color="auto"/>
              <w:right w:val="single" w:sz="4" w:space="0" w:color="auto"/>
            </w:tcBorders>
          </w:tcPr>
          <w:p w14:paraId="3FF82304" w14:textId="5FC69C21"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left w:val="single" w:sz="4" w:space="0" w:color="auto"/>
              <w:right w:val="single" w:sz="4" w:space="0" w:color="auto"/>
            </w:tcBorders>
            <w:shd w:val="clear" w:color="auto" w:fill="auto"/>
            <w:vAlign w:val="bottom"/>
          </w:tcPr>
          <w:p w14:paraId="2D642772" w14:textId="087FC74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{"citationID":"a20qhf0j6hs","properties":{"formattedCitation":"(S\\uc0\\u225{}nchez-Aceves et al. 2021)","plainCitation":"(Sánchez-Aceves et al. 2021)","noteIndex":0},"citationItems":[{"id":1586,"uris":["http://zotero.org/users/11614927/items/U44UCIRM"],"itemData":{"id":1586,"type":"article-journal","abstract":"Several studies highlighted the ubiquitous presence of ibuprofen and aluminum in the aquatic environment around the world and demonstrated their potential to induce embryotoxic and teratogenic defects on aquatic species individually. Although studies that evaluate developmental alterations induced by mixtures of these pollutants are scarce; and, since environmental contamination presented in the form of a mixture of toxicants with different chemical properties and toxicity mechanisms capable of generating interactions; the objective of this study was to evaluate the developmental defects, teratogenic alterations, and oxidative stress induced by individual forms and the mixture of ibuprofen (IBU) and aluminum (Al) on zebrafish embryos. Oocytes exposed to environmentally relevant concentrations of IBU (0.1–20 μg L-1) and Al (0.01–8 mg L-1) and one binary mixture. The LC50 and EC50 were obtained to calculate the teratogenic index (TI). The IBU LC50, EC50, and TI were 8.06 μg L-1, 2.85 μg L-1 and 2.82. In contrast, Al LC50 was 5.0 mg L-1with an EC50 of 3.58 mg L-1 and TI of 1.39. The main alterations observed for individual compounds were hatching alterations, head malformation, skeletal deformities, hypopigmentation, pericardial edema, and heart rate impairment. The mixture also showed significant delays to embryonic development.","container-title":"Environmental Pollution","DOI":"10.1016/j.envpol.2021.118078","ISSN":"02697491","journalAbbreviation":"Environmental Pollution","language":"en","page":"118078","source":"DOI.org (Crossref)","title":"Developmental alterations, teratogenic effects, and oxidative disruption induced by ibuprofen, aluminum, and their binary mixture on Danio rerio","volume":"291","author":[{"family":"Sánchez-Aceves","given":"Livier M"},{"family":"Pérez-Alvarez","given":"Itzayana"},{"family":"Gómez-Oliván","given":"Leobardo Manuel"},{"family":"Islas-Flores","given":"Hariz"},{"family":"Barceló","given":"Damià"}],"issued":{"date-parts":[["2021",12]]}}}],"schema":"https://github.com/citation-style-language/schema/raw/master/csl-citation.json"}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(Sánchez-Aceves et al. 2021)</w:t>
            </w:r>
            <w:r w:rsidRPr="001D0ADC">
              <w:rPr>
                <w:color w:val="auto"/>
                <w:lang w:val="en-GB" w:eastAsia="cs-CZ"/>
              </w:rPr>
              <w:fldChar w:fldCharType="end"/>
            </w:r>
          </w:p>
        </w:tc>
      </w:tr>
      <w:tr w:rsidR="001D0ADC" w:rsidRPr="001D0ADC" w14:paraId="01E4E7E5"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FB1160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7A6835A" w14:textId="0192D8F1"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00285</w:t>
            </w:r>
          </w:p>
        </w:tc>
        <w:tc>
          <w:tcPr>
            <w:tcW w:w="4520" w:type="dxa"/>
            <w:tcBorders>
              <w:top w:val="single" w:sz="4" w:space="0" w:color="auto"/>
              <w:left w:val="nil"/>
              <w:bottom w:val="single" w:sz="4" w:space="0" w:color="auto"/>
              <w:right w:val="single" w:sz="4" w:space="0" w:color="auto"/>
            </w:tcBorders>
            <w:shd w:val="clear" w:color="auto" w:fill="auto"/>
            <w:vAlign w:val="bottom"/>
          </w:tcPr>
          <w:p w14:paraId="3A09DCC0" w14:textId="77F3D9C5" w:rsidR="00196808" w:rsidRPr="001D0ADC" w:rsidRDefault="00196808" w:rsidP="00196808">
            <w:pPr>
              <w:pStyle w:val="NoSpacing"/>
              <w:ind w:firstLine="0"/>
              <w:rPr>
                <w:color w:val="auto"/>
                <w:lang w:val="en-GB" w:eastAsia="cs-CZ"/>
              </w:rPr>
            </w:pPr>
            <w:r w:rsidRPr="001D0ADC">
              <w:rPr>
                <w:color w:val="auto"/>
                <w:lang w:val="en-GB" w:eastAsia="cs-CZ"/>
              </w:rPr>
              <w:t>EC50 (teratogenity)</w:t>
            </w:r>
          </w:p>
        </w:tc>
        <w:tc>
          <w:tcPr>
            <w:tcW w:w="2633" w:type="dxa"/>
            <w:vMerge/>
            <w:tcBorders>
              <w:left w:val="nil"/>
              <w:right w:val="single" w:sz="4" w:space="0" w:color="auto"/>
            </w:tcBorders>
          </w:tcPr>
          <w:p w14:paraId="27668F6A"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24988AEF"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B16B9DC" w14:textId="77777777" w:rsidR="00196808" w:rsidRPr="001D0ADC" w:rsidRDefault="00196808" w:rsidP="00196808">
            <w:pPr>
              <w:pStyle w:val="NoSpacing"/>
              <w:ind w:firstLine="0"/>
              <w:rPr>
                <w:color w:val="auto"/>
                <w:lang w:val="en-GB" w:eastAsia="cs-CZ"/>
              </w:rPr>
            </w:pPr>
          </w:p>
        </w:tc>
      </w:tr>
      <w:tr w:rsidR="001D0ADC" w:rsidRPr="001D0ADC" w14:paraId="2E2F0D84"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B4679E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9BEAFF9" w14:textId="099EB731"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0371D607" w14:textId="0EAF8ECC" w:rsidR="00196808" w:rsidRPr="001D0ADC" w:rsidRDefault="00196808" w:rsidP="00196808">
            <w:pPr>
              <w:pStyle w:val="NoSpacing"/>
              <w:ind w:firstLine="0"/>
              <w:rPr>
                <w:color w:val="auto"/>
                <w:lang w:val="en-GB" w:eastAsia="cs-CZ"/>
              </w:rPr>
            </w:pPr>
            <w:r w:rsidRPr="001D0ADC">
              <w:rPr>
                <w:color w:val="auto"/>
                <w:lang w:val="en-GB" w:eastAsia="cs-CZ"/>
              </w:rPr>
              <w:t>LOEC for LPO</w:t>
            </w:r>
          </w:p>
        </w:tc>
        <w:tc>
          <w:tcPr>
            <w:tcW w:w="2633" w:type="dxa"/>
            <w:vMerge/>
            <w:tcBorders>
              <w:left w:val="nil"/>
              <w:right w:val="single" w:sz="4" w:space="0" w:color="auto"/>
            </w:tcBorders>
          </w:tcPr>
          <w:p w14:paraId="412C739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615BC976"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194CB100" w14:textId="77777777" w:rsidR="00196808" w:rsidRPr="001D0ADC" w:rsidRDefault="00196808" w:rsidP="00196808">
            <w:pPr>
              <w:pStyle w:val="NoSpacing"/>
              <w:ind w:firstLine="0"/>
              <w:rPr>
                <w:color w:val="auto"/>
                <w:lang w:val="en-GB" w:eastAsia="cs-CZ"/>
              </w:rPr>
            </w:pPr>
          </w:p>
        </w:tc>
      </w:tr>
      <w:tr w:rsidR="001D0ADC" w:rsidRPr="001D0ADC" w14:paraId="4194335D"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4D17DC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3D23E63" w14:textId="3074CF8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3B03DAD" w14:textId="6DA4DD47" w:rsidR="00196808" w:rsidRPr="001D0ADC" w:rsidRDefault="00196808" w:rsidP="00196808">
            <w:pPr>
              <w:pStyle w:val="NoSpacing"/>
              <w:ind w:firstLine="0"/>
              <w:rPr>
                <w:color w:val="auto"/>
                <w:lang w:val="en-GB" w:eastAsia="cs-CZ"/>
              </w:rPr>
            </w:pPr>
            <w:r w:rsidRPr="001D0ADC">
              <w:rPr>
                <w:color w:val="auto"/>
                <w:lang w:val="en-GB" w:eastAsia="cs-CZ"/>
              </w:rPr>
              <w:t>LOEC for hydroperoxide content, GPX activity</w:t>
            </w:r>
          </w:p>
        </w:tc>
        <w:tc>
          <w:tcPr>
            <w:tcW w:w="2633" w:type="dxa"/>
            <w:vMerge/>
            <w:tcBorders>
              <w:left w:val="nil"/>
              <w:right w:val="single" w:sz="4" w:space="0" w:color="auto"/>
            </w:tcBorders>
          </w:tcPr>
          <w:p w14:paraId="6B3AC3ED"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487B5023"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3DBE1E10" w14:textId="77777777" w:rsidR="00196808" w:rsidRPr="001D0ADC" w:rsidRDefault="00196808" w:rsidP="00196808">
            <w:pPr>
              <w:pStyle w:val="NoSpacing"/>
              <w:ind w:firstLine="0"/>
              <w:rPr>
                <w:color w:val="auto"/>
                <w:lang w:val="en-GB" w:eastAsia="cs-CZ"/>
              </w:rPr>
            </w:pPr>
          </w:p>
        </w:tc>
      </w:tr>
      <w:tr w:rsidR="001D0ADC" w:rsidRPr="001D0ADC" w14:paraId="73838AB5"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EF9DC1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27D7F74" w14:textId="3802923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003</w:t>
            </w:r>
          </w:p>
        </w:tc>
        <w:tc>
          <w:tcPr>
            <w:tcW w:w="4520" w:type="dxa"/>
            <w:tcBorders>
              <w:top w:val="single" w:sz="4" w:space="0" w:color="auto"/>
              <w:left w:val="nil"/>
              <w:bottom w:val="single" w:sz="4" w:space="0" w:color="auto"/>
              <w:right w:val="single" w:sz="4" w:space="0" w:color="auto"/>
            </w:tcBorders>
            <w:shd w:val="clear" w:color="auto" w:fill="auto"/>
            <w:vAlign w:val="bottom"/>
          </w:tcPr>
          <w:p w14:paraId="638F5859" w14:textId="1ED5689A" w:rsidR="00196808" w:rsidRPr="001D0ADC" w:rsidRDefault="00196808" w:rsidP="00196808">
            <w:pPr>
              <w:pStyle w:val="NoSpacing"/>
              <w:ind w:firstLine="0"/>
              <w:rPr>
                <w:color w:val="auto"/>
                <w:lang w:val="en-GB" w:eastAsia="cs-CZ"/>
              </w:rPr>
            </w:pPr>
            <w:r w:rsidRPr="001D0ADC">
              <w:rPr>
                <w:color w:val="auto"/>
                <w:lang w:val="en-GB" w:eastAsia="cs-CZ"/>
              </w:rPr>
              <w:t>LOEC for SOD activity</w:t>
            </w:r>
          </w:p>
        </w:tc>
        <w:tc>
          <w:tcPr>
            <w:tcW w:w="2633" w:type="dxa"/>
            <w:vMerge/>
            <w:tcBorders>
              <w:left w:val="nil"/>
              <w:right w:val="single" w:sz="4" w:space="0" w:color="auto"/>
            </w:tcBorders>
          </w:tcPr>
          <w:p w14:paraId="0D3D3057"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F74438E"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A50A981" w14:textId="77777777" w:rsidR="00196808" w:rsidRPr="001D0ADC" w:rsidRDefault="00196808" w:rsidP="00196808">
            <w:pPr>
              <w:pStyle w:val="NoSpacing"/>
              <w:ind w:firstLine="0"/>
              <w:rPr>
                <w:color w:val="auto"/>
                <w:lang w:val="en-GB" w:eastAsia="cs-CZ"/>
              </w:rPr>
            </w:pPr>
          </w:p>
        </w:tc>
      </w:tr>
      <w:tr w:rsidR="001D0ADC" w:rsidRPr="001D0ADC" w14:paraId="690A82E8"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0F7E25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0B3F4A1" w14:textId="5E28A85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42BCC597" w14:textId="15FF9150" w:rsidR="00196808" w:rsidRPr="001D0ADC" w:rsidRDefault="00196808" w:rsidP="00196808">
            <w:pPr>
              <w:pStyle w:val="NoSpacing"/>
              <w:ind w:firstLine="0"/>
              <w:rPr>
                <w:color w:val="auto"/>
                <w:lang w:val="en-GB" w:eastAsia="cs-CZ"/>
              </w:rPr>
            </w:pPr>
            <w:r w:rsidRPr="001D0ADC">
              <w:rPr>
                <w:color w:val="auto"/>
                <w:lang w:val="en-GB" w:eastAsia="cs-CZ"/>
              </w:rPr>
              <w:t>LOEC for heart rate, CAT activity</w:t>
            </w:r>
          </w:p>
        </w:tc>
        <w:tc>
          <w:tcPr>
            <w:tcW w:w="2633" w:type="dxa"/>
            <w:vMerge/>
            <w:tcBorders>
              <w:left w:val="nil"/>
              <w:right w:val="single" w:sz="4" w:space="0" w:color="auto"/>
            </w:tcBorders>
          </w:tcPr>
          <w:p w14:paraId="5EF50A7E" w14:textId="77777777" w:rsidR="00196808" w:rsidRPr="001D0ADC" w:rsidRDefault="00196808" w:rsidP="00196808">
            <w:pPr>
              <w:pStyle w:val="NoSpacing"/>
              <w:ind w:firstLine="0"/>
              <w:rPr>
                <w:color w:val="auto"/>
                <w:lang w:val="en-GB" w:eastAsia="cs-CZ"/>
              </w:rPr>
            </w:pPr>
          </w:p>
        </w:tc>
        <w:tc>
          <w:tcPr>
            <w:tcW w:w="1967" w:type="dxa"/>
            <w:vMerge w:val="restart"/>
            <w:tcBorders>
              <w:left w:val="single" w:sz="4" w:space="0" w:color="auto"/>
              <w:right w:val="single" w:sz="4" w:space="0" w:color="auto"/>
            </w:tcBorders>
          </w:tcPr>
          <w:p w14:paraId="79A07F67" w14:textId="4F4CEE3A"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vMerge/>
            <w:tcBorders>
              <w:left w:val="single" w:sz="4" w:space="0" w:color="auto"/>
              <w:right w:val="single" w:sz="4" w:space="0" w:color="auto"/>
            </w:tcBorders>
            <w:shd w:val="clear" w:color="auto" w:fill="auto"/>
            <w:vAlign w:val="bottom"/>
          </w:tcPr>
          <w:p w14:paraId="1D448762" w14:textId="77777777" w:rsidR="00196808" w:rsidRPr="001D0ADC" w:rsidRDefault="00196808" w:rsidP="00196808">
            <w:pPr>
              <w:pStyle w:val="NoSpacing"/>
              <w:ind w:firstLine="0"/>
              <w:rPr>
                <w:color w:val="auto"/>
                <w:lang w:val="en-GB" w:eastAsia="cs-CZ"/>
              </w:rPr>
            </w:pPr>
          </w:p>
        </w:tc>
      </w:tr>
      <w:tr w:rsidR="001D0ADC" w:rsidRPr="001D0ADC" w14:paraId="17BEF98A"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0C929A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0506ACC" w14:textId="0237206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003</w:t>
            </w:r>
          </w:p>
        </w:tc>
        <w:tc>
          <w:tcPr>
            <w:tcW w:w="4520" w:type="dxa"/>
            <w:tcBorders>
              <w:top w:val="single" w:sz="4" w:space="0" w:color="auto"/>
              <w:left w:val="nil"/>
              <w:bottom w:val="single" w:sz="4" w:space="0" w:color="auto"/>
              <w:right w:val="single" w:sz="4" w:space="0" w:color="auto"/>
            </w:tcBorders>
            <w:shd w:val="clear" w:color="auto" w:fill="auto"/>
            <w:vAlign w:val="bottom"/>
          </w:tcPr>
          <w:p w14:paraId="581E00AE" w14:textId="58137ACC" w:rsidR="00196808" w:rsidRPr="001D0ADC" w:rsidRDefault="00196808" w:rsidP="00196808">
            <w:pPr>
              <w:pStyle w:val="NoSpacing"/>
              <w:ind w:firstLine="0"/>
              <w:rPr>
                <w:color w:val="auto"/>
                <w:lang w:val="en-GB" w:eastAsia="cs-CZ"/>
              </w:rPr>
            </w:pPr>
            <w:r w:rsidRPr="001D0ADC">
              <w:rPr>
                <w:color w:val="auto"/>
                <w:lang w:val="en-GB" w:eastAsia="cs-CZ"/>
              </w:rPr>
              <w:t>LOEC for carbonylated protein content</w:t>
            </w:r>
          </w:p>
        </w:tc>
        <w:tc>
          <w:tcPr>
            <w:tcW w:w="2633" w:type="dxa"/>
            <w:vMerge/>
            <w:tcBorders>
              <w:left w:val="nil"/>
              <w:bottom w:val="single" w:sz="4" w:space="0" w:color="auto"/>
              <w:right w:val="single" w:sz="4" w:space="0" w:color="auto"/>
            </w:tcBorders>
          </w:tcPr>
          <w:p w14:paraId="120CF4B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614103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ABE75EE" w14:textId="77777777" w:rsidR="00196808" w:rsidRPr="001D0ADC" w:rsidRDefault="00196808" w:rsidP="00196808">
            <w:pPr>
              <w:pStyle w:val="NoSpacing"/>
              <w:ind w:firstLine="0"/>
              <w:rPr>
                <w:color w:val="auto"/>
                <w:lang w:val="en-GB" w:eastAsia="cs-CZ"/>
              </w:rPr>
            </w:pPr>
          </w:p>
        </w:tc>
      </w:tr>
      <w:tr w:rsidR="001D0ADC" w:rsidRPr="001D0ADC" w14:paraId="72BC1E7C"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EAE269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A0AC3FF" w14:textId="61EE0E8F"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0219</w:t>
            </w:r>
          </w:p>
        </w:tc>
        <w:tc>
          <w:tcPr>
            <w:tcW w:w="4520" w:type="dxa"/>
            <w:tcBorders>
              <w:top w:val="single" w:sz="4" w:space="0" w:color="auto"/>
              <w:left w:val="nil"/>
              <w:bottom w:val="single" w:sz="4" w:space="0" w:color="auto"/>
              <w:right w:val="single" w:sz="4" w:space="0" w:color="auto"/>
            </w:tcBorders>
            <w:shd w:val="clear" w:color="auto" w:fill="auto"/>
            <w:vAlign w:val="bottom"/>
          </w:tcPr>
          <w:p w14:paraId="1A0DEB60" w14:textId="31554008" w:rsidR="00196808" w:rsidRPr="001D0ADC" w:rsidRDefault="00196808" w:rsidP="00196808">
            <w:pPr>
              <w:pStyle w:val="NoSpacing"/>
              <w:ind w:firstLine="0"/>
              <w:rPr>
                <w:color w:val="auto"/>
                <w:lang w:val="en-GB" w:eastAsia="cs-CZ"/>
              </w:rPr>
            </w:pPr>
            <w:r w:rsidRPr="001D0ADC">
              <w:rPr>
                <w:color w:val="auto"/>
                <w:lang w:val="en-GB" w:eastAsia="cs-CZ"/>
              </w:rPr>
              <w:t>LOEC for heartbeat decr., cardiovascular gene expression</w:t>
            </w:r>
          </w:p>
        </w:tc>
        <w:tc>
          <w:tcPr>
            <w:tcW w:w="2633" w:type="dxa"/>
            <w:vMerge w:val="restart"/>
            <w:tcBorders>
              <w:left w:val="nil"/>
              <w:right w:val="single" w:sz="4" w:space="0" w:color="auto"/>
            </w:tcBorders>
          </w:tcPr>
          <w:p w14:paraId="230B7E45" w14:textId="7EC3D441"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left w:val="single" w:sz="4" w:space="0" w:color="auto"/>
              <w:right w:val="single" w:sz="4" w:space="0" w:color="auto"/>
            </w:tcBorders>
          </w:tcPr>
          <w:p w14:paraId="0AF7DFFB" w14:textId="680F82CE" w:rsidR="00196808" w:rsidRPr="001D0ADC" w:rsidRDefault="00196808" w:rsidP="00196808">
            <w:pPr>
              <w:pStyle w:val="NoSpacing"/>
              <w:ind w:firstLine="0"/>
              <w:rPr>
                <w:color w:val="auto"/>
                <w:lang w:val="en-GB" w:eastAsia="cs-CZ"/>
              </w:rPr>
            </w:pPr>
            <w:r w:rsidRPr="001D0ADC">
              <w:rPr>
                <w:color w:val="auto"/>
                <w:lang w:val="en-GB" w:eastAsia="cs-CZ"/>
              </w:rPr>
              <w:t>56h</w:t>
            </w:r>
          </w:p>
        </w:tc>
        <w:tc>
          <w:tcPr>
            <w:tcW w:w="2300" w:type="dxa"/>
            <w:vMerge w:val="restart"/>
            <w:tcBorders>
              <w:left w:val="single" w:sz="4" w:space="0" w:color="auto"/>
              <w:right w:val="single" w:sz="4" w:space="0" w:color="auto"/>
            </w:tcBorders>
            <w:shd w:val="clear" w:color="auto" w:fill="auto"/>
            <w:vAlign w:val="bottom"/>
          </w:tcPr>
          <w:p w14:paraId="62585B86" w14:textId="17BCA078"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{"citationID":"X3IY5DjC","properties":{"formattedCitation":"(K. Zhang et al. 2020)","plainCitation":"(K. Zhang et al. 2020)","noteIndex":0},"citationItems":[{"id":1517,"uris":["http://zotero.org/users/11614927/items/7ZBMGA2L"],"itemData":{"id":1517,"type":"article-journal","abstract":"The non-steroidal anti-inﬂammatory drugs (NSAIDs) ibuprofen and diclofenac are highly prescribed worldwide and their presence in aquatic system may pose a potential risk to aquatic organisms. Here, we systematically assessed their cardiovascular disruptive effects in zebraﬁsh (Danio rerio) at environmentally relevant concentrations between 0.04 and 25.0 mg/L. Ibuprofen signiﬁcantly increased the cardiac outputs of zebraﬁsh embryos at actual concentrations of 0.91, 4.3 and 21.9 mg/L. It up-regulated the blood cell velocity, total blood ﬂow and down-regulated the blood cell density at concentrations of 4.3 mg/L and higher. In comparison, diclofenac led to inhibition of spontaneous muscle contractions and decreased hatching rate of zebraﬁsh embryos at the highest concentration (24.1 mg/L), while it had negligible effects on the cardiac physiology and hemodynamics. Transcriptional analysis of biomarker genes involved in cardiovascular physiology, such as the signiﬁcantly up-regulated nppa and nkx2.5 expressions response to ibuprofen but not to diclofenac, is consistent with these observations. In addition, both ibuprofen and diclofenac altered the morphology of intersegmental vessels at high concentrations. Our results revealed unexpected cardiovascular functional alterations of NSAIDs to ﬁsh at environmental or slightly higher than surface water concentrations and thus provided novel insights into the understanding of their potential environmental risks.","container-title":"Environmental Pollution","DOI":"10.1016/j.envpol.2019.113613","ISSN":"02697491","journalAbbreviation":"Environmental Pollution","language":"en","page":"113613","source":"DOI.org (Crossref)","title":"Ibuprofen and diclofenac impair the cardiovascular development of zebrafish (Danio rerio) at low concentrations","volume":"258","author":[{"family":"Zhang","given":"Kun"},{"family":"Yuan","given":"Guanxiang"},{"family":"Werdich","given":"Andreas A."},{"family":"Zhao","given":"Yanbin"}],"issued":{"date-parts":[["2020",3]]}}}],"schema":"https://github.com/citation-style-language/schema/raw/master/csl-citation.json"}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(K. Zhang et al. 2020)</w:t>
            </w:r>
            <w:r w:rsidRPr="001D0ADC">
              <w:rPr>
                <w:color w:val="auto"/>
                <w:lang w:val="en-GB" w:eastAsia="cs-CZ"/>
              </w:rPr>
              <w:fldChar w:fldCharType="end"/>
            </w:r>
          </w:p>
        </w:tc>
      </w:tr>
      <w:tr w:rsidR="001D0ADC" w:rsidRPr="001D0ADC" w14:paraId="51E711FC"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06E60B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5809329" w14:textId="2478F3C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09A6788" w14:textId="3892CE7A" w:rsidR="00196808" w:rsidRPr="001D0ADC" w:rsidRDefault="00196808" w:rsidP="00196808">
            <w:pPr>
              <w:pStyle w:val="NoSpacing"/>
              <w:ind w:firstLine="0"/>
              <w:rPr>
                <w:color w:val="auto"/>
                <w:lang w:val="en-GB" w:eastAsia="cs-CZ"/>
              </w:rPr>
            </w:pPr>
            <w:r w:rsidRPr="001D0ADC">
              <w:rPr>
                <w:color w:val="auto"/>
                <w:lang w:val="en-GB" w:eastAsia="cs-CZ"/>
              </w:rPr>
              <w:t>NOEC for mortality and malformations</w:t>
            </w:r>
          </w:p>
        </w:tc>
        <w:tc>
          <w:tcPr>
            <w:tcW w:w="2633" w:type="dxa"/>
            <w:vMerge/>
            <w:tcBorders>
              <w:left w:val="nil"/>
              <w:right w:val="single" w:sz="4" w:space="0" w:color="auto"/>
            </w:tcBorders>
          </w:tcPr>
          <w:p w14:paraId="7E82ABDD"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760826DB"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31C79D37" w14:textId="77777777" w:rsidR="00196808" w:rsidRPr="001D0ADC" w:rsidRDefault="00196808" w:rsidP="00196808">
            <w:pPr>
              <w:pStyle w:val="NoSpacing"/>
              <w:ind w:firstLine="0"/>
              <w:rPr>
                <w:color w:val="auto"/>
                <w:lang w:val="en-GB" w:eastAsia="cs-CZ"/>
              </w:rPr>
            </w:pPr>
          </w:p>
        </w:tc>
      </w:tr>
      <w:tr w:rsidR="001D0ADC" w:rsidRPr="001D0ADC" w14:paraId="45DA4133"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1E6EDD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33FDC86" w14:textId="7DB9A3C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00091</w:t>
            </w:r>
          </w:p>
        </w:tc>
        <w:tc>
          <w:tcPr>
            <w:tcW w:w="4520" w:type="dxa"/>
            <w:tcBorders>
              <w:top w:val="single" w:sz="4" w:space="0" w:color="auto"/>
              <w:left w:val="nil"/>
              <w:bottom w:val="single" w:sz="4" w:space="0" w:color="auto"/>
              <w:right w:val="single" w:sz="4" w:space="0" w:color="auto"/>
            </w:tcBorders>
            <w:shd w:val="clear" w:color="auto" w:fill="auto"/>
            <w:vAlign w:val="bottom"/>
          </w:tcPr>
          <w:p w14:paraId="73FBE515" w14:textId="232F3F16" w:rsidR="00196808" w:rsidRPr="001D0ADC" w:rsidRDefault="00196808" w:rsidP="00196808">
            <w:pPr>
              <w:pStyle w:val="NoSpacing"/>
              <w:ind w:firstLine="0"/>
              <w:rPr>
                <w:color w:val="auto"/>
                <w:lang w:val="en-GB" w:eastAsia="cs-CZ"/>
              </w:rPr>
            </w:pPr>
            <w:r w:rsidRPr="001D0ADC">
              <w:rPr>
                <w:color w:val="auto"/>
                <w:lang w:val="en-GB" w:eastAsia="cs-CZ"/>
              </w:rPr>
              <w:t>LOEC for cardiac output</w:t>
            </w:r>
          </w:p>
        </w:tc>
        <w:tc>
          <w:tcPr>
            <w:tcW w:w="2633" w:type="dxa"/>
            <w:vMerge/>
            <w:tcBorders>
              <w:left w:val="nil"/>
              <w:right w:val="single" w:sz="4" w:space="0" w:color="auto"/>
            </w:tcBorders>
          </w:tcPr>
          <w:p w14:paraId="21903FC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35EAA2F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57A74AA" w14:textId="77777777" w:rsidR="00196808" w:rsidRPr="001D0ADC" w:rsidRDefault="00196808" w:rsidP="00196808">
            <w:pPr>
              <w:pStyle w:val="NoSpacing"/>
              <w:ind w:firstLine="0"/>
              <w:rPr>
                <w:color w:val="auto"/>
                <w:lang w:val="en-GB" w:eastAsia="cs-CZ"/>
              </w:rPr>
            </w:pPr>
          </w:p>
        </w:tc>
      </w:tr>
      <w:tr w:rsidR="001D0ADC" w:rsidRPr="001D0ADC" w14:paraId="4A578745"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5686E3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2581129" w14:textId="5DAEF546"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0043</w:t>
            </w:r>
          </w:p>
        </w:tc>
        <w:tc>
          <w:tcPr>
            <w:tcW w:w="4520" w:type="dxa"/>
            <w:tcBorders>
              <w:top w:val="single" w:sz="4" w:space="0" w:color="auto"/>
              <w:left w:val="nil"/>
              <w:bottom w:val="single" w:sz="4" w:space="0" w:color="auto"/>
              <w:right w:val="single" w:sz="4" w:space="0" w:color="auto"/>
            </w:tcBorders>
            <w:shd w:val="clear" w:color="auto" w:fill="auto"/>
            <w:vAlign w:val="bottom"/>
          </w:tcPr>
          <w:p w14:paraId="4797371F" w14:textId="1B257192" w:rsidR="00196808" w:rsidRPr="001D0ADC" w:rsidRDefault="00196808" w:rsidP="00196808">
            <w:pPr>
              <w:pStyle w:val="NoSpacing"/>
              <w:ind w:firstLine="0"/>
              <w:rPr>
                <w:color w:val="auto"/>
                <w:lang w:val="en-GB" w:eastAsia="cs-CZ"/>
              </w:rPr>
            </w:pPr>
            <w:r w:rsidRPr="001D0ADC">
              <w:rPr>
                <w:color w:val="auto"/>
                <w:lang w:val="en-GB" w:eastAsia="cs-CZ"/>
              </w:rPr>
              <w:t>LOEC for hemodynamics</w:t>
            </w:r>
          </w:p>
        </w:tc>
        <w:tc>
          <w:tcPr>
            <w:tcW w:w="2633" w:type="dxa"/>
            <w:vMerge/>
            <w:tcBorders>
              <w:left w:val="nil"/>
              <w:bottom w:val="single" w:sz="4" w:space="0" w:color="auto"/>
              <w:right w:val="single" w:sz="4" w:space="0" w:color="auto"/>
            </w:tcBorders>
          </w:tcPr>
          <w:p w14:paraId="0F2A895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DE28ED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78F9518" w14:textId="77777777" w:rsidR="00196808" w:rsidRPr="001D0ADC" w:rsidRDefault="00196808" w:rsidP="00196808">
            <w:pPr>
              <w:pStyle w:val="NoSpacing"/>
              <w:ind w:firstLine="0"/>
              <w:rPr>
                <w:color w:val="auto"/>
                <w:lang w:val="en-GB" w:eastAsia="cs-CZ"/>
              </w:rPr>
            </w:pPr>
          </w:p>
        </w:tc>
      </w:tr>
      <w:tr w:rsidR="001D0ADC" w:rsidRPr="001D0ADC" w14:paraId="06AC0F97" w14:textId="77777777" w:rsidTr="005707F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AD294E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BA8064A" w14:textId="177B5E9A"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08061596" w14:textId="0817324B" w:rsidR="00196808" w:rsidRPr="001D0ADC" w:rsidRDefault="00196808" w:rsidP="00196808">
            <w:pPr>
              <w:pStyle w:val="NoSpacing"/>
              <w:ind w:firstLine="0"/>
              <w:rPr>
                <w:color w:val="auto"/>
                <w:lang w:val="en-GB" w:eastAsia="cs-CZ"/>
              </w:rPr>
            </w:pPr>
            <w:r w:rsidRPr="001D0ADC">
              <w:rPr>
                <w:color w:val="auto"/>
                <w:lang w:val="en-GB" w:eastAsia="cs-CZ"/>
              </w:rPr>
              <w:t xml:space="preserve">LOEC for enteric nervous system development </w:t>
            </w:r>
          </w:p>
        </w:tc>
        <w:tc>
          <w:tcPr>
            <w:tcW w:w="2633" w:type="dxa"/>
            <w:tcBorders>
              <w:left w:val="nil"/>
              <w:bottom w:val="single" w:sz="4" w:space="0" w:color="auto"/>
              <w:right w:val="single" w:sz="4" w:space="0" w:color="auto"/>
            </w:tcBorders>
          </w:tcPr>
          <w:p w14:paraId="6C76C0A7" w14:textId="06A663D0"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left w:val="single" w:sz="4" w:space="0" w:color="auto"/>
              <w:bottom w:val="single" w:sz="4" w:space="0" w:color="auto"/>
              <w:right w:val="single" w:sz="4" w:space="0" w:color="auto"/>
            </w:tcBorders>
          </w:tcPr>
          <w:p w14:paraId="22C9CA78" w14:textId="6D6EC26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left w:val="single" w:sz="4" w:space="0" w:color="auto"/>
              <w:bottom w:val="single" w:sz="4" w:space="0" w:color="auto"/>
              <w:right w:val="single" w:sz="4" w:space="0" w:color="auto"/>
            </w:tcBorders>
            <w:shd w:val="clear" w:color="auto" w:fill="auto"/>
            <w:vAlign w:val="bottom"/>
          </w:tcPr>
          <w:p w14:paraId="3269248D" w14:textId="7F52CB19"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{"citationID":"aqeiifd4ga","properties":{"formattedCitation":"(Schill et al. 2016)","plainCitation":"(Schill et al. 2016)","noteIndex":0},"citationItems":[{"id":1594,"uris":["http://zotero.org/users/11614927/items/K8JS3EXL"],"itemData":{"id":1594,"type":"article-journal","abstract":"Hirschsprung Disease (HSCR) is a potentially deadly birth defect characterized by the absence of the enteric nervous system (ENS) in distal bowel. Although HSCR has clear genetic causes, no HSCR-associated mutation is 100% penetrant, suggesting gene–gene and gene-environment interactions determine HSCR occurrence. To test the hypothesis that certain medicines might alter HSCR risk we treated zebraﬁsh with medications commonly used during early human pregnancy and discovered that ibuprofen caused HSCR-like absence of enteric neurons in distal bowel. Using fetal CF-1 mouse gut slice cultures, we found that ibuprofen treated enteric neural crest-derived cells (ENCDC) had reduced migration, fewer lamellipodia and lower levels of active RAC1/CDC42. Additionally, inhibiting ROCK, a RHOA effector and known RAC1 antagonist, reversed ibuprofen effects on migrating mouse ENCDC in culture. Ibuprofen also inhibited colonization of Retþ/ À mouse bowel by ENCDC in vivo and dramatically reduced bowel colonization by chick ENCDC in culture. Interestingly, ibuprofen did not affect ENCDC migration until after at least three hours of exposure. Furthermore, mice deﬁcient in Ptgs1 (COX 1) and Ptgs2 (COX 2) had normal bowel colonization by ENCDC and normal ENCDC migration in vitro suggesting COX-independent effects. Consistent with selective and strain speciﬁc effects on ENCDC, ibuprofen did not affect migration of gut mesenchymal cells, NIH3T3, or WT C57BL/6 ENCDC, and did not affect dorsal root ganglion cell precursor migration in zebraﬁsh. Thus, ibuprofen inhibits ENCDC migration in vitro and bowel colonization by ENCDC in vivo in zebraﬁsh, mouse and chick, but there are cell type and strain speciﬁc responses. These data raise concern that ibuprofen may increase Hirschsprung disease risk in some genetically susceptible children.","container-title":"Developmental Biology","DOI":"10.1016/j.ydbio.2015.09.023","ISSN":"00121606","issue":"2","journalAbbreviation":"Developmental Biology","language":"en","page":"473-488","source":"DOI.org (Crossref)","title":"Ibuprofen slows migration and inhibits bowel colonization by enteric nervous system precursors in zebrafish, chick and mouse","volume":"409","author":[{"family":"Schill","given":"Ellen Merrick"},{"family":"Lake","given":"Jonathan I."},{"family":"Tusheva","given":"Olga A."},{"family":"Nagy","given":"Nandor"},{"family":"Bery","given":"Saya K."},{"family":"Foster","given":"Lynne"},{"family":"Avetisyan","given":"Marina"},{"family":"Johnson","given":"Stephen L."},{"family":"Stenson","given":"William F."},{"family":"Goldstein","given":"Allan M."},{"family":"Heuckeroth","given":"Robert O."}],"issued":{"date-parts":[["2016",1]]}}}],"schema":"https://github.com/citation-style-language/schema/raw/master/csl-citation.json"}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(Schill et al. 2016)</w:t>
            </w:r>
            <w:r w:rsidRPr="001D0ADC">
              <w:rPr>
                <w:color w:val="auto"/>
                <w:lang w:val="en-GB" w:eastAsia="cs-CZ"/>
              </w:rPr>
              <w:fldChar w:fldCharType="end"/>
            </w:r>
          </w:p>
        </w:tc>
      </w:tr>
      <w:tr w:rsidR="001D0ADC" w:rsidRPr="001D0ADC" w14:paraId="1460874C"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2C43EB7"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4DA6D5AF" w14:textId="7B11DBBE"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(other than ZF)</w:t>
            </w:r>
            <w:r w:rsidR="000F6A8E" w:rsidRPr="001D0ADC">
              <w:rPr>
                <w:b/>
                <w:bCs/>
                <w:color w:val="auto"/>
                <w:lang w:val="en-GB" w:eastAsia="cs-CZ"/>
              </w:rPr>
              <w:t xml:space="preserve"> (mg/l)</w:t>
            </w:r>
          </w:p>
        </w:tc>
      </w:tr>
      <w:tr w:rsidR="001D0ADC" w:rsidRPr="001D0ADC" w14:paraId="5C34A8B9"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633379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5E8728D" w14:textId="6ECC347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68</w:t>
            </w:r>
          </w:p>
        </w:tc>
        <w:tc>
          <w:tcPr>
            <w:tcW w:w="4520" w:type="dxa"/>
            <w:tcBorders>
              <w:top w:val="single" w:sz="4" w:space="0" w:color="auto"/>
              <w:left w:val="nil"/>
              <w:bottom w:val="single" w:sz="4" w:space="0" w:color="auto"/>
              <w:right w:val="single" w:sz="4" w:space="0" w:color="auto"/>
            </w:tcBorders>
            <w:shd w:val="clear" w:color="auto" w:fill="auto"/>
            <w:vAlign w:val="bottom"/>
          </w:tcPr>
          <w:p w14:paraId="417F44C5" w14:textId="77777777" w:rsidR="00196808" w:rsidRPr="001D0ADC" w:rsidRDefault="00196808" w:rsidP="00196808">
            <w:pPr>
              <w:pStyle w:val="NoSpacing"/>
              <w:ind w:firstLine="0"/>
              <w:rPr>
                <w:color w:val="auto"/>
                <w:lang w:val="en-GB" w:eastAsia="cs-CZ"/>
              </w:rPr>
            </w:pPr>
            <w:r w:rsidRPr="001D0ADC">
              <w:rPr>
                <w:color w:val="auto"/>
                <w:lang w:val="en-GB" w:eastAsia="cs-CZ"/>
              </w:rPr>
              <w:t>NOEC for survival and growth</w:t>
            </w:r>
          </w:p>
        </w:tc>
        <w:tc>
          <w:tcPr>
            <w:tcW w:w="2633" w:type="dxa"/>
            <w:tcBorders>
              <w:top w:val="single" w:sz="4" w:space="0" w:color="auto"/>
              <w:left w:val="nil"/>
              <w:bottom w:val="single" w:sz="4" w:space="0" w:color="auto"/>
              <w:right w:val="single" w:sz="4" w:space="0" w:color="auto"/>
            </w:tcBorders>
          </w:tcPr>
          <w:p w14:paraId="4A7E0039" w14:textId="77777777" w:rsidR="00196808" w:rsidRPr="001D0ADC" w:rsidRDefault="00196808" w:rsidP="00196808">
            <w:pPr>
              <w:pStyle w:val="NoSpacing"/>
              <w:ind w:firstLine="0"/>
              <w:rPr>
                <w:color w:val="auto"/>
                <w:lang w:val="en-GB" w:eastAsia="cs-CZ"/>
              </w:rPr>
            </w:pPr>
            <w:r w:rsidRPr="001D0ADC">
              <w:rPr>
                <w:color w:val="auto"/>
                <w:lang w:val="en-GB" w:eastAsia="cs-CZ"/>
              </w:rPr>
              <w:t>ELS (OECD210)(FM)</w:t>
            </w:r>
          </w:p>
        </w:tc>
        <w:tc>
          <w:tcPr>
            <w:tcW w:w="1967" w:type="dxa"/>
            <w:tcBorders>
              <w:top w:val="single" w:sz="4" w:space="0" w:color="auto"/>
              <w:left w:val="single" w:sz="4" w:space="0" w:color="auto"/>
              <w:bottom w:val="single" w:sz="4" w:space="0" w:color="auto"/>
              <w:right w:val="single" w:sz="4" w:space="0" w:color="auto"/>
            </w:tcBorders>
          </w:tcPr>
          <w:p w14:paraId="5EDB6F8F" w14:textId="77777777" w:rsidR="00196808" w:rsidRPr="001D0ADC" w:rsidRDefault="00196808" w:rsidP="00196808">
            <w:pPr>
              <w:pStyle w:val="NoSpacing"/>
              <w:ind w:firstLine="0"/>
              <w:rPr>
                <w:color w:val="auto"/>
                <w:lang w:val="en-GB" w:eastAsia="cs-CZ"/>
              </w:rPr>
            </w:pPr>
            <w:r w:rsidRPr="001D0ADC">
              <w:rPr>
                <w:color w:val="auto"/>
                <w:lang w:val="en-GB" w:eastAsia="cs-CZ"/>
              </w:rPr>
              <w:t>28d post hatch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353AD8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{"citationID":"Y6cFqxGR","properties":{"formattedCitation":"(Overturf et al. 2012)","plainCitation":"(Overturf et al. 2012)","noteIndex":0},"citationItems":[{"id":1284,"uris":["http://zotero.org/users/11614927/items/ZAA6ICKR"],"itemData":{"id":1284,"type":"article-journal","container-title":"Archives of Environmental Contamination and Toxicology","DOI":"10.1007/s00244-011-9723-6","ISSN":"0090-4341, 1432-0703","issue":"3","journalAbbreviation":"Arch Environ Contam Toxicol","language":"en","page":"455-464","source":"DOI.org (Crossref)","title":"Early Life-Stage Toxicity of Eight Pharmaceuticals to the Fathead Minnow, Pimephales promelas","volume":"62","author":[{"family":"Overturf","given":"M. D."},{"family":"Overturf","given":"C. L."},{"family":"Baxter","given":"D."},{"family":"Hala","given":"D. N."},{"family":"Constantine","given":"L."},{"family":"Venables","given":"B."},{"family":"Huggett","given":"D. B."}],"issued":{"date-parts":[["2012",4]]}}}],"schema":"https://github.com/citation-style-language/schema/raw/master/csl-citation.json"}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(Overturf et al. 2012)</w:t>
            </w:r>
            <w:r w:rsidRPr="001D0ADC">
              <w:rPr>
                <w:color w:val="auto"/>
                <w:lang w:val="en-GB" w:eastAsia="cs-CZ"/>
              </w:rPr>
              <w:fldChar w:fldCharType="end"/>
            </w:r>
          </w:p>
        </w:tc>
      </w:tr>
      <w:tr w:rsidR="001D0ADC" w:rsidRPr="001D0ADC" w14:paraId="4E6DA5A8"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B39A02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CC1643D" w14:textId="7D69A03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00417</w:t>
            </w:r>
          </w:p>
        </w:tc>
        <w:tc>
          <w:tcPr>
            <w:tcW w:w="4520" w:type="dxa"/>
            <w:tcBorders>
              <w:top w:val="single" w:sz="4" w:space="0" w:color="auto"/>
              <w:left w:val="nil"/>
              <w:bottom w:val="single" w:sz="4" w:space="0" w:color="auto"/>
              <w:right w:val="single" w:sz="4" w:space="0" w:color="auto"/>
            </w:tcBorders>
            <w:shd w:val="clear" w:color="auto" w:fill="auto"/>
            <w:vAlign w:val="bottom"/>
          </w:tcPr>
          <w:p w14:paraId="422F4603"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top w:val="single" w:sz="4" w:space="0" w:color="auto"/>
              <w:left w:val="nil"/>
              <w:right w:val="single" w:sz="4" w:space="0" w:color="auto"/>
            </w:tcBorders>
          </w:tcPr>
          <w:p w14:paraId="2A9DB05E" w14:textId="77777777" w:rsidR="00196808" w:rsidRPr="001D0ADC" w:rsidRDefault="00196808" w:rsidP="00196808">
            <w:pPr>
              <w:pStyle w:val="NoSpacing"/>
              <w:ind w:firstLine="0"/>
              <w:rPr>
                <w:color w:val="auto"/>
                <w:lang w:val="en-GB" w:eastAsia="cs-CZ"/>
              </w:rPr>
            </w:pPr>
            <w:r w:rsidRPr="001D0ADC">
              <w:rPr>
                <w:color w:val="auto"/>
                <w:lang w:val="en-GB" w:eastAsia="cs-CZ"/>
              </w:rPr>
              <w:t>ELT (OECD236) (CC) (wrong table links, not discussing conflicting results)</w:t>
            </w:r>
          </w:p>
        </w:tc>
        <w:tc>
          <w:tcPr>
            <w:tcW w:w="1967" w:type="dxa"/>
            <w:vMerge w:val="restart"/>
            <w:tcBorders>
              <w:top w:val="single" w:sz="4" w:space="0" w:color="auto"/>
              <w:left w:val="single" w:sz="4" w:space="0" w:color="auto"/>
              <w:right w:val="single" w:sz="4" w:space="0" w:color="auto"/>
            </w:tcBorders>
          </w:tcPr>
          <w:p w14:paraId="7E83C05D"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F77B529"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{"citationID":"VreifgXb","properties":{"formattedCitation":"(Guti\\uc0\\u233{}rrez-Noya et al. 2020)","plainCitation":"(Gutiérrez-Noya et al. 2020)","noteIndex":0},"citationItems":[{"id":1196,"uris":["http://zotero.org/users/11614927/items/QYSPZHE9"],"itemData":{"id":1196,"type":"article-journal","container-title":"Science of The Total Environment","DOI":"10.1016/j.scitotenv.2019.136327","ISSN":"00489697","journalAbbreviation":"Science of The Total Environment","language":"en","page":"136327","source":"DOI.org (Crossref)","title":"Ibuprofen at environmentally relevant concentrations alters embryonic development, induces teratogenesis and oxidative stress in Cyprinus carpio","volume":"710","author":[{"family":"Gutiérrez-Noya","given":"Verónica Margarita"},{"family":"Gómez-Oliván","given":"Leobardo Manuel"},{"family":"Ramírez-Montero","given":"María Del Carmen"},{"family":"Islas-Flores","given":"Hariz"},{"family":"Galar-Martínez","given":"Marcela"},{"family":"Dublán-García","given":"Octavio"},{"family":"Romero","given":"Rubi"}],"issued":{"date-parts":[["2020",3]]}}}],"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(Gutiérrez-Noya et al. 2020)</w:t>
            </w:r>
            <w:r w:rsidRPr="001D0ADC">
              <w:rPr>
                <w:color w:val="auto"/>
                <w:lang w:val="en-GB" w:eastAsia="cs-CZ"/>
              </w:rPr>
              <w:fldChar w:fldCharType="end"/>
            </w:r>
          </w:p>
        </w:tc>
      </w:tr>
      <w:tr w:rsidR="001D0ADC" w:rsidRPr="001D0ADC" w14:paraId="0613447B"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F790DF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219F188" w14:textId="600D2D2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00139</w:t>
            </w:r>
          </w:p>
        </w:tc>
        <w:tc>
          <w:tcPr>
            <w:tcW w:w="4520" w:type="dxa"/>
            <w:tcBorders>
              <w:top w:val="single" w:sz="4" w:space="0" w:color="auto"/>
              <w:left w:val="nil"/>
              <w:bottom w:val="single" w:sz="4" w:space="0" w:color="auto"/>
              <w:right w:val="single" w:sz="4" w:space="0" w:color="auto"/>
            </w:tcBorders>
            <w:shd w:val="clear" w:color="auto" w:fill="auto"/>
            <w:vAlign w:val="bottom"/>
          </w:tcPr>
          <w:p w14:paraId="7853D3B5" w14:textId="77777777" w:rsidR="00196808" w:rsidRPr="001D0ADC" w:rsidRDefault="00196808" w:rsidP="00196808">
            <w:pPr>
              <w:pStyle w:val="NoSpacing"/>
              <w:ind w:firstLine="0"/>
              <w:rPr>
                <w:color w:val="auto"/>
                <w:lang w:val="en-GB" w:eastAsia="cs-CZ"/>
              </w:rPr>
            </w:pPr>
            <w:r w:rsidRPr="001D0ADC">
              <w:rPr>
                <w:color w:val="auto"/>
                <w:lang w:val="en-GB" w:eastAsia="cs-CZ"/>
              </w:rPr>
              <w:t>EC50</w:t>
            </w:r>
          </w:p>
        </w:tc>
        <w:tc>
          <w:tcPr>
            <w:tcW w:w="2633" w:type="dxa"/>
            <w:vMerge/>
            <w:tcBorders>
              <w:left w:val="nil"/>
              <w:right w:val="single" w:sz="4" w:space="0" w:color="auto"/>
            </w:tcBorders>
          </w:tcPr>
          <w:p w14:paraId="42EDB6C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48992B0"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1CCD2BBA" w14:textId="77777777" w:rsidR="00196808" w:rsidRPr="001D0ADC" w:rsidRDefault="00196808" w:rsidP="00196808">
            <w:pPr>
              <w:pStyle w:val="NoSpacing"/>
              <w:ind w:firstLine="0"/>
              <w:rPr>
                <w:color w:val="auto"/>
                <w:lang w:val="en-GB" w:eastAsia="cs-CZ"/>
              </w:rPr>
            </w:pPr>
          </w:p>
        </w:tc>
      </w:tr>
      <w:tr w:rsidR="001D0ADC" w:rsidRPr="001D0ADC" w14:paraId="474B915D"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C36E83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1777566" w14:textId="6466B58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EDFA7B6" w14:textId="0D367D5C" w:rsidR="00196808" w:rsidRPr="001D0ADC" w:rsidRDefault="00196808" w:rsidP="00196808">
            <w:pPr>
              <w:pStyle w:val="NoSpacing"/>
              <w:ind w:firstLine="0"/>
              <w:rPr>
                <w:color w:val="auto"/>
                <w:lang w:val="en-GB" w:eastAsia="cs-CZ"/>
              </w:rPr>
            </w:pPr>
            <w:r w:rsidRPr="001D0ADC">
              <w:rPr>
                <w:color w:val="auto"/>
                <w:lang w:val="en-GB" w:eastAsia="cs-CZ"/>
              </w:rPr>
              <w:t>LOEC for HPC, LPO, CP, SOD, CAT and GPx activity</w:t>
            </w:r>
          </w:p>
        </w:tc>
        <w:tc>
          <w:tcPr>
            <w:tcW w:w="2633" w:type="dxa"/>
            <w:vMerge/>
            <w:tcBorders>
              <w:left w:val="nil"/>
              <w:bottom w:val="single" w:sz="4" w:space="0" w:color="auto"/>
              <w:right w:val="single" w:sz="4" w:space="0" w:color="auto"/>
            </w:tcBorders>
          </w:tcPr>
          <w:p w14:paraId="1531F345"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384E652D"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vMerge/>
            <w:tcBorders>
              <w:left w:val="single" w:sz="4" w:space="0" w:color="auto"/>
              <w:bottom w:val="single" w:sz="4" w:space="0" w:color="auto"/>
              <w:right w:val="single" w:sz="4" w:space="0" w:color="auto"/>
            </w:tcBorders>
            <w:shd w:val="clear" w:color="auto" w:fill="auto"/>
            <w:vAlign w:val="bottom"/>
          </w:tcPr>
          <w:p w14:paraId="328C3149" w14:textId="77777777" w:rsidR="00196808" w:rsidRPr="001D0ADC" w:rsidRDefault="00196808" w:rsidP="00196808">
            <w:pPr>
              <w:pStyle w:val="NoSpacing"/>
              <w:ind w:firstLine="0"/>
              <w:rPr>
                <w:color w:val="auto"/>
                <w:lang w:val="en-GB" w:eastAsia="cs-CZ"/>
              </w:rPr>
            </w:pPr>
          </w:p>
        </w:tc>
      </w:tr>
      <w:tr w:rsidR="001D0ADC" w:rsidRPr="001D0ADC" w14:paraId="0697B71A"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403A243"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1A749C2A" w14:textId="5515934C"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(cell lines)</w:t>
            </w:r>
            <w:r w:rsidR="000F6A8E" w:rsidRPr="001D0ADC">
              <w:rPr>
                <w:b/>
                <w:bCs/>
                <w:color w:val="auto"/>
                <w:lang w:val="en-GB" w:eastAsia="cs-CZ"/>
              </w:rPr>
              <w:t xml:space="preserve"> (mg/l)</w:t>
            </w:r>
          </w:p>
        </w:tc>
      </w:tr>
      <w:tr w:rsidR="001D0ADC" w:rsidRPr="001D0ADC" w14:paraId="0D2BA725"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5580AA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D9CA672" w14:textId="77777777" w:rsidR="00196808" w:rsidRPr="001D0ADC" w:rsidRDefault="00196808" w:rsidP="00196808">
            <w:pPr>
              <w:pStyle w:val="NoSpacing"/>
              <w:ind w:firstLine="0"/>
              <w:rPr>
                <w:color w:val="auto"/>
                <w:lang w:val="en-GB" w:eastAsia="cs-CZ"/>
              </w:rPr>
            </w:pPr>
            <w:r w:rsidRPr="001D0ADC">
              <w:rPr>
                <w:color w:val="auto"/>
                <w:lang w:val="en-GB" w:eastAsia="cs-CZ"/>
              </w:rPr>
              <w:t>248</w:t>
            </w:r>
          </w:p>
        </w:tc>
        <w:tc>
          <w:tcPr>
            <w:tcW w:w="4520" w:type="dxa"/>
            <w:tcBorders>
              <w:top w:val="single" w:sz="4" w:space="0" w:color="auto"/>
              <w:left w:val="nil"/>
              <w:bottom w:val="single" w:sz="4" w:space="0" w:color="auto"/>
              <w:right w:val="single" w:sz="4" w:space="0" w:color="auto"/>
            </w:tcBorders>
            <w:shd w:val="clear" w:color="auto" w:fill="auto"/>
            <w:vAlign w:val="bottom"/>
          </w:tcPr>
          <w:p w14:paraId="1DAA22BB"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23032612"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RTG-2 MTT</w:t>
            </w:r>
          </w:p>
        </w:tc>
        <w:tc>
          <w:tcPr>
            <w:tcW w:w="1967" w:type="dxa"/>
            <w:tcBorders>
              <w:top w:val="single" w:sz="4" w:space="0" w:color="auto"/>
              <w:left w:val="single" w:sz="4" w:space="0" w:color="auto"/>
              <w:bottom w:val="single" w:sz="4" w:space="0" w:color="auto"/>
              <w:right w:val="single" w:sz="4" w:space="0" w:color="auto"/>
            </w:tcBorders>
          </w:tcPr>
          <w:p w14:paraId="4AD8349D"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3674E17"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{"citationID":"qNrbNaNB","properties":{"formattedCitation":"(Caminada, Escher, and Fent 2006)","plainCitation":"(Caminada, Escher, and Fent 2006)","noteIndex":0},"citationItems":[{"id":1190,"uris":["http://zotero.org/users/11614927/items/PF8NEWNG"],"itemData":{"id":1190,"type":"article-journal","abstract":"There is need for a better understanding of the ecotoxicity of pharmaceuticals present in aquatic systems as only little is known about their potential acute and chronic toxicity to aquatic organisms. In our work, we evaluate the in vitro cytotoxicity of 34 common pharmaceuticals from different classes and with different modes of action using the mitochondrial MTT reduction and neutral red uptake assays in the two ﬁsh cell lines, PLHC-1 and RTG-2. Cytotoxicity was found for 21 pharmaceuticals with EC50-values ranging from 2.1 </w:instrText>
            </w:r>
            <w:r w:rsidRPr="001D0ADC">
              <w:rPr>
                <w:rFonts w:cs="Times New Roman"/>
                <w:color w:val="auto"/>
                <w:lang w:val="en-GB" w:eastAsia="cs-CZ"/>
              </w:rPr>
              <w:instrText>␮</w:instrText>
            </w:r>
            <w:r w:rsidRPr="001D0ADC">
              <w:rPr>
                <w:color w:val="auto"/>
                <w:lang w:val="en-GB" w:eastAsia="cs-CZ"/>
              </w:rPr>
              <w:instrText>M (1.14 mg l</w:instrText>
            </w:r>
            <w:r w:rsidRPr="001D0ADC">
              <w:rPr>
                <w:rFonts w:cs="Times New Roman"/>
                <w:color w:val="auto"/>
                <w:lang w:val="en-GB" w:eastAsia="cs-CZ"/>
              </w:rPr>
              <w:instrText>−</w:instrText>
            </w:r>
            <w:r w:rsidRPr="001D0ADC">
              <w:rPr>
                <w:color w:val="auto"/>
                <w:lang w:val="en-GB" w:eastAsia="cs-CZ"/>
              </w:rPr>
              <w:instrText>1) (doxorubicin) to 8.66 mM (1200 mg l</w:instrText>
            </w:r>
            <w:r w:rsidRPr="001D0ADC">
              <w:rPr>
                <w:rFonts w:cs="Times New Roman"/>
                <w:color w:val="auto"/>
                <w:lang w:val="en-GB" w:eastAsia="cs-CZ"/>
              </w:rPr>
              <w:instrText>−</w:instrText>
            </w:r>
            <w:r w:rsidRPr="001D0ADC">
              <w:rPr>
                <w:color w:val="auto"/>
                <w:lang w:val="en-GB" w:eastAsia="cs-CZ"/>
              </w:rPr>
              <w:instrText>1) (salicylic acid). There was no signi</w:instrText>
            </w:r>
            <w:r w:rsidRPr="001D0ADC">
              <w:rPr>
                <w:rFonts w:cs="Times New Roman"/>
                <w:color w:val="auto"/>
                <w:lang w:val="en-GB" w:eastAsia="cs-CZ"/>
              </w:rPr>
              <w:instrText>ﬁ</w:instrText>
            </w:r>
            <w:r w:rsidRPr="001D0ADC">
              <w:rPr>
                <w:color w:val="auto"/>
                <w:lang w:val="en-GB" w:eastAsia="cs-CZ"/>
              </w:rPr>
              <w:instrText xml:space="preserve">cant difference between the MTT and NR assays except for an increase in absorption observed with four pharmaceuticals at low concentrations in the MTT assay with PLHC-1 cells indicating a hormesis effect. The comparison of the cell lines revealed that the PLHC-1 cell line was slightly more sensitive than the RTG-2 cell line, showing cytotoxicity at smaller concentrations. The cytotoxicity of pharmaceuticals showed a correlation with their Log D-values at physiological conditions (pH 7.0). A correlation between the in vitro data and in vivo data was found for Daphnia, but not for ﬁsh due to insufﬁcient and heterogeneous data. Our work provides an indication that in vitro cytotoxicity assays with ﬁsh cell lines could be suited for the ﬁrst screening of the acute in vivo toxicity of pharmaceuticals, thereby contributing to the reduction of in vivo experiments. Further investigations with a larger set of pharmaceuticals are needed to strengthen the reliability of the assays and to validate the correlation with in vivo data.","container-title":"Aquatic Toxicology","DOI":"10.1016/j.aquatox.2006.05.010","ISSN":"0166445X","issue":"2","journalAbbreviation":"Aquatic Toxicology","language":"en","page":"114-123","source":"DOI.org (Crossref)","title":"Cytotoxicity of pharmaceuticals found in aquatic systems: Comparison of PLHC-1 and RTG-2 fish cell lines","title-short":"Cytotoxicity of pharmaceuticals found in aquatic systems","volume":"79","author":[{"family":"Caminada","given":"Daniel"},{"family":"Escher","given":"Claudia"},{"family":"Fent","given":"Karl"}],"issued":{"date-parts":[["2006",8]]}}}],"schema":"https://github.com/citation-style-language/schema/raw/master/csl-citation.json"}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(Caminada, Escher, and Fent 2006)</w:t>
            </w:r>
            <w:r w:rsidRPr="001D0ADC">
              <w:rPr>
                <w:color w:val="auto"/>
                <w:lang w:val="en-GB" w:eastAsia="cs-CZ"/>
              </w:rPr>
              <w:fldChar w:fldCharType="end"/>
            </w:r>
          </w:p>
        </w:tc>
      </w:tr>
      <w:tr w:rsidR="001D0ADC" w:rsidRPr="001D0ADC" w14:paraId="5A9C7E6E"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EB7E14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F4B1CEA" w14:textId="77777777" w:rsidR="00196808" w:rsidRPr="001D0ADC" w:rsidRDefault="00196808" w:rsidP="00196808">
            <w:pPr>
              <w:pStyle w:val="NoSpacing"/>
              <w:ind w:firstLine="0"/>
              <w:rPr>
                <w:color w:val="auto"/>
                <w:lang w:val="en-GB" w:eastAsia="cs-CZ"/>
              </w:rPr>
            </w:pPr>
            <w:r w:rsidRPr="001D0ADC">
              <w:rPr>
                <w:color w:val="auto"/>
                <w:lang w:val="en-GB" w:eastAsia="cs-CZ"/>
              </w:rPr>
              <w:t>172</w:t>
            </w:r>
          </w:p>
        </w:tc>
        <w:tc>
          <w:tcPr>
            <w:tcW w:w="4520" w:type="dxa"/>
            <w:tcBorders>
              <w:top w:val="single" w:sz="4" w:space="0" w:color="auto"/>
              <w:left w:val="nil"/>
              <w:bottom w:val="single" w:sz="4" w:space="0" w:color="auto"/>
              <w:right w:val="single" w:sz="4" w:space="0" w:color="auto"/>
            </w:tcBorders>
            <w:shd w:val="clear" w:color="auto" w:fill="auto"/>
            <w:vAlign w:val="bottom"/>
          </w:tcPr>
          <w:p w14:paraId="0FA123F6"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33ED5DDF"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MTT</w:t>
            </w:r>
          </w:p>
        </w:tc>
        <w:tc>
          <w:tcPr>
            <w:tcW w:w="1967" w:type="dxa"/>
            <w:tcBorders>
              <w:top w:val="single" w:sz="4" w:space="0" w:color="auto"/>
              <w:left w:val="single" w:sz="4" w:space="0" w:color="auto"/>
              <w:bottom w:val="single" w:sz="4" w:space="0" w:color="auto"/>
              <w:right w:val="single" w:sz="4" w:space="0" w:color="auto"/>
            </w:tcBorders>
          </w:tcPr>
          <w:p w14:paraId="3437151F"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right w:val="single" w:sz="4" w:space="0" w:color="auto"/>
            </w:tcBorders>
            <w:shd w:val="clear" w:color="auto" w:fill="auto"/>
            <w:vAlign w:val="bottom"/>
          </w:tcPr>
          <w:p w14:paraId="40320953" w14:textId="77777777" w:rsidR="00196808" w:rsidRPr="001D0ADC" w:rsidRDefault="00196808" w:rsidP="00196808">
            <w:pPr>
              <w:pStyle w:val="NoSpacing"/>
              <w:ind w:firstLine="0"/>
              <w:rPr>
                <w:color w:val="auto"/>
                <w:lang w:val="en-GB" w:eastAsia="cs-CZ"/>
              </w:rPr>
            </w:pPr>
          </w:p>
        </w:tc>
      </w:tr>
      <w:tr w:rsidR="001D0ADC" w:rsidRPr="001D0ADC" w14:paraId="37D0FEAC"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0AB348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30AEE79" w14:textId="77777777" w:rsidR="00196808" w:rsidRPr="001D0ADC" w:rsidRDefault="00196808" w:rsidP="00196808">
            <w:pPr>
              <w:pStyle w:val="NoSpacing"/>
              <w:ind w:firstLine="0"/>
              <w:rPr>
                <w:color w:val="auto"/>
                <w:lang w:val="en-GB" w:eastAsia="cs-CZ"/>
              </w:rPr>
            </w:pPr>
            <w:r w:rsidRPr="001D0ADC">
              <w:rPr>
                <w:color w:val="auto"/>
                <w:lang w:val="en-GB" w:eastAsia="cs-CZ"/>
              </w:rPr>
              <w:t>1194</w:t>
            </w:r>
          </w:p>
        </w:tc>
        <w:tc>
          <w:tcPr>
            <w:tcW w:w="4520" w:type="dxa"/>
            <w:tcBorders>
              <w:top w:val="single" w:sz="4" w:space="0" w:color="auto"/>
              <w:left w:val="nil"/>
              <w:bottom w:val="single" w:sz="4" w:space="0" w:color="auto"/>
              <w:right w:val="single" w:sz="4" w:space="0" w:color="auto"/>
            </w:tcBorders>
            <w:shd w:val="clear" w:color="auto" w:fill="auto"/>
            <w:vAlign w:val="bottom"/>
          </w:tcPr>
          <w:p w14:paraId="556B39C0"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0D935186"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NR</w:t>
            </w:r>
          </w:p>
        </w:tc>
        <w:tc>
          <w:tcPr>
            <w:tcW w:w="1967" w:type="dxa"/>
            <w:tcBorders>
              <w:top w:val="single" w:sz="4" w:space="0" w:color="auto"/>
              <w:left w:val="single" w:sz="4" w:space="0" w:color="auto"/>
              <w:bottom w:val="single" w:sz="4" w:space="0" w:color="auto"/>
              <w:right w:val="single" w:sz="4" w:space="0" w:color="auto"/>
            </w:tcBorders>
          </w:tcPr>
          <w:p w14:paraId="67AB32D5"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bottom w:val="single" w:sz="4" w:space="0" w:color="auto"/>
              <w:right w:val="single" w:sz="4" w:space="0" w:color="auto"/>
            </w:tcBorders>
            <w:shd w:val="clear" w:color="auto" w:fill="auto"/>
            <w:vAlign w:val="bottom"/>
          </w:tcPr>
          <w:p w14:paraId="2DC9F537" w14:textId="77777777" w:rsidR="00196808" w:rsidRPr="001D0ADC" w:rsidRDefault="00196808" w:rsidP="00196808">
            <w:pPr>
              <w:pStyle w:val="NoSpacing"/>
              <w:ind w:firstLine="0"/>
              <w:rPr>
                <w:color w:val="auto"/>
                <w:lang w:val="en-GB" w:eastAsia="cs-CZ"/>
              </w:rPr>
            </w:pPr>
          </w:p>
        </w:tc>
      </w:tr>
      <w:tr w:rsidR="001D0ADC" w:rsidRPr="001D0ADC" w14:paraId="2B642657"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7C6CF1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103B7EA" w14:textId="44734313" w:rsidR="00196808" w:rsidRPr="001D0ADC" w:rsidRDefault="00CF2036" w:rsidP="00196808">
            <w:pPr>
              <w:pStyle w:val="NoSpacing"/>
              <w:ind w:firstLine="0"/>
              <w:rPr>
                <w:color w:val="auto"/>
                <w:lang w:val="en-GB" w:eastAsia="cs-CZ"/>
              </w:rPr>
            </w:pPr>
            <w:r w:rsidRPr="001D0ADC">
              <w:rPr>
                <w:color w:val="auto"/>
                <w:lang w:val="en-GB" w:eastAsia="cs-CZ"/>
              </w:rPr>
              <w:t>4.</w:t>
            </w:r>
            <w:r w:rsidR="00196808" w:rsidRPr="001D0ADC">
              <w:rPr>
                <w:color w:val="auto"/>
                <w:lang w:val="en-GB" w:eastAsia="cs-CZ"/>
              </w:rPr>
              <w:t>13</w:t>
            </w:r>
          </w:p>
        </w:tc>
        <w:tc>
          <w:tcPr>
            <w:tcW w:w="4520" w:type="dxa"/>
            <w:tcBorders>
              <w:top w:val="single" w:sz="4" w:space="0" w:color="auto"/>
              <w:left w:val="nil"/>
              <w:bottom w:val="single" w:sz="4" w:space="0" w:color="auto"/>
              <w:right w:val="single" w:sz="4" w:space="0" w:color="auto"/>
            </w:tcBorders>
            <w:shd w:val="clear" w:color="auto" w:fill="auto"/>
            <w:vAlign w:val="bottom"/>
          </w:tcPr>
          <w:p w14:paraId="16B370F0" w14:textId="77777777" w:rsidR="00196808" w:rsidRPr="001D0ADC" w:rsidRDefault="00196808" w:rsidP="00196808">
            <w:pPr>
              <w:pStyle w:val="NoSpacing"/>
              <w:ind w:firstLine="0"/>
              <w:rPr>
                <w:color w:val="auto"/>
                <w:lang w:val="en-GB" w:eastAsia="cs-CZ"/>
              </w:rPr>
            </w:pPr>
            <w:r w:rsidRPr="001D0ADC">
              <w:rPr>
                <w:color w:val="auto"/>
                <w:lang w:val="en-GB" w:eastAsia="cs-CZ"/>
              </w:rPr>
              <w:t>NOEC for viability</w:t>
            </w:r>
          </w:p>
        </w:tc>
        <w:tc>
          <w:tcPr>
            <w:tcW w:w="2633" w:type="dxa"/>
            <w:vMerge w:val="restart"/>
            <w:tcBorders>
              <w:top w:val="single" w:sz="4" w:space="0" w:color="auto"/>
              <w:left w:val="nil"/>
              <w:right w:val="single" w:sz="4" w:space="0" w:color="auto"/>
            </w:tcBorders>
          </w:tcPr>
          <w:p w14:paraId="7D00745C"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In vitro PLHC-1 </w:t>
            </w:r>
          </w:p>
        </w:tc>
        <w:tc>
          <w:tcPr>
            <w:tcW w:w="1967" w:type="dxa"/>
            <w:tcBorders>
              <w:top w:val="single" w:sz="4" w:space="0" w:color="auto"/>
              <w:left w:val="single" w:sz="4" w:space="0" w:color="auto"/>
              <w:bottom w:val="single" w:sz="4" w:space="0" w:color="auto"/>
              <w:right w:val="single" w:sz="4" w:space="0" w:color="auto"/>
            </w:tcBorders>
          </w:tcPr>
          <w:p w14:paraId="157CF113"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5391EEB"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{"citationID":"nF0s13N6","properties":{"formattedCitation":"(Thibaut and Porte 2008)","plainCitation":"(Thibaut and Porte 2008)","noteIndex":0},"citationItems":[{"id":1219,"uris":["http://zotero.org/users/11614927/items/W5MVSDY6"],"itemData":{"id":1219,"type":"article-journal","abstract":"Effects of 11 pharmaceuticals belonging to three therapeutic classes (lipid regulators from the ﬁbrate group, non-steroidal anti-inﬂammatory drugs and anti-depressives from the selective serotonin reuptake inhibitors group) were assessed in the ﬁsh hepatoma cell line (PLHC-1) by looking at cytotoxicity and interactions with cytochrome P450 1A (CYP1A) function. Among the tested pharmaceuticals, ﬂuoxetine and paroxetine exerted cytotoxic effects, cell viability decreased to 52% and 6% after 24 h of exposure to 20 lM ﬂuoxetine and paroxetine, respectively. The cytotoxicity of both compounds was modulated by cytochrome P450 inhibitors and was dramatically reduced when culture medium was supplemented with reduced glutathione and vitamin E succinate. Additionally, exposure of PLHC-1 cells to some pharmaceuticals led to an early and transient induction of ethoxyresoruﬁn O-deethylase (EROD) activity: bezaﬁbrate and antidepressants induced EROD activity at a concentration of 1 lM whereas cloﬁbrate, ibuprofen and naproxen acted as inducers at a higher concentration (10 lM). These effects might be of toxicological concern since alterations of CYP1A may affect xenobiotic metabolism and toxicity.","container-title":"Toxicology in Vitro","DOI":"10.1016/j.tiv.2008.02.020","ISSN":"08872333","issue":"5","journalAbbreviation":"Toxicology in Vitro","language":"en","page":"1128-1135","source":"DOI.org (Crossref)","title":"Effects of fibrates, anti-inflammatory drugs and antidepressants in the fish hepatoma cell line PLHC-1: Cytotoxicity and interactions with cytochrome P450 1A","title-short":"Effects of fibrates, anti-inflammatory drugs and antidepressants in the fish hepatoma cell line PLHC-1","volume":"22","author":[{"family":"Thibaut","given":"Rémi"},{"family":"Porte","given":"Cinta"}],"issued":{"date-parts":[["2008",8]]}}}],"schema":"https://github.com/citation-style-language/schema/raw/master/csl-citation.json"}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(Thibaut and Porte 2008)</w:t>
            </w:r>
            <w:r w:rsidRPr="001D0ADC">
              <w:rPr>
                <w:color w:val="auto"/>
                <w:lang w:val="en-GB" w:eastAsia="cs-CZ"/>
              </w:rPr>
              <w:fldChar w:fldCharType="end"/>
            </w:r>
          </w:p>
        </w:tc>
      </w:tr>
      <w:tr w:rsidR="001D0ADC" w:rsidRPr="001D0ADC" w14:paraId="70F0FF77"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C1FB2F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720B180" w14:textId="674E246D" w:rsidR="00196808" w:rsidRPr="001D0ADC" w:rsidRDefault="00CF2036" w:rsidP="00196808">
            <w:pPr>
              <w:pStyle w:val="NoSpacing"/>
              <w:ind w:firstLine="0"/>
              <w:rPr>
                <w:color w:val="auto"/>
                <w:lang w:val="en-GB" w:eastAsia="cs-CZ"/>
              </w:rPr>
            </w:pPr>
            <w:r w:rsidRPr="001D0ADC">
              <w:rPr>
                <w:color w:val="auto"/>
                <w:lang w:val="en-GB" w:eastAsia="cs-CZ"/>
              </w:rPr>
              <w:t>2.</w:t>
            </w:r>
            <w:r w:rsidR="00196808" w:rsidRPr="001D0ADC">
              <w:rPr>
                <w:color w:val="auto"/>
                <w:lang w:val="en-GB" w:eastAsia="cs-CZ"/>
              </w:rPr>
              <w:t>06</w:t>
            </w:r>
          </w:p>
        </w:tc>
        <w:tc>
          <w:tcPr>
            <w:tcW w:w="4520" w:type="dxa"/>
            <w:tcBorders>
              <w:top w:val="single" w:sz="4" w:space="0" w:color="auto"/>
              <w:left w:val="nil"/>
              <w:bottom w:val="single" w:sz="4" w:space="0" w:color="auto"/>
              <w:right w:val="single" w:sz="4" w:space="0" w:color="auto"/>
            </w:tcBorders>
            <w:shd w:val="clear" w:color="auto" w:fill="auto"/>
            <w:vAlign w:val="bottom"/>
          </w:tcPr>
          <w:p w14:paraId="2C464F32" w14:textId="77777777" w:rsidR="00196808" w:rsidRPr="001D0ADC" w:rsidRDefault="00196808" w:rsidP="00196808">
            <w:pPr>
              <w:pStyle w:val="NoSpacing"/>
              <w:ind w:firstLine="0"/>
              <w:rPr>
                <w:color w:val="auto"/>
                <w:lang w:val="en-GB" w:eastAsia="cs-CZ"/>
              </w:rPr>
            </w:pPr>
            <w:r w:rsidRPr="001D0ADC">
              <w:rPr>
                <w:color w:val="auto"/>
                <w:lang w:val="en-GB" w:eastAsia="cs-CZ"/>
              </w:rPr>
              <w:t>LOEC for EROD induction</w:t>
            </w:r>
          </w:p>
        </w:tc>
        <w:tc>
          <w:tcPr>
            <w:tcW w:w="2633" w:type="dxa"/>
            <w:vMerge/>
            <w:tcBorders>
              <w:left w:val="nil"/>
              <w:bottom w:val="single" w:sz="4" w:space="0" w:color="auto"/>
              <w:right w:val="single" w:sz="4" w:space="0" w:color="auto"/>
            </w:tcBorders>
          </w:tcPr>
          <w:p w14:paraId="205906E2"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1269DE27" w14:textId="77777777" w:rsidR="00196808" w:rsidRPr="001D0ADC" w:rsidRDefault="00196808" w:rsidP="00196808">
            <w:pPr>
              <w:pStyle w:val="NoSpacing"/>
              <w:ind w:firstLine="0"/>
              <w:rPr>
                <w:color w:val="auto"/>
                <w:lang w:val="en-GB" w:eastAsia="cs-CZ"/>
              </w:rPr>
            </w:pPr>
            <w:r w:rsidRPr="001D0ADC">
              <w:rPr>
                <w:color w:val="auto"/>
                <w:lang w:val="en-GB" w:eastAsia="cs-CZ"/>
              </w:rPr>
              <w:t>6h</w:t>
            </w:r>
          </w:p>
        </w:tc>
        <w:tc>
          <w:tcPr>
            <w:tcW w:w="2300" w:type="dxa"/>
            <w:vMerge/>
            <w:tcBorders>
              <w:left w:val="single" w:sz="4" w:space="0" w:color="auto"/>
              <w:bottom w:val="single" w:sz="4" w:space="0" w:color="auto"/>
              <w:right w:val="single" w:sz="4" w:space="0" w:color="auto"/>
            </w:tcBorders>
            <w:shd w:val="clear" w:color="auto" w:fill="auto"/>
            <w:vAlign w:val="bottom"/>
          </w:tcPr>
          <w:p w14:paraId="027C2DAD" w14:textId="77777777" w:rsidR="00196808" w:rsidRPr="001D0ADC" w:rsidRDefault="00196808" w:rsidP="00196808">
            <w:pPr>
              <w:pStyle w:val="NoSpacing"/>
              <w:ind w:firstLine="0"/>
              <w:rPr>
                <w:color w:val="auto"/>
                <w:lang w:val="en-GB" w:eastAsia="cs-CZ"/>
              </w:rPr>
            </w:pPr>
          </w:p>
        </w:tc>
      </w:tr>
      <w:tr w:rsidR="001D0ADC" w:rsidRPr="001D0ADC" w14:paraId="15332118" w14:textId="77777777" w:rsidTr="003D2EB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8856C3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1959827" w14:textId="2832D624" w:rsidR="00196808" w:rsidRPr="001D0ADC" w:rsidRDefault="00196808" w:rsidP="00196808">
            <w:pPr>
              <w:pStyle w:val="NoSpacing"/>
              <w:ind w:firstLine="0"/>
              <w:rPr>
                <w:color w:val="auto"/>
                <w:lang w:val="en-GB" w:eastAsia="cs-CZ"/>
              </w:rPr>
            </w:pPr>
            <w:r w:rsidRPr="001D0ADC">
              <w:rPr>
                <w:color w:val="auto"/>
                <w:lang w:val="en-GB" w:eastAsia="cs-CZ"/>
              </w:rPr>
              <w:t>2</w:t>
            </w:r>
            <w:r w:rsidR="00CF2036" w:rsidRPr="001D0ADC">
              <w:rPr>
                <w:color w:val="auto"/>
                <w:lang w:val="en-GB" w:eastAsia="cs-CZ"/>
              </w:rPr>
              <w:t>0.</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42FAFB04" w14:textId="77777777" w:rsidR="00196808" w:rsidRPr="001D0ADC" w:rsidRDefault="00196808" w:rsidP="00196808">
            <w:pPr>
              <w:pStyle w:val="NoSpacing"/>
              <w:ind w:firstLine="0"/>
              <w:rPr>
                <w:color w:val="auto"/>
                <w:lang w:val="en-GB" w:eastAsia="cs-CZ"/>
              </w:rPr>
            </w:pPr>
            <w:r w:rsidRPr="001D0ADC">
              <w:rPr>
                <w:color w:val="auto"/>
                <w:lang w:val="en-GB" w:eastAsia="cs-CZ"/>
              </w:rPr>
              <w:t>NOEC for cytotoxicity</w:t>
            </w:r>
          </w:p>
        </w:tc>
        <w:tc>
          <w:tcPr>
            <w:tcW w:w="2633" w:type="dxa"/>
            <w:tcBorders>
              <w:top w:val="single" w:sz="4" w:space="0" w:color="auto"/>
              <w:left w:val="nil"/>
              <w:bottom w:val="single" w:sz="4" w:space="0" w:color="auto"/>
              <w:right w:val="single" w:sz="4" w:space="0" w:color="auto"/>
            </w:tcBorders>
          </w:tcPr>
          <w:p w14:paraId="317CA30B" w14:textId="014C46DA" w:rsidR="00196808" w:rsidRPr="001D0ADC" w:rsidRDefault="00196808" w:rsidP="00196808">
            <w:pPr>
              <w:pStyle w:val="NoSpacing"/>
              <w:ind w:firstLine="0"/>
              <w:rPr>
                <w:color w:val="auto"/>
                <w:lang w:val="en-GB" w:eastAsia="cs-CZ"/>
              </w:rPr>
            </w:pPr>
            <w:r w:rsidRPr="001D0ADC">
              <w:rPr>
                <w:color w:val="auto"/>
                <w:lang w:val="en-GB" w:eastAsia="cs-CZ"/>
              </w:rPr>
              <w:t xml:space="preserve">In vitro (RTL-W1) </w:t>
            </w:r>
          </w:p>
        </w:tc>
        <w:tc>
          <w:tcPr>
            <w:tcW w:w="1967" w:type="dxa"/>
            <w:tcBorders>
              <w:top w:val="single" w:sz="4" w:space="0" w:color="auto"/>
              <w:left w:val="single" w:sz="4" w:space="0" w:color="auto"/>
              <w:bottom w:val="single" w:sz="4" w:space="0" w:color="auto"/>
              <w:right w:val="single" w:sz="4" w:space="0" w:color="auto"/>
            </w:tcBorders>
          </w:tcPr>
          <w:p w14:paraId="1587A7A1" w14:textId="6785BEB1"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0367BAC"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{"citationID":"sDd72Mvu","properties":{"formattedCitation":"(Stanic et al. 2021)","plainCitation":"(Stanic et al. 2021)","noteIndex":0},"citationItems":[{"id":1194,"uris":["http://zotero.org/users/11614927/items/A6F34KY3"],"itemData":{"id":1194,"type":"article-journal","abstract":"We developed phospho-ERK1/2 ELISA for human and rainbow trout liver cells, employing HepG2 and RTL-W1 cell lines as models. The assay was applied to detect changes in ERK1/2 activity for nine chemicals, added over a wide concentration range and time points. Cell viability was measured to separate ERK1/2 regulation from cytotoxicity. Perfluorooctane sulfonate and carbendazim did not change ERK1/2 activity; influence on ERK1/2 due to cytotoxicity was indicated for tributyltin and cypermethrin. Mancozeb, benzo[a]pyrene, and bisphenol A stimulated ERK1/2 up to ~2- (HepG2) and 1.5 (RTL-W1)-fold, though the kinetics differed between chemicals and cell lines. Bisphenol A and benzo[a]pyrene were the most potent concentration-wise, altering ERK1/2 ac­ tivity in pM (HepG2) to nM (RTL-W1) range. While atrazine and ibuprofen increased ERK1/2 activity by ~2-fold in HepG2, they did not initiate an appreciable response in RTL-W1. This assay proved to be a sensitive, mediumto high-throughput tool for detecting unrecognized ERK1/2-disrupting chemicals.","container-title":"Environmental Toxicology and Pharmacology","DOI":"10.1016/j.etap.2021.103749","ISSN":"13826689","journalAbbreviation":"Environmental Toxicology and Pharmacology","language":"en","page":"103749","source":"DOI.org (Crossref)","title":"Characterization of the ERK1/2 phosphorylation profile in human and fish liver cells upon exposure to chemicals of environmental concern","volume":"88","author":[{"family":"Stanic","given":"Bojana"},{"family":"Petrovic","given":"Jelena"},{"family":"Basica","given":"Branka"},{"family":"Kaisarevic","given":"Sonja"},{"family":"Schirmer","given":"Kristin"},{"family":"Andric","given":"Nebojsa"}],"issued":{"date-parts":[["2021",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(Stanic et al. 2021)</w:t>
            </w:r>
            <w:r w:rsidRPr="001D0ADC">
              <w:rPr>
                <w:color w:val="auto"/>
                <w:lang w:val="en-GB" w:eastAsia="cs-CZ"/>
              </w:rPr>
              <w:fldChar w:fldCharType="end"/>
            </w:r>
          </w:p>
        </w:tc>
      </w:tr>
      <w:tr w:rsidR="001D0ADC" w:rsidRPr="001D0ADC" w14:paraId="785B6687"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589649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2E5E580" w14:textId="6D33D68B" w:rsidR="00196808" w:rsidRPr="001D0ADC" w:rsidRDefault="00CF2036" w:rsidP="00196808">
            <w:pPr>
              <w:pStyle w:val="NoSpacing"/>
              <w:ind w:firstLine="0"/>
              <w:rPr>
                <w:color w:val="auto"/>
                <w:lang w:val="en-GB" w:eastAsia="cs-CZ"/>
              </w:rPr>
            </w:pPr>
            <w:r w:rsidRPr="001D0ADC">
              <w:rPr>
                <w:color w:val="auto"/>
                <w:lang w:val="en-GB" w:eastAsia="cs-CZ"/>
              </w:rPr>
              <w:t>5.</w:t>
            </w:r>
            <w:r w:rsidR="00196808"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28A2531E" w14:textId="77777777" w:rsidR="00196808" w:rsidRPr="001D0ADC" w:rsidRDefault="00196808" w:rsidP="00196808">
            <w:pPr>
              <w:pStyle w:val="NoSpacing"/>
              <w:ind w:firstLine="0"/>
              <w:rPr>
                <w:color w:val="auto"/>
                <w:lang w:val="en-GB" w:eastAsia="cs-CZ"/>
              </w:rPr>
            </w:pPr>
            <w:r w:rsidRPr="001D0ADC">
              <w:rPr>
                <w:color w:val="auto"/>
                <w:lang w:val="en-GB" w:eastAsia="cs-CZ"/>
              </w:rPr>
              <w:t>NOEC for efflux pump inhibition, CYP1 activity, gene expression (pumps, CYP), microtubule disruption</w:t>
            </w:r>
          </w:p>
        </w:tc>
        <w:tc>
          <w:tcPr>
            <w:tcW w:w="2633" w:type="dxa"/>
            <w:tcBorders>
              <w:top w:val="single" w:sz="4" w:space="0" w:color="auto"/>
              <w:left w:val="nil"/>
              <w:bottom w:val="single" w:sz="4" w:space="0" w:color="auto"/>
              <w:right w:val="single" w:sz="4" w:space="0" w:color="auto"/>
            </w:tcBorders>
          </w:tcPr>
          <w:p w14:paraId="765B63C9"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w:t>
            </w:r>
          </w:p>
        </w:tc>
        <w:tc>
          <w:tcPr>
            <w:tcW w:w="1967" w:type="dxa"/>
            <w:tcBorders>
              <w:top w:val="single" w:sz="4" w:space="0" w:color="auto"/>
              <w:left w:val="single" w:sz="4" w:space="0" w:color="auto"/>
              <w:bottom w:val="single" w:sz="4" w:space="0" w:color="auto"/>
              <w:right w:val="single" w:sz="4" w:space="0" w:color="auto"/>
            </w:tcBorders>
          </w:tcPr>
          <w:p w14:paraId="2B101792"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3651821"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{"citationID":"qEdZCmc5","properties":{"formattedCitation":"(Wassmur et al. 2013)","plainCitation":"(Wassmur et al. 2013)","noteIndex":0},"citationItems":[{"id":812,"uris":["http://zotero.org/users/11614927/items/5VVIXG3D"],"itemData":{"id":812,"type":"article-journal","abstract":"Fish are exposed to chemicals, including pharmaceuticals, in their natural habitat. This study focuses on effects of chemicals, including nine classes of pharmaceuticals, on key detoxiﬁcation mechanisms in a ﬁsh liver cell-line (PLHC-1). Chemical interactions were investigated on efﬂux pumps, P-glycoprotein (Pgp) and multidrug resistance associated proteins (MRP1/MRP2), and on biotransformation enzymes, cytochrome P450 (CYP1A/CYP3A). Diclofenac and troleandomycin inhibited efﬂux activities, whereas ethinylestradiol activated efﬂux function. Exposure to troleandomycin and b-naphthoﬂavone induced MRP2 mRNA levels, but no effects were seen on MRP1 or Pgp expressions. Inhibition of CYP1A activities were seen in cells exposed to a-naphthoﬂavone, b-naphthoﬂavone, clotrimazole, nocodazole, ketoconazole, omeprazole, ethinylestradiol, lithocholic acid, rifampicin and troleandomycin. Exposure to fulvestrant, clotrimazole and nocodazole resulted in induction of CYP1A mRNA levels. Although, exposure to nocodazole resulted in disassembled microtubules. A CYP3A-like cDNA sequence was isolated from PLHC-1, but basal expression and activities were low and the gene was not responsive to prototypical CYP3A inducers. Exposure to ibuprofen, lithocholic acid and omeprazole resulted in fragmentation of microtubules. This study revealed multiple interactions on key detoxiﬁcation systems, which illustrates the importance of study effects on regulation combined with functional studies to provide a better picture of the dynamics of the chemical defense system.","container-title":"Toxicology in Vitro","DOI":"10.1016/j.tiv.2012.10.002","ISSN":"08872333","issue":"1","journalAbbreviation":"Toxicology in Vitro","language":"en","page":"111-120","source":"DOI.org (Crossref)","title":"Interactions of pharmaceuticals and other xenobiotics on key detoxification mechanisms and cytoskeleton in Poeciliopsis lucida hepatocellular carcinoma, PLHC-1 cell line","volume":"27","author":[{"family":"Wassmur","given":"Britt"},{"family":"Gräns","given":"Johanna"},{"family":"Norström","given":"Elisabeth"},{"family":"Wallin","given":"Margareta"},{"family":"Celander","given":"Malin C."}],"issued":{"date-parts":[["2013",2]]}}}],"schema":"https://github.com/citation-style-language/schema/raw/master/csl-citation.json"}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(Wassmur et al. 2013)</w:t>
            </w:r>
            <w:r w:rsidRPr="001D0ADC">
              <w:rPr>
                <w:color w:val="auto"/>
                <w:lang w:val="en-GB" w:eastAsia="cs-CZ"/>
              </w:rPr>
              <w:fldChar w:fldCharType="end"/>
            </w:r>
          </w:p>
        </w:tc>
      </w:tr>
      <w:tr w:rsidR="001D0ADC" w:rsidRPr="001D0ADC" w14:paraId="7F2E302C"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579404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7A2D726" w14:textId="77777777" w:rsidR="00196808" w:rsidRPr="001D0ADC" w:rsidRDefault="00196808" w:rsidP="00196808">
            <w:pPr>
              <w:pStyle w:val="NoSpacing"/>
              <w:ind w:firstLine="0"/>
              <w:rPr>
                <w:color w:val="auto"/>
                <w:lang w:val="en-GB" w:eastAsia="cs-CZ"/>
              </w:rPr>
            </w:pPr>
            <w:r w:rsidRPr="001D0ADC">
              <w:rPr>
                <w:color w:val="auto"/>
                <w:lang w:val="en-GB" w:eastAsia="cs-CZ"/>
              </w:rPr>
              <w:t>52.8</w:t>
            </w:r>
          </w:p>
        </w:tc>
        <w:tc>
          <w:tcPr>
            <w:tcW w:w="4520" w:type="dxa"/>
            <w:tcBorders>
              <w:top w:val="single" w:sz="4" w:space="0" w:color="auto"/>
              <w:left w:val="nil"/>
              <w:bottom w:val="single" w:sz="4" w:space="0" w:color="auto"/>
              <w:right w:val="single" w:sz="4" w:space="0" w:color="auto"/>
            </w:tcBorders>
            <w:shd w:val="clear" w:color="auto" w:fill="auto"/>
            <w:vAlign w:val="bottom"/>
          </w:tcPr>
          <w:p w14:paraId="3D24CF55" w14:textId="77777777" w:rsidR="00196808" w:rsidRPr="001D0ADC" w:rsidRDefault="00196808" w:rsidP="00196808">
            <w:pPr>
              <w:pStyle w:val="NoSpacing"/>
              <w:ind w:firstLine="0"/>
              <w:rPr>
                <w:color w:val="auto"/>
                <w:lang w:val="en-GB" w:eastAsia="cs-CZ"/>
              </w:rPr>
            </w:pPr>
            <w:r w:rsidRPr="001D0ADC">
              <w:rPr>
                <w:color w:val="auto"/>
                <w:lang w:val="en-GB" w:eastAsia="cs-CZ"/>
              </w:rPr>
              <w:t>EC50 AB</w:t>
            </w:r>
          </w:p>
        </w:tc>
        <w:tc>
          <w:tcPr>
            <w:tcW w:w="2633" w:type="dxa"/>
            <w:vMerge w:val="restart"/>
            <w:tcBorders>
              <w:top w:val="single" w:sz="4" w:space="0" w:color="auto"/>
              <w:left w:val="nil"/>
              <w:right w:val="single" w:sz="4" w:space="0" w:color="auto"/>
            </w:tcBorders>
          </w:tcPr>
          <w:p w14:paraId="4832B38A"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(RTL-W1)</w:t>
            </w:r>
          </w:p>
        </w:tc>
        <w:tc>
          <w:tcPr>
            <w:tcW w:w="1967" w:type="dxa"/>
            <w:vMerge w:val="restart"/>
            <w:tcBorders>
              <w:top w:val="single" w:sz="4" w:space="0" w:color="auto"/>
              <w:left w:val="single" w:sz="4" w:space="0" w:color="auto"/>
              <w:right w:val="single" w:sz="4" w:space="0" w:color="auto"/>
            </w:tcBorders>
          </w:tcPr>
          <w:p w14:paraId="5C1E8FCB"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B7F56B5" w14:textId="402C95B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{"citationID":"qcIl8nTV","properties":{"formattedCitation":"(Schnell, Bols, et al. 2009)","plainCitation":"(Schnell, Bols, et al. 2009)","noteIndex":0},"citationItems":[{"id":1216,"uris":["http://zotero.org/users/11614927/items/8FL93SAW"],"itemData":{"id":1216,"type":"article-journal","abstract":"The toxicological implications of the presence of pharmaceuticals and personal care products (PPCPs) in the aquatic environment remain largely unknown. Acute toxicity tests have generally failed to detect the subtle action elicited by those compounds at environmentally relevant concentrations and they have often overlooked the fact that toxicity can be inﬂuenced by additive and synergistic effects. The aim of this study was to further assess the cytotoxicity of different pharmaceuticals and synthetic musks as well as their mixtures on the rainbow trout liver cell line RTL-W1. Eleven pharmaceuticals from different therapeutic classes (anti-inﬂammatory drugs, serotonin re-uptake inhibitors and lipid regulators) and ﬁve synthetic musks from the two major groups (nitro- and polycyclic musks) were selected for the study. Two ﬂuorescent dyes were used to monitor cell viability. Among the tested compounds, estimated EC50s (effective concentration causing 50% decline of cell viability) denoted that polycyclic musks (7–25 </w:instrText>
            </w:r>
            <w:r w:rsidRPr="001D0ADC">
              <w:rPr>
                <w:rFonts w:cs="Times New Roman"/>
                <w:color w:val="auto"/>
                <w:lang w:val="en-GB" w:eastAsia="cs-CZ"/>
              </w:rPr>
              <w:instrText>␮</w:instrText>
            </w:r>
            <w:r w:rsidRPr="001D0ADC">
              <w:rPr>
                <w:color w:val="auto"/>
                <w:lang w:val="en-GB" w:eastAsia="cs-CZ"/>
              </w:rPr>
              <w:instrText>M) followed by anti-depressives (7</w:instrText>
            </w:r>
            <w:r w:rsidRPr="001D0ADC">
              <w:rPr>
                <w:rFonts w:cs="Times New Roman"/>
                <w:color w:val="auto"/>
                <w:lang w:val="en-GB" w:eastAsia="cs-CZ"/>
              </w:rPr>
              <w:instrText>–</w:instrText>
            </w:r>
            <w:r w:rsidRPr="001D0ADC">
              <w:rPr>
                <w:color w:val="auto"/>
                <w:lang w:val="en-GB" w:eastAsia="cs-CZ"/>
              </w:rPr>
              <w:instrText xml:space="preserve">50 </w:instrText>
            </w:r>
            <w:r w:rsidRPr="001D0ADC">
              <w:rPr>
                <w:rFonts w:cs="Times New Roman"/>
                <w:color w:val="auto"/>
                <w:lang w:val="en-GB" w:eastAsia="cs-CZ"/>
              </w:rPr>
              <w:instrText>␮</w:instrText>
            </w:r>
            <w:r w:rsidRPr="001D0ADC">
              <w:rPr>
                <w:color w:val="auto"/>
                <w:lang w:val="en-GB" w:eastAsia="cs-CZ"/>
              </w:rPr>
              <w:instrText xml:space="preserve">M) showed the highest potential to induce cytotoxicity, whereas lipid regulators (20–380 </w:instrText>
            </w:r>
            <w:r w:rsidRPr="001D0ADC">
              <w:rPr>
                <w:rFonts w:cs="Times New Roman"/>
                <w:color w:val="auto"/>
                <w:lang w:val="en-GB" w:eastAsia="cs-CZ"/>
              </w:rPr>
              <w:instrText>␮</w:instrText>
            </w:r>
            <w:r w:rsidRPr="001D0ADC">
              <w:rPr>
                <w:color w:val="auto"/>
                <w:lang w:val="en-GB" w:eastAsia="cs-CZ"/>
              </w:rPr>
              <w:instrText>M), anti-in</w:instrText>
            </w:r>
            <w:r w:rsidRPr="001D0ADC">
              <w:rPr>
                <w:rFonts w:cs="Times New Roman"/>
                <w:color w:val="auto"/>
                <w:lang w:val="en-GB" w:eastAsia="cs-CZ"/>
              </w:rPr>
              <w:instrText>ﬂ</w:instrText>
            </w:r>
            <w:r w:rsidRPr="001D0ADC">
              <w:rPr>
                <w:color w:val="auto"/>
                <w:lang w:val="en-GB" w:eastAsia="cs-CZ"/>
              </w:rPr>
              <w:instrText>ammatory drugs (160</w:instrText>
            </w:r>
            <w:r w:rsidRPr="001D0ADC">
              <w:rPr>
                <w:rFonts w:cs="Times New Roman"/>
                <w:color w:val="auto"/>
                <w:lang w:val="en-GB" w:eastAsia="cs-CZ"/>
              </w:rPr>
              <w:instrText>–</w:instrText>
            </w:r>
            <w:r w:rsidRPr="001D0ADC">
              <w:rPr>
                <w:color w:val="auto"/>
                <w:lang w:val="en-GB" w:eastAsia="cs-CZ"/>
              </w:rPr>
              <w:instrText xml:space="preserve">260 </w:instrText>
            </w:r>
            <w:r w:rsidRPr="001D0ADC">
              <w:rPr>
                <w:rFonts w:cs="Times New Roman"/>
                <w:color w:val="auto"/>
                <w:lang w:val="en-GB" w:eastAsia="cs-CZ"/>
              </w:rPr>
              <w:instrText>␮</w:instrText>
            </w:r>
            <w:r w:rsidRPr="001D0ADC">
              <w:rPr>
                <w:color w:val="auto"/>
                <w:lang w:val="en-GB" w:eastAsia="cs-CZ"/>
              </w:rPr>
              <w:instrText>M) and nitromusks (100</w:instrText>
            </w:r>
            <w:r w:rsidRPr="001D0ADC">
              <w:rPr>
                <w:rFonts w:cs="Times New Roman"/>
                <w:color w:val="auto"/>
                <w:lang w:val="en-GB" w:eastAsia="cs-CZ"/>
              </w:rPr>
              <w:instrText>–</w:instrText>
            </w:r>
            <w:r w:rsidRPr="001D0ADC">
              <w:rPr>
                <w:color w:val="auto"/>
                <w:lang w:val="en-GB" w:eastAsia="cs-CZ"/>
              </w:rPr>
              <w:instrText xml:space="preserve">240 </w:instrText>
            </w:r>
            <w:r w:rsidRPr="001D0ADC">
              <w:rPr>
                <w:rFonts w:cs="Times New Roman"/>
                <w:color w:val="auto"/>
                <w:lang w:val="en-GB" w:eastAsia="cs-CZ"/>
              </w:rPr>
              <w:instrText>␮</w:instrText>
            </w:r>
            <w:r w:rsidRPr="001D0ADC">
              <w:rPr>
                <w:color w:val="auto"/>
                <w:lang w:val="en-GB" w:eastAsia="cs-CZ"/>
              </w:rPr>
              <w:instrText xml:space="preserve">M) had the lowest toxicity. Within a given therapeutic class, combined toxicity of mixtures was additive, following in most cases the concentration addition concept. However, the combined toxicity was higher than additive for those mixtures that included one compound from each class (i.e. dissimilar mixtures). Overall, this study shows that in the aquatic environment, toxicity of PPCPs on non-target organisms may occur at concentrations lower than expected due to synergistic effects between the different toxicants.","container-title":"Aquatic Toxicology","DOI":"10.1016/j.aquatox.2009.05.007","ISSN":"0166445X","issue":"4","journalAbbreviation":"Aquatic Toxicology","language":"en","page":"244-252","source":"DOI.org (Crossref)","title":"Single and combined toxicity of pharmaceuticals and personal care products (PPCPs) on the rainbow trout liver cell line RTL-W1","volume":"93","author":[{"family":"Schnell","given":"Sabine"},{"family":"Bols","given":"Niels C."},{"family":"Barata","given":"Carlos"},{"family":"Porte","given":"Cinta"}],"issued":{"date-parts":[["2009",7]]}}}],"schema":"https://github.com/citation-style-language/schema/raw/master/csl-citation.json"}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(Schnell, Bols, et al. 2009)</w:t>
            </w:r>
            <w:r w:rsidRPr="001D0ADC">
              <w:rPr>
                <w:color w:val="auto"/>
                <w:lang w:val="en-GB" w:eastAsia="cs-CZ"/>
              </w:rPr>
              <w:fldChar w:fldCharType="end"/>
            </w:r>
          </w:p>
        </w:tc>
      </w:tr>
      <w:tr w:rsidR="001D0ADC" w:rsidRPr="001D0ADC" w14:paraId="71390877"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9FB00B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D56781F" w14:textId="784E7B62" w:rsidR="00196808" w:rsidRPr="001D0ADC" w:rsidRDefault="00196808" w:rsidP="00196808">
            <w:pPr>
              <w:pStyle w:val="NoSpacing"/>
              <w:ind w:firstLine="0"/>
              <w:rPr>
                <w:color w:val="auto"/>
                <w:lang w:val="en-GB" w:eastAsia="cs-CZ"/>
              </w:rPr>
            </w:pPr>
            <w:r w:rsidRPr="001D0ADC">
              <w:rPr>
                <w:color w:val="auto"/>
                <w:lang w:val="en-GB" w:eastAsia="cs-CZ"/>
              </w:rPr>
              <w:t>4</w:t>
            </w:r>
            <w:r w:rsidR="00CF2036" w:rsidRPr="001D0ADC">
              <w:rPr>
                <w:color w:val="auto"/>
                <w:lang w:val="en-GB" w:eastAsia="cs-CZ"/>
              </w:rPr>
              <w:t>2.</w:t>
            </w:r>
            <w:r w:rsidRPr="001D0ADC">
              <w:rPr>
                <w:color w:val="auto"/>
                <w:lang w:val="en-GB" w:eastAsia="cs-CZ"/>
              </w:rPr>
              <w:t>8</w:t>
            </w:r>
          </w:p>
        </w:tc>
        <w:tc>
          <w:tcPr>
            <w:tcW w:w="4520" w:type="dxa"/>
            <w:tcBorders>
              <w:top w:val="single" w:sz="4" w:space="0" w:color="auto"/>
              <w:left w:val="nil"/>
              <w:bottom w:val="single" w:sz="4" w:space="0" w:color="auto"/>
              <w:right w:val="single" w:sz="4" w:space="0" w:color="auto"/>
            </w:tcBorders>
            <w:shd w:val="clear" w:color="auto" w:fill="auto"/>
            <w:vAlign w:val="bottom"/>
          </w:tcPr>
          <w:p w14:paraId="194AED5E" w14:textId="77777777" w:rsidR="00196808" w:rsidRPr="001D0ADC" w:rsidRDefault="00196808" w:rsidP="00196808">
            <w:pPr>
              <w:pStyle w:val="NoSpacing"/>
              <w:ind w:firstLine="0"/>
              <w:rPr>
                <w:color w:val="auto"/>
                <w:lang w:val="en-GB" w:eastAsia="cs-CZ"/>
              </w:rPr>
            </w:pPr>
            <w:r w:rsidRPr="001D0ADC">
              <w:rPr>
                <w:color w:val="auto"/>
                <w:lang w:val="en-GB" w:eastAsia="cs-CZ"/>
              </w:rPr>
              <w:t>EC50 CFDA-AM</w:t>
            </w:r>
          </w:p>
        </w:tc>
        <w:tc>
          <w:tcPr>
            <w:tcW w:w="2633" w:type="dxa"/>
            <w:vMerge/>
            <w:tcBorders>
              <w:left w:val="nil"/>
              <w:bottom w:val="single" w:sz="4" w:space="0" w:color="auto"/>
              <w:right w:val="single" w:sz="4" w:space="0" w:color="auto"/>
            </w:tcBorders>
          </w:tcPr>
          <w:p w14:paraId="6A80FA2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1097D30"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4147E2C" w14:textId="77777777" w:rsidR="00196808" w:rsidRPr="001D0ADC" w:rsidRDefault="00196808" w:rsidP="00196808">
            <w:pPr>
              <w:pStyle w:val="NoSpacing"/>
              <w:ind w:firstLine="0"/>
              <w:rPr>
                <w:color w:val="auto"/>
                <w:lang w:val="en-GB" w:eastAsia="cs-CZ"/>
              </w:rPr>
            </w:pPr>
          </w:p>
        </w:tc>
      </w:tr>
      <w:tr w:rsidR="001D0ADC" w:rsidRPr="001D0ADC" w14:paraId="64BC5B61"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B916D5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51CF4B5" w14:textId="55A0AFA7" w:rsidR="00196808" w:rsidRPr="001D0ADC" w:rsidRDefault="00196808" w:rsidP="00196808">
            <w:pPr>
              <w:pStyle w:val="NoSpacing"/>
              <w:ind w:firstLine="0"/>
              <w:rPr>
                <w:color w:val="auto"/>
                <w:lang w:val="en-GB" w:eastAsia="cs-CZ"/>
              </w:rPr>
            </w:pPr>
            <w:r w:rsidRPr="001D0ADC">
              <w:rPr>
                <w:color w:val="auto"/>
                <w:lang w:val="en-GB" w:eastAsia="cs-CZ"/>
              </w:rPr>
              <w:t>5</w:t>
            </w:r>
            <w:r w:rsidR="00CF2036" w:rsidRPr="001D0ADC">
              <w:rPr>
                <w:color w:val="auto"/>
                <w:lang w:val="en-GB" w:eastAsia="cs-CZ"/>
              </w:rPr>
              <w:t>1.</w:t>
            </w:r>
            <w:r w:rsidRPr="001D0ADC">
              <w:rPr>
                <w:color w:val="auto"/>
                <w:lang w:val="en-GB" w:eastAsia="cs-CZ"/>
              </w:rPr>
              <w:t>7</w:t>
            </w:r>
          </w:p>
        </w:tc>
        <w:tc>
          <w:tcPr>
            <w:tcW w:w="4520" w:type="dxa"/>
            <w:tcBorders>
              <w:top w:val="single" w:sz="4" w:space="0" w:color="auto"/>
              <w:left w:val="nil"/>
              <w:bottom w:val="single" w:sz="4" w:space="0" w:color="auto"/>
              <w:right w:val="single" w:sz="4" w:space="0" w:color="auto"/>
            </w:tcBorders>
            <w:shd w:val="clear" w:color="auto" w:fill="auto"/>
            <w:vAlign w:val="bottom"/>
          </w:tcPr>
          <w:p w14:paraId="32E48385" w14:textId="078F2914" w:rsidR="00196808" w:rsidRPr="001D0ADC" w:rsidRDefault="00196808" w:rsidP="00196808">
            <w:pPr>
              <w:pStyle w:val="NoSpacing"/>
              <w:ind w:firstLine="0"/>
              <w:rPr>
                <w:color w:val="auto"/>
                <w:lang w:val="en-GB" w:eastAsia="cs-CZ"/>
              </w:rPr>
            </w:pPr>
            <w:r w:rsidRPr="001D0ADC">
              <w:rPr>
                <w:color w:val="auto"/>
                <w:lang w:val="en-GB" w:eastAsia="cs-CZ"/>
              </w:rPr>
              <w:t>EC50 AB</w:t>
            </w:r>
          </w:p>
        </w:tc>
        <w:tc>
          <w:tcPr>
            <w:tcW w:w="2633" w:type="dxa"/>
            <w:vMerge w:val="restart"/>
            <w:tcBorders>
              <w:left w:val="nil"/>
              <w:right w:val="single" w:sz="4" w:space="0" w:color="auto"/>
            </w:tcBorders>
          </w:tcPr>
          <w:p w14:paraId="03964EE6" w14:textId="5AA5A4CD" w:rsidR="00196808" w:rsidRPr="001D0ADC" w:rsidRDefault="00196808" w:rsidP="00196808">
            <w:pPr>
              <w:pStyle w:val="NoSpacing"/>
              <w:ind w:firstLine="0"/>
              <w:rPr>
                <w:color w:val="auto"/>
                <w:lang w:val="en-GB" w:eastAsia="cs-CZ"/>
              </w:rPr>
            </w:pPr>
            <w:r w:rsidRPr="001D0ADC">
              <w:rPr>
                <w:color w:val="auto"/>
                <w:lang w:val="en-GB" w:eastAsia="cs-CZ"/>
              </w:rPr>
              <w:t>In vitro (RTL-W1) with serum in exposure</w:t>
            </w:r>
          </w:p>
        </w:tc>
        <w:tc>
          <w:tcPr>
            <w:tcW w:w="1967" w:type="dxa"/>
            <w:vMerge w:val="restart"/>
            <w:tcBorders>
              <w:left w:val="single" w:sz="4" w:space="0" w:color="auto"/>
              <w:right w:val="single" w:sz="4" w:space="0" w:color="auto"/>
            </w:tcBorders>
          </w:tcPr>
          <w:p w14:paraId="385D8F45" w14:textId="5ACDD52B"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left w:val="single" w:sz="4" w:space="0" w:color="auto"/>
              <w:right w:val="single" w:sz="4" w:space="0" w:color="auto"/>
            </w:tcBorders>
            <w:shd w:val="clear" w:color="auto" w:fill="auto"/>
            <w:vAlign w:val="bottom"/>
          </w:tcPr>
          <w:p w14:paraId="784E0901" w14:textId="4707AD4C"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{"citationID":"at52i0e11","properties":{"formattedCitation":"(Schnell, Kawano, et al. 2009)","plainCitation":"(Schnell, Kawano, et al. 2009)","noteIndex":0},"citationItems":[{"id":1589,"uris":["http://zotero.org/users/11614927/items/I2X9M36J"],"itemData":{"id":1589,"type":"article-journal","abstract":"Under some conditions ibuprofen was either cytotoxic or cytostatic to rainbow trout cell lines: RTL-W1 (liver) and RTH-149 (hepatoma). Ibuprofen at up to 15 lg/mL was not cytotoxic, regardless of dosing protocols, exposure conditions, viability endpoints, or cell lines. Responses to higher ibuprofen concentrations depended on the test methodology. No cytotoxicity was seen when stock ibuprofen solutions had been prepared in ethanol. For stock solutions in dimethylsulfoxide (DMSO), ibuprofen from 50 to 1500 lg/mL elicited little cytotoxicity in cultures in which the ﬁnal DMSO concentration was 0.05% (v/v), but was consistently cytotoxic after 24 h for cultures with 0.5% DMSO (v/v). Cytotoxicity was evaluated with alamar Blue (AB) and carboxyﬂuoroscein diacetate acetoxymethyl ester (CFDA-AM) as measures respectively of metabolic activity and membrane integrity. Effective concentrations (EC50s) for ibuprofen with AB and CFDA-AM depended on whether the stock solution was dosed directly into a culture well or mixed in medium prior to being added to a well. For indirect dosing, ibuprofen was more cytotoxic in medium without fetal bovine serum (FBS), whereas for direct dosing ibuprofen was equally cytotoxic in medium with or without FBS. As judged by AB and CFDA-AM EC50s, dosing ibuprofen was directly 10 to 30 times more cytotoxic. In FBS-containing cultures, which was dosed with increasing ibuprofen and DMSO at 0.05% (v/v), cell proliferation was impaired at 50 and 150 lg/mL ibuprofen. Lipopolysaccharide (LPS) at 50 lg/mL had little inﬂuence on these cytotoxic and cytostatic effects of ibuprofen in medium with FBS. # 2008 Wiley Periodicals, Inc. Environ Toxicol 24: 157–165, 2009.","container-title":"Environmental Toxicology","DOI":"10.1002/tox.20410","ISSN":"1520-4081, 1522-7278","issue":"2","journalAbbreviation":"Environmental Toxicology","language":"en","page":"157-165","source":"DOI.org (Crossref)","title":"Effects of ibuprofen on the viability and proliferation of rainbow trout liver cell lines and potential problems and interactions in effects assessment","volume":"24","author":[{"family":"Schnell","given":"Sabine"},{"family":"Kawano","given":"Atsushi"},{"family":"Porte","given":"Cinta"},{"family":"Lee","given":"Lucy E. J."},{"family":"Bols","given":"Niels C."}],"issued":{"date-parts":[["2009",4]]}}}],"schema":"https://github.com/citation-style-language/schema/raw/master/csl-citation.json"}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(Schnell, Kawano, et al. 2009)</w:t>
            </w:r>
            <w:r w:rsidRPr="001D0ADC">
              <w:rPr>
                <w:color w:val="auto"/>
                <w:lang w:val="en-GB" w:eastAsia="cs-CZ"/>
              </w:rPr>
              <w:fldChar w:fldCharType="end"/>
            </w:r>
          </w:p>
        </w:tc>
      </w:tr>
      <w:tr w:rsidR="001D0ADC" w:rsidRPr="001D0ADC" w14:paraId="66F989D6"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53D0FF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29A9475" w14:textId="3851DCA9" w:rsidR="00196808" w:rsidRPr="001D0ADC" w:rsidRDefault="00196808" w:rsidP="00196808">
            <w:pPr>
              <w:pStyle w:val="NoSpacing"/>
              <w:ind w:firstLine="0"/>
              <w:rPr>
                <w:color w:val="auto"/>
                <w:lang w:val="en-GB" w:eastAsia="cs-CZ"/>
              </w:rPr>
            </w:pPr>
            <w:r w:rsidRPr="001D0ADC">
              <w:rPr>
                <w:color w:val="auto"/>
                <w:lang w:val="en-GB" w:eastAsia="cs-CZ"/>
              </w:rPr>
              <w:t>4</w:t>
            </w:r>
            <w:r w:rsidR="00CF2036" w:rsidRPr="001D0ADC">
              <w:rPr>
                <w:color w:val="auto"/>
                <w:lang w:val="en-GB" w:eastAsia="cs-CZ"/>
              </w:rPr>
              <w:t>2.</w:t>
            </w:r>
            <w:r w:rsidRPr="001D0ADC">
              <w:rPr>
                <w:color w:val="auto"/>
                <w:lang w:val="en-GB" w:eastAsia="cs-CZ"/>
              </w:rPr>
              <w:t>8</w:t>
            </w:r>
          </w:p>
        </w:tc>
        <w:tc>
          <w:tcPr>
            <w:tcW w:w="4520" w:type="dxa"/>
            <w:tcBorders>
              <w:top w:val="single" w:sz="4" w:space="0" w:color="auto"/>
              <w:left w:val="nil"/>
              <w:bottom w:val="single" w:sz="4" w:space="0" w:color="auto"/>
              <w:right w:val="single" w:sz="4" w:space="0" w:color="auto"/>
            </w:tcBorders>
            <w:shd w:val="clear" w:color="auto" w:fill="auto"/>
            <w:vAlign w:val="bottom"/>
          </w:tcPr>
          <w:p w14:paraId="7F3E0D8A" w14:textId="1A278B75" w:rsidR="00196808" w:rsidRPr="001D0ADC" w:rsidRDefault="00196808" w:rsidP="00196808">
            <w:pPr>
              <w:pStyle w:val="NoSpacing"/>
              <w:ind w:firstLine="0"/>
              <w:rPr>
                <w:color w:val="auto"/>
                <w:lang w:val="en-GB" w:eastAsia="cs-CZ"/>
              </w:rPr>
            </w:pPr>
            <w:r w:rsidRPr="001D0ADC">
              <w:rPr>
                <w:color w:val="auto"/>
                <w:lang w:val="en-GB" w:eastAsia="cs-CZ"/>
              </w:rPr>
              <w:t>EC50 CFDA-AM</w:t>
            </w:r>
          </w:p>
        </w:tc>
        <w:tc>
          <w:tcPr>
            <w:tcW w:w="2633" w:type="dxa"/>
            <w:vMerge/>
            <w:tcBorders>
              <w:left w:val="nil"/>
              <w:bottom w:val="single" w:sz="4" w:space="0" w:color="auto"/>
              <w:right w:val="single" w:sz="4" w:space="0" w:color="auto"/>
            </w:tcBorders>
          </w:tcPr>
          <w:p w14:paraId="0A9A5A74"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5E8CCD29"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5AA78080" w14:textId="77777777" w:rsidR="00196808" w:rsidRPr="001D0ADC" w:rsidRDefault="00196808" w:rsidP="00196808">
            <w:pPr>
              <w:pStyle w:val="NoSpacing"/>
              <w:ind w:firstLine="0"/>
              <w:rPr>
                <w:color w:val="auto"/>
                <w:lang w:val="en-GB" w:eastAsia="cs-CZ"/>
              </w:rPr>
            </w:pPr>
          </w:p>
        </w:tc>
      </w:tr>
      <w:tr w:rsidR="001D0ADC" w:rsidRPr="001D0ADC" w14:paraId="7F9E7BBC"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49F7E5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5BF36B8" w14:textId="0918C19A" w:rsidR="00196808" w:rsidRPr="001D0ADC" w:rsidRDefault="00196808" w:rsidP="00196808">
            <w:pPr>
              <w:pStyle w:val="NoSpacing"/>
              <w:ind w:firstLine="0"/>
              <w:rPr>
                <w:color w:val="auto"/>
                <w:lang w:val="en-GB" w:eastAsia="cs-CZ"/>
              </w:rPr>
            </w:pPr>
            <w:r w:rsidRPr="001D0ADC">
              <w:rPr>
                <w:color w:val="auto"/>
                <w:lang w:val="en-GB" w:eastAsia="cs-CZ"/>
              </w:rPr>
              <w:t>3</w:t>
            </w:r>
            <w:r w:rsidR="00CF2036" w:rsidRPr="001D0ADC">
              <w:rPr>
                <w:color w:val="auto"/>
                <w:lang w:val="en-GB" w:eastAsia="cs-CZ"/>
              </w:rPr>
              <w:t>6.</w:t>
            </w:r>
            <w:r w:rsidRPr="001D0ADC">
              <w:rPr>
                <w:color w:val="auto"/>
                <w:lang w:val="en-GB" w:eastAsia="cs-CZ"/>
              </w:rPr>
              <w:t>9</w:t>
            </w:r>
          </w:p>
        </w:tc>
        <w:tc>
          <w:tcPr>
            <w:tcW w:w="4520" w:type="dxa"/>
            <w:tcBorders>
              <w:top w:val="single" w:sz="4" w:space="0" w:color="auto"/>
              <w:left w:val="nil"/>
              <w:bottom w:val="single" w:sz="4" w:space="0" w:color="auto"/>
              <w:right w:val="single" w:sz="4" w:space="0" w:color="auto"/>
            </w:tcBorders>
            <w:shd w:val="clear" w:color="auto" w:fill="auto"/>
            <w:vAlign w:val="bottom"/>
          </w:tcPr>
          <w:p w14:paraId="43A3283E" w14:textId="21858A5F" w:rsidR="00196808" w:rsidRPr="001D0ADC" w:rsidRDefault="00196808" w:rsidP="00196808">
            <w:pPr>
              <w:pStyle w:val="NoSpacing"/>
              <w:ind w:firstLine="0"/>
              <w:rPr>
                <w:color w:val="auto"/>
                <w:lang w:val="en-GB" w:eastAsia="cs-CZ"/>
              </w:rPr>
            </w:pPr>
            <w:r w:rsidRPr="001D0ADC">
              <w:rPr>
                <w:color w:val="auto"/>
                <w:lang w:val="en-GB" w:eastAsia="cs-CZ"/>
              </w:rPr>
              <w:t>EC50 AB</w:t>
            </w:r>
          </w:p>
        </w:tc>
        <w:tc>
          <w:tcPr>
            <w:tcW w:w="2633" w:type="dxa"/>
            <w:vMerge w:val="restart"/>
            <w:tcBorders>
              <w:left w:val="nil"/>
              <w:right w:val="single" w:sz="4" w:space="0" w:color="auto"/>
            </w:tcBorders>
          </w:tcPr>
          <w:p w14:paraId="654BAA43" w14:textId="4BFF6B04" w:rsidR="00196808" w:rsidRPr="001D0ADC" w:rsidRDefault="00196808" w:rsidP="00196808">
            <w:pPr>
              <w:pStyle w:val="NoSpacing"/>
              <w:ind w:firstLine="0"/>
              <w:rPr>
                <w:color w:val="auto"/>
                <w:lang w:val="en-GB" w:eastAsia="cs-CZ"/>
              </w:rPr>
            </w:pPr>
            <w:r w:rsidRPr="001D0ADC">
              <w:rPr>
                <w:color w:val="auto"/>
                <w:lang w:val="en-GB" w:eastAsia="cs-CZ"/>
              </w:rPr>
              <w:t>In vitro (RTL-W1) without serum in exp.</w:t>
            </w:r>
          </w:p>
        </w:tc>
        <w:tc>
          <w:tcPr>
            <w:tcW w:w="1967" w:type="dxa"/>
            <w:vMerge/>
            <w:tcBorders>
              <w:left w:val="single" w:sz="4" w:space="0" w:color="auto"/>
              <w:right w:val="single" w:sz="4" w:space="0" w:color="auto"/>
            </w:tcBorders>
          </w:tcPr>
          <w:p w14:paraId="22CFC11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172EF5F5" w14:textId="77777777" w:rsidR="00196808" w:rsidRPr="001D0ADC" w:rsidRDefault="00196808" w:rsidP="00196808">
            <w:pPr>
              <w:pStyle w:val="NoSpacing"/>
              <w:ind w:firstLine="0"/>
              <w:rPr>
                <w:color w:val="auto"/>
                <w:lang w:val="en-GB" w:eastAsia="cs-CZ"/>
              </w:rPr>
            </w:pPr>
          </w:p>
        </w:tc>
      </w:tr>
      <w:tr w:rsidR="001D0ADC" w:rsidRPr="001D0ADC" w14:paraId="1983BF74"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4EAA21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858F1F9" w14:textId="57FAB925" w:rsidR="00196808" w:rsidRPr="001D0ADC" w:rsidRDefault="00196808" w:rsidP="00196808">
            <w:pPr>
              <w:pStyle w:val="NoSpacing"/>
              <w:ind w:firstLine="0"/>
              <w:rPr>
                <w:color w:val="auto"/>
                <w:lang w:val="en-GB" w:eastAsia="cs-CZ"/>
              </w:rPr>
            </w:pPr>
            <w:r w:rsidRPr="001D0ADC">
              <w:rPr>
                <w:color w:val="auto"/>
                <w:lang w:val="en-GB" w:eastAsia="cs-CZ"/>
              </w:rPr>
              <w:t>2</w:t>
            </w:r>
            <w:r w:rsidR="00CF2036" w:rsidRPr="001D0ADC">
              <w:rPr>
                <w:color w:val="auto"/>
                <w:lang w:val="en-GB" w:eastAsia="cs-CZ"/>
              </w:rPr>
              <w:t>9.</w:t>
            </w:r>
            <w:r w:rsidRPr="001D0ADC">
              <w:rPr>
                <w:color w:val="auto"/>
                <w:lang w:val="en-GB" w:eastAsia="cs-CZ"/>
              </w:rPr>
              <w:t>3</w:t>
            </w:r>
          </w:p>
        </w:tc>
        <w:tc>
          <w:tcPr>
            <w:tcW w:w="4520" w:type="dxa"/>
            <w:tcBorders>
              <w:top w:val="single" w:sz="4" w:space="0" w:color="auto"/>
              <w:left w:val="nil"/>
              <w:bottom w:val="single" w:sz="4" w:space="0" w:color="auto"/>
              <w:right w:val="single" w:sz="4" w:space="0" w:color="auto"/>
            </w:tcBorders>
            <w:shd w:val="clear" w:color="auto" w:fill="auto"/>
            <w:vAlign w:val="bottom"/>
          </w:tcPr>
          <w:p w14:paraId="574797FA" w14:textId="1B1A22B3" w:rsidR="00196808" w:rsidRPr="001D0ADC" w:rsidRDefault="00196808" w:rsidP="00196808">
            <w:pPr>
              <w:pStyle w:val="NoSpacing"/>
              <w:ind w:firstLine="0"/>
              <w:rPr>
                <w:color w:val="auto"/>
                <w:lang w:val="en-GB" w:eastAsia="cs-CZ"/>
              </w:rPr>
            </w:pPr>
            <w:r w:rsidRPr="001D0ADC">
              <w:rPr>
                <w:color w:val="auto"/>
                <w:lang w:val="en-GB" w:eastAsia="cs-CZ"/>
              </w:rPr>
              <w:t>EC50 CFDA-AM</w:t>
            </w:r>
          </w:p>
        </w:tc>
        <w:tc>
          <w:tcPr>
            <w:tcW w:w="2633" w:type="dxa"/>
            <w:vMerge/>
            <w:tcBorders>
              <w:left w:val="nil"/>
              <w:bottom w:val="single" w:sz="4" w:space="0" w:color="auto"/>
              <w:right w:val="single" w:sz="4" w:space="0" w:color="auto"/>
            </w:tcBorders>
          </w:tcPr>
          <w:p w14:paraId="709E265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7E31AD3F"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52D03B67" w14:textId="77777777" w:rsidR="00196808" w:rsidRPr="001D0ADC" w:rsidRDefault="00196808" w:rsidP="00196808">
            <w:pPr>
              <w:pStyle w:val="NoSpacing"/>
              <w:ind w:firstLine="0"/>
              <w:rPr>
                <w:color w:val="auto"/>
                <w:lang w:val="en-GB" w:eastAsia="cs-CZ"/>
              </w:rPr>
            </w:pPr>
          </w:p>
        </w:tc>
      </w:tr>
      <w:tr w:rsidR="001D0ADC" w:rsidRPr="001D0ADC" w14:paraId="0FF0D38B"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9F477E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2A9F53F" w14:textId="2BA8DE53" w:rsidR="00196808" w:rsidRPr="001D0ADC" w:rsidRDefault="00196808" w:rsidP="00196808">
            <w:pPr>
              <w:pStyle w:val="NoSpacing"/>
              <w:ind w:firstLine="0"/>
              <w:rPr>
                <w:color w:val="auto"/>
                <w:lang w:val="en-GB" w:eastAsia="cs-CZ"/>
              </w:rPr>
            </w:pPr>
            <w:r w:rsidRPr="001D0ADC">
              <w:rPr>
                <w:color w:val="auto"/>
                <w:lang w:val="en-GB" w:eastAsia="cs-CZ"/>
              </w:rPr>
              <w:t>3</w:t>
            </w:r>
            <w:r w:rsidR="00CF2036" w:rsidRPr="001D0ADC">
              <w:rPr>
                <w:color w:val="auto"/>
                <w:lang w:val="en-GB" w:eastAsia="cs-CZ"/>
              </w:rPr>
              <w:t>7.</w:t>
            </w:r>
            <w:r w:rsidRPr="001D0ADC">
              <w:rPr>
                <w:color w:val="auto"/>
                <w:lang w:val="en-GB" w:eastAsia="cs-CZ"/>
              </w:rPr>
              <w:t>13</w:t>
            </w:r>
          </w:p>
        </w:tc>
        <w:tc>
          <w:tcPr>
            <w:tcW w:w="4520" w:type="dxa"/>
            <w:tcBorders>
              <w:top w:val="single" w:sz="4" w:space="0" w:color="auto"/>
              <w:left w:val="nil"/>
              <w:bottom w:val="single" w:sz="4" w:space="0" w:color="auto"/>
              <w:right w:val="single" w:sz="4" w:space="0" w:color="auto"/>
            </w:tcBorders>
            <w:shd w:val="clear" w:color="auto" w:fill="auto"/>
            <w:vAlign w:val="bottom"/>
          </w:tcPr>
          <w:p w14:paraId="2D326188" w14:textId="155A8524" w:rsidR="00196808" w:rsidRPr="001D0ADC" w:rsidRDefault="00196808" w:rsidP="00196808">
            <w:pPr>
              <w:pStyle w:val="NoSpacing"/>
              <w:ind w:firstLine="0"/>
              <w:rPr>
                <w:color w:val="auto"/>
                <w:lang w:val="en-GB" w:eastAsia="cs-CZ"/>
              </w:rPr>
            </w:pPr>
            <w:r w:rsidRPr="001D0ADC">
              <w:rPr>
                <w:color w:val="auto"/>
                <w:lang w:val="en-GB" w:eastAsia="cs-CZ"/>
              </w:rPr>
              <w:t>EC50 AB</w:t>
            </w:r>
          </w:p>
        </w:tc>
        <w:tc>
          <w:tcPr>
            <w:tcW w:w="2633" w:type="dxa"/>
            <w:vMerge w:val="restart"/>
            <w:tcBorders>
              <w:left w:val="nil"/>
              <w:right w:val="single" w:sz="4" w:space="0" w:color="auto"/>
            </w:tcBorders>
          </w:tcPr>
          <w:p w14:paraId="00D46A9D" w14:textId="0DCB6569" w:rsidR="00196808" w:rsidRPr="001D0ADC" w:rsidRDefault="00196808" w:rsidP="00196808">
            <w:pPr>
              <w:pStyle w:val="NoSpacing"/>
              <w:ind w:firstLine="0"/>
              <w:rPr>
                <w:color w:val="auto"/>
                <w:lang w:val="en-GB" w:eastAsia="cs-CZ"/>
              </w:rPr>
            </w:pPr>
            <w:r w:rsidRPr="001D0ADC">
              <w:rPr>
                <w:color w:val="auto"/>
                <w:lang w:val="en-GB" w:eastAsia="cs-CZ"/>
              </w:rPr>
              <w:t>In vitro (RTH-149) with serum in exposure</w:t>
            </w:r>
          </w:p>
        </w:tc>
        <w:tc>
          <w:tcPr>
            <w:tcW w:w="1967" w:type="dxa"/>
            <w:vMerge/>
            <w:tcBorders>
              <w:left w:val="single" w:sz="4" w:space="0" w:color="auto"/>
              <w:right w:val="single" w:sz="4" w:space="0" w:color="auto"/>
            </w:tcBorders>
          </w:tcPr>
          <w:p w14:paraId="700AB218"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55F313D" w14:textId="77777777" w:rsidR="00196808" w:rsidRPr="001D0ADC" w:rsidRDefault="00196808" w:rsidP="00196808">
            <w:pPr>
              <w:pStyle w:val="NoSpacing"/>
              <w:ind w:firstLine="0"/>
              <w:rPr>
                <w:color w:val="auto"/>
                <w:lang w:val="en-GB" w:eastAsia="cs-CZ"/>
              </w:rPr>
            </w:pPr>
          </w:p>
        </w:tc>
      </w:tr>
      <w:tr w:rsidR="001D0ADC" w:rsidRPr="001D0ADC" w14:paraId="7151B36E"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23EE64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2154781" w14:textId="6FEAD1AF" w:rsidR="00196808" w:rsidRPr="001D0ADC" w:rsidRDefault="00196808" w:rsidP="00196808">
            <w:pPr>
              <w:pStyle w:val="NoSpacing"/>
              <w:ind w:firstLine="0"/>
              <w:rPr>
                <w:color w:val="auto"/>
                <w:lang w:val="en-GB" w:eastAsia="cs-CZ"/>
              </w:rPr>
            </w:pPr>
            <w:r w:rsidRPr="001D0ADC">
              <w:rPr>
                <w:color w:val="auto"/>
                <w:lang w:val="en-GB" w:eastAsia="cs-CZ"/>
              </w:rPr>
              <w:t>3</w:t>
            </w:r>
            <w:r w:rsidR="00CF2036" w:rsidRPr="001D0ADC">
              <w:rPr>
                <w:color w:val="auto"/>
                <w:lang w:val="en-GB" w:eastAsia="cs-CZ"/>
              </w:rPr>
              <w:t>8.</w:t>
            </w:r>
            <w:r w:rsidRPr="001D0ADC">
              <w:rPr>
                <w:color w:val="auto"/>
                <w:lang w:val="en-GB" w:eastAsia="cs-CZ"/>
              </w:rPr>
              <w:t>99</w:t>
            </w:r>
          </w:p>
        </w:tc>
        <w:tc>
          <w:tcPr>
            <w:tcW w:w="4520" w:type="dxa"/>
            <w:tcBorders>
              <w:top w:val="single" w:sz="4" w:space="0" w:color="auto"/>
              <w:left w:val="nil"/>
              <w:bottom w:val="single" w:sz="4" w:space="0" w:color="auto"/>
              <w:right w:val="single" w:sz="4" w:space="0" w:color="auto"/>
            </w:tcBorders>
            <w:shd w:val="clear" w:color="auto" w:fill="auto"/>
            <w:vAlign w:val="bottom"/>
          </w:tcPr>
          <w:p w14:paraId="0564D032" w14:textId="4CB270AC" w:rsidR="00196808" w:rsidRPr="001D0ADC" w:rsidRDefault="00196808" w:rsidP="00196808">
            <w:pPr>
              <w:pStyle w:val="NoSpacing"/>
              <w:ind w:firstLine="0"/>
              <w:rPr>
                <w:color w:val="auto"/>
                <w:lang w:val="en-GB" w:eastAsia="cs-CZ"/>
              </w:rPr>
            </w:pPr>
            <w:r w:rsidRPr="001D0ADC">
              <w:rPr>
                <w:color w:val="auto"/>
                <w:lang w:val="en-GB" w:eastAsia="cs-CZ"/>
              </w:rPr>
              <w:t>EC50 CFDA-AM</w:t>
            </w:r>
          </w:p>
        </w:tc>
        <w:tc>
          <w:tcPr>
            <w:tcW w:w="2633" w:type="dxa"/>
            <w:vMerge/>
            <w:tcBorders>
              <w:left w:val="nil"/>
              <w:bottom w:val="single" w:sz="4" w:space="0" w:color="auto"/>
              <w:right w:val="single" w:sz="4" w:space="0" w:color="auto"/>
            </w:tcBorders>
          </w:tcPr>
          <w:p w14:paraId="0793C7B7"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B616EC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3E34818" w14:textId="77777777" w:rsidR="00196808" w:rsidRPr="001D0ADC" w:rsidRDefault="00196808" w:rsidP="00196808">
            <w:pPr>
              <w:pStyle w:val="NoSpacing"/>
              <w:ind w:firstLine="0"/>
              <w:rPr>
                <w:color w:val="auto"/>
                <w:lang w:val="en-GB" w:eastAsia="cs-CZ"/>
              </w:rPr>
            </w:pPr>
          </w:p>
        </w:tc>
      </w:tr>
      <w:tr w:rsidR="001D0ADC" w:rsidRPr="001D0ADC" w14:paraId="0270EA51"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406BD0F"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018FBDCC" w14:textId="76600B34"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(primary cultures)</w:t>
            </w:r>
            <w:r w:rsidR="000F6A8E" w:rsidRPr="001D0ADC">
              <w:rPr>
                <w:b/>
                <w:bCs/>
                <w:color w:val="auto"/>
                <w:lang w:val="en-GB" w:eastAsia="cs-CZ"/>
              </w:rPr>
              <w:t xml:space="preserve"> (mg/l)</w:t>
            </w:r>
          </w:p>
        </w:tc>
      </w:tr>
      <w:tr w:rsidR="001D0ADC" w:rsidRPr="001D0ADC" w14:paraId="3986C912"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0D9E98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2E11662" w14:textId="66CD21F9"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10245E29" w14:textId="77777777" w:rsidR="00196808" w:rsidRPr="001D0ADC" w:rsidRDefault="00196808" w:rsidP="00196808">
            <w:pPr>
              <w:pStyle w:val="NoSpacing"/>
              <w:ind w:firstLine="0"/>
              <w:rPr>
                <w:color w:val="auto"/>
                <w:lang w:val="en-GB" w:eastAsia="cs-CZ"/>
              </w:rPr>
            </w:pPr>
            <w:r w:rsidRPr="001D0ADC">
              <w:rPr>
                <w:color w:val="auto"/>
                <w:lang w:val="en-GB" w:eastAsia="cs-CZ"/>
              </w:rPr>
              <w:t>LOEC for genotoxicity (comet assay)</w:t>
            </w:r>
          </w:p>
        </w:tc>
        <w:tc>
          <w:tcPr>
            <w:tcW w:w="2633" w:type="dxa"/>
            <w:tcBorders>
              <w:top w:val="single" w:sz="4" w:space="0" w:color="auto"/>
              <w:left w:val="nil"/>
              <w:bottom w:val="single" w:sz="4" w:space="0" w:color="auto"/>
              <w:right w:val="single" w:sz="4" w:space="0" w:color="auto"/>
            </w:tcBorders>
          </w:tcPr>
          <w:p w14:paraId="5E3CF2FB" w14:textId="77777777" w:rsidR="00196808" w:rsidRPr="001D0ADC" w:rsidRDefault="00196808" w:rsidP="00196808">
            <w:pPr>
              <w:pStyle w:val="NoSpacing"/>
              <w:ind w:firstLine="0"/>
              <w:rPr>
                <w:color w:val="auto"/>
                <w:lang w:val="en-GB" w:eastAsia="cs-CZ"/>
              </w:rPr>
            </w:pPr>
            <w:r w:rsidRPr="001D0ADC">
              <w:rPr>
                <w:color w:val="auto"/>
                <w:lang w:val="en-GB" w:eastAsia="cs-CZ"/>
              </w:rPr>
              <w:t>In vitro (HM) anterior kidney monocyte primary cells</w:t>
            </w:r>
          </w:p>
        </w:tc>
        <w:tc>
          <w:tcPr>
            <w:tcW w:w="1967" w:type="dxa"/>
            <w:tcBorders>
              <w:top w:val="single" w:sz="4" w:space="0" w:color="auto"/>
              <w:left w:val="single" w:sz="4" w:space="0" w:color="auto"/>
              <w:bottom w:val="single" w:sz="4" w:space="0" w:color="auto"/>
              <w:right w:val="single" w:sz="4" w:space="0" w:color="auto"/>
            </w:tcBorders>
          </w:tcPr>
          <w:p w14:paraId="63427ED8"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9090162"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{"citationID":"1rhPrh4X","properties":{"formattedCitation":"(Ribas et al. 2014)","plainCitation":"(Ribas et al. 2014)","noteIndex":0},"citationItems":[{"id":1275,"uris":["http://zotero.org/users/11614927/items/DC28P7G2"],"itemData":{"id":1275,"type":"article-journal","abstract":"The non-steroidal anti-inﬂammatory drugs are emerging contaminants in aquatic ecosystems. This study aimed to evaluate toxic effects of some representative drugs of this pharmaceutical group on primary culture of monocytic lineage of Hoplias malabaricus anterior kidney. The effects of diclofenac, acetaminophen and ibuprofen in cell viability, lipopolysaccharide (LPS)-induced NO production and genotoxicity were evaluated. Cytometry analysis CD11bþ cells showed 71.5% of stem cells, 19.5% of macrophages and 9% of monocytes. Cell viability was lower in the ﬁcoll compared to percoll separation. LPS-induced NO production by these cells was blocked after treatment with dexamethasone and NGMethyl-L-Arginine (L-NMMA). Exposure of the cells to diclofenac (0.2e200 ng/mL), acetaminophen (0.025e250 ng/mL) ibuprofen (10e1000 ng/mL) reduced basal NO production and inhibited LPS-induced NO production at all concentrations after 24 h of exposure. Genotoxicity occurred at the highest concentration of diclofenac and at the intermediary concentration of acetaminophen. Genotoxicity was also observed by ibuprofen. In summary, the pharmaceuticals inﬂuenced NO production and caused DNA damage in monocytic cells suggesting that these drugs can induce immunosuppression and genotoxicity in ﬁsh.","container-title":"Fish &amp; Shellfish Immunology","DOI":"10.1016/j.fsi.2014.07.009","ISSN":"10504648","issue":"1","journalAbbreviation":"Fish &amp; Shellfish Immunology","language":"en","page":"296-303","source":"DOI.org (Crossref)","title":"Effects of anti-inflammatory drugs in primary kidney cell culture of a freshwater fish","volume":"40","author":[{"family":"Ribas","given":"João Luiz Coelho"},{"family":"Silva","given":"Cesar A. Da"},{"family":"Andrade","given":"Lucas De"},{"family":"Galvan","given":"Gabrieli Limberger"},{"family":"Cestari","given":"Marta Margarete"},{"family":"Trindade","given":"Edvaldo S."},{"family":"Zampronio","given":"Aleksander R."},{"family":"Silva De Assis","given":"Helena C."}],"issued":{"date-parts":[["2014",9]]}}}],"schema":"https://github.com/citation-style-language/schema/raw/master/csl-citation.json"}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(Ribas et al. 2014)</w:t>
            </w:r>
            <w:r w:rsidRPr="001D0ADC">
              <w:rPr>
                <w:color w:val="auto"/>
                <w:lang w:val="en-GB" w:eastAsia="cs-CZ"/>
              </w:rPr>
              <w:fldChar w:fldCharType="end"/>
            </w:r>
          </w:p>
        </w:tc>
      </w:tr>
      <w:tr w:rsidR="001D0ADC" w:rsidRPr="001D0ADC" w14:paraId="09215812"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2DC816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05DC374" w14:textId="3A2C6FEA" w:rsidR="00196808" w:rsidRPr="001D0ADC" w:rsidRDefault="00196808" w:rsidP="00196808">
            <w:pPr>
              <w:pStyle w:val="NoSpacing"/>
              <w:ind w:firstLine="0"/>
              <w:rPr>
                <w:color w:val="auto"/>
                <w:lang w:val="en-GB" w:eastAsia="cs-CZ"/>
              </w:rPr>
            </w:pPr>
            <w:r w:rsidRPr="001D0ADC">
              <w:rPr>
                <w:color w:val="auto"/>
                <w:lang w:val="en-GB" w:eastAsia="cs-CZ"/>
              </w:rPr>
              <w:t>2</w:t>
            </w:r>
            <w:r w:rsidR="00CF2036" w:rsidRPr="001D0ADC">
              <w:rPr>
                <w:color w:val="auto"/>
                <w:lang w:val="en-GB" w:eastAsia="cs-CZ"/>
              </w:rPr>
              <w:t>0.</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08203454" w14:textId="77777777" w:rsidR="00196808" w:rsidRPr="001D0ADC" w:rsidRDefault="00196808" w:rsidP="00196808">
            <w:pPr>
              <w:pStyle w:val="NoSpacing"/>
              <w:ind w:firstLine="0"/>
              <w:rPr>
                <w:color w:val="auto"/>
                <w:lang w:val="en-GB" w:eastAsia="cs-CZ"/>
              </w:rPr>
            </w:pPr>
            <w:r w:rsidRPr="001D0ADC">
              <w:rPr>
                <w:color w:val="auto"/>
                <w:lang w:val="en-GB" w:eastAsia="cs-CZ"/>
              </w:rPr>
              <w:t>NOEC for cytotoxicity</w:t>
            </w:r>
          </w:p>
        </w:tc>
        <w:tc>
          <w:tcPr>
            <w:tcW w:w="2633" w:type="dxa"/>
            <w:vMerge w:val="restart"/>
            <w:tcBorders>
              <w:top w:val="single" w:sz="4" w:space="0" w:color="auto"/>
              <w:left w:val="nil"/>
              <w:right w:val="single" w:sz="4" w:space="0" w:color="auto"/>
            </w:tcBorders>
          </w:tcPr>
          <w:p w14:paraId="5684364F" w14:textId="77777777" w:rsidR="00196808" w:rsidRPr="001D0ADC" w:rsidRDefault="00196808" w:rsidP="00196808">
            <w:pPr>
              <w:pStyle w:val="NoSpacing"/>
              <w:ind w:firstLine="0"/>
              <w:rPr>
                <w:color w:val="auto"/>
                <w:lang w:val="en-GB" w:eastAsia="cs-CZ"/>
              </w:rPr>
            </w:pPr>
            <w:r w:rsidRPr="001D0ADC">
              <w:rPr>
                <w:color w:val="auto"/>
                <w:lang w:val="en-GB" w:eastAsia="cs-CZ"/>
              </w:rPr>
              <w:t>In vitro primary hepatocytes (CC)</w:t>
            </w:r>
          </w:p>
        </w:tc>
        <w:tc>
          <w:tcPr>
            <w:tcW w:w="1967" w:type="dxa"/>
            <w:vMerge w:val="restart"/>
            <w:tcBorders>
              <w:top w:val="single" w:sz="4" w:space="0" w:color="auto"/>
              <w:left w:val="single" w:sz="4" w:space="0" w:color="auto"/>
              <w:right w:val="single" w:sz="4" w:space="0" w:color="auto"/>
            </w:tcBorders>
          </w:tcPr>
          <w:p w14:paraId="29244C98"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09B192A"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{"citationID":"JEnTMzOE","properties":{"formattedCitation":"(Corcoran et al. 2012)","plainCitation":"(Corcoran et al. 2012)","noteIndex":0},"citationItems":[{"id":1245,"uris":["http://zotero.org/users/11614927/items/9TBCIIYX"],"itemData":{"id":1245,"type":"article-journal","abstract":"Fish in many surface freshwaters are exposed to a range of pharmaceuticals via wastewater treatment works eﬄuent discharges. In mammals the pregnane X receptor (PXR) plays a key role in the regulation of a suite of genes involved in drug biotransformation, but information on the role of this response pathway in ﬁsh is limited. Here we investigated the eﬀects of exposure of carp (Cyprinus carpio) primary hepatocytes to the human PXR agonist rifampicin (RIF) on expression of target genes involved in phase I (cyp2k, cyp3a) and phase II (gstα, gstπ) drug metabolism and drug transporters mdr1 and mrp2. RIF induced expression of all target genes measured and the PXR antagonist ketoconazole (KET) inhibited responses of cyp2k and cyp3a. Exposure of the primary carp hepatocytes to the pharmaceuticals ibuprofen (IBU), clotrimazole (CTZ), cloﬁbric acid (CFA) and propranolol (PRP), found responses to IBU and CFA, but not CTZ or PRP. This is in contrast with mammals, where CTZ is a potent PXR-agonist. Collectively our data indicate potential PXR involvement in regulating selected genes involved in drug metabolism in ﬁsh, but suggest some divergence in the regulation pathways with those in mammals. The carp primary hepatocyte model serves as a useful system for screening for responses in these target genes involved in drug metabolism.","container-title":"Environmental Science &amp; Technology","DOI":"10.1021/es3005305","ISSN":"0013-936X, 1520-5851","issue":"11","journalAbbreviation":"Environ. Sci. Technol.","language":"en","page":"6306-6314","source":"DOI.org (Crossref)","title":"Effects of Pharmaceuticals on the Expression of Genes Involved in Detoxification in a Carp Primary Hepatocyte Model","volume":"46","author":[{"family":"Corcoran","given":"Jenna"},{"family":"Lange","given":"Anke"},{"family":"Winter","given":"Matthew J."},{"family":"Tyler","given":"Charles R."}],"issued":{"date-parts":[["2012",6,5]]}}}],"schema":"https://github.com/citation-style-language/schema/raw/master/csl-citation.json"}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(Corcoran et al. 2012)</w:t>
            </w:r>
            <w:r w:rsidRPr="001D0ADC">
              <w:rPr>
                <w:color w:val="auto"/>
                <w:lang w:val="en-GB" w:eastAsia="cs-CZ"/>
              </w:rPr>
              <w:fldChar w:fldCharType="end"/>
            </w:r>
          </w:p>
        </w:tc>
      </w:tr>
      <w:tr w:rsidR="001D0ADC" w:rsidRPr="001D0ADC" w14:paraId="2BAD79BA"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F3C6F1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C7EF3A4" w14:textId="63138BE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0021</w:t>
            </w:r>
          </w:p>
        </w:tc>
        <w:tc>
          <w:tcPr>
            <w:tcW w:w="4520" w:type="dxa"/>
            <w:tcBorders>
              <w:top w:val="single" w:sz="4" w:space="0" w:color="auto"/>
              <w:left w:val="nil"/>
              <w:bottom w:val="single" w:sz="4" w:space="0" w:color="auto"/>
              <w:right w:val="single" w:sz="4" w:space="0" w:color="auto"/>
            </w:tcBorders>
            <w:shd w:val="clear" w:color="auto" w:fill="auto"/>
            <w:vAlign w:val="bottom"/>
          </w:tcPr>
          <w:p w14:paraId="1D55A117" w14:textId="77777777" w:rsidR="00196808" w:rsidRPr="001D0ADC" w:rsidRDefault="00196808" w:rsidP="00196808">
            <w:pPr>
              <w:pStyle w:val="NoSpacing"/>
              <w:ind w:firstLine="0"/>
              <w:rPr>
                <w:color w:val="auto"/>
                <w:lang w:val="en-GB" w:eastAsia="cs-CZ"/>
              </w:rPr>
            </w:pPr>
            <w:r w:rsidRPr="001D0ADC">
              <w:rPr>
                <w:color w:val="auto"/>
                <w:lang w:val="en-GB" w:eastAsia="cs-CZ"/>
              </w:rPr>
              <w:t>LOEC for gene expression (GST, CYP)</w:t>
            </w:r>
          </w:p>
        </w:tc>
        <w:tc>
          <w:tcPr>
            <w:tcW w:w="2633" w:type="dxa"/>
            <w:vMerge/>
            <w:tcBorders>
              <w:left w:val="nil"/>
              <w:right w:val="single" w:sz="4" w:space="0" w:color="auto"/>
            </w:tcBorders>
          </w:tcPr>
          <w:p w14:paraId="79119FE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34307C18"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3158574" w14:textId="77777777" w:rsidR="00196808" w:rsidRPr="001D0ADC" w:rsidRDefault="00196808" w:rsidP="00196808">
            <w:pPr>
              <w:pStyle w:val="NoSpacing"/>
              <w:ind w:firstLine="0"/>
              <w:rPr>
                <w:color w:val="auto"/>
                <w:lang w:val="en-GB" w:eastAsia="cs-CZ"/>
              </w:rPr>
            </w:pPr>
          </w:p>
        </w:tc>
      </w:tr>
      <w:tr w:rsidR="001D0ADC" w:rsidRPr="001D0ADC" w14:paraId="2FFE6D8A" w14:textId="77777777" w:rsidTr="00DA5FE4">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9238C1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3C23F0D" w14:textId="0CC2E56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206</w:t>
            </w:r>
          </w:p>
        </w:tc>
        <w:tc>
          <w:tcPr>
            <w:tcW w:w="4520" w:type="dxa"/>
            <w:tcBorders>
              <w:top w:val="single" w:sz="4" w:space="0" w:color="auto"/>
              <w:left w:val="nil"/>
              <w:bottom w:val="single" w:sz="4" w:space="0" w:color="auto"/>
              <w:right w:val="single" w:sz="4" w:space="0" w:color="auto"/>
            </w:tcBorders>
            <w:shd w:val="clear" w:color="auto" w:fill="auto"/>
            <w:vAlign w:val="bottom"/>
          </w:tcPr>
          <w:p w14:paraId="6DF99064" w14:textId="77777777" w:rsidR="00196808" w:rsidRPr="001D0ADC" w:rsidRDefault="00196808" w:rsidP="00196808">
            <w:pPr>
              <w:pStyle w:val="NoSpacing"/>
              <w:ind w:firstLine="0"/>
              <w:rPr>
                <w:color w:val="auto"/>
                <w:lang w:val="en-GB" w:eastAsia="cs-CZ"/>
              </w:rPr>
            </w:pPr>
            <w:r w:rsidRPr="001D0ADC">
              <w:rPr>
                <w:color w:val="auto"/>
                <w:lang w:val="en-GB" w:eastAsia="cs-CZ"/>
              </w:rPr>
              <w:t>LOEC for gene expression (ABC transp.)</w:t>
            </w:r>
          </w:p>
        </w:tc>
        <w:tc>
          <w:tcPr>
            <w:tcW w:w="2633" w:type="dxa"/>
            <w:vMerge/>
            <w:tcBorders>
              <w:left w:val="nil"/>
              <w:bottom w:val="single" w:sz="4" w:space="0" w:color="auto"/>
              <w:right w:val="single" w:sz="4" w:space="0" w:color="auto"/>
            </w:tcBorders>
          </w:tcPr>
          <w:p w14:paraId="1A252EC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F80A293"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4E994CE" w14:textId="77777777" w:rsidR="00196808" w:rsidRPr="001D0ADC" w:rsidRDefault="00196808" w:rsidP="00196808">
            <w:pPr>
              <w:pStyle w:val="NoSpacing"/>
              <w:ind w:firstLine="0"/>
              <w:rPr>
                <w:color w:val="auto"/>
                <w:lang w:val="en-GB" w:eastAsia="cs-CZ"/>
              </w:rPr>
            </w:pPr>
          </w:p>
        </w:tc>
      </w:tr>
      <w:tr w:rsidR="001D0ADC" w:rsidRPr="001D0ADC" w14:paraId="4E27951D"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6820D210" w14:textId="77777777" w:rsidR="00196808" w:rsidRPr="001D0ADC" w:rsidRDefault="00196808" w:rsidP="00196808">
            <w:pPr>
              <w:pStyle w:val="NoSpacing"/>
              <w:ind w:firstLine="0"/>
              <w:rPr>
                <w:color w:val="auto"/>
                <w:lang w:val="en-GB" w:eastAsia="cs-CZ"/>
              </w:rPr>
            </w:pPr>
          </w:p>
        </w:tc>
      </w:tr>
      <w:tr w:rsidR="001D0ADC" w:rsidRPr="001D0ADC" w14:paraId="422E3544"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5F90698D" w14:textId="77777777" w:rsidR="00196808" w:rsidRPr="001D0ADC" w:rsidRDefault="00196808" w:rsidP="00196808">
            <w:pPr>
              <w:pStyle w:val="NoSpacing"/>
              <w:ind w:firstLine="0"/>
              <w:jc w:val="center"/>
              <w:rPr>
                <w:color w:val="auto"/>
                <w:lang w:val="en-GB" w:eastAsia="cs-CZ"/>
              </w:rPr>
            </w:pPr>
            <w:r w:rsidRPr="001D0ADC">
              <w:rPr>
                <w:color w:val="auto"/>
                <w:lang w:val="en-GB" w:eastAsia="cs-CZ"/>
              </w:rPr>
              <w:t>PCM</w:t>
            </w:r>
          </w:p>
        </w:tc>
      </w:tr>
      <w:tr w:rsidR="001D0ADC" w:rsidRPr="001D0ADC" w14:paraId="7CAD054B" w14:textId="77777777" w:rsidTr="00CF4707">
        <w:trPr>
          <w:gridAfter w:val="4"/>
          <w:wAfter w:w="9200" w:type="dxa"/>
          <w:trHeight w:val="300"/>
        </w:trPr>
        <w:tc>
          <w:tcPr>
            <w:tcW w:w="760" w:type="dxa"/>
            <w:vMerge w:val="restart"/>
            <w:tcBorders>
              <w:top w:val="single" w:sz="4" w:space="0" w:color="auto"/>
              <w:left w:val="single" w:sz="4" w:space="0" w:color="auto"/>
              <w:right w:val="single" w:sz="4" w:space="0" w:color="auto"/>
            </w:tcBorders>
            <w:shd w:val="clear" w:color="auto" w:fill="auto"/>
            <w:noWrap/>
            <w:vAlign w:val="bottom"/>
          </w:tcPr>
          <w:p w14:paraId="01BE52E4" w14:textId="77777777" w:rsidR="00196808" w:rsidRPr="001D0ADC" w:rsidRDefault="00196808" w:rsidP="00196808">
            <w:pPr>
              <w:pStyle w:val="NoSpacing"/>
              <w:ind w:firstLine="0"/>
              <w:rPr>
                <w:color w:val="auto"/>
                <w:lang w:val="en-GB" w:eastAsia="cs-CZ"/>
              </w:rPr>
            </w:pPr>
            <w:r w:rsidRPr="001D0ADC">
              <w:rPr>
                <w:color w:val="auto"/>
                <w:lang w:val="en-GB" w:eastAsia="cs-CZ"/>
              </w:rPr>
              <w:t>PCM</w:t>
            </w: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7D7E987E" w14:textId="13792CCD" w:rsidR="00196808" w:rsidRPr="001D0ADC" w:rsidRDefault="00196808" w:rsidP="00196808">
            <w:pPr>
              <w:pStyle w:val="NoSpacing"/>
              <w:ind w:firstLine="0"/>
              <w:rPr>
                <w:b/>
                <w:bCs/>
                <w:color w:val="auto"/>
                <w:lang w:val="en-GB" w:eastAsia="cs-CZ"/>
              </w:rPr>
            </w:pPr>
            <w:r w:rsidRPr="001D0ADC">
              <w:rPr>
                <w:b/>
                <w:bCs/>
                <w:color w:val="auto"/>
                <w:lang w:val="en-GB" w:eastAsia="cs-CZ"/>
              </w:rPr>
              <w:t>Acute Fish Toxicity (adults or juvenile)</w:t>
            </w:r>
            <w:r w:rsidR="000F6A8E" w:rsidRPr="001D0ADC">
              <w:rPr>
                <w:b/>
                <w:bCs/>
                <w:color w:val="auto"/>
                <w:lang w:val="en-GB" w:eastAsia="cs-CZ"/>
              </w:rPr>
              <w:t xml:space="preserve"> (mg/l)</w:t>
            </w:r>
          </w:p>
        </w:tc>
      </w:tr>
      <w:tr w:rsidR="001D0ADC" w:rsidRPr="001D0ADC" w14:paraId="7B8F7846" w14:textId="77777777" w:rsidTr="00F24186">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4B1183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8F9D2B6" w14:textId="77777777" w:rsidR="00196808" w:rsidRPr="001D0ADC" w:rsidRDefault="00196808" w:rsidP="00196808">
            <w:pPr>
              <w:pStyle w:val="NoSpacing"/>
              <w:ind w:firstLine="0"/>
              <w:rPr>
                <w:color w:val="auto"/>
                <w:lang w:val="en-GB" w:eastAsia="cs-CZ"/>
              </w:rPr>
            </w:pPr>
            <w:r w:rsidRPr="001D0ADC">
              <w:rPr>
                <w:color w:val="auto"/>
                <w:lang w:val="en-GB" w:eastAsia="cs-CZ"/>
              </w:rPr>
              <w:t>814</w:t>
            </w:r>
          </w:p>
        </w:tc>
        <w:tc>
          <w:tcPr>
            <w:tcW w:w="4520" w:type="dxa"/>
            <w:tcBorders>
              <w:top w:val="single" w:sz="4" w:space="0" w:color="auto"/>
              <w:left w:val="nil"/>
              <w:bottom w:val="single" w:sz="4" w:space="0" w:color="auto"/>
              <w:right w:val="single" w:sz="4" w:space="0" w:color="auto"/>
            </w:tcBorders>
            <w:shd w:val="clear" w:color="auto" w:fill="auto"/>
            <w:vAlign w:val="bottom"/>
          </w:tcPr>
          <w:p w14:paraId="531571D3"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shd w:val="clear" w:color="auto" w:fill="auto"/>
          </w:tcPr>
          <w:p w14:paraId="78BC8018" w14:textId="1178BE79" w:rsidR="00196808" w:rsidRPr="001D0ADC" w:rsidRDefault="00196808" w:rsidP="00196808">
            <w:pPr>
              <w:pStyle w:val="NoSpacing"/>
              <w:ind w:firstLine="0"/>
              <w:rPr>
                <w:color w:val="auto"/>
                <w:lang w:val="en-GB" w:eastAsia="cs-CZ"/>
              </w:rPr>
            </w:pPr>
            <w:r w:rsidRPr="001D0ADC">
              <w:rPr>
                <w:color w:val="auto"/>
                <w:lang w:val="en-GB" w:eastAsia="cs-CZ"/>
              </w:rPr>
              <w:t>AFT (FM)</w:t>
            </w:r>
          </w:p>
        </w:tc>
        <w:tc>
          <w:tcPr>
            <w:tcW w:w="1967" w:type="dxa"/>
            <w:tcBorders>
              <w:top w:val="single" w:sz="4" w:space="0" w:color="auto"/>
              <w:left w:val="single" w:sz="4" w:space="0" w:color="auto"/>
              <w:bottom w:val="single" w:sz="4" w:space="0" w:color="auto"/>
              <w:right w:val="single" w:sz="4" w:space="0" w:color="auto"/>
            </w:tcBorders>
          </w:tcPr>
          <w:p w14:paraId="728B0DC1"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B9B9AD3"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{"citationID":"pmkKnup1","properties":{"formattedCitation":"(Brooke et al. 1984)","plainCitation":"(Brooke et al. 1984)","noteIndex":0},"citationItems":[{"id":1019,"uris":["http://zotero.org/users/11614927/items/AQK56ZK9"],"itemData":{"id":1019,"type":"book","abstract":"Over 60,000  chemicals  exist  in  United  States  commerce  (U.S.  EPA, 1982).   This  inventory   \nexpands  each  year  as  200  to  l,000  new  chemicals are  advanced  into  commercial  production  \n (Muir,  1980).    Fortunately,  most of  these  chemicals  have  not  posed  any  known  threats   \nto  the  environment. However,  several  chemicals  have  presented  serious  environmental   \nhazards, and  an  increased  awareness  of  these  hazards  developed  in  the  1960 1 s and 1970 1  \ns.    This  resulted  in  passage  by  the  U.S. Congress  in  1976  of  the Toxic  Substances   \nControl  Act  (TSCA). \nThe  governmental  focus  via  TSCA  has  been  on  the  prevention  of potentially  harmful  \nsituations  (Kissman  and  Wexler,  1983).   Thus,  the  act attempts  to  control  the   \nintroduction, production,  distribution or  use  in commerce  of  any  chemical  that  presents  an  \n unreasonable  risk to  human \nhealth  or  the  environment,  which  is  not  adequately  regulated  by  other  laws. This  act   \nhas empowered  the  U.S.  Environmental  Protection  Agency  (EPA)  with authority over  the   \nregulation,  reporting and testing  of  these  chemicals \n(Muir,  198.0). \nBecause  of  the  large  and  ever-increasing  number  of  chemicals in  the \nTSCA  inventory,  resources  simply  are  not  available  to  test  the  vast majority  of  these   \nchemicals  for their  hazard  potential  in  the  environment. Therefore,  approaches  have  been   \nadopted  by  EPA  which  are  designed  to \nresult  in  the  selection  for  further  study  of  chemicals  with real  hazard potential  and   \nthe  elimination  from  further  study  of  those  which  are  judged to  be  relatively   \ninnocuous.    The  area  of  predictive  environmental  toxicology \nhas  been  used  in  this  process  of  chemical  selection. \nPrinciples of quantitative structure-activity relationships (QSAR) \nare applied in predictive toxicology.  For development of toxicity prediction models, a subset of  \nchemicals from a given class or from a group with a common mode of toxic action are tested for  \ntheir toxicities to the test organism.  Structural or physicochemical features of the test  \ncompounds are correlated with toxicity test endpoints to determine the strength of relationships.   \nQSAR models which exhibit high correlations between basic molecular properties and toxicity may be  \nused to predict toxicity with a certain degree of accuracy. \nVery few aquatic toxicology data bases exist which can be applied to. QSAR model development.   \nIdeally, such data bases should consist of tests conducted with the same species in the same water  \nunder identical test conditions.  Concentrations of toxicants in the exposure chambers should be  \nmeasured.  In cooperation with EPA, the University of Wisconsin­ \nSuperior has been developing a data base for application in predictive toxicology model  \ndevelopment.  This volume provides the methods and results from 198 acute toxicity tests conducted  \nwith the fathead minnow (Pimephales promelas) in Lake Superior water.","ISBN":"978-0-9614968-0-7","language":"en_US","note":"Accepted: 2021-02-05T17:08:26Z","source":"minds.wisconsin.edu","title":"Acute Toxicities of Organic Chemicals to Fathead Minnows (Pimephales promelas) Volume I","URL":"https://minds.wisconsin.edu/handle/1793/81143","author":[{"family":"Brooke","given":"L. T."},{"family":"Call","given":"D. J."},{"family":"Geiger","given":"D. L."},{"family":"Northcott","given":"C. E."}],"accessed":{"date-parts":[["2024",2,17]]},"issued":{"date-parts":[["1984"]]}}}],"schema":"https://github.com/citation-style-language/schema/raw/master/csl-citation.json"}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(Brooke et al. 1984)</w:t>
            </w:r>
            <w:r w:rsidRPr="001D0ADC">
              <w:rPr>
                <w:color w:val="auto"/>
                <w:lang w:val="en-GB" w:eastAsia="cs-CZ"/>
              </w:rPr>
              <w:fldChar w:fldCharType="end"/>
            </w:r>
          </w:p>
        </w:tc>
      </w:tr>
      <w:tr w:rsidR="001D0ADC" w:rsidRPr="001D0ADC" w14:paraId="2FA19B6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A061DA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7AC4BD5" w14:textId="77777777" w:rsidR="00196808" w:rsidRPr="001D0ADC" w:rsidRDefault="00196808" w:rsidP="00196808">
            <w:pPr>
              <w:pStyle w:val="NoSpacing"/>
              <w:ind w:firstLine="0"/>
              <w:rPr>
                <w:color w:val="auto"/>
                <w:lang w:val="en-GB" w:eastAsia="cs-CZ"/>
              </w:rPr>
            </w:pPr>
            <w:r w:rsidRPr="001D0ADC">
              <w:rPr>
                <w:color w:val="auto"/>
                <w:lang w:val="en-GB" w:eastAsia="cs-CZ"/>
              </w:rPr>
              <w:t>&gt;160</w:t>
            </w:r>
          </w:p>
        </w:tc>
        <w:tc>
          <w:tcPr>
            <w:tcW w:w="4520" w:type="dxa"/>
            <w:tcBorders>
              <w:top w:val="single" w:sz="4" w:space="0" w:color="auto"/>
              <w:left w:val="nil"/>
              <w:bottom w:val="single" w:sz="4" w:space="0" w:color="auto"/>
              <w:right w:val="single" w:sz="4" w:space="0" w:color="auto"/>
            </w:tcBorders>
            <w:shd w:val="clear" w:color="auto" w:fill="auto"/>
            <w:vAlign w:val="bottom"/>
          </w:tcPr>
          <w:p w14:paraId="57E6251C"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332A913E" w14:textId="77777777" w:rsidR="00196808" w:rsidRPr="001D0ADC" w:rsidRDefault="00196808" w:rsidP="00196808">
            <w:pPr>
              <w:pStyle w:val="NoSpacing"/>
              <w:ind w:firstLine="0"/>
              <w:rPr>
                <w:color w:val="auto"/>
                <w:lang w:val="en-GB" w:eastAsia="cs-CZ"/>
              </w:rPr>
            </w:pPr>
            <w:r w:rsidRPr="001D0ADC">
              <w:rPr>
                <w:color w:val="auto"/>
                <w:lang w:val="en-GB" w:eastAsia="cs-CZ"/>
              </w:rPr>
              <w:t>AFT (OECD203)(OL)</w:t>
            </w:r>
          </w:p>
        </w:tc>
        <w:tc>
          <w:tcPr>
            <w:tcW w:w="1967" w:type="dxa"/>
            <w:tcBorders>
              <w:top w:val="single" w:sz="4" w:space="0" w:color="auto"/>
              <w:left w:val="single" w:sz="4" w:space="0" w:color="auto"/>
              <w:bottom w:val="single" w:sz="4" w:space="0" w:color="auto"/>
              <w:right w:val="single" w:sz="4" w:space="0" w:color="auto"/>
            </w:tcBorders>
          </w:tcPr>
          <w:p w14:paraId="0312CAD9"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2FC99B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{"citationID":"mCLKzZj6","properties":{"formattedCitation":"(Y. Kim et al. 2007)","plainCitation":"(Y. Kim et al. 2007)","noteIndex":0},"citationItems":[{"id":1165,"uris":["http://zotero.org/users/11614927/items/9WDYTYH5"],"itemData":{"id":1165,"type":"article-journal","abstract":"Pharmaceuticals are manufactured and used for specific biological functions in veterinary and human medicine. Their detection in the environment and their bioactivity have resulted in concern for potential adverse effects on non-target species. Notwithstanding recent attention for their occurrence in the environment, there are significant research gaps for existing pharmaceuticals with regard to their potential ecological consequences. In this study, the four most abundantly used pharmaceuticals in Korea, namely acetaminophen, carbamazepine, cimetidine, and diltiazem, and six sulfonamide related antibiotics, including sulfamethoxazole, sulfachlorpyridazine, sulfathiazole, sulfamethazine, sulfadimethoxine, and trimethoprim were examined for their acute aquatic toxicity employing a marine bacterium (Vibrio fischeri), a freshwater invertebrate (Daphnia magna), and the Japanese medaka fish (Oryzias latipes). In general, Daphnia was the most susceptible among the test organisms. The most acutely toxic among the chemicals tested in this study was diltiazem, with a median lethal concentration of 8.2 mg/L for D. magna. The resulting acute toxicity of these pharmaceuticals was reasonably predicted by physicochemical descriptors such as pH-dependent distribution coefficient and EHOMO − ELUMO gap. Predicted environmental concentrations (PECs) derived for the test pharmaceuticals in Korea ranged between 0.14 and 16.5 μg/L. Hazard quotients derived from PECs and predicted no effect concentrations (PNECs) for sulfamethoxazole and acetaminophen were 6.3 and 1.8, respectively, suggesting potential environmental concerns and a need for further investigation.","container-title":"Environment International","DOI":"10.1016/j.envint.2006.11.017","ISSN":"01604120","issue":"3","journalAbbreviation":"Environment International","language":"en","page":"370-375","source":"DOI.org (Crossref)","title":"Aquatic toxicity of acetaminophen, carbamazepine, cimetidine, diltiazem and six major sulfonamides, and their potential ecological risks in Korea","volume":"33","author":[{"family":"Kim","given":"Younghee"},{"family":"Choi","given":"Kyungho"},{"family":"Jung","given":"Jinyong"},{"family":"Park","given":"Sujung"},{"family":"Kim","given":"Pan-Gyi"},{"family":"Park","given":"Jeongim"}],"issued":{"date-parts":[["2007",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(Y. Kim et al. 2007)</w:t>
            </w:r>
            <w:r w:rsidRPr="001D0ADC">
              <w:rPr>
                <w:color w:val="auto"/>
                <w:lang w:val="en-GB" w:eastAsia="cs-CZ"/>
              </w:rPr>
              <w:fldChar w:fldCharType="end"/>
            </w:r>
          </w:p>
        </w:tc>
      </w:tr>
      <w:tr w:rsidR="001D0ADC" w:rsidRPr="001D0ADC" w14:paraId="4C9F2017"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90DD05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1FE5746" w14:textId="607E98D3" w:rsidR="00196808" w:rsidRPr="001D0ADC" w:rsidRDefault="00196808" w:rsidP="00196808">
            <w:pPr>
              <w:pStyle w:val="NoSpacing"/>
              <w:ind w:firstLine="0"/>
              <w:rPr>
                <w:color w:val="auto"/>
                <w:lang w:val="en-GB" w:eastAsia="cs-CZ"/>
              </w:rPr>
            </w:pPr>
            <w:r w:rsidRPr="001D0ADC">
              <w:rPr>
                <w:color w:val="auto"/>
                <w:lang w:val="en-GB" w:eastAsia="cs-CZ"/>
              </w:rPr>
              <w:t>80</w:t>
            </w:r>
          </w:p>
        </w:tc>
        <w:tc>
          <w:tcPr>
            <w:tcW w:w="4520" w:type="dxa"/>
            <w:tcBorders>
              <w:top w:val="single" w:sz="4" w:space="0" w:color="auto"/>
              <w:left w:val="nil"/>
              <w:bottom w:val="single" w:sz="4" w:space="0" w:color="auto"/>
              <w:right w:val="single" w:sz="4" w:space="0" w:color="auto"/>
            </w:tcBorders>
            <w:shd w:val="clear" w:color="auto" w:fill="auto"/>
            <w:vAlign w:val="bottom"/>
          </w:tcPr>
          <w:p w14:paraId="3566DECA" w14:textId="78868455" w:rsidR="00196808" w:rsidRPr="001D0ADC" w:rsidRDefault="00196808" w:rsidP="00196808">
            <w:pPr>
              <w:pStyle w:val="NoSpacing"/>
              <w:ind w:firstLine="0"/>
              <w:rPr>
                <w:color w:val="auto"/>
                <w:lang w:val="en-GB" w:eastAsia="cs-CZ"/>
              </w:rPr>
            </w:pPr>
            <w:r w:rsidRPr="001D0ADC">
              <w:rPr>
                <w:color w:val="auto"/>
                <w:lang w:val="en-GB" w:eastAsia="cs-CZ"/>
              </w:rPr>
              <w:t xml:space="preserve">NOEC for mortality, </w:t>
            </w:r>
          </w:p>
        </w:tc>
        <w:tc>
          <w:tcPr>
            <w:tcW w:w="2633" w:type="dxa"/>
            <w:tcBorders>
              <w:top w:val="single" w:sz="4" w:space="0" w:color="auto"/>
              <w:left w:val="nil"/>
              <w:bottom w:val="single" w:sz="4" w:space="0" w:color="auto"/>
              <w:right w:val="single" w:sz="4" w:space="0" w:color="auto"/>
            </w:tcBorders>
          </w:tcPr>
          <w:p w14:paraId="467DB45D" w14:textId="4F491B3B" w:rsidR="00196808" w:rsidRPr="001D0ADC" w:rsidRDefault="00196808" w:rsidP="00196808">
            <w:pPr>
              <w:pStyle w:val="NoSpacing"/>
              <w:ind w:firstLine="0"/>
              <w:rPr>
                <w:color w:val="auto"/>
                <w:lang w:val="en-GB" w:eastAsia="cs-CZ"/>
              </w:rPr>
            </w:pPr>
            <w:r w:rsidRPr="001D0ADC">
              <w:rPr>
                <w:color w:val="auto"/>
                <w:lang w:val="en-GB" w:eastAsia="cs-CZ"/>
              </w:rPr>
              <w:t>Acute (PH) (OECD203)</w:t>
            </w:r>
          </w:p>
        </w:tc>
        <w:tc>
          <w:tcPr>
            <w:tcW w:w="1967" w:type="dxa"/>
            <w:tcBorders>
              <w:top w:val="single" w:sz="4" w:space="0" w:color="auto"/>
              <w:left w:val="single" w:sz="4" w:space="0" w:color="auto"/>
              <w:bottom w:val="single" w:sz="4" w:space="0" w:color="auto"/>
              <w:right w:val="single" w:sz="4" w:space="0" w:color="auto"/>
            </w:tcBorders>
          </w:tcPr>
          <w:p w14:paraId="5F7D2A7A" w14:textId="7E10DE09"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5FD36A3A" w14:textId="50E56D0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{"citationID":"a1j2pmo3iio","properties":{"formattedCitation":"(Beatriz V. R. Pereira et al. 2018)","plainCitation":"(Beatriz V. R. Pereira et al. 2018)","noteIndex":0},"citationItems":[{"id":1633,"uris":["http://zotero.org/users/11614927/items/D7KMIN4C"],"itemData":{"id":1633,"type":"article-journal","abstract":"Over time, many pollutants of anthropogenic origin have caused the contamination of aquatic ecosystems. Among several characteristics, these compounds can reach the trophic chain, causing deleterious interactions with the biota. Pharmaceutical substances can be included in this scenario as emerging contaminants that reach the aquatic environment because of direct human and veterinary usage, and release by industrial effluents, as well as through domestic dumping of surplus drugs. The effects of these compounds on exposed organisms have been studied since the 1990s, but ecotoxicological data for such chemicals are still scarce especially concerning aquatic organisms from tropical regions. Paracetamol and propranolol were selected for this study since they are frequently found in surface waters. Paracetamol is a drug used as analgesic and antipyretic, while propranolol, a βblocker, is used in the treatment of hypertension. The objective of this study was to assess the toxic effects of these substances on the neotropical freshwater fish Phalloceros harpagos after acute (96 h) and chronic (28 days) exposures. In order to understand the effects of these drugs on P. harpagos, biochemical markers were selected, including the enzymes involved in oxidative stress, xenobiotic metabolism, and neurotransmission (catalase, glutathione-S-transferase, and cholinesterase activities, respectively). After acute exposure, no significant alterations were observed for catalase activity, suggesting the absence of oxidative stress. On the contrary, significant alterations in glutathione-S-transferases activity were described for the higher concentrations of both pharmaceuticals after acute exposure. In addition, acute exposure to paracetamol caused a significant increase of cholinesterase activity. None of the tested pharmaceuticals caused significant changes in catalase or cholinesterase activities after chronic exposure. Glutathione S-transferases activity was significantly increased for propranolol following chronic exposure, indicating the potential involvement of phase II detoxification pathway.","container-title":"Environmental Science and Pollution Research","DOI":"10.1007/s11356-018-1699-6","ISSN":"0944-1344, 1614-7499","issue":"15","journalAbbreviation":"Environ Sci Pollut Res","language":"en","page":"14899-14910","source":"DOI.org (Crossref)","title":"Assessment of biochemical alterations in the neotropical fish species Phalloceros harpagos after acute and chronic exposure to the drugs paracetamol and propranolol","volume":"25","author":[{"family":"Pereira","given":"Beatriz V. R."},{"family":"Matus","given":"Gregorio Nolazco"},{"family":"Costa","given":"Monica Jones"},{"family":"Santos","given":"André Cordeiro Alves Dos"},{"family":"Silva-Zacarin","given":"Elaine C. M."},{"family":"Do Carmo","given":"Janaina Braga"},{"family":"Nunes","given":"Bruno"}],"issued":{"date-parts":[["2018",5]]}}}],"schema":"https://github.com/citation-style-language/schema/raw/master/csl-citation.json"}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(Beatriz V. R. Pereira et al. 2018)</w:t>
            </w:r>
            <w:r w:rsidRPr="001D0ADC">
              <w:rPr>
                <w:color w:val="auto"/>
                <w:lang w:val="en-GB" w:eastAsia="cs-CZ"/>
              </w:rPr>
              <w:fldChar w:fldCharType="end"/>
            </w:r>
          </w:p>
        </w:tc>
      </w:tr>
      <w:tr w:rsidR="001D0ADC" w:rsidRPr="001D0ADC" w14:paraId="75F3F985"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2B5E03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667E524" w14:textId="6670B165" w:rsidR="00196808" w:rsidRPr="001D0ADC" w:rsidRDefault="00196808" w:rsidP="00196808">
            <w:pPr>
              <w:pStyle w:val="NoSpacing"/>
              <w:ind w:firstLine="0"/>
              <w:rPr>
                <w:color w:val="auto"/>
                <w:lang w:val="en-GB" w:eastAsia="cs-CZ"/>
              </w:rPr>
            </w:pPr>
            <w:r w:rsidRPr="001D0ADC">
              <w:rPr>
                <w:color w:val="auto"/>
                <w:lang w:val="en-GB" w:eastAsia="cs-CZ"/>
              </w:rPr>
              <w:t>80</w:t>
            </w:r>
          </w:p>
        </w:tc>
        <w:tc>
          <w:tcPr>
            <w:tcW w:w="4520" w:type="dxa"/>
            <w:tcBorders>
              <w:top w:val="single" w:sz="4" w:space="0" w:color="auto"/>
              <w:left w:val="nil"/>
              <w:bottom w:val="single" w:sz="4" w:space="0" w:color="auto"/>
              <w:right w:val="single" w:sz="4" w:space="0" w:color="auto"/>
            </w:tcBorders>
            <w:shd w:val="clear" w:color="auto" w:fill="auto"/>
            <w:vAlign w:val="bottom"/>
          </w:tcPr>
          <w:p w14:paraId="1ACE686D" w14:textId="0C526BC7" w:rsidR="00196808" w:rsidRPr="001D0ADC" w:rsidRDefault="00196808" w:rsidP="00196808">
            <w:pPr>
              <w:pStyle w:val="NoSpacing"/>
              <w:ind w:firstLine="0"/>
              <w:rPr>
                <w:color w:val="auto"/>
                <w:lang w:val="en-GB" w:eastAsia="cs-CZ"/>
              </w:rPr>
            </w:pPr>
            <w:r w:rsidRPr="001D0ADC">
              <w:rPr>
                <w:color w:val="auto"/>
                <w:lang w:val="en-GB" w:eastAsia="cs-CZ"/>
              </w:rPr>
              <w:t xml:space="preserve">NOEC for mortality, </w:t>
            </w:r>
          </w:p>
        </w:tc>
        <w:tc>
          <w:tcPr>
            <w:tcW w:w="2633" w:type="dxa"/>
            <w:tcBorders>
              <w:top w:val="single" w:sz="4" w:space="0" w:color="auto"/>
              <w:left w:val="nil"/>
              <w:bottom w:val="single" w:sz="4" w:space="0" w:color="auto"/>
              <w:right w:val="single" w:sz="4" w:space="0" w:color="auto"/>
            </w:tcBorders>
          </w:tcPr>
          <w:p w14:paraId="7B88E8F9" w14:textId="69330156" w:rsidR="00196808" w:rsidRPr="001D0ADC" w:rsidRDefault="00196808" w:rsidP="00196808">
            <w:pPr>
              <w:pStyle w:val="NoSpacing"/>
              <w:ind w:firstLine="0"/>
              <w:rPr>
                <w:color w:val="auto"/>
                <w:lang w:val="en-GB" w:eastAsia="cs-CZ"/>
              </w:rPr>
            </w:pPr>
            <w:r w:rsidRPr="001D0ADC">
              <w:rPr>
                <w:color w:val="auto"/>
                <w:lang w:val="en-GB" w:eastAsia="cs-CZ"/>
              </w:rPr>
              <w:t>Acute (PH) (OECD203)</w:t>
            </w:r>
          </w:p>
        </w:tc>
        <w:tc>
          <w:tcPr>
            <w:tcW w:w="1967" w:type="dxa"/>
            <w:tcBorders>
              <w:top w:val="single" w:sz="4" w:space="0" w:color="auto"/>
              <w:left w:val="single" w:sz="4" w:space="0" w:color="auto"/>
              <w:bottom w:val="single" w:sz="4" w:space="0" w:color="auto"/>
              <w:right w:val="single" w:sz="4" w:space="0" w:color="auto"/>
            </w:tcBorders>
          </w:tcPr>
          <w:p w14:paraId="4E5E8E52" w14:textId="64C73CD9"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C86AEFE" w14:textId="7ADEFDFD"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{"citationID":"af70grbdsr","properties":{"formattedCitation":"(Matus et al. 2018)","plainCitation":"(Matus et al. 2018)","noteIndex":0},"citationItems":[{"id":1639,"uris":["http://zotero.org/users/11614927/items/HPL57I44"],"itemData":{"id":1639,"type":"article-journal","abstract":"Pharmaceutical drugs in the aquatic environment can induce adverse effects on nontarget organisms. This study aimed to assess the short-term effects of sublethal concentrations of both paracetamol and propranolol on the fish Phalloceros harpagos, specifically light/dark preference, swimming patterns, skin pigmentation, histopathology, and liver glycogen levels. Fish were acutely exposed to sublethal concentrations of both paracetamol (0.008, 0.08, 0.8, 8, 80 mg L−1) and propranolol (0.0001, 0.001, 0.01, 0.1, 1 mg L−1) under controlled conditions. For scototaxis, a significant preference for the dark compartment was observed for the group exposed to the highest concentration of paracetamol (80 mg L−1). Propranolol exposure significantly altered the swimming pattern, especially in fish exposed to the 0.001 mg L−1 concentration. Pigmentation was reduced in propranololexposed fish (0.1, 1 mg L−1). The lowest concentration of propranolol (0.0001 mg L−1) induced a decrease of histochemical reaction for hepatic glycogen. These data demonstrate that pharmaceuticals can induce sublethal effects in nontarget organisms, even at low concentrations, compromising specific functions of the individual with ecological relevance, such as energy balance and behavior.","container-title":"Environmental Science and Pollution Research","DOI":"10.1007/s11356-018-2839-8","ISSN":"0944-1344, 1614-7499","issue":"28","journalAbbreviation":"Environ Sci Pollut Res","language":"en","page":"28601-28618","source":"DOI.org (Crossref)","title":"Behavior and histopathology as biomarkers for evaluation of the effects of paracetamol and propranolol in the neotropical fish species Phalloceros harpagos","volume":"25","author":[{"family":"Matus","given":"Gregorio Nolazco"},{"family":"Pereira","given":"Beatriz V. R."},{"family":"Silva-Zacarin","given":"Elaine C. M."},{"family":"Costa","given":"Monica Jones"},{"family":"Cordeiro Alves Dos Santos","given":"André"},{"family":"Nunes","given":"Bruno"}],"issued":{"date-parts":[["2018",10]]}}}],"schema":"https://github.com/citation-style-language/schema/raw/master/csl-citation.json"}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(Matus et al. 2018)</w:t>
            </w:r>
            <w:r w:rsidRPr="001D0ADC">
              <w:rPr>
                <w:color w:val="auto"/>
                <w:lang w:val="en-GB" w:eastAsia="cs-CZ"/>
              </w:rPr>
              <w:fldChar w:fldCharType="end"/>
            </w:r>
          </w:p>
        </w:tc>
      </w:tr>
      <w:tr w:rsidR="001D0ADC" w:rsidRPr="001D0ADC" w14:paraId="649DB80F"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83D264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CF2E4F0" w14:textId="55429BAB" w:rsidR="00196808" w:rsidRPr="001D0ADC" w:rsidRDefault="00196808" w:rsidP="00196808">
            <w:pPr>
              <w:pStyle w:val="NoSpacing"/>
              <w:ind w:firstLine="0"/>
              <w:rPr>
                <w:color w:val="auto"/>
                <w:lang w:val="en-GB" w:eastAsia="cs-CZ"/>
              </w:rPr>
            </w:pPr>
            <w:r w:rsidRPr="001D0ADC">
              <w:rPr>
                <w:color w:val="auto"/>
                <w:lang w:val="en-GB" w:eastAsia="cs-CZ"/>
              </w:rPr>
              <w:t>800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4D458EEC" w14:textId="4B31807B"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left w:val="nil"/>
              <w:bottom w:val="single" w:sz="4" w:space="0" w:color="auto"/>
              <w:right w:val="single" w:sz="4" w:space="0" w:color="auto"/>
            </w:tcBorders>
          </w:tcPr>
          <w:p w14:paraId="0088D55F" w14:textId="6266133A" w:rsidR="00196808" w:rsidRPr="001D0ADC" w:rsidRDefault="00196808" w:rsidP="00196808">
            <w:pPr>
              <w:pStyle w:val="NoSpacing"/>
              <w:ind w:firstLine="0"/>
              <w:rPr>
                <w:color w:val="auto"/>
                <w:lang w:val="en-GB" w:eastAsia="cs-CZ"/>
              </w:rPr>
            </w:pPr>
            <w:r w:rsidRPr="001D0ADC">
              <w:rPr>
                <w:color w:val="auto"/>
                <w:lang w:val="en-GB" w:eastAsia="cs-CZ"/>
              </w:rPr>
              <w:t>Acute (OL)(OECD203)</w:t>
            </w:r>
          </w:p>
        </w:tc>
        <w:tc>
          <w:tcPr>
            <w:tcW w:w="1967" w:type="dxa"/>
            <w:tcBorders>
              <w:left w:val="single" w:sz="4" w:space="0" w:color="auto"/>
              <w:bottom w:val="single" w:sz="4" w:space="0" w:color="auto"/>
              <w:right w:val="single" w:sz="4" w:space="0" w:color="auto"/>
            </w:tcBorders>
          </w:tcPr>
          <w:p w14:paraId="1C6E44A0" w14:textId="268D611E"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left w:val="single" w:sz="4" w:space="0" w:color="auto"/>
              <w:bottom w:val="single" w:sz="4" w:space="0" w:color="auto"/>
              <w:right w:val="single" w:sz="4" w:space="0" w:color="auto"/>
            </w:tcBorders>
            <w:shd w:val="clear" w:color="auto" w:fill="auto"/>
            <w:vAlign w:val="bottom"/>
          </w:tcPr>
          <w:p w14:paraId="4D4B80EC" w14:textId="2F06F3BF"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{"citationID":"Sda0k67D","properties":{"formattedCitation":"(Yamamoto et al. 2007)","plainCitation":"(Yamamoto et al. 2007)","noteIndex":0},"citationItems":[{"id":1924,"uris":["http://zotero.org/users/11614927/items/WHW8LC7T"],"itemData":{"id":1924,"type":"article-journal","container-title":"Environmental Sciences","issue":"4","language":"en","source":"Zotero","title":"Initial Ecological Risk Assessment of Eight Selected Human Pharmaceuticals in Japan","volume":"14","author":[{"family":"Yamamoto","given":"Hiroshi"},{"family":"Nakamura","given":"Yudai"},{"family":"Nakamura","given":"Yuki"},{"family":"Kitani","given":"Chise"},{"family":"Imari","given":"Tetsuya"},{"family":"Sekizawa","given":"Jun"},{"family":"Takao","given":"Yuji"},{"family":"Yamashita","given":"Naoyuki"},{"family":"Hirai","given":"Narisato"},{"family":"Oda","given":"Shigeto"},{"family":"Tatarazako","given":"Norihisa"}],"issued":{"date-parts":[["2007"]]}}}],"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(Yamamoto et al. 2007)</w:t>
            </w:r>
            <w:r w:rsidRPr="001D0ADC">
              <w:rPr>
                <w:color w:val="auto"/>
                <w:lang w:val="en-GB" w:eastAsia="cs-CZ"/>
              </w:rPr>
              <w:fldChar w:fldCharType="end"/>
            </w:r>
          </w:p>
        </w:tc>
      </w:tr>
      <w:tr w:rsidR="001D0ADC" w:rsidRPr="001D0ADC" w14:paraId="53949150"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3E2B201"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6AD39F56" w14:textId="7F9E0544" w:rsidR="00196808" w:rsidRPr="001D0ADC" w:rsidRDefault="00196808" w:rsidP="00196808">
            <w:pPr>
              <w:pStyle w:val="NoSpacing"/>
              <w:ind w:firstLine="0"/>
              <w:rPr>
                <w:b/>
                <w:bCs/>
                <w:color w:val="auto"/>
                <w:lang w:val="en-GB" w:eastAsia="cs-CZ"/>
              </w:rPr>
            </w:pPr>
            <w:r w:rsidRPr="001D0ADC">
              <w:rPr>
                <w:b/>
                <w:bCs/>
                <w:color w:val="auto"/>
                <w:lang w:val="en-GB" w:eastAsia="cs-CZ"/>
              </w:rPr>
              <w:t>Non-lethal effects after acute exposure (adults or juvenile)</w:t>
            </w:r>
            <w:r w:rsidR="000F6A8E" w:rsidRPr="001D0ADC">
              <w:rPr>
                <w:b/>
                <w:bCs/>
                <w:color w:val="auto"/>
                <w:lang w:val="en-GB" w:eastAsia="cs-CZ"/>
              </w:rPr>
              <w:t xml:space="preserve"> (mg/l)</w:t>
            </w:r>
          </w:p>
        </w:tc>
      </w:tr>
      <w:tr w:rsidR="001D0ADC" w:rsidRPr="001D0ADC" w14:paraId="37DC1A6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59799A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3EDA116" w14:textId="77777777" w:rsidR="00196808" w:rsidRPr="001D0ADC" w:rsidRDefault="00196808" w:rsidP="00196808">
            <w:pPr>
              <w:pStyle w:val="NoSpacing"/>
              <w:ind w:firstLine="0"/>
              <w:rPr>
                <w:color w:val="auto"/>
                <w:lang w:val="en-GB" w:eastAsia="cs-CZ"/>
              </w:rPr>
            </w:pPr>
            <w:r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E499C89"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val="restart"/>
            <w:tcBorders>
              <w:top w:val="single" w:sz="4" w:space="0" w:color="auto"/>
              <w:left w:val="nil"/>
              <w:right w:val="single" w:sz="4" w:space="0" w:color="auto"/>
            </w:tcBorders>
          </w:tcPr>
          <w:p w14:paraId="190721EB" w14:textId="77777777" w:rsidR="00196808" w:rsidRPr="001D0ADC" w:rsidRDefault="00196808" w:rsidP="00196808">
            <w:pPr>
              <w:pStyle w:val="NoSpacing"/>
              <w:ind w:firstLine="0"/>
              <w:rPr>
                <w:color w:val="auto"/>
                <w:lang w:val="en-GB" w:eastAsia="cs-CZ"/>
              </w:rPr>
            </w:pPr>
            <w:r w:rsidRPr="001D0ADC">
              <w:rPr>
                <w:color w:val="auto"/>
                <w:lang w:val="en-GB" w:eastAsia="cs-CZ"/>
              </w:rPr>
              <w:t>AFT(OECD203)(OM)</w:t>
            </w:r>
          </w:p>
        </w:tc>
        <w:tc>
          <w:tcPr>
            <w:tcW w:w="1967" w:type="dxa"/>
            <w:vMerge w:val="restart"/>
            <w:tcBorders>
              <w:top w:val="single" w:sz="4" w:space="0" w:color="auto"/>
              <w:left w:val="single" w:sz="4" w:space="0" w:color="auto"/>
              <w:right w:val="single" w:sz="4" w:space="0" w:color="auto"/>
            </w:tcBorders>
          </w:tcPr>
          <w:p w14:paraId="41ACE872"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215E4079"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{"citationID":"cd9ZtzCv","properties":{"formattedCitation":"(Ramos et al. 2014)","plainCitation":"(Ramos et al. 2014)","noteIndex":0},"citationItems":[{"id":1177,"uris":["http://zotero.org/users/11614927/items/7X4XQTLL"],"itemData":{"id":1177,"type":"article-journal","container-title":"Environmental Toxicology and Pharmacology","DOI":"10.1016/j.etap.2014.04.005","ISSN":"13826689","issue":"3","journalAbbreviation":"Environmental Toxicology and Pharmacology","language":"en","page":"1221-1228","source":"DOI.org (Crossref)","title":"Effect of acetaminophen exposure in Oncorhynchus mykiss gills and liver: Detoxification mechanisms, oxidative defence system and peroxidative damage","title-short":"Effect of acetaminophen exposure in Oncorhynchus mykiss gills and liver","volume":"37","author":[{"family":"Ramos","given":"A.S."},{"family":"Correia","given":"A.T."},{"family":"Antunes","given":"S.C."},{"family":"Gonçalves","given":"F."},{"family":"Nunes","given":"B."}],"issued":{"date-parts":[["2014",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(Ramos et al. 2014)</w:t>
            </w:r>
            <w:r w:rsidRPr="001D0ADC">
              <w:rPr>
                <w:color w:val="auto"/>
                <w:lang w:val="en-GB" w:eastAsia="cs-CZ"/>
              </w:rPr>
              <w:fldChar w:fldCharType="end"/>
            </w:r>
          </w:p>
        </w:tc>
      </w:tr>
      <w:tr w:rsidR="001D0ADC" w:rsidRPr="001D0ADC" w14:paraId="3225C570"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1ECCC7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46CA0CF" w14:textId="3EDB7BE2"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6620C27" w14:textId="77777777" w:rsidR="00196808" w:rsidRPr="001D0ADC" w:rsidRDefault="00196808" w:rsidP="00196808">
            <w:pPr>
              <w:pStyle w:val="NoSpacing"/>
              <w:ind w:firstLine="0"/>
              <w:rPr>
                <w:color w:val="auto"/>
                <w:lang w:val="en-GB" w:eastAsia="cs-CZ"/>
              </w:rPr>
            </w:pPr>
            <w:r w:rsidRPr="001D0ADC">
              <w:rPr>
                <w:color w:val="auto"/>
                <w:lang w:val="en-GB" w:eastAsia="cs-CZ"/>
              </w:rPr>
              <w:t>LOEC for CAT, GPx, Gred activities in liver and TBARS</w:t>
            </w:r>
          </w:p>
        </w:tc>
        <w:tc>
          <w:tcPr>
            <w:tcW w:w="2633" w:type="dxa"/>
            <w:vMerge/>
            <w:tcBorders>
              <w:left w:val="nil"/>
              <w:right w:val="single" w:sz="4" w:space="0" w:color="auto"/>
            </w:tcBorders>
          </w:tcPr>
          <w:p w14:paraId="4A78FDAC"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1EA89098"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3BFDA48" w14:textId="77777777" w:rsidR="00196808" w:rsidRPr="001D0ADC" w:rsidRDefault="00196808" w:rsidP="00196808">
            <w:pPr>
              <w:pStyle w:val="NoSpacing"/>
              <w:ind w:firstLine="0"/>
              <w:rPr>
                <w:color w:val="auto"/>
                <w:lang w:val="en-GB" w:eastAsia="cs-CZ"/>
              </w:rPr>
            </w:pPr>
          </w:p>
        </w:tc>
      </w:tr>
      <w:tr w:rsidR="001D0ADC" w:rsidRPr="001D0ADC" w14:paraId="2E0C245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E1425E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5FE6B41" w14:textId="10905E98"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C6564C5" w14:textId="77777777" w:rsidR="00196808" w:rsidRPr="001D0ADC" w:rsidRDefault="00196808" w:rsidP="00196808">
            <w:pPr>
              <w:pStyle w:val="NoSpacing"/>
              <w:ind w:firstLine="0"/>
              <w:rPr>
                <w:color w:val="auto"/>
                <w:lang w:val="en-GB" w:eastAsia="cs-CZ"/>
              </w:rPr>
            </w:pPr>
            <w:r w:rsidRPr="001D0ADC">
              <w:rPr>
                <w:color w:val="auto"/>
                <w:lang w:val="en-GB" w:eastAsia="cs-CZ"/>
              </w:rPr>
              <w:t>LOEC for GST activities in liver and gill</w:t>
            </w:r>
          </w:p>
        </w:tc>
        <w:tc>
          <w:tcPr>
            <w:tcW w:w="2633" w:type="dxa"/>
            <w:vMerge/>
            <w:tcBorders>
              <w:left w:val="nil"/>
              <w:bottom w:val="single" w:sz="4" w:space="0" w:color="auto"/>
              <w:right w:val="single" w:sz="4" w:space="0" w:color="auto"/>
            </w:tcBorders>
          </w:tcPr>
          <w:p w14:paraId="38D7B05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59493C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FF53C03" w14:textId="77777777" w:rsidR="00196808" w:rsidRPr="001D0ADC" w:rsidRDefault="00196808" w:rsidP="00196808">
            <w:pPr>
              <w:pStyle w:val="NoSpacing"/>
              <w:ind w:firstLine="0"/>
              <w:rPr>
                <w:color w:val="auto"/>
                <w:lang w:val="en-GB" w:eastAsia="cs-CZ"/>
              </w:rPr>
            </w:pPr>
          </w:p>
        </w:tc>
      </w:tr>
      <w:tr w:rsidR="001D0ADC" w:rsidRPr="001D0ADC" w14:paraId="7E05F743"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2DA208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51F94FF" w14:textId="7231B1F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000125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7A3B0F6" w14:textId="3203BE2F" w:rsidR="00196808" w:rsidRPr="001D0ADC" w:rsidRDefault="00196808" w:rsidP="00196808">
            <w:pPr>
              <w:pStyle w:val="NoSpacing"/>
              <w:ind w:firstLine="0"/>
              <w:rPr>
                <w:color w:val="auto"/>
                <w:lang w:val="en-GB" w:eastAsia="cs-CZ"/>
              </w:rPr>
            </w:pPr>
            <w:r w:rsidRPr="001D0ADC">
              <w:rPr>
                <w:color w:val="auto"/>
                <w:lang w:val="en-GB" w:eastAsia="cs-CZ"/>
              </w:rPr>
              <w:t>LOEC for biochemical parameters in blood (ALT, ALP, bilirubin and total protein), oxidative stress param.in liver (SOD, CAT, GPx, LPO, HPx, POx), gene expression, comet assay, micronuclei assay</w:t>
            </w:r>
          </w:p>
        </w:tc>
        <w:tc>
          <w:tcPr>
            <w:tcW w:w="2633" w:type="dxa"/>
            <w:tcBorders>
              <w:top w:val="single" w:sz="4" w:space="0" w:color="auto"/>
              <w:left w:val="nil"/>
              <w:bottom w:val="single" w:sz="4" w:space="0" w:color="auto"/>
              <w:right w:val="single" w:sz="4" w:space="0" w:color="auto"/>
            </w:tcBorders>
          </w:tcPr>
          <w:p w14:paraId="6DC89B4A" w14:textId="77777777" w:rsidR="00196808" w:rsidRPr="001D0ADC" w:rsidRDefault="00196808" w:rsidP="00196808">
            <w:pPr>
              <w:pStyle w:val="NoSpacing"/>
              <w:ind w:firstLine="0"/>
              <w:rPr>
                <w:color w:val="auto"/>
                <w:lang w:val="en-GB" w:eastAsia="cs-CZ"/>
              </w:rPr>
            </w:pPr>
            <w:r w:rsidRPr="001D0ADC">
              <w:rPr>
                <w:color w:val="auto"/>
                <w:lang w:val="en-GB" w:eastAsia="cs-CZ"/>
              </w:rPr>
              <w:t>Acute (ZF) adult</w:t>
            </w:r>
          </w:p>
        </w:tc>
        <w:tc>
          <w:tcPr>
            <w:tcW w:w="1967" w:type="dxa"/>
            <w:tcBorders>
              <w:top w:val="single" w:sz="4" w:space="0" w:color="auto"/>
              <w:left w:val="single" w:sz="4" w:space="0" w:color="auto"/>
              <w:bottom w:val="single" w:sz="4" w:space="0" w:color="auto"/>
              <w:right w:val="single" w:sz="4" w:space="0" w:color="auto"/>
            </w:tcBorders>
          </w:tcPr>
          <w:p w14:paraId="43FA627D"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7A131F2"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{"citationID":"cPwosJs7","properties":{"formattedCitation":"(Elizalde-Vel\\uc0\\u225{}zquez et al. 2022)","plainCitation":"(Elizalde-Velázquez et al. 2022)","noteIndex":0},"citationItems":[{"id":1236,"uris":["http://zotero.org/users/11614927/items/E57854RI"],"itemData":{"id":1236,"type":"article-journal","container-title":"Chemosphere","DOI":"10.1016/j.chemosphere.2022.133667","ISSN":"00456535","journalAbbreviation":"Chemosphere","language":"en","page":"133667","source":"DOI.org (Crossref)","title":"Low concentrations of ciprofloxacin alone and in combination with paracetamol induce oxidative stress, upregulation of apoptotic-related genes, histological alterations in the liver, and genotoxicity in Danio rerio","volume":"294","author":[{"family":"Elizalde-Velázquez","given":"Gustavo Axel"},{"family":"Rosas-Ramírez","given":"Jonathan Ricardo"},{"family":"Raldua","given":"Demetrio"},{"family":"García-Medina","given":"Sandra"},{"family":"Orozco-Hernández","given":"José Manuel"},{"family":"Rosales- Pérez","given":"Karina"},{"family":"Islas-Flores","given":"Hariz"},{"family":"Galar-Martínez","given":"Marcela"},{"family":"Guzmán-García","given":"Xochitl"},{"family":"Gómez-Oliván","given":"Leobardo Manuel"}],"issued":{"date-parts":[["2022",5]]}}}],"schema":"https://github.com/citation-style-language/schema/raw/master/csl-citation.json"}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(Elizalde-Velázquez et al. 2022)</w:t>
            </w:r>
            <w:r w:rsidRPr="001D0ADC">
              <w:rPr>
                <w:color w:val="auto"/>
                <w:lang w:val="en-GB" w:eastAsia="cs-CZ"/>
              </w:rPr>
              <w:fldChar w:fldCharType="end"/>
            </w:r>
          </w:p>
        </w:tc>
      </w:tr>
      <w:tr w:rsidR="001D0ADC" w:rsidRPr="001D0ADC" w14:paraId="419B6BE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5EBCA5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1BE2EF8" w14:textId="74CED05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055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81C9EE1" w14:textId="77777777" w:rsidR="00196808" w:rsidRPr="001D0ADC" w:rsidRDefault="00196808" w:rsidP="00196808">
            <w:pPr>
              <w:pStyle w:val="NoSpacing"/>
              <w:ind w:firstLine="0"/>
              <w:rPr>
                <w:color w:val="auto"/>
                <w:lang w:val="en-GB" w:eastAsia="cs-CZ"/>
              </w:rPr>
            </w:pPr>
            <w:r w:rsidRPr="001D0ADC">
              <w:rPr>
                <w:color w:val="auto"/>
                <w:lang w:val="en-GB" w:eastAsia="cs-CZ"/>
              </w:rPr>
              <w:t>LOEC for gene expression alteration</w:t>
            </w:r>
          </w:p>
        </w:tc>
        <w:tc>
          <w:tcPr>
            <w:tcW w:w="2633" w:type="dxa"/>
            <w:tcBorders>
              <w:top w:val="single" w:sz="4" w:space="0" w:color="auto"/>
              <w:left w:val="nil"/>
              <w:bottom w:val="single" w:sz="4" w:space="0" w:color="auto"/>
              <w:right w:val="single" w:sz="4" w:space="0" w:color="auto"/>
            </w:tcBorders>
          </w:tcPr>
          <w:p w14:paraId="7D08262E" w14:textId="77777777" w:rsidR="00196808" w:rsidRPr="001D0ADC" w:rsidRDefault="00196808" w:rsidP="00196808">
            <w:pPr>
              <w:pStyle w:val="NoSpacing"/>
              <w:ind w:firstLine="0"/>
              <w:rPr>
                <w:color w:val="auto"/>
                <w:lang w:val="en-GB" w:eastAsia="cs-CZ"/>
              </w:rPr>
            </w:pPr>
            <w:r w:rsidRPr="001D0ADC">
              <w:rPr>
                <w:color w:val="auto"/>
                <w:lang w:val="en-GB" w:eastAsia="cs-CZ"/>
              </w:rPr>
              <w:t>Acute (SS) (OECD 203 and 204)</w:t>
            </w:r>
          </w:p>
        </w:tc>
        <w:tc>
          <w:tcPr>
            <w:tcW w:w="1967" w:type="dxa"/>
            <w:tcBorders>
              <w:top w:val="single" w:sz="4" w:space="0" w:color="auto"/>
              <w:left w:val="single" w:sz="4" w:space="0" w:color="auto"/>
              <w:bottom w:val="single" w:sz="4" w:space="0" w:color="auto"/>
              <w:right w:val="single" w:sz="4" w:space="0" w:color="auto"/>
            </w:tcBorders>
          </w:tcPr>
          <w:p w14:paraId="3CADC100" w14:textId="77777777" w:rsidR="00196808" w:rsidRPr="001D0ADC" w:rsidRDefault="00196808" w:rsidP="00196808">
            <w:pPr>
              <w:pStyle w:val="NoSpacing"/>
              <w:ind w:firstLine="0"/>
              <w:rPr>
                <w:color w:val="auto"/>
                <w:lang w:val="en-GB" w:eastAsia="cs-CZ"/>
              </w:rPr>
            </w:pPr>
            <w:r w:rsidRPr="001D0ADC">
              <w:rPr>
                <w:color w:val="auto"/>
                <w:lang w:val="en-GB" w:eastAsia="cs-CZ"/>
              </w:rPr>
              <w:t>5d</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0D1F470"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{"citationID":"h7QNZwgI","properties":{"formattedCitation":"(Hampel et al. 2010)","plainCitation":"(Hampel et al. 2010)","noteIndex":0},"citationItems":[{"id":1186,"uris":["http://zotero.org/users/11614927/items/XFYBW49F"],"itemData":{"id":1186,"type":"article-journal","container-title":"Environmental Science and Pollution Research","DOI":"10.1007/s11356-009-0282-6","ISSN":"0944-1344, 1614-7499","issue":"4","journalAbbreviation":"Environ Sci Pollut Res","language":"en","page":"917-933","source":"DOI.org (Crossref)","title":"Potential physiological effects of pharmaceutical compounds in Atlantic salmon (Salmo salar) implied by transcriptomic analysis","volume":"17","author":[{"family":"Hampel","given":"Miriam"},{"family":"Alonso","given":"Esteban"},{"family":"Aparicio","given":"Irene"},{"family":"Bron","given":"James E."},{"family":"Santos","given":"Juan Luis"},{"family":"Taggart","given":"John B."},{"family":"Leaver","given":"Michael J."}],"issued":{"date-parts":[["2010",5]]}}}],"schema":"https://github.com/citation-style-language/schema/raw/master/csl-citation.json"}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(Hampel et al. 2010)</w:t>
            </w:r>
            <w:r w:rsidRPr="001D0ADC">
              <w:rPr>
                <w:color w:val="auto"/>
                <w:lang w:val="en-GB" w:eastAsia="cs-CZ"/>
              </w:rPr>
              <w:fldChar w:fldCharType="end"/>
            </w:r>
          </w:p>
        </w:tc>
      </w:tr>
      <w:tr w:rsidR="001D0ADC" w:rsidRPr="001D0ADC" w14:paraId="432C5EA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287DA5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0CFBF0E" w14:textId="77777777" w:rsidR="00196808" w:rsidRPr="001D0ADC" w:rsidRDefault="00196808" w:rsidP="00196808">
            <w:pPr>
              <w:pStyle w:val="NoSpacing"/>
              <w:ind w:firstLine="0"/>
              <w:rPr>
                <w:color w:val="auto"/>
                <w:lang w:val="en-GB" w:eastAsia="cs-CZ"/>
              </w:rPr>
            </w:pPr>
            <w:r w:rsidRPr="001D0ADC">
              <w:rPr>
                <w:color w:val="auto"/>
                <w:lang w:val="en-GB" w:eastAsia="cs-CZ"/>
              </w:rPr>
              <w:t>4</w:t>
            </w:r>
          </w:p>
        </w:tc>
        <w:tc>
          <w:tcPr>
            <w:tcW w:w="4520" w:type="dxa"/>
            <w:tcBorders>
              <w:top w:val="single" w:sz="4" w:space="0" w:color="auto"/>
              <w:left w:val="nil"/>
              <w:bottom w:val="single" w:sz="4" w:space="0" w:color="auto"/>
              <w:right w:val="single" w:sz="4" w:space="0" w:color="auto"/>
            </w:tcBorders>
            <w:shd w:val="clear" w:color="auto" w:fill="auto"/>
            <w:vAlign w:val="bottom"/>
          </w:tcPr>
          <w:p w14:paraId="2CE13D34" w14:textId="77777777" w:rsidR="00196808" w:rsidRPr="001D0ADC" w:rsidRDefault="00196808" w:rsidP="00196808">
            <w:pPr>
              <w:pStyle w:val="NoSpacing"/>
              <w:ind w:firstLine="0"/>
              <w:rPr>
                <w:color w:val="auto"/>
                <w:lang w:val="en-GB" w:eastAsia="cs-CZ"/>
              </w:rPr>
            </w:pPr>
            <w:r w:rsidRPr="001D0ADC">
              <w:rPr>
                <w:color w:val="auto"/>
                <w:lang w:val="en-GB" w:eastAsia="cs-CZ"/>
              </w:rPr>
              <w:t>LOEC for increase VTG production in males</w:t>
            </w:r>
          </w:p>
        </w:tc>
        <w:tc>
          <w:tcPr>
            <w:tcW w:w="2633" w:type="dxa"/>
            <w:tcBorders>
              <w:top w:val="single" w:sz="4" w:space="0" w:color="auto"/>
              <w:left w:val="nil"/>
              <w:bottom w:val="single" w:sz="4" w:space="0" w:color="auto"/>
              <w:right w:val="single" w:sz="4" w:space="0" w:color="auto"/>
            </w:tcBorders>
          </w:tcPr>
          <w:p w14:paraId="57F5B873" w14:textId="77777777" w:rsidR="00196808" w:rsidRPr="001D0ADC" w:rsidRDefault="00196808" w:rsidP="00196808">
            <w:pPr>
              <w:pStyle w:val="NoSpacing"/>
              <w:ind w:firstLine="0"/>
              <w:rPr>
                <w:color w:val="auto"/>
                <w:lang w:val="en-GB" w:eastAsia="cs-CZ"/>
              </w:rPr>
            </w:pPr>
            <w:r w:rsidRPr="001D0ADC">
              <w:rPr>
                <w:color w:val="auto"/>
                <w:lang w:val="en-GB" w:eastAsia="cs-CZ"/>
              </w:rPr>
              <w:t>Acute (OL)</w:t>
            </w:r>
          </w:p>
        </w:tc>
        <w:tc>
          <w:tcPr>
            <w:tcW w:w="1967" w:type="dxa"/>
            <w:tcBorders>
              <w:top w:val="single" w:sz="4" w:space="0" w:color="auto"/>
              <w:left w:val="single" w:sz="4" w:space="0" w:color="auto"/>
              <w:bottom w:val="single" w:sz="4" w:space="0" w:color="auto"/>
              <w:right w:val="single" w:sz="4" w:space="0" w:color="auto"/>
            </w:tcBorders>
          </w:tcPr>
          <w:p w14:paraId="08B1F556" w14:textId="77777777" w:rsidR="00196808" w:rsidRPr="001D0ADC" w:rsidRDefault="00196808" w:rsidP="00196808">
            <w:pPr>
              <w:pStyle w:val="NoSpacing"/>
              <w:ind w:firstLine="0"/>
              <w:rPr>
                <w:color w:val="auto"/>
                <w:lang w:val="en-GB" w:eastAsia="cs-CZ"/>
              </w:rPr>
            </w:pPr>
            <w:r w:rsidRPr="001D0ADC">
              <w:rPr>
                <w:color w:val="auto"/>
                <w:lang w:val="en-GB" w:eastAsia="cs-CZ"/>
              </w:rPr>
              <w:t>3-5d</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E1DAAC0"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{"citationID":"EiQPTHTH","properties":{"formattedCitation":"(Kang et al. 2005)","plainCitation":"(Kang et al. 2005)","noteIndex":0},"citationItems":[{"id":1330,"uris":["http://zotero.org/users/11614927/items/YMTUYFCH"],"itemData":{"id":1330,"type":"article-journal","container-title":"Journal of Environmental Health Sciences","issue":"31","page":"227-233","title":"Several Human Pharmaceutical Residues in Aquatic Environment may Result in Endocrine Disruption in Japanese Medaka(Oryzias latipes)","volume":"31","author":[{"family":"Kang","given":"Hee Joo"},{"family":"Kim","given":"Hyun Soo"},{"family":"Choi","given":"Kyungho"},{"family":"Kim","given":"Kyung Tae"},{"family":"Kim","given":"Pan-Gyi"}],"issued":{"date-parts":[["2005",6,1]]}}}],"schema":"https://github.com/citation-style-language/schema/raw/master/csl-citation.json"}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(Kang et al. 2005)</w:t>
            </w:r>
            <w:r w:rsidRPr="001D0ADC">
              <w:rPr>
                <w:color w:val="auto"/>
                <w:lang w:val="en-GB" w:eastAsia="cs-CZ"/>
              </w:rPr>
              <w:fldChar w:fldCharType="end"/>
            </w:r>
          </w:p>
        </w:tc>
      </w:tr>
      <w:tr w:rsidR="001D0ADC" w:rsidRPr="001D0ADC" w14:paraId="0E54168B"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37FEF1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E038C8F" w14:textId="545601D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08</w:t>
            </w:r>
          </w:p>
        </w:tc>
        <w:tc>
          <w:tcPr>
            <w:tcW w:w="4520" w:type="dxa"/>
            <w:tcBorders>
              <w:top w:val="single" w:sz="4" w:space="0" w:color="auto"/>
              <w:left w:val="nil"/>
              <w:bottom w:val="single" w:sz="4" w:space="0" w:color="auto"/>
              <w:right w:val="single" w:sz="4" w:space="0" w:color="auto"/>
            </w:tcBorders>
            <w:shd w:val="clear" w:color="auto" w:fill="auto"/>
            <w:vAlign w:val="bottom"/>
          </w:tcPr>
          <w:p w14:paraId="79342FEC" w14:textId="77EBB6A1" w:rsidR="00196808" w:rsidRPr="001D0ADC" w:rsidRDefault="00196808" w:rsidP="00196808">
            <w:pPr>
              <w:pStyle w:val="NoSpacing"/>
              <w:ind w:firstLine="0"/>
              <w:rPr>
                <w:color w:val="auto"/>
                <w:lang w:val="en-GB" w:eastAsia="cs-CZ"/>
              </w:rPr>
            </w:pPr>
            <w:r w:rsidRPr="001D0ADC">
              <w:rPr>
                <w:color w:val="auto"/>
                <w:lang w:val="en-GB" w:eastAsia="cs-CZ"/>
              </w:rPr>
              <w:t xml:space="preserve">LOEC for GST and CHE activity, </w:t>
            </w:r>
          </w:p>
        </w:tc>
        <w:tc>
          <w:tcPr>
            <w:tcW w:w="2633" w:type="dxa"/>
            <w:tcBorders>
              <w:top w:val="single" w:sz="4" w:space="0" w:color="auto"/>
              <w:left w:val="nil"/>
              <w:bottom w:val="single" w:sz="4" w:space="0" w:color="auto"/>
              <w:right w:val="single" w:sz="4" w:space="0" w:color="auto"/>
            </w:tcBorders>
          </w:tcPr>
          <w:p w14:paraId="621F791A" w14:textId="195F09BD" w:rsidR="00196808" w:rsidRPr="001D0ADC" w:rsidRDefault="00196808" w:rsidP="00196808">
            <w:pPr>
              <w:pStyle w:val="NoSpacing"/>
              <w:ind w:firstLine="0"/>
              <w:rPr>
                <w:color w:val="auto"/>
                <w:lang w:val="en-GB" w:eastAsia="cs-CZ"/>
              </w:rPr>
            </w:pPr>
            <w:r w:rsidRPr="001D0ADC">
              <w:rPr>
                <w:color w:val="auto"/>
                <w:lang w:val="en-GB" w:eastAsia="cs-CZ"/>
              </w:rPr>
              <w:t>Acute (PH) (OECD203)</w:t>
            </w:r>
          </w:p>
        </w:tc>
        <w:tc>
          <w:tcPr>
            <w:tcW w:w="1967" w:type="dxa"/>
            <w:tcBorders>
              <w:top w:val="single" w:sz="4" w:space="0" w:color="auto"/>
              <w:left w:val="single" w:sz="4" w:space="0" w:color="auto"/>
              <w:bottom w:val="single" w:sz="4" w:space="0" w:color="auto"/>
              <w:right w:val="single" w:sz="4" w:space="0" w:color="auto"/>
            </w:tcBorders>
          </w:tcPr>
          <w:p w14:paraId="6C75CAC3" w14:textId="6E055E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DF07F64" w14:textId="5926378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{"citationID":"1cNn6zKr","properties":{"formattedCitation":"(Beatriz V. R. Pereira et al. 2018)","plainCitation":"(Beatriz V. R. Pereira et al. 2018)","noteIndex":0},"citationItems":[{"id":1633,"uris":["http://zotero.org/users/11614927/items/D7KMIN4C"],"itemData":{"id":1633,"type":"article-journal","abstract":"Over time, many pollutants of anthropogenic origin have caused the contamination of aquatic ecosystems. Among several characteristics, these compounds can reach the trophic chain, causing deleterious interactions with the biota. Pharmaceutical substances can be included in this scenario as emerging contaminants that reach the aquatic environment because of direct human and veterinary usage, and release by industrial effluents, as well as through domestic dumping of surplus drugs. The effects of these compounds on exposed organisms have been studied since the 1990s, but ecotoxicological data for such chemicals are still scarce especially concerning aquatic organisms from tropical regions. Paracetamol and propranolol were selected for this study since they are frequently found in surface waters. Paracetamol is a drug used as analgesic and antipyretic, while propranolol, a βblocker, is used in the treatment of hypertension. The objective of this study was to assess the toxic effects of these substances on the neotropical freshwater fish Phalloceros harpagos after acute (96 h) and chronic (28 days) exposures. In order to understand the effects of these drugs on P. harpagos, biochemical markers were selected, including the enzymes involved in oxidative stress, xenobiotic metabolism, and neurotransmission (catalase, glutathione-S-transferase, and cholinesterase activities, respectively). After acute exposure, no significant alterations were observed for catalase activity, suggesting the absence of oxidative stress. On the contrary, significant alterations in glutathione-S-transferases activity were described for the higher concentrations of both pharmaceuticals after acute exposure. In addition, acute exposure to paracetamol caused a significant increase of cholinesterase activity. None of the tested pharmaceuticals caused significant changes in catalase or cholinesterase activities after chronic exposure. Glutathione S-transferases activity was significantly increased for propranolol following chronic exposure, indicating the potential involvement of phase II detoxification pathway.","container-title":"Environmental Science and Pollution Research","DOI":"10.1007/s11356-018-1699-6","ISSN":"0944-1344, 1614-7499","issue":"15","journalAbbreviation":"Environ Sci Pollut Res","language":"en","page":"14899-14910","source":"DOI.org (Crossref)","title":"Assessment of biochemical alterations in the neotropical fish species Phalloceros harpagos after acute and chronic exposure to the drugs paracetamol and propranolol","volume":"25","author":[{"family":"Pereira","given":"Beatriz V. R."},{"family":"Matus","given":"Gregorio Nolazco"},{"family":"Costa","given":"Monica Jones"},{"family":"Santos","given":"André Cordeiro Alves Dos"},{"family":"Silva-Zacarin","given":"Elaine C. M."},{"family":"Do Carmo","given":"Janaina Braga"},{"family":"Nunes","given":"Bruno"}],"issued":{"date-parts":[["2018",5]]}}}],"schema":"https://github.com/citation-style-language/schema/raw/master/csl-citation.json"}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(Beatriz V. R. Pereira et al. 2018)</w:t>
            </w:r>
            <w:r w:rsidRPr="001D0ADC">
              <w:rPr>
                <w:color w:val="auto"/>
                <w:lang w:val="en-GB" w:eastAsia="cs-CZ"/>
              </w:rPr>
              <w:fldChar w:fldCharType="end"/>
            </w:r>
          </w:p>
        </w:tc>
      </w:tr>
      <w:tr w:rsidR="001D0ADC" w:rsidRPr="001D0ADC" w14:paraId="356AC67E"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44D6D1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95F0DE2" w14:textId="40AE9FFA" w:rsidR="00196808" w:rsidRPr="001D0ADC" w:rsidRDefault="00196808" w:rsidP="00196808">
            <w:pPr>
              <w:pStyle w:val="NoSpacing"/>
              <w:ind w:firstLine="0"/>
              <w:rPr>
                <w:color w:val="auto"/>
                <w:lang w:val="en-GB" w:eastAsia="cs-CZ"/>
              </w:rPr>
            </w:pPr>
            <w:r w:rsidRPr="001D0ADC">
              <w:rPr>
                <w:color w:val="auto"/>
                <w:lang w:val="en-GB" w:eastAsia="cs-CZ"/>
              </w:rPr>
              <w:t>80</w:t>
            </w:r>
          </w:p>
        </w:tc>
        <w:tc>
          <w:tcPr>
            <w:tcW w:w="4520" w:type="dxa"/>
            <w:tcBorders>
              <w:top w:val="single" w:sz="4" w:space="0" w:color="auto"/>
              <w:left w:val="nil"/>
              <w:bottom w:val="single" w:sz="4" w:space="0" w:color="auto"/>
              <w:right w:val="single" w:sz="4" w:space="0" w:color="auto"/>
            </w:tcBorders>
            <w:shd w:val="clear" w:color="auto" w:fill="auto"/>
            <w:vAlign w:val="bottom"/>
          </w:tcPr>
          <w:p w14:paraId="0EA45A9E" w14:textId="7D44DD03" w:rsidR="00196808" w:rsidRPr="001D0ADC" w:rsidRDefault="00196808" w:rsidP="00196808">
            <w:pPr>
              <w:pStyle w:val="NoSpacing"/>
              <w:ind w:firstLine="0"/>
              <w:rPr>
                <w:color w:val="auto"/>
                <w:lang w:val="en-GB" w:eastAsia="cs-CZ"/>
              </w:rPr>
            </w:pPr>
            <w:r w:rsidRPr="001D0ADC">
              <w:rPr>
                <w:color w:val="auto"/>
                <w:lang w:val="en-GB" w:eastAsia="cs-CZ"/>
              </w:rPr>
              <w:t>LOEC for scototaxis (staying in dark)</w:t>
            </w:r>
          </w:p>
        </w:tc>
        <w:tc>
          <w:tcPr>
            <w:tcW w:w="2633" w:type="dxa"/>
            <w:tcBorders>
              <w:top w:val="single" w:sz="4" w:space="0" w:color="auto"/>
              <w:left w:val="nil"/>
              <w:bottom w:val="single" w:sz="4" w:space="0" w:color="auto"/>
              <w:right w:val="single" w:sz="4" w:space="0" w:color="auto"/>
            </w:tcBorders>
          </w:tcPr>
          <w:p w14:paraId="523505C3" w14:textId="68320FD4" w:rsidR="00196808" w:rsidRPr="001D0ADC" w:rsidRDefault="00196808" w:rsidP="00196808">
            <w:pPr>
              <w:pStyle w:val="NoSpacing"/>
              <w:ind w:firstLine="0"/>
              <w:rPr>
                <w:color w:val="auto"/>
                <w:lang w:val="en-GB" w:eastAsia="cs-CZ"/>
              </w:rPr>
            </w:pPr>
            <w:r w:rsidRPr="001D0ADC">
              <w:rPr>
                <w:color w:val="auto"/>
                <w:lang w:val="en-GB" w:eastAsia="cs-CZ"/>
              </w:rPr>
              <w:t>Acute (PH) (OECD203)</w:t>
            </w:r>
          </w:p>
        </w:tc>
        <w:tc>
          <w:tcPr>
            <w:tcW w:w="1967" w:type="dxa"/>
            <w:tcBorders>
              <w:top w:val="single" w:sz="4" w:space="0" w:color="auto"/>
              <w:left w:val="single" w:sz="4" w:space="0" w:color="auto"/>
              <w:bottom w:val="single" w:sz="4" w:space="0" w:color="auto"/>
              <w:right w:val="single" w:sz="4" w:space="0" w:color="auto"/>
            </w:tcBorders>
          </w:tcPr>
          <w:p w14:paraId="572AE3AE" w14:textId="639624BC"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36D5BE3" w14:textId="3E114B6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{"citationID":"g8U9Dv07","properties":{"formattedCitation":"(Matus et al. 2018)","plainCitation":"(Matus et al. 2018)","noteIndex":0},"citationItems":[{"id":1639,"uris":["http://zotero.org/users/11614927/items/HPL57I44"],"itemData":{"id":1639,"type":"article-journal","abstract":"Pharmaceutical drugs in the aquatic environment can induce adverse effects on nontarget organisms. This study aimed to assess the short-term effects of sublethal concentrations of both paracetamol and propranolol on the fish Phalloceros harpagos, specifically light/dark preference, swimming patterns, skin pigmentation, histopathology, and liver glycogen levels. Fish were acutely exposed to sublethal concentrations of both paracetamol (0.008, 0.08, 0.8, 8, 80 mg L−1) and propranolol (0.0001, 0.001, 0.01, 0.1, 1 mg L−1) under controlled conditions. For scototaxis, a significant preference for the dark compartment was observed for the group exposed to the highest concentration of paracetamol (80 mg L−1). Propranolol exposure significantly altered the swimming pattern, especially in fish exposed to the 0.001 mg L−1 concentration. Pigmentation was reduced in propranololexposed fish (0.1, 1 mg L−1). The lowest concentration of propranolol (0.0001 mg L−1) induced a decrease of histochemical reaction for hepatic glycogen. These data demonstrate that pharmaceuticals can induce sublethal effects in nontarget organisms, even at low concentrations, compromising specific functions of the individual with ecological relevance, such as energy balance and behavior.","container-title":"Environmental Science and Pollution Research","DOI":"10.1007/s11356-018-2839-8","ISSN":"0944-1344, 1614-7499","issue":"28","journalAbbreviation":"Environ Sci Pollut Res","language":"en","page":"28601-28618","source":"DOI.org (Crossref)","title":"Behavior and histopathology as biomarkers for evaluation of the effects of paracetamol and propranolol in the neotropical fish species Phalloceros harpagos","volume":"25","author":[{"family":"Matus","given":"Gregorio Nolazco"},{"family":"Pereira","given":"Beatriz V. R."},{"family":"Silva-Zacarin","given":"Elaine C. M."},{"family":"Costa","given":"Monica Jones"},{"family":"Cordeiro Alves Dos Santos","given":"André"},{"family":"Nunes","given":"Bruno"}],"issued":{"date-parts":[["2018",10]]}}}],"schema":"https://github.com/citation-style-language/schema/raw/master/csl-citation.json"}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(Matus et al. 2018)</w:t>
            </w:r>
            <w:r w:rsidRPr="001D0ADC">
              <w:rPr>
                <w:color w:val="auto"/>
                <w:lang w:val="en-GB" w:eastAsia="cs-CZ"/>
              </w:rPr>
              <w:fldChar w:fldCharType="end"/>
            </w:r>
          </w:p>
        </w:tc>
      </w:tr>
      <w:tr w:rsidR="001D0ADC" w:rsidRPr="001D0ADC" w14:paraId="7E00522A"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5CF53B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DCAC780" w14:textId="4C2B25ED" w:rsidR="00196808" w:rsidRPr="001D0ADC" w:rsidRDefault="00CF2036" w:rsidP="00196808">
            <w:pPr>
              <w:pStyle w:val="NoSpacing"/>
              <w:ind w:firstLine="0"/>
              <w:rPr>
                <w:color w:val="auto"/>
                <w:lang w:val="en-GB" w:eastAsia="cs-CZ"/>
              </w:rPr>
            </w:pPr>
            <w:r w:rsidRPr="001D0ADC">
              <w:rPr>
                <w:color w:val="auto"/>
                <w:lang w:val="en-GB" w:eastAsia="cs-CZ"/>
              </w:rPr>
              <w:t>3.</w:t>
            </w:r>
            <w:r w:rsidR="00196808" w:rsidRPr="001D0ADC">
              <w:rPr>
                <w:color w:val="auto"/>
                <w:lang w:val="en-GB" w:eastAsia="cs-CZ"/>
              </w:rPr>
              <w:t>125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75472A8" w14:textId="711A2F84" w:rsidR="00196808" w:rsidRPr="001D0ADC" w:rsidRDefault="00196808" w:rsidP="00196808">
            <w:pPr>
              <w:pStyle w:val="NoSpacing"/>
              <w:ind w:firstLine="0"/>
              <w:rPr>
                <w:color w:val="auto"/>
                <w:lang w:val="en-GB" w:eastAsia="cs-CZ"/>
              </w:rPr>
            </w:pPr>
            <w:r w:rsidRPr="001D0ADC">
              <w:rPr>
                <w:color w:val="auto"/>
                <w:lang w:val="en-GB" w:eastAsia="cs-CZ"/>
              </w:rPr>
              <w:t>NOEC for mortality, CAT, LDH, and AChE activity,</w:t>
            </w:r>
          </w:p>
        </w:tc>
        <w:tc>
          <w:tcPr>
            <w:tcW w:w="2633" w:type="dxa"/>
            <w:vMerge w:val="restart"/>
            <w:tcBorders>
              <w:top w:val="single" w:sz="4" w:space="0" w:color="auto"/>
              <w:left w:val="nil"/>
              <w:right w:val="single" w:sz="4" w:space="0" w:color="auto"/>
            </w:tcBorders>
          </w:tcPr>
          <w:p w14:paraId="2DBF8C4C" w14:textId="313B91C3" w:rsidR="00196808" w:rsidRPr="001D0ADC" w:rsidRDefault="00196808" w:rsidP="00196808">
            <w:pPr>
              <w:pStyle w:val="NoSpacing"/>
              <w:ind w:firstLine="0"/>
              <w:rPr>
                <w:color w:val="auto"/>
                <w:lang w:val="en-GB" w:eastAsia="cs-CZ"/>
              </w:rPr>
            </w:pPr>
            <w:r w:rsidRPr="001D0ADC">
              <w:rPr>
                <w:color w:val="auto"/>
                <w:lang w:val="en-GB" w:eastAsia="cs-CZ"/>
              </w:rPr>
              <w:t>Acute (AA) (OECD203)</w:t>
            </w:r>
          </w:p>
        </w:tc>
        <w:tc>
          <w:tcPr>
            <w:tcW w:w="1967" w:type="dxa"/>
            <w:vMerge w:val="restart"/>
            <w:tcBorders>
              <w:top w:val="single" w:sz="4" w:space="0" w:color="auto"/>
              <w:left w:val="single" w:sz="4" w:space="0" w:color="auto"/>
              <w:right w:val="single" w:sz="4" w:space="0" w:color="auto"/>
            </w:tcBorders>
          </w:tcPr>
          <w:p w14:paraId="2875FD5A" w14:textId="7A9C5D4B"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518532F2" w14:textId="47E7CF8B"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{"citationID":"a1h122grlos","properties":{"formattedCitation":"(Bruno Nunes, Verde, and Soares 2015)","plainCitation":"(Bruno Nunes, Verde, and Soares 2015)","noteIndex":0},"citationItems":[{"id":1635,"uris":["http://zotero.org/users/11614927/items/3MINY5SA"],"itemData":{"id":1635,"type":"article-journal","abstract":"The ever-increasing presence of pharmaceutical drugs in the environment is a motif of concern, and humanuse drugs are of particular importance. This is the case of paracetamol, a widely employed drug in human therapeutics, as analgesic and antipyretic, whose toxicity on aquatic organisms is still not fully characterized. The present study aimed to assess the toxic deleterious effects of paracetamol on European eel, Anguila anguilla, by using a comprehensive battery of antioxidant biomarkers (activities of enzymes such as catalase (CAT) and glutathione S-transferases (GSTs)), and the quantification of oxidative damage (measurement of levels of lipid peroxidation (thiobarbituric acid reactive substances (TBARS) assay)). Other biochemical effects elicited by this substance were also quantified, in terms of anaerobic respiration (activity of lactate dehydrogenase, LDH) and neurotoxicity (acetylcholinesterase, AChE, activity). The obtained results showed the occurrence of an oxidative base response, and paracetamol also seemed to inhibit AChE, showing that this drug can also elicit neurotoxicity. The lack of response by both CAT and LDH show that, despite the occurrence of toxicity, eels have detoxification mechanisms that are effective to cope with paracetamol, preventing additional deleterious alterations, including in the main pathway by which they obtain energy.","container-title":"Environmental Science and Pollution Research","DOI":"10.1007/s11356-015-4329-6","ISSN":"0944-1344, 1614-7499","issue":"15","journalAbbreviation":"Environ Sci Pollut Res","language":"en","page":"11574-11584","source":"DOI.org (Crossref)","title":"Biochemical effects of the pharmaceutical drug paracetamol on Anguilla anguilla","volume":"22","author":[{"family":"Nunes","given":"Bruno"},{"family":"Verde","given":"Maria Francisca"},{"family":"Soares","given":"Amadeu M. V. M."}],"issued":{"date-parts":[["2015",8]]}}}],"schema":"https://github.com/citation-style-language/schema/raw/master/csl-citation.json"}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(Bruno Nunes, Verde, and Soares 2015)</w:t>
            </w:r>
            <w:r w:rsidRPr="001D0ADC">
              <w:rPr>
                <w:color w:val="auto"/>
                <w:lang w:val="en-GB" w:eastAsia="cs-CZ"/>
              </w:rPr>
              <w:fldChar w:fldCharType="end"/>
            </w:r>
          </w:p>
        </w:tc>
      </w:tr>
      <w:tr w:rsidR="001D0ADC" w:rsidRPr="001D0ADC" w14:paraId="011D181B"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0249DD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7C785C3" w14:textId="30B62F29"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625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C636912" w14:textId="05A7686A" w:rsidR="00196808" w:rsidRPr="001D0ADC" w:rsidRDefault="00196808" w:rsidP="00196808">
            <w:pPr>
              <w:pStyle w:val="NoSpacing"/>
              <w:ind w:firstLine="0"/>
              <w:rPr>
                <w:color w:val="auto"/>
                <w:lang w:val="en-GB" w:eastAsia="cs-CZ"/>
              </w:rPr>
            </w:pPr>
            <w:r w:rsidRPr="001D0ADC">
              <w:rPr>
                <w:color w:val="auto"/>
                <w:lang w:val="en-GB" w:eastAsia="cs-CZ"/>
              </w:rPr>
              <w:t>LOEC for GST activity in liver, TBARS in gill</w:t>
            </w:r>
          </w:p>
        </w:tc>
        <w:tc>
          <w:tcPr>
            <w:tcW w:w="2633" w:type="dxa"/>
            <w:vMerge/>
            <w:tcBorders>
              <w:left w:val="nil"/>
              <w:right w:val="single" w:sz="4" w:space="0" w:color="auto"/>
            </w:tcBorders>
          </w:tcPr>
          <w:p w14:paraId="0CC2D29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29150EC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7E46C57" w14:textId="77777777" w:rsidR="00196808" w:rsidRPr="001D0ADC" w:rsidRDefault="00196808" w:rsidP="00196808">
            <w:pPr>
              <w:pStyle w:val="NoSpacing"/>
              <w:ind w:firstLine="0"/>
              <w:rPr>
                <w:color w:val="auto"/>
                <w:lang w:val="en-GB" w:eastAsia="cs-CZ"/>
              </w:rPr>
            </w:pPr>
          </w:p>
        </w:tc>
      </w:tr>
      <w:tr w:rsidR="001D0ADC" w:rsidRPr="001D0ADC" w14:paraId="402754AA"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32874C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213BFB1" w14:textId="107C04C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2AADD041" w14:textId="68CBE52E" w:rsidR="00196808" w:rsidRPr="001D0ADC" w:rsidRDefault="00196808" w:rsidP="00196808">
            <w:pPr>
              <w:pStyle w:val="NoSpacing"/>
              <w:ind w:firstLine="0"/>
              <w:rPr>
                <w:color w:val="auto"/>
                <w:lang w:val="en-GB" w:eastAsia="cs-CZ"/>
              </w:rPr>
            </w:pPr>
            <w:r w:rsidRPr="001D0ADC">
              <w:rPr>
                <w:color w:val="auto"/>
                <w:lang w:val="en-GB" w:eastAsia="cs-CZ"/>
              </w:rPr>
              <w:t>LOEC for GST activity in gill</w:t>
            </w:r>
          </w:p>
        </w:tc>
        <w:tc>
          <w:tcPr>
            <w:tcW w:w="2633" w:type="dxa"/>
            <w:vMerge/>
            <w:tcBorders>
              <w:left w:val="nil"/>
              <w:bottom w:val="single" w:sz="4" w:space="0" w:color="auto"/>
              <w:right w:val="single" w:sz="4" w:space="0" w:color="auto"/>
            </w:tcBorders>
          </w:tcPr>
          <w:p w14:paraId="691B171E"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F52BB0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3DCFECA" w14:textId="77777777" w:rsidR="00196808" w:rsidRPr="001D0ADC" w:rsidRDefault="00196808" w:rsidP="00196808">
            <w:pPr>
              <w:pStyle w:val="NoSpacing"/>
              <w:ind w:firstLine="0"/>
              <w:rPr>
                <w:color w:val="auto"/>
                <w:lang w:val="en-GB" w:eastAsia="cs-CZ"/>
              </w:rPr>
            </w:pPr>
          </w:p>
        </w:tc>
      </w:tr>
      <w:tr w:rsidR="001D0ADC" w:rsidRPr="001D0ADC" w14:paraId="186EAC90"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C8704C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2CE7C31" w14:textId="32692A2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008</w:t>
            </w:r>
          </w:p>
        </w:tc>
        <w:tc>
          <w:tcPr>
            <w:tcW w:w="4520" w:type="dxa"/>
            <w:tcBorders>
              <w:top w:val="single" w:sz="4" w:space="0" w:color="auto"/>
              <w:left w:val="nil"/>
              <w:bottom w:val="single" w:sz="4" w:space="0" w:color="auto"/>
              <w:right w:val="single" w:sz="4" w:space="0" w:color="auto"/>
            </w:tcBorders>
            <w:shd w:val="clear" w:color="auto" w:fill="auto"/>
            <w:vAlign w:val="bottom"/>
          </w:tcPr>
          <w:p w14:paraId="167F2511" w14:textId="011AB832" w:rsidR="00196808" w:rsidRPr="001D0ADC" w:rsidRDefault="00196808" w:rsidP="00196808">
            <w:pPr>
              <w:pStyle w:val="NoSpacing"/>
              <w:ind w:firstLine="0"/>
              <w:rPr>
                <w:color w:val="auto"/>
                <w:lang w:val="en-GB" w:eastAsia="cs-CZ"/>
              </w:rPr>
            </w:pPr>
            <w:r w:rsidRPr="001D0ADC">
              <w:rPr>
                <w:color w:val="auto"/>
                <w:lang w:val="en-GB" w:eastAsia="cs-CZ"/>
              </w:rPr>
              <w:t>LOEC for HSP70 incr.</w:t>
            </w:r>
          </w:p>
        </w:tc>
        <w:tc>
          <w:tcPr>
            <w:tcW w:w="2633" w:type="dxa"/>
            <w:tcBorders>
              <w:left w:val="nil"/>
              <w:bottom w:val="single" w:sz="4" w:space="0" w:color="auto"/>
              <w:right w:val="single" w:sz="4" w:space="0" w:color="auto"/>
            </w:tcBorders>
          </w:tcPr>
          <w:p w14:paraId="26BDB8AC" w14:textId="6D955638" w:rsidR="00196808" w:rsidRPr="001D0ADC" w:rsidRDefault="00196808" w:rsidP="00196808">
            <w:pPr>
              <w:pStyle w:val="NoSpacing"/>
              <w:ind w:firstLine="0"/>
              <w:rPr>
                <w:color w:val="auto"/>
                <w:lang w:val="en-GB" w:eastAsia="cs-CZ"/>
              </w:rPr>
            </w:pPr>
            <w:r w:rsidRPr="001D0ADC">
              <w:rPr>
                <w:color w:val="auto"/>
                <w:lang w:val="en-GB" w:eastAsia="cs-CZ"/>
              </w:rPr>
              <w:t>Acute (PH)(OECD203)</w:t>
            </w:r>
          </w:p>
        </w:tc>
        <w:tc>
          <w:tcPr>
            <w:tcW w:w="1967" w:type="dxa"/>
            <w:tcBorders>
              <w:left w:val="single" w:sz="4" w:space="0" w:color="auto"/>
              <w:bottom w:val="single" w:sz="4" w:space="0" w:color="auto"/>
              <w:right w:val="single" w:sz="4" w:space="0" w:color="auto"/>
            </w:tcBorders>
          </w:tcPr>
          <w:p w14:paraId="57625A80" w14:textId="3EFE4DFC"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left w:val="single" w:sz="4" w:space="0" w:color="auto"/>
              <w:bottom w:val="single" w:sz="4" w:space="0" w:color="auto"/>
              <w:right w:val="single" w:sz="4" w:space="0" w:color="auto"/>
            </w:tcBorders>
            <w:shd w:val="clear" w:color="auto" w:fill="auto"/>
            <w:vAlign w:val="bottom"/>
          </w:tcPr>
          <w:p w14:paraId="7336CD4B" w14:textId="6E45C564"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{"citationID":"a1hguctu5lg","properties":{"formattedCitation":"(Beatriz Vieira Ramos Pereira et al. 2021)","plainCitation":"(Beatriz Vieira Ramos Pereira et al. 2021)","noteIndex":0},"citationItems":[{"id":1631,"uris":["http://zotero.org/users/11614927/items/CUDJW7EH"],"itemData":{"id":1631,"type":"article-journal","abstract":"The use of pharmaceutical drugs ends frequently in their inappropriate disposal and treatment at waste water treatment plants, which is the cause of their widespread presence in the environment. Yet, there is limited understanding or knowledge of their effects to non-target aquatic organisms. The drugs acetaminophen (analgesic and antipyretic) and propranolol (β-blocker) are widely found in the aquatic environment, where they can interact with non-target exposed organisms, causing adverse effects. Heat shock proteins (namely HSP70) are molecular chaperones which help to refold misfolded cellular proteins, and the increase in their in vivo levels indicates a change in the cell to counteract the proteotoxic effects of the triggered stress, namely which is consequent to exposure to toxicants. The objective of this study was to quantify the levels of liver HSP70 proteins in individuals of the neotropical fish species Phalloceros harpagos, acutely and chronically exposed to concentrations of acetaminophen and propranolol, in the range of those already determined to occur in the wild. Fish acutely exposed to acetaminophen (concentrations of 8, 80, 800, and 8000 μg L−1) and to propranolol (levels of 1, 10, and 1000 μg L−1) evidenced increased intensity of HSP70 immunolabeling in liver cells. Similarly, animals chronically exposed to propranolol, at concentrations of 0.0625, 0.125, 0.25, and 0.5 μg L−1, showed a comparable trend. This finding suggests the triggering of a cytoprotective effect that was effective in preventing cell death in exposed groups in relation to the control group. In contrast, chronic exposure to acetaminophen caused a decrease in HSP70 labeling intensity in fish hepatocytes (animals exposed to 5, 10, 20, 40, and 80 μg L−1), with no induction of DNA fragmentation in the nuclei of hepatocytes of these fish. Some of the hepatic HSP70 responses observed in this study were obtained at levels already reported to occur in the wild. Finally, this study showed how levels of acetaminophen at microliter concentration can exert side effects on non-target organisms after chronic exposure, suggesting that environmentally exposed organisms may be subjected to adverse conditions that modify the typical response pattern of HSP70 levels.","container-title":"Environmental Science and Pollution Research","DOI":"10.1007/s11356-020-11264-3","ISSN":"0944-1344, 1614-7499","issue":"9","journalAbbreviation":"Environ Sci Pollut Res","language":"en","page":"11233-11244","source":"DOI.org (Crossref)","title":"Immunodetection of heat shock protein 70 and cell death in liver of a neotropical fish acutely and chronically exposed to acetaminophen and propranolol","volume":"28","author":[{"family":"Pereira","given":"Beatriz Vieira Ramos"},{"family":"Da Silva-Zacarin","given":"Elaine Cristina Mathias"},{"family":"Costa","given":"Monica Jones"},{"family":"Dos Santos","given":"André Cordeiro Alves"},{"family":"Nunes","given":"Bruno"}],"issued":{"date-parts":[["2021",3]]}}}],"schema":"https://github.com/citation-style-language/schema/raw/master/csl-citation.json"}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(Beatriz Vieira Ramos Pereira et al. 2021)</w:t>
            </w:r>
            <w:r w:rsidRPr="001D0ADC">
              <w:rPr>
                <w:color w:val="auto"/>
                <w:lang w:val="en-GB" w:eastAsia="cs-CZ"/>
              </w:rPr>
              <w:fldChar w:fldCharType="end"/>
            </w:r>
          </w:p>
        </w:tc>
      </w:tr>
      <w:tr w:rsidR="001D0ADC" w:rsidRPr="001D0ADC" w14:paraId="712ABF2D"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0D2382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BC0BA5C" w14:textId="702D825C" w:rsidR="00196808" w:rsidRPr="001D0ADC" w:rsidRDefault="00196808" w:rsidP="00196808">
            <w:pPr>
              <w:pStyle w:val="NoSpacing"/>
              <w:ind w:firstLine="0"/>
              <w:rPr>
                <w:color w:val="auto"/>
                <w:lang w:val="en-GB" w:eastAsia="cs-CZ"/>
              </w:rPr>
            </w:pPr>
            <w:r w:rsidRPr="001D0ADC">
              <w:rPr>
                <w:color w:val="auto"/>
                <w:lang w:val="en-GB" w:eastAsia="cs-CZ"/>
              </w:rPr>
              <w:t>8</w:t>
            </w:r>
          </w:p>
        </w:tc>
        <w:tc>
          <w:tcPr>
            <w:tcW w:w="4520" w:type="dxa"/>
            <w:tcBorders>
              <w:top w:val="single" w:sz="4" w:space="0" w:color="auto"/>
              <w:left w:val="nil"/>
              <w:bottom w:val="single" w:sz="4" w:space="0" w:color="auto"/>
              <w:right w:val="single" w:sz="4" w:space="0" w:color="auto"/>
            </w:tcBorders>
            <w:shd w:val="clear" w:color="auto" w:fill="auto"/>
            <w:vAlign w:val="bottom"/>
          </w:tcPr>
          <w:p w14:paraId="3BBA29DF" w14:textId="39B30024" w:rsidR="00196808" w:rsidRPr="001D0ADC" w:rsidRDefault="00196808" w:rsidP="00196808">
            <w:pPr>
              <w:pStyle w:val="NoSpacing"/>
              <w:ind w:firstLine="0"/>
              <w:rPr>
                <w:color w:val="auto"/>
                <w:lang w:val="en-GB" w:eastAsia="cs-CZ"/>
              </w:rPr>
            </w:pPr>
            <w:r w:rsidRPr="001D0ADC">
              <w:rPr>
                <w:color w:val="auto"/>
                <w:lang w:val="en-GB" w:eastAsia="cs-CZ"/>
              </w:rPr>
              <w:t>NOEC for AChE activity</w:t>
            </w:r>
          </w:p>
        </w:tc>
        <w:tc>
          <w:tcPr>
            <w:tcW w:w="2633" w:type="dxa"/>
            <w:vMerge w:val="restart"/>
            <w:tcBorders>
              <w:left w:val="nil"/>
              <w:right w:val="single" w:sz="4" w:space="0" w:color="auto"/>
            </w:tcBorders>
          </w:tcPr>
          <w:p w14:paraId="6FE530AB" w14:textId="15CD5DBC" w:rsidR="00196808" w:rsidRPr="001D0ADC" w:rsidRDefault="00196808" w:rsidP="00196808">
            <w:pPr>
              <w:pStyle w:val="NoSpacing"/>
              <w:ind w:firstLine="0"/>
              <w:rPr>
                <w:color w:val="auto"/>
                <w:lang w:val="en-GB" w:eastAsia="cs-CZ"/>
              </w:rPr>
            </w:pPr>
            <w:r w:rsidRPr="001D0ADC">
              <w:rPr>
                <w:color w:val="auto"/>
                <w:lang w:val="en-GB" w:eastAsia="cs-CZ"/>
              </w:rPr>
              <w:t>Acute (PH)(OECD203)</w:t>
            </w:r>
          </w:p>
        </w:tc>
        <w:tc>
          <w:tcPr>
            <w:tcW w:w="1967" w:type="dxa"/>
            <w:vMerge w:val="restart"/>
            <w:tcBorders>
              <w:left w:val="single" w:sz="4" w:space="0" w:color="auto"/>
              <w:right w:val="single" w:sz="4" w:space="0" w:color="auto"/>
            </w:tcBorders>
          </w:tcPr>
          <w:p w14:paraId="4688F619" w14:textId="0291AEFF"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left w:val="single" w:sz="4" w:space="0" w:color="auto"/>
              <w:right w:val="single" w:sz="4" w:space="0" w:color="auto"/>
            </w:tcBorders>
            <w:shd w:val="clear" w:color="auto" w:fill="auto"/>
            <w:vAlign w:val="bottom"/>
          </w:tcPr>
          <w:p w14:paraId="0F55FF2B" w14:textId="28FB9E23"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{"citationID":"a26pk63doue","properties":{"formattedCitation":"(De Oliveira Dos Santos et al. 2020)","plainCitation":"(De Oliveira Dos Santos et al. 2020)","noteIndex":0},"citationItems":[{"id":1632,"uris":["http://zotero.org/users/11614927/items/SRWL2D6E"],"itemData":{"id":1632,"type":"article-journal","abstract":"Pharmaceutical drugs are usually and continuously carried to the aquatic environment in diﬀerent ways. Thus, they are pseudo-persistent in the environment, and they may exert deleterious eﬀects on aquatic organisms. The objective of the present study was to investigate the acute and chronic eﬀects of two widely used pharmaceutical drugs, paracetamol (analgesic and antipyretic) and propranolol (β-blocker) on the activity of speciﬁc biomarkers (namely cholinesterase enzymes and lactate dehydrogenase) of the neotropical ﬁsh Phalloceros harpagos. The obtained results indicate an inhibition of the activity of the enzyme lactate dehydrogenase (LDH) after acute exposure to paracetamol, and an increase in cholinesterase activity in acutely propranolol-exposed ﬁsh. Chronic exposure to both drugs did not modify the enzymatic activities. Such short-term changes in enzymatic activities may be harmful to organisms, altering the preferential pathway of energy metabolism, and may induce behavioral changes that may compromise prey capture and predator escape, and in the longer term may induce population declines.","container-title":"Comparative Biochemistry and Physiology Part C: Toxicology &amp; Pharmacology","DOI":"10.1016/j.cbpc.2019.108683","ISSN":"15320456","journalAbbreviation":"Comparative Biochemistry and Physiology Part C: Toxicology &amp; Pharmacology","language":"en","page":"108683","source":"DOI.org (Crossref)","title":"Neurotoxic and respiratory effects of human use drugs on a Neotropical fish species, Phalloceros harpagos","volume":"230","author":[{"family":"De Oliveira Dos Santos","given":"Paula Rodrigues"},{"family":"Costa","given":"Mônica Jones"},{"family":"Dos Santos","given":"André Cordeiro Alves"},{"family":"Silva-Zacarín","given":"Elaine C.M."},{"family":"Nunes","given":"Bruno"}],"issued":{"date-parts":[["2020",4]]}}}],"schema":"https://github.com/citation-style-language/schema/raw/master/csl-citation.json"}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(De Oliveira Dos Santos et al. 2020)</w:t>
            </w:r>
            <w:r w:rsidRPr="001D0ADC">
              <w:rPr>
                <w:color w:val="auto"/>
                <w:lang w:val="en-GB" w:eastAsia="cs-CZ"/>
              </w:rPr>
              <w:fldChar w:fldCharType="end"/>
            </w:r>
          </w:p>
        </w:tc>
      </w:tr>
      <w:tr w:rsidR="001D0ADC" w:rsidRPr="001D0ADC" w14:paraId="2689DDC6"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7CF2F8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25EA25B" w14:textId="53347400"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0008</w:t>
            </w:r>
          </w:p>
        </w:tc>
        <w:tc>
          <w:tcPr>
            <w:tcW w:w="4520" w:type="dxa"/>
            <w:tcBorders>
              <w:top w:val="single" w:sz="4" w:space="0" w:color="auto"/>
              <w:left w:val="nil"/>
              <w:bottom w:val="single" w:sz="4" w:space="0" w:color="auto"/>
              <w:right w:val="single" w:sz="4" w:space="0" w:color="auto"/>
            </w:tcBorders>
            <w:shd w:val="clear" w:color="auto" w:fill="auto"/>
            <w:vAlign w:val="bottom"/>
          </w:tcPr>
          <w:p w14:paraId="3387813C" w14:textId="24A62AAD" w:rsidR="00196808" w:rsidRPr="001D0ADC" w:rsidRDefault="00196808" w:rsidP="00196808">
            <w:pPr>
              <w:pStyle w:val="NoSpacing"/>
              <w:ind w:firstLine="0"/>
              <w:rPr>
                <w:color w:val="auto"/>
                <w:lang w:val="en-GB" w:eastAsia="cs-CZ"/>
              </w:rPr>
            </w:pPr>
            <w:r w:rsidRPr="001D0ADC">
              <w:rPr>
                <w:color w:val="auto"/>
                <w:lang w:val="en-GB" w:eastAsia="cs-CZ"/>
              </w:rPr>
              <w:t>LOEC for lactate dehydrogenase act.</w:t>
            </w:r>
          </w:p>
        </w:tc>
        <w:tc>
          <w:tcPr>
            <w:tcW w:w="2633" w:type="dxa"/>
            <w:vMerge/>
            <w:tcBorders>
              <w:left w:val="nil"/>
              <w:bottom w:val="single" w:sz="4" w:space="0" w:color="auto"/>
              <w:right w:val="single" w:sz="4" w:space="0" w:color="auto"/>
            </w:tcBorders>
          </w:tcPr>
          <w:p w14:paraId="70759E2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B4149AF"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2B4A0CE" w14:textId="77777777" w:rsidR="00196808" w:rsidRPr="001D0ADC" w:rsidRDefault="00196808" w:rsidP="00196808">
            <w:pPr>
              <w:pStyle w:val="NoSpacing"/>
              <w:ind w:firstLine="0"/>
              <w:rPr>
                <w:color w:val="auto"/>
                <w:lang w:val="en-GB" w:eastAsia="cs-CZ"/>
              </w:rPr>
            </w:pPr>
          </w:p>
        </w:tc>
      </w:tr>
      <w:tr w:rsidR="001D0ADC" w:rsidRPr="001D0ADC" w14:paraId="12F89BFB"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8CC051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5ECDF43" w14:textId="3F906E29" w:rsidR="00196808" w:rsidRPr="001D0ADC" w:rsidRDefault="00196808" w:rsidP="00196808">
            <w:pPr>
              <w:pStyle w:val="NoSpacing"/>
              <w:ind w:firstLine="0"/>
              <w:rPr>
                <w:color w:val="auto"/>
                <w:lang w:val="en-GB" w:eastAsia="cs-CZ"/>
              </w:rPr>
            </w:pPr>
            <w:r w:rsidRPr="001D0ADC">
              <w:rPr>
                <w:color w:val="auto"/>
                <w:lang w:val="en-GB" w:eastAsia="cs-CZ"/>
              </w:rPr>
              <w:t>150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3B3DC9E2" w14:textId="22DEE527" w:rsidR="00196808" w:rsidRPr="001D0ADC" w:rsidRDefault="00196808" w:rsidP="00196808">
            <w:pPr>
              <w:pStyle w:val="NoSpacing"/>
              <w:ind w:firstLine="0"/>
              <w:rPr>
                <w:color w:val="auto"/>
                <w:lang w:val="en-GB" w:eastAsia="cs-CZ"/>
              </w:rPr>
            </w:pPr>
            <w:r w:rsidRPr="001D0ADC">
              <w:rPr>
                <w:color w:val="auto"/>
                <w:lang w:val="en-GB" w:eastAsia="cs-CZ"/>
              </w:rPr>
              <w:t>LOEC for behavioral changes, downregulate the stress response</w:t>
            </w:r>
          </w:p>
        </w:tc>
        <w:tc>
          <w:tcPr>
            <w:tcW w:w="2633" w:type="dxa"/>
            <w:tcBorders>
              <w:left w:val="nil"/>
              <w:bottom w:val="single" w:sz="4" w:space="0" w:color="auto"/>
              <w:right w:val="single" w:sz="4" w:space="0" w:color="auto"/>
            </w:tcBorders>
          </w:tcPr>
          <w:p w14:paraId="4C76B3F3" w14:textId="5C09BCDE" w:rsidR="00196808" w:rsidRPr="001D0ADC" w:rsidRDefault="00196808" w:rsidP="00196808">
            <w:pPr>
              <w:pStyle w:val="NoSpacing"/>
              <w:ind w:firstLine="0"/>
              <w:rPr>
                <w:color w:val="auto"/>
                <w:lang w:val="en-GB" w:eastAsia="cs-CZ"/>
              </w:rPr>
            </w:pPr>
            <w:r w:rsidRPr="001D0ADC">
              <w:rPr>
                <w:color w:val="auto"/>
                <w:lang w:val="en-GB" w:eastAsia="cs-CZ"/>
              </w:rPr>
              <w:t>Acute (ZF)</w:t>
            </w:r>
          </w:p>
        </w:tc>
        <w:tc>
          <w:tcPr>
            <w:tcW w:w="1967" w:type="dxa"/>
            <w:tcBorders>
              <w:left w:val="single" w:sz="4" w:space="0" w:color="auto"/>
              <w:bottom w:val="single" w:sz="4" w:space="0" w:color="auto"/>
              <w:right w:val="single" w:sz="4" w:space="0" w:color="auto"/>
            </w:tcBorders>
          </w:tcPr>
          <w:p w14:paraId="00E24ABF" w14:textId="7C9F7739" w:rsidR="00196808" w:rsidRPr="001D0ADC" w:rsidRDefault="00196808" w:rsidP="00196808">
            <w:pPr>
              <w:pStyle w:val="NoSpacing"/>
              <w:ind w:firstLine="0"/>
              <w:rPr>
                <w:color w:val="auto"/>
                <w:lang w:val="en-GB" w:eastAsia="cs-CZ"/>
              </w:rPr>
            </w:pPr>
            <w:r w:rsidRPr="001D0ADC">
              <w:rPr>
                <w:color w:val="auto"/>
                <w:lang w:val="en-GB" w:eastAsia="cs-CZ"/>
              </w:rPr>
              <w:t>1h</w:t>
            </w:r>
          </w:p>
        </w:tc>
        <w:tc>
          <w:tcPr>
            <w:tcW w:w="2300" w:type="dxa"/>
            <w:tcBorders>
              <w:left w:val="single" w:sz="4" w:space="0" w:color="auto"/>
              <w:bottom w:val="single" w:sz="4" w:space="0" w:color="auto"/>
              <w:right w:val="single" w:sz="4" w:space="0" w:color="auto"/>
            </w:tcBorders>
            <w:shd w:val="clear" w:color="auto" w:fill="auto"/>
            <w:vAlign w:val="bottom"/>
          </w:tcPr>
          <w:p w14:paraId="045A3039" w14:textId="66074FAE"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{"citationID":"a13d4i3hrq","properties":{"formattedCitation":"(Giacomini et al. 2021)","plainCitation":"(Giacomini et al. 2021)","noteIndex":0},"citationItems":[{"id":1657,"uris":["http://zotero.org/users/11614927/items/KQG6S9SL"],"itemData":{"id":1657,"type":"article-journal","abstract":"Typically triggered by stress, anxiety disorders are most common and widespread mental illnesses. The zebrafish (Danio rerio) is rapidly becoming an important aquatic model species in stress research and central nervous system (CNS) drug screening. Paracetamol is currently the most prescribed medication for pain and fever, and is among the most used drugs globally. However, its CNS effects, especially on anxiety, in both clinical and animal studies remain poorly understood. Capitalizing on zebrafish as a powerful model system, here we evaluate the effects of paracetamol on anxiety-like behavior in adult fish, and its changes following an acute stress exposure. Overall, we report an anxiolytic-like profile of acute paracetamol treatment, and its alleviation of stress-evoked anxiety, in adult short-fin wild type zebrafish. Collectively, these findings suggest complex neuroactive effects of paracetamol, and reinforce the growing importance of zebrafish models for drug screening, including the search for novel putative anti-stress therapies.","container-title":"Behavioural Brain Research","DOI":"10.1016/j.bbr.2021.113293","ISSN":"01664328","journalAbbreviation":"Behavioural Brain Research","language":"en","page":"113293","source":"DOI.org (Crossref)","title":"Putative anxiolytic-like behavioral effects of acute paracetamol in adult zebrafish","volume":"409","author":[{"family":"Giacomini","given":"Ana C.V.V."},{"family":"Scolari","given":"Naiara"},{"family":"Marcon","given":"Leticia"},{"family":"Bueno","given":"Barbara W."},{"family":"Dos Santos","given":"Bruna E."},{"family":"Demin","given":"Konstantin A."},{"family":"Kalueff","given":"Allan V."},{"family":"De Abreu","given":"Murilo S."}],"issued":{"date-parts":[["2021",7]]}}}],"schema":"https://github.com/citation-style-language/schema/raw/master/csl-citation.json"}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(Giacomini et al. 2021)</w:t>
            </w:r>
            <w:r w:rsidRPr="001D0ADC">
              <w:rPr>
                <w:color w:val="auto"/>
                <w:lang w:val="en-GB" w:eastAsia="cs-CZ"/>
              </w:rPr>
              <w:fldChar w:fldCharType="end"/>
            </w:r>
          </w:p>
        </w:tc>
      </w:tr>
      <w:tr w:rsidR="001D0ADC" w:rsidRPr="001D0ADC" w14:paraId="01019101"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51E33E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2B8DAFC" w14:textId="73F8DF2F"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8B5E1BE" w14:textId="4A52A59F" w:rsidR="00196808" w:rsidRPr="001D0ADC" w:rsidRDefault="00196808" w:rsidP="00196808">
            <w:pPr>
              <w:pStyle w:val="NoSpacing"/>
              <w:ind w:firstLine="0"/>
              <w:rPr>
                <w:color w:val="auto"/>
                <w:lang w:val="en-GB" w:eastAsia="cs-CZ"/>
              </w:rPr>
            </w:pPr>
            <w:r w:rsidRPr="001D0ADC">
              <w:rPr>
                <w:color w:val="auto"/>
                <w:lang w:val="en-GB" w:eastAsia="cs-CZ"/>
              </w:rPr>
              <w:t>LOEC for SIRT/PXR gene expression, metabolic enzyme gene expression, metabolic enzyme activity, in liver</w:t>
            </w:r>
          </w:p>
        </w:tc>
        <w:tc>
          <w:tcPr>
            <w:tcW w:w="2633" w:type="dxa"/>
            <w:tcBorders>
              <w:left w:val="nil"/>
              <w:bottom w:val="single" w:sz="4" w:space="0" w:color="auto"/>
              <w:right w:val="single" w:sz="4" w:space="0" w:color="auto"/>
            </w:tcBorders>
          </w:tcPr>
          <w:p w14:paraId="24A21AF4" w14:textId="10B60B7C" w:rsidR="00196808" w:rsidRPr="001D0ADC" w:rsidRDefault="00196808" w:rsidP="00196808">
            <w:pPr>
              <w:pStyle w:val="NoSpacing"/>
              <w:ind w:firstLine="0"/>
              <w:rPr>
                <w:color w:val="auto"/>
                <w:lang w:val="en-GB" w:eastAsia="cs-CZ"/>
              </w:rPr>
            </w:pPr>
            <w:r w:rsidRPr="001D0ADC">
              <w:rPr>
                <w:color w:val="auto"/>
                <w:lang w:val="en-GB" w:eastAsia="cs-CZ"/>
              </w:rPr>
              <w:t>Acute (MC)</w:t>
            </w:r>
          </w:p>
        </w:tc>
        <w:tc>
          <w:tcPr>
            <w:tcW w:w="1967" w:type="dxa"/>
            <w:tcBorders>
              <w:left w:val="single" w:sz="4" w:space="0" w:color="auto"/>
              <w:bottom w:val="single" w:sz="4" w:space="0" w:color="auto"/>
              <w:right w:val="single" w:sz="4" w:space="0" w:color="auto"/>
            </w:tcBorders>
          </w:tcPr>
          <w:p w14:paraId="79F0CFD0" w14:textId="67C664B0" w:rsidR="00196808" w:rsidRPr="001D0ADC" w:rsidRDefault="00196808" w:rsidP="00196808">
            <w:pPr>
              <w:pStyle w:val="NoSpacing"/>
              <w:ind w:firstLine="0"/>
              <w:rPr>
                <w:color w:val="auto"/>
                <w:lang w:val="en-GB" w:eastAsia="cs-CZ"/>
              </w:rPr>
            </w:pPr>
            <w:r w:rsidRPr="001D0ADC">
              <w:rPr>
                <w:color w:val="auto"/>
                <w:lang w:val="en-GB" w:eastAsia="cs-CZ"/>
              </w:rPr>
              <w:t>24h up to 168h</w:t>
            </w:r>
          </w:p>
        </w:tc>
        <w:tc>
          <w:tcPr>
            <w:tcW w:w="2300" w:type="dxa"/>
            <w:tcBorders>
              <w:left w:val="single" w:sz="4" w:space="0" w:color="auto"/>
              <w:bottom w:val="single" w:sz="4" w:space="0" w:color="auto"/>
              <w:right w:val="single" w:sz="4" w:space="0" w:color="auto"/>
            </w:tcBorders>
            <w:shd w:val="clear" w:color="auto" w:fill="auto"/>
            <w:vAlign w:val="bottom"/>
          </w:tcPr>
          <w:p w14:paraId="26616237" w14:textId="6AC88D50"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{"citationID":"a34i8goi08","properties":{"formattedCitation":"(Meinan et al. 2022)","plainCitation":"(Meinan et al. 2022)","noteIndex":0},"citationItems":[{"id":1637,"uris":["http://zotero.org/users/11614927/items/XJXVK36B"],"itemData":{"id":1637,"type":"article-journal","abstract":"Paracetamol (APAP) is one of the most widely used non-steroidal anti-inflammatory drugs, which is frequently detected in various water bodies. Studies are limited about its toxic effects and mechanisms on non-target aquatic organisms. In this study, an estuarine bottom-dwelling fish named Mugilogobius chulae, distributed in southern China, was selected as experimental species and the changes of PXR signaling pathway, a key signaling pathway of detoxification metabolic system in liver, were investigated under APAP exposure (0.5 μg</w:instrText>
            </w:r>
            <w:r w:rsidRPr="001D0ADC">
              <w:rPr>
                <w:rFonts w:ascii="Cambria Math" w:hAnsi="Cambria Math" w:cs="Cambria Math"/>
                <w:color w:val="auto"/>
                <w:lang w:val="en-GB" w:eastAsia="cs-CZ"/>
              </w:rPr>
              <w:instrText>⋅</w:instrText>
            </w:r>
            <w:r w:rsidRPr="001D0ADC">
              <w:rPr>
                <w:color w:val="auto"/>
                <w:lang w:val="en-GB" w:eastAsia="cs-CZ"/>
              </w:rPr>
              <w:instrText>L</w:instrText>
            </w:r>
            <w:r w:rsidRPr="001D0ADC">
              <w:rPr>
                <w:rFonts w:cs="Times New Roman"/>
                <w:color w:val="auto"/>
                <w:lang w:val="en-GB" w:eastAsia="cs-CZ"/>
              </w:rPr>
              <w:instrText>−</w:instrText>
            </w:r>
            <w:r w:rsidRPr="001D0ADC">
              <w:rPr>
                <w:color w:val="auto"/>
                <w:lang w:val="en-GB" w:eastAsia="cs-CZ"/>
              </w:rPr>
              <w:instrText xml:space="preserve"> 1, 5 </w:instrText>
            </w:r>
            <w:r w:rsidRPr="001D0ADC">
              <w:rPr>
                <w:rFonts w:cs="Times New Roman"/>
                <w:color w:val="auto"/>
                <w:lang w:val="en-GB" w:eastAsia="cs-CZ"/>
              </w:rPr>
              <w:instrText>μ</w:instrText>
            </w:r>
            <w:r w:rsidRPr="001D0ADC">
              <w:rPr>
                <w:color w:val="auto"/>
                <w:lang w:val="en-GB" w:eastAsia="cs-CZ"/>
              </w:rPr>
              <w:instrText>g</w:instrText>
            </w:r>
            <w:r w:rsidRPr="001D0ADC">
              <w:rPr>
                <w:rFonts w:ascii="Cambria Math" w:hAnsi="Cambria Math" w:cs="Cambria Math"/>
                <w:color w:val="auto"/>
                <w:lang w:val="en-GB" w:eastAsia="cs-CZ"/>
              </w:rPr>
              <w:instrText>⋅</w:instrText>
            </w:r>
            <w:r w:rsidRPr="001D0ADC">
              <w:rPr>
                <w:color w:val="auto"/>
                <w:lang w:val="en-GB" w:eastAsia="cs-CZ"/>
              </w:rPr>
              <w:instrText>L</w:instrText>
            </w:r>
            <w:r w:rsidRPr="001D0ADC">
              <w:rPr>
                <w:rFonts w:cs="Times New Roman"/>
                <w:color w:val="auto"/>
                <w:lang w:val="en-GB" w:eastAsia="cs-CZ"/>
              </w:rPr>
              <w:instrText>−</w:instrText>
            </w:r>
            <w:r w:rsidRPr="001D0ADC">
              <w:rPr>
                <w:color w:val="auto"/>
                <w:lang w:val="en-GB" w:eastAsia="cs-CZ"/>
              </w:rPr>
              <w:instrText xml:space="preserve"> 1, 50 </w:instrText>
            </w:r>
            <w:r w:rsidRPr="001D0ADC">
              <w:rPr>
                <w:rFonts w:cs="Times New Roman"/>
                <w:color w:val="auto"/>
                <w:lang w:val="en-GB" w:eastAsia="cs-CZ"/>
              </w:rPr>
              <w:instrText>μ</w:instrText>
            </w:r>
            <w:r w:rsidRPr="001D0ADC">
              <w:rPr>
                <w:color w:val="auto"/>
                <w:lang w:val="en-GB" w:eastAsia="cs-CZ"/>
              </w:rPr>
              <w:instrText>g</w:instrText>
            </w:r>
            <w:r w:rsidRPr="001D0ADC">
              <w:rPr>
                <w:rFonts w:ascii="Cambria Math" w:hAnsi="Cambria Math" w:cs="Cambria Math"/>
                <w:color w:val="auto"/>
                <w:lang w:val="en-GB" w:eastAsia="cs-CZ"/>
              </w:rPr>
              <w:instrText>⋅</w:instrText>
            </w:r>
            <w:r w:rsidRPr="001D0ADC">
              <w:rPr>
                <w:color w:val="auto"/>
                <w:lang w:val="en-GB" w:eastAsia="cs-CZ"/>
              </w:rPr>
              <w:instrText>L</w:instrText>
            </w:r>
            <w:r w:rsidRPr="001D0ADC">
              <w:rPr>
                <w:rFonts w:cs="Times New Roman"/>
                <w:color w:val="auto"/>
                <w:lang w:val="en-GB" w:eastAsia="cs-CZ"/>
              </w:rPr>
              <w:instrText>−</w:instrText>
            </w:r>
            <w:r w:rsidRPr="001D0ADC">
              <w:rPr>
                <w:color w:val="auto"/>
                <w:lang w:val="en-GB" w:eastAsia="cs-CZ"/>
              </w:rPr>
              <w:instrText xml:space="preserve"> 1 and 500 </w:instrText>
            </w:r>
            <w:r w:rsidRPr="001D0ADC">
              <w:rPr>
                <w:rFonts w:cs="Times New Roman"/>
                <w:color w:val="auto"/>
                <w:lang w:val="en-GB" w:eastAsia="cs-CZ"/>
              </w:rPr>
              <w:instrText>μ</w:instrText>
            </w:r>
            <w:r w:rsidRPr="001D0ADC">
              <w:rPr>
                <w:color w:val="auto"/>
                <w:lang w:val="en-GB" w:eastAsia="cs-CZ"/>
              </w:rPr>
              <w:instrText>g</w:instrText>
            </w:r>
            <w:r w:rsidRPr="001D0ADC">
              <w:rPr>
                <w:rFonts w:ascii="Cambria Math" w:hAnsi="Cambria Math" w:cs="Cambria Math"/>
                <w:color w:val="auto"/>
                <w:lang w:val="en-GB" w:eastAsia="cs-CZ"/>
              </w:rPr>
              <w:instrText>⋅</w:instrText>
            </w:r>
            <w:r w:rsidRPr="001D0ADC">
              <w:rPr>
                <w:color w:val="auto"/>
                <w:lang w:val="en-GB" w:eastAsia="cs-CZ"/>
              </w:rPr>
              <w:instrText>L</w:instrText>
            </w:r>
            <w:r w:rsidRPr="001D0ADC">
              <w:rPr>
                <w:rFonts w:cs="Times New Roman"/>
                <w:color w:val="auto"/>
                <w:lang w:val="en-GB" w:eastAsia="cs-CZ"/>
              </w:rPr>
              <w:instrText>−</w:instrText>
            </w:r>
            <w:r w:rsidRPr="001D0ADC">
              <w:rPr>
                <w:color w:val="auto"/>
                <w:lang w:val="en-GB" w:eastAsia="cs-CZ"/>
              </w:rPr>
              <w:instrText xml:space="preserve"> 1) for 24 h, 72 h and 168 h. Results showed that the key genes (e.g., P-gp, MRP1, CYP1A, CYP3A, GST and SULT) and the enzymatic activities of GST, EROD and ERND in PXR signaling pathway were induced to meet the requirements of detoxification metabolism. By up-regulating the expression of GCLC gene, the reductive small molecule GSH can be rapidly synthesized to counteract the attack of free radicals produced by APAP exposure. The expressions of SIRT1 and SIRT2 proteins decreased, while the expressions of most genes in PXR signaling pathway increased. It was speculated that the expression of PXR and its downstream target genes may be regulated epigenetically by SIRT1 and SIRT2. Studies showed that the exposure to environmental relevant concentrations of APAP can affect the detoxification metabolism of non-target organisms such as Mugilogobius chulae.","container-title":"Aquatic Toxicology","DOI":"10.1016/j.aquatox.2022.106222","ISSN":"0166445X","journalAbbreviation":"Aquatic Toxicology","language":"en","page":"106222","source":"DOI.org (Crossref)","title":"Response of the Sirtuin/PXR signaling pathway in Mugilogobius chulae exposed to environmentally relevant concentration Paracetamol","volume":"249","author":[{"family":"Meinan","given":"Xie"},{"family":"Yimeng","given":"Wang"},{"family":"Chao","given":"Wang"},{"family":"Tianli","given":"Tang"},{"family":"Li","given":"Jianjun"},{"family":"Peng","given":"Ying"},{"family":"Xiangping","given":"Nie"}],"issued":{"date-parts":[["2022",8]]}}}],"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(Meinan et al. 2022)</w:t>
            </w:r>
            <w:r w:rsidRPr="001D0ADC">
              <w:rPr>
                <w:color w:val="auto"/>
                <w:lang w:val="en-GB" w:eastAsia="cs-CZ"/>
              </w:rPr>
              <w:fldChar w:fldCharType="end"/>
            </w:r>
          </w:p>
        </w:tc>
      </w:tr>
      <w:tr w:rsidR="001D0ADC" w:rsidRPr="001D0ADC" w14:paraId="7AEFEEE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DE9F42B"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6348CD11" w14:textId="79262E21"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with ZF</w:t>
            </w:r>
            <w:r w:rsidR="000F6A8E" w:rsidRPr="001D0ADC">
              <w:rPr>
                <w:b/>
                <w:bCs/>
                <w:color w:val="auto"/>
                <w:lang w:val="en-GB" w:eastAsia="cs-CZ"/>
              </w:rPr>
              <w:t xml:space="preserve"> (mg/l)</w:t>
            </w:r>
          </w:p>
        </w:tc>
      </w:tr>
      <w:tr w:rsidR="001D0ADC" w:rsidRPr="001D0ADC" w14:paraId="55376E3E"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1ACD2B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E1C4BFC" w14:textId="65593E1B" w:rsidR="00196808" w:rsidRPr="001D0ADC" w:rsidRDefault="00196808" w:rsidP="00196808">
            <w:pPr>
              <w:pStyle w:val="NoSpacing"/>
              <w:ind w:firstLine="0"/>
              <w:rPr>
                <w:color w:val="auto"/>
                <w:lang w:val="en-GB" w:eastAsia="cs-CZ"/>
              </w:rPr>
            </w:pPr>
            <w:r w:rsidRPr="001D0ADC">
              <w:rPr>
                <w:color w:val="auto"/>
                <w:lang w:val="en-GB" w:eastAsia="cs-CZ"/>
              </w:rPr>
              <w:t>68</w:t>
            </w:r>
            <w:r w:rsidR="00CF2036" w:rsidRPr="001D0ADC">
              <w:rPr>
                <w:color w:val="auto"/>
                <w:lang w:val="en-GB" w:eastAsia="cs-CZ"/>
              </w:rPr>
              <w:t>9.</w:t>
            </w:r>
            <w:r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E9BE168" w14:textId="77777777" w:rsidR="00196808" w:rsidRPr="001D0ADC" w:rsidRDefault="00196808" w:rsidP="00196808">
            <w:pPr>
              <w:pStyle w:val="NoSpacing"/>
              <w:ind w:firstLine="0"/>
              <w:rPr>
                <w:color w:val="auto"/>
                <w:lang w:val="en-GB" w:eastAsia="cs-CZ"/>
              </w:rPr>
            </w:pPr>
            <w:r w:rsidRPr="001D0ADC">
              <w:rPr>
                <w:color w:val="auto"/>
                <w:lang w:val="en-GB" w:eastAsia="cs-CZ"/>
              </w:rPr>
              <w:t>LC10</w:t>
            </w:r>
          </w:p>
        </w:tc>
        <w:tc>
          <w:tcPr>
            <w:tcW w:w="2633" w:type="dxa"/>
            <w:vMerge w:val="restart"/>
            <w:tcBorders>
              <w:top w:val="single" w:sz="4" w:space="0" w:color="auto"/>
              <w:left w:val="nil"/>
              <w:right w:val="single" w:sz="4" w:space="0" w:color="auto"/>
            </w:tcBorders>
          </w:tcPr>
          <w:p w14:paraId="1D232AF9"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69346447" w14:textId="77777777" w:rsidR="00196808" w:rsidRPr="001D0ADC" w:rsidRDefault="00196808" w:rsidP="00196808">
            <w:pPr>
              <w:pStyle w:val="NoSpacing"/>
              <w:ind w:firstLine="0"/>
              <w:rPr>
                <w:color w:val="auto"/>
                <w:lang w:val="en-GB" w:eastAsia="cs-CZ"/>
              </w:rPr>
            </w:pPr>
            <w:r w:rsidRPr="001D0ADC">
              <w:rPr>
                <w:color w:val="auto"/>
                <w:lang w:val="en-GB" w:eastAsia="cs-CZ"/>
              </w:rPr>
              <w:t>72hpf to 122hpf – 48h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9F7DF1F"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{"citationID":"nrHVZoUm","properties":{"formattedCitation":"(He et al. 2013)","plainCitation":"(He et al. 2013)","noteIndex":0},"citationItems":[{"id":1182,"uris":["http://zotero.org/users/11614927/items/H53K4GLA"],"itemData":{"id":1182,"type":"article-journal","abstract":"Introduction: Numerous studies have conﬁrmed that zebraﬁsh and mammalian toxicity proﬁles are strikingly similar and the transparency of larval zebraﬁsh permits direct in vivo assessment of drug toxicity including hepatotoxicity in zebraﬁsh. Methods: Hepatotoxicity of 6 known mammalian hepatotoxic drugs (acetaminophen [APAP], aspirin, tetracycline HCl, sodium valproate, cyclophosphamide and erythromycin) and 2 non-hepatotoxic compounds (sucrose and biotin) were quantitatively assessed in larval zebraﬁsh using three speciﬁc phenotypic endpoints of hepatotoxicity: liver degeneration, changes in liver size and yolk sac retention. Zebraﬁsh liver degeneration was originally screened visually, quantiﬁed using an image-based morphometric analysis and conﬁrmed by histopathology. Results: All the tested mammalian hepatotoxic drugs induced liver degeneration, reduced liver size and delayed yolk sac absorption in larval zebraﬁsh, whereas the non-hepatotoxic compounds did not have observable adverse effect on zebraﬁsh liver. The overall prediction success rate for hepatotoxic drugs and non-hepatotoxic compounds in zebraﬁsh was 100% (8/8) as compared with mammalian results, suggesting that hepatotoxic drugs in mammals also caused similar hepatotoxicity in zebraﬁsh. Discussion: Larval zebraﬁsh phenotypic assay is a highly predictive animal model for rapidly in vivo assessment of compound hepatotoxicity. This convenient, reproducible animal model saves time and money for drug discovery and can serve as an intermediate step between cell-based evaluation and conventional animal testing of hepatotoxicity.","container-title":"Journal of Pharmacological and Toxicological Methods","DOI":"10.1016/j.vascn.2012.10.003","ISSN":"10568719","issue":"1","journalAbbreviation":"Journal of Pharmacological and Toxicological Methods","language":"en","page":"25-32","source":"DOI.org (Crossref)","title":"A zebrafish phenotypic assay for assessing drug-induced hepatotoxicity","volume":"67","author":[{"family":"He","given":"Jian-Hui"},{"family":"Guo","given":"Sheng-Ya"},{"family":"Zhu","given":"Feng"},{"family":"Zhu","given":"Jun-Jing"},{"family":"Chen","given":"Yun-Xiang"},{"family":"Huang","given":"Chang-Jiang"},{"family":"Gao","given":"Ji-Min"},{"family":"Dong","given":"Qiao-Xiang"},{"family":"Xuan","given":"Yao-Xian"},{"family":"Li","given":"Chun-Qi"}],"issued":{"date-parts":[["2013",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(He et al. 2013)</w:t>
            </w:r>
            <w:r w:rsidRPr="001D0ADC">
              <w:rPr>
                <w:color w:val="auto"/>
                <w:lang w:val="en-GB" w:eastAsia="cs-CZ"/>
              </w:rPr>
              <w:fldChar w:fldCharType="end"/>
            </w:r>
          </w:p>
        </w:tc>
      </w:tr>
      <w:tr w:rsidR="001D0ADC" w:rsidRPr="001D0ADC" w14:paraId="7C6CBEC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A8D336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5F94844" w14:textId="6C7C79AD" w:rsidR="00196808" w:rsidRPr="001D0ADC" w:rsidRDefault="00CF2036" w:rsidP="00196808">
            <w:pPr>
              <w:pStyle w:val="NoSpacing"/>
              <w:ind w:firstLine="0"/>
              <w:rPr>
                <w:color w:val="auto"/>
                <w:lang w:val="en-GB" w:eastAsia="cs-CZ"/>
              </w:rPr>
            </w:pPr>
            <w:r w:rsidRPr="001D0ADC">
              <w:rPr>
                <w:color w:val="auto"/>
                <w:lang w:val="en-GB" w:eastAsia="cs-CZ"/>
              </w:rPr>
              <w:t>2.</w:t>
            </w:r>
            <w:r w:rsidR="00196808" w:rsidRPr="001D0ADC">
              <w:rPr>
                <w:color w:val="auto"/>
                <w:lang w:val="en-GB" w:eastAsia="cs-CZ"/>
              </w:rPr>
              <w:t>4</w:t>
            </w:r>
          </w:p>
        </w:tc>
        <w:tc>
          <w:tcPr>
            <w:tcW w:w="4520" w:type="dxa"/>
            <w:tcBorders>
              <w:top w:val="single" w:sz="4" w:space="0" w:color="auto"/>
              <w:left w:val="nil"/>
              <w:bottom w:val="single" w:sz="4" w:space="0" w:color="auto"/>
              <w:right w:val="single" w:sz="4" w:space="0" w:color="auto"/>
            </w:tcBorders>
            <w:shd w:val="clear" w:color="auto" w:fill="auto"/>
            <w:vAlign w:val="bottom"/>
          </w:tcPr>
          <w:p w14:paraId="6756105F" w14:textId="77777777" w:rsidR="00196808" w:rsidRPr="001D0ADC" w:rsidRDefault="00196808" w:rsidP="00196808">
            <w:pPr>
              <w:pStyle w:val="NoSpacing"/>
              <w:ind w:firstLine="0"/>
              <w:rPr>
                <w:color w:val="auto"/>
                <w:lang w:val="en-GB" w:eastAsia="cs-CZ"/>
              </w:rPr>
            </w:pPr>
            <w:r w:rsidRPr="001D0ADC">
              <w:rPr>
                <w:color w:val="auto"/>
                <w:lang w:val="en-GB" w:eastAsia="cs-CZ"/>
              </w:rPr>
              <w:t>LOEC liver degeneration</w:t>
            </w:r>
          </w:p>
        </w:tc>
        <w:tc>
          <w:tcPr>
            <w:tcW w:w="2633" w:type="dxa"/>
            <w:vMerge/>
            <w:tcBorders>
              <w:left w:val="nil"/>
              <w:bottom w:val="single" w:sz="4" w:space="0" w:color="auto"/>
              <w:right w:val="single" w:sz="4" w:space="0" w:color="auto"/>
            </w:tcBorders>
          </w:tcPr>
          <w:p w14:paraId="6BBF0B2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B1B3CDF"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EFAF3ED" w14:textId="77777777" w:rsidR="00196808" w:rsidRPr="001D0ADC" w:rsidRDefault="00196808" w:rsidP="00196808">
            <w:pPr>
              <w:pStyle w:val="NoSpacing"/>
              <w:ind w:firstLine="0"/>
              <w:rPr>
                <w:color w:val="auto"/>
                <w:lang w:val="en-GB" w:eastAsia="cs-CZ"/>
              </w:rPr>
            </w:pPr>
          </w:p>
        </w:tc>
      </w:tr>
      <w:tr w:rsidR="001D0ADC" w:rsidRPr="001D0ADC" w14:paraId="74E6E9D6"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2E0103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8DBF1AB" w14:textId="77777777" w:rsidR="00196808" w:rsidRPr="001D0ADC" w:rsidRDefault="00196808" w:rsidP="00196808">
            <w:pPr>
              <w:pStyle w:val="NoSpacing"/>
              <w:ind w:firstLine="0"/>
              <w:rPr>
                <w:color w:val="auto"/>
                <w:lang w:val="en-GB" w:eastAsia="cs-CZ"/>
              </w:rPr>
            </w:pPr>
            <w:r w:rsidRPr="001D0ADC">
              <w:rPr>
                <w:color w:val="auto"/>
                <w:lang w:val="en-GB" w:eastAsia="cs-CZ"/>
              </w:rPr>
              <w:t>250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48D2EA30" w14:textId="77777777" w:rsidR="00196808" w:rsidRPr="001D0ADC" w:rsidRDefault="00196808" w:rsidP="00196808">
            <w:pPr>
              <w:pStyle w:val="NoSpacing"/>
              <w:ind w:firstLine="0"/>
              <w:rPr>
                <w:color w:val="auto"/>
                <w:lang w:val="en-GB" w:eastAsia="cs-CZ"/>
              </w:rPr>
            </w:pPr>
            <w:r w:rsidRPr="001D0ADC">
              <w:rPr>
                <w:color w:val="auto"/>
                <w:lang w:val="en-GB" w:eastAsia="cs-CZ"/>
              </w:rPr>
              <w:t>NOEC for malformations</w:t>
            </w:r>
          </w:p>
        </w:tc>
        <w:tc>
          <w:tcPr>
            <w:tcW w:w="2633" w:type="dxa"/>
            <w:vMerge w:val="restart"/>
            <w:tcBorders>
              <w:top w:val="single" w:sz="4" w:space="0" w:color="auto"/>
              <w:left w:val="nil"/>
              <w:right w:val="single" w:sz="4" w:space="0" w:color="auto"/>
            </w:tcBorders>
          </w:tcPr>
          <w:p w14:paraId="5E6F0EB3"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6593CC01" w14:textId="77777777" w:rsidR="00196808" w:rsidRPr="001D0ADC" w:rsidRDefault="00196808" w:rsidP="00196808">
            <w:pPr>
              <w:pStyle w:val="NoSpacing"/>
              <w:ind w:firstLine="0"/>
              <w:rPr>
                <w:color w:val="auto"/>
                <w:lang w:val="en-GB" w:eastAsia="cs-CZ"/>
              </w:rPr>
            </w:pPr>
            <w:r w:rsidRPr="001D0ADC">
              <w:rPr>
                <w:color w:val="auto"/>
                <w:lang w:val="en-GB" w:eastAsia="cs-CZ"/>
              </w:rPr>
              <w:t>6d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206408A"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{"citationID":"b9rBGl4W","properties":{"formattedCitation":"(Selderslaghs et al. 2013)","plainCitation":"(Selderslaghs et al. 2013)","noteIndex":0},"citationItems":[{"id":1184,"uris":["http://zotero.org/users/11614927/items/PCTIJUFC"],"itemData":{"id":1184,"type":"article-journal","abstract":"The developmental neurotoxic potential of the majority of environmental chemicals and drugs is currently undetermined. Speciﬁc in vivo studies provide useful data for hazard assessment but are not amenable to screen thousands of untested compounds. In this study, methods which use zebraﬁsh embryos, eleutheroembryos and larvae as model organisms, were proposed as alternatives for developmental neurotoxicity (DNT) testing. The evaluation of spontaneous tail coilings in zebraﬁsh embryos aged 24–26 hours post fertilization (hpf) and the swimming activity of eleutheroembryos at 120 and larvae at 144 hpf, i.e. parameters for locomotor activity, were investigated as potential endpoints for DNT testing, according to available standard protocols. The overall performance and predictive value of these methods was then examined by testing a training set of 10 compounds, including known developmental neurotoxicants and compounds not considered to be neurotoxic. The classiﬁcation of the selected compounds as either neurotoxic or non-neurotoxic, based on the effects observed in zebraﬁsh embryos and larvae, was compared to available mammalian data and an overall concordance of 90% was achieved. Furthermore, the speciﬁcity of the selected endpoints for DNT was evaluated as well as the potential similarities between zebraﬁsh and mammals with regard to mechanisms of action for the selected compounds. Although further studies, including the screening of a large testing set of compounds are required, we suggest that the proposed methods with zebraﬁsh embryos and larvae might be valuable alternatives for animal testing for the screening and prioritization of compounds for DNT.","container-title":"Neurotoxicology and Teratology","DOI":"10.1016/j.ntt.2013.01.003","ISSN":"08920362","journalAbbreviation":"Neurotoxicology and Teratology","language":"en","page":"44-56","source":"DOI.org (Crossref)","title":"Assessment of the developmental neurotoxicity of compounds by measuring locomotor activity in zebrafish embryos and larvae","volume":"37","author":[{"family":"Selderslaghs","given":"Ingrid W.T."},{"family":"Hooyberghs","given":"Jef"},{"family":"Blust","given":"Ronny"},{"family":"Witters","given":"Hilda E."}],"issued":{"date-parts":[["2013",5]]}}}],"schema":"https://github.com/citation-style-language/schema/raw/master/csl-citation.json"}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(Selderslaghs et al. 2013)</w:t>
            </w:r>
            <w:r w:rsidRPr="001D0ADC">
              <w:rPr>
                <w:color w:val="auto"/>
                <w:lang w:val="en-GB" w:eastAsia="cs-CZ"/>
              </w:rPr>
              <w:fldChar w:fldCharType="end"/>
            </w:r>
          </w:p>
        </w:tc>
      </w:tr>
      <w:tr w:rsidR="001D0ADC" w:rsidRPr="001D0ADC" w14:paraId="513CC02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9A5B2B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4C73AE7" w14:textId="77777777" w:rsidR="00196808" w:rsidRPr="001D0ADC" w:rsidRDefault="00196808" w:rsidP="00196808">
            <w:pPr>
              <w:pStyle w:val="NoSpacing"/>
              <w:ind w:firstLine="0"/>
              <w:rPr>
                <w:color w:val="auto"/>
                <w:lang w:val="en-GB" w:eastAsia="cs-CZ"/>
              </w:rPr>
            </w:pPr>
            <w:r w:rsidRPr="001D0ADC">
              <w:rPr>
                <w:color w:val="auto"/>
                <w:lang w:val="en-GB" w:eastAsia="cs-CZ"/>
              </w:rPr>
              <w:t>500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2A2B90E0"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NOEC for spontaneous tail movements, swimming activity </w:t>
            </w:r>
          </w:p>
        </w:tc>
        <w:tc>
          <w:tcPr>
            <w:tcW w:w="2633" w:type="dxa"/>
            <w:vMerge/>
            <w:tcBorders>
              <w:left w:val="nil"/>
              <w:bottom w:val="single" w:sz="4" w:space="0" w:color="auto"/>
              <w:right w:val="single" w:sz="4" w:space="0" w:color="auto"/>
            </w:tcBorders>
          </w:tcPr>
          <w:p w14:paraId="6461BCDC"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14973BCF"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8DE3FA8" w14:textId="77777777" w:rsidR="00196808" w:rsidRPr="001D0ADC" w:rsidRDefault="00196808" w:rsidP="00196808">
            <w:pPr>
              <w:pStyle w:val="NoSpacing"/>
              <w:ind w:firstLine="0"/>
              <w:rPr>
                <w:color w:val="auto"/>
                <w:lang w:val="en-GB" w:eastAsia="cs-CZ"/>
              </w:rPr>
            </w:pPr>
          </w:p>
        </w:tc>
      </w:tr>
      <w:tr w:rsidR="001D0ADC" w:rsidRPr="001D0ADC" w14:paraId="44B86DB6"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2A3C9B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07E6ADE" w14:textId="1414ADAF"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0CD68405" w14:textId="77777777" w:rsidR="00196808" w:rsidRPr="001D0ADC" w:rsidRDefault="00196808" w:rsidP="00196808">
            <w:pPr>
              <w:pStyle w:val="NoSpacing"/>
              <w:ind w:firstLine="0"/>
              <w:rPr>
                <w:color w:val="auto"/>
                <w:lang w:val="en-GB" w:eastAsia="cs-CZ"/>
              </w:rPr>
            </w:pPr>
            <w:r w:rsidRPr="001D0ADC">
              <w:rPr>
                <w:color w:val="auto"/>
                <w:lang w:val="en-GB" w:eastAsia="cs-CZ"/>
              </w:rPr>
              <w:t>LOEC – mortality, hatching success and body mass</w:t>
            </w:r>
          </w:p>
        </w:tc>
        <w:tc>
          <w:tcPr>
            <w:tcW w:w="2633" w:type="dxa"/>
            <w:vMerge w:val="restart"/>
            <w:tcBorders>
              <w:top w:val="single" w:sz="4" w:space="0" w:color="auto"/>
              <w:left w:val="nil"/>
              <w:right w:val="single" w:sz="4" w:space="0" w:color="auto"/>
            </w:tcBorders>
          </w:tcPr>
          <w:p w14:paraId="1C935E3B"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5C92B511" w14:textId="77777777"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03393525"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{"citationID":"g8eyymaL","properties":{"formattedCitation":"(A. David and Pancharatna 2009)","plainCitation":"(A. David and Pancharatna 2009)","noteIndex":0},"citationItems":[{"id":1187,"uris":["http://zotero.org/users/11614927/items/5KCRAF2U"],"itemData":{"id":1187,"type":"article-journal","abstract":"Acetaminophen, or paracetamol is an over-the-counter analgesic generally used by all groups of people, including pregnant women. The present investigation aims to elucidate the effects of acetaminophen on the development of zebrafish Danio rerio in which embryogenesis is ex utero. Developing eggs (n = 30) were exposed to different doses (0, 1, 5, 10, 50 and 100 mg L-1) of the drug in triplicate and observations were made hourly until gastrulation and once in 24 h thereafter for seven consecutive days. Acetaminophen induced anomalies at different levels of development in a dose-dependent manner, causing impairment in (1) the early development, (2) hatching, (3) organogenesis (by altering the rate of apoptosis), (4) larval growth and morphometry, (5) tail and tail-fin formation, (6) pigmentation and (7) larval behavior and survival. The results of the present study clearly reveal that acetaminophen interfered with the normal embryonic development, growth, behavior and survival of D. rerio larvae. Copyright © 2009 John Wiley &amp; Sons, Ltd.","container-title":"Journal of Applied Toxicology","DOI":"10.1002/jat.1446","ISSN":"0260-437X, 1099-1263","issue":"7","journalAbbreviation":"J of Applied Toxicology","language":"en","page":"597-602","source":"DOI.org (Crossref)","title":"Effects of acetaminophen (paracetamol) in the embryonic development of zebrafish, &lt;i&gt;Danio rerio&lt;/i&gt;","volume":"29","author":[{"family":"David","given":"A."},{"family":"Pancharatna","given":"K."}],"issued":{"date-parts":[["2009",10]]}}}],"schema":"https://github.com/citation-style-language/schema/raw/master/csl-citation.json"}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(A. David and Pancharatna 2009)</w:t>
            </w:r>
            <w:r w:rsidRPr="001D0ADC">
              <w:rPr>
                <w:color w:val="auto"/>
                <w:lang w:val="en-GB" w:eastAsia="cs-CZ"/>
              </w:rPr>
              <w:fldChar w:fldCharType="end"/>
            </w:r>
          </w:p>
        </w:tc>
      </w:tr>
      <w:tr w:rsidR="001D0ADC" w:rsidRPr="001D0ADC" w14:paraId="1E6E200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255AB7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BA00EF5" w14:textId="5D60AF59"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266AAA4B" w14:textId="77777777" w:rsidR="00196808" w:rsidRPr="001D0ADC" w:rsidRDefault="00196808" w:rsidP="00196808">
            <w:pPr>
              <w:pStyle w:val="NoSpacing"/>
              <w:ind w:firstLine="0"/>
              <w:rPr>
                <w:color w:val="auto"/>
                <w:lang w:val="en-GB" w:eastAsia="cs-CZ"/>
              </w:rPr>
            </w:pPr>
            <w:r w:rsidRPr="001D0ADC">
              <w:rPr>
                <w:color w:val="auto"/>
                <w:lang w:val="en-GB" w:eastAsia="cs-CZ"/>
              </w:rPr>
              <w:t>LOEC for body length</w:t>
            </w:r>
          </w:p>
        </w:tc>
        <w:tc>
          <w:tcPr>
            <w:tcW w:w="2633" w:type="dxa"/>
            <w:vMerge/>
            <w:tcBorders>
              <w:left w:val="nil"/>
              <w:bottom w:val="single" w:sz="4" w:space="0" w:color="auto"/>
              <w:right w:val="single" w:sz="4" w:space="0" w:color="auto"/>
            </w:tcBorders>
          </w:tcPr>
          <w:p w14:paraId="6513B83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408E0B70"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459A726" w14:textId="77777777" w:rsidR="00196808" w:rsidRPr="001D0ADC" w:rsidRDefault="00196808" w:rsidP="00196808">
            <w:pPr>
              <w:pStyle w:val="NoSpacing"/>
              <w:ind w:firstLine="0"/>
              <w:rPr>
                <w:color w:val="auto"/>
                <w:lang w:val="en-GB" w:eastAsia="cs-CZ"/>
              </w:rPr>
            </w:pPr>
          </w:p>
        </w:tc>
      </w:tr>
      <w:tr w:rsidR="001D0ADC" w:rsidRPr="001D0ADC" w14:paraId="74F07D8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1CF10A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FBF5A71" w14:textId="192108A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AFD9796"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and morphology, hatching success, spontaneous movement and gene expression changes</w:t>
            </w:r>
          </w:p>
        </w:tc>
        <w:tc>
          <w:tcPr>
            <w:tcW w:w="2633" w:type="dxa"/>
            <w:tcBorders>
              <w:top w:val="single" w:sz="4" w:space="0" w:color="auto"/>
              <w:left w:val="nil"/>
              <w:bottom w:val="single" w:sz="4" w:space="0" w:color="auto"/>
              <w:right w:val="single" w:sz="4" w:space="0" w:color="auto"/>
            </w:tcBorders>
          </w:tcPr>
          <w:p w14:paraId="1DAD540C"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top w:val="single" w:sz="4" w:space="0" w:color="auto"/>
              <w:left w:val="single" w:sz="4" w:space="0" w:color="auto"/>
              <w:bottom w:val="single" w:sz="4" w:space="0" w:color="auto"/>
              <w:right w:val="single" w:sz="4" w:space="0" w:color="auto"/>
            </w:tcBorders>
          </w:tcPr>
          <w:p w14:paraId="1D7E2242"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AF505E9"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{"citationID":"b4rf1632","properties":{"formattedCitation":"(Xia, Zheng, and Zhou 2017)","plainCitation":"(Xia, Zheng, and Zhou 2017)","noteIndex":0},"citationItems":[{"id":1197,"uris":["http://zotero.org/users/11614927/items/4CSU9JPH"],"itemData":{"id":1197,"type":"article-journal","abstract":"Non-steroidal anti-inﬂammatory drugs (NSAIDs) which are widely used as pain relief medicines are causing increasing environmental concern due to their incomplete removal in wastewater treatment plant and potential toxicity on endocrine, kidney and reproduction in teleost ﬁsh. This study focused on the effects of widely used ibuprofen, diclofenac and paracetamol on the hatch and motor ability of earlystage zebraﬁsh, by exposing embryos to the target chemicals at 5, 50 and 500 mg/L starting from 6 h postfertilization (hpf). A signiﬁcant reduction in hatch rate at 55 hpf was caused by both ibuprofen (À63%) and diclofenac (À58%) at 500 mg/L. Exposure to high concentration of ibuprofen signiﬁcantly decreased the spontaneous movement by 25%, and reduced the free swimming distance, duration and speed under dark condition by 41%, 29% and 30%, respectively. High concentration of diclofenac also caused 23% decrease in spontaneous movement, and reduced the swimming distance as well as active duration by 17% and 13% under light stimulation. In comparison, the exposure to paracetamol did not cause any notable effect. Among neuron related genes tested, the expression of neurog1 was downregulated from ibuprofen and diclofenac exposure by 19% and 26%, while the expression of neurod1 was up-regulated only by ibuprofen (31%). These ﬁndings indicated that ibuprofen and diclofenac signiﬁcantly affected embryo locomotivity and were potentially neurotoxic, thus posing threats to zebraﬁsh development.","container-title":"Chemosphere","DOI":"10.1016/j.chemosphere.2017.05.054","ISSN":"00456535","journalAbbreviation":"Chemosphere","language":"en","page":"416-425","source":"DOI.org (Crossref)","title":"Effects of ibuprofen, diclofenac and paracetamol on hatch and motor behavior in developing zebrafish ( Danio rerio )","volume":"182","author":[{"family":"Xia","given":"Liang"},{"family":"Zheng","given":"Liang"},{"family":"Zhou","given":"Jun Liang"}],"issued":{"date-parts":[["2017",9]]}}}],"schema":"https://github.com/citation-style-language/schema/raw/master/csl-citation.json"}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(Xia, Zheng, and Zhou 2017)</w:t>
            </w:r>
            <w:r w:rsidRPr="001D0ADC">
              <w:rPr>
                <w:color w:val="auto"/>
                <w:lang w:val="en-GB" w:eastAsia="cs-CZ"/>
              </w:rPr>
              <w:fldChar w:fldCharType="end"/>
            </w:r>
          </w:p>
        </w:tc>
      </w:tr>
      <w:tr w:rsidR="001D0ADC" w:rsidRPr="001D0ADC" w14:paraId="75487CE3"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90BB11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0961A5F" w14:textId="77777777" w:rsidR="00196808" w:rsidRPr="001D0ADC" w:rsidRDefault="00196808" w:rsidP="00196808">
            <w:pPr>
              <w:pStyle w:val="NoSpacing"/>
              <w:ind w:firstLine="0"/>
              <w:rPr>
                <w:color w:val="auto"/>
                <w:lang w:val="en-GB" w:eastAsia="cs-CZ"/>
              </w:rPr>
            </w:pPr>
            <w:r w:rsidRPr="001D0ADC">
              <w:rPr>
                <w:color w:val="auto"/>
                <w:lang w:val="en-GB" w:eastAsia="cs-CZ"/>
              </w:rPr>
              <w:t>378</w:t>
            </w:r>
          </w:p>
        </w:tc>
        <w:tc>
          <w:tcPr>
            <w:tcW w:w="4520" w:type="dxa"/>
            <w:tcBorders>
              <w:top w:val="single" w:sz="4" w:space="0" w:color="auto"/>
              <w:left w:val="nil"/>
              <w:bottom w:val="single" w:sz="4" w:space="0" w:color="auto"/>
              <w:right w:val="single" w:sz="4" w:space="0" w:color="auto"/>
            </w:tcBorders>
            <w:shd w:val="clear" w:color="auto" w:fill="auto"/>
            <w:vAlign w:val="bottom"/>
          </w:tcPr>
          <w:p w14:paraId="797E85E0" w14:textId="77777777" w:rsidR="00196808" w:rsidRPr="001D0ADC" w:rsidRDefault="00196808" w:rsidP="00196808">
            <w:pPr>
              <w:pStyle w:val="NoSpacing"/>
              <w:ind w:firstLine="0"/>
              <w:rPr>
                <w:color w:val="auto"/>
                <w:lang w:val="en-GB" w:eastAsia="cs-CZ"/>
              </w:rPr>
            </w:pPr>
            <w:r w:rsidRPr="001D0ADC">
              <w:rPr>
                <w:color w:val="auto"/>
                <w:lang w:val="en-GB" w:eastAsia="cs-CZ"/>
              </w:rPr>
              <w:t>EC50 mortality</w:t>
            </w:r>
          </w:p>
        </w:tc>
        <w:tc>
          <w:tcPr>
            <w:tcW w:w="2633" w:type="dxa"/>
            <w:vMerge w:val="restart"/>
            <w:tcBorders>
              <w:top w:val="single" w:sz="4" w:space="0" w:color="auto"/>
              <w:left w:val="nil"/>
              <w:right w:val="single" w:sz="4" w:space="0" w:color="auto"/>
            </w:tcBorders>
          </w:tcPr>
          <w:p w14:paraId="05E2DAA4"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6AEA6738" w14:textId="77777777" w:rsidR="00196808" w:rsidRPr="001D0ADC" w:rsidRDefault="00196808" w:rsidP="00196808">
            <w:pPr>
              <w:pStyle w:val="NoSpacing"/>
              <w:ind w:firstLine="0"/>
              <w:rPr>
                <w:color w:val="auto"/>
                <w:lang w:val="en-GB" w:eastAsia="cs-CZ"/>
              </w:rPr>
            </w:pPr>
            <w:r w:rsidRPr="001D0ADC">
              <w:rPr>
                <w:color w:val="auto"/>
                <w:lang w:val="en-GB" w:eastAsia="cs-CZ"/>
              </w:rPr>
              <w:t>48h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3D86BE8A"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{"citationID":"NgEH7sq6","properties":{"formattedCitation":"(Henschel et al. 1997)","plainCitation":"(Henschel et al. 1997)","noteIndex":0},"citationItems":[{"id":1320,"uris":["http://zotero.org/users/11614927/items/UYF8SCE6"],"itemData":{"id":1320,"type":"article-journal","container-title":"Regulatory Toxicology and Pharmacology","DOI":"10.1006/rtph.1997.1102","ISSN":"02732300","issue":"3","journalAbbreviation":"Regulatory Toxicology and Pharmacology","language":"en","page":"220-225","source":"DOI.org (Crossref)","title":"Environmental Hazard Assessment of Pharmaceuticals","volume":"25","author":[{"family":"Henschel","given":"K.-P."},{"family":"Wenzel","given":"A."},{"family":"Diedrich","given":"M."},{"family":"Fliedner","given":"A."}],"issued":{"date-parts":[["1997",6]]}}}],"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(Henschel et al. 1997)</w:t>
            </w:r>
            <w:r w:rsidRPr="001D0ADC">
              <w:rPr>
                <w:color w:val="auto"/>
                <w:lang w:val="en-GB" w:eastAsia="cs-CZ"/>
              </w:rPr>
              <w:fldChar w:fldCharType="end"/>
            </w:r>
          </w:p>
        </w:tc>
      </w:tr>
      <w:tr w:rsidR="001D0ADC" w:rsidRPr="001D0ADC" w14:paraId="77AB048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8EBF89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FAD8B76" w14:textId="77777777" w:rsidR="00196808" w:rsidRPr="001D0ADC" w:rsidRDefault="00196808" w:rsidP="00196808">
            <w:pPr>
              <w:pStyle w:val="NoSpacing"/>
              <w:ind w:firstLine="0"/>
              <w:rPr>
                <w:color w:val="auto"/>
                <w:lang w:val="en-GB" w:eastAsia="cs-CZ"/>
              </w:rPr>
            </w:pPr>
            <w:r w:rsidRPr="001D0ADC">
              <w:rPr>
                <w:color w:val="auto"/>
                <w:lang w:val="en-GB" w:eastAsia="cs-CZ"/>
              </w:rPr>
              <w:t>920</w:t>
            </w:r>
          </w:p>
        </w:tc>
        <w:tc>
          <w:tcPr>
            <w:tcW w:w="4520" w:type="dxa"/>
            <w:tcBorders>
              <w:top w:val="single" w:sz="4" w:space="0" w:color="auto"/>
              <w:left w:val="nil"/>
              <w:bottom w:val="single" w:sz="4" w:space="0" w:color="auto"/>
              <w:right w:val="single" w:sz="4" w:space="0" w:color="auto"/>
            </w:tcBorders>
            <w:shd w:val="clear" w:color="auto" w:fill="auto"/>
            <w:vAlign w:val="bottom"/>
          </w:tcPr>
          <w:p w14:paraId="0FCBDB0D" w14:textId="77777777" w:rsidR="00196808" w:rsidRPr="001D0ADC" w:rsidRDefault="00196808" w:rsidP="00196808">
            <w:pPr>
              <w:pStyle w:val="NoSpacing"/>
              <w:ind w:firstLine="0"/>
              <w:rPr>
                <w:color w:val="auto"/>
                <w:lang w:val="en-GB" w:eastAsia="cs-CZ"/>
              </w:rPr>
            </w:pPr>
            <w:r w:rsidRPr="001D0ADC">
              <w:rPr>
                <w:color w:val="auto"/>
                <w:lang w:val="en-GB" w:eastAsia="cs-CZ"/>
              </w:rPr>
              <w:t>EC pulse rate</w:t>
            </w:r>
          </w:p>
        </w:tc>
        <w:tc>
          <w:tcPr>
            <w:tcW w:w="2633" w:type="dxa"/>
            <w:vMerge/>
            <w:tcBorders>
              <w:left w:val="nil"/>
              <w:bottom w:val="single" w:sz="4" w:space="0" w:color="auto"/>
              <w:right w:val="single" w:sz="4" w:space="0" w:color="auto"/>
            </w:tcBorders>
          </w:tcPr>
          <w:p w14:paraId="1A9F498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BD3B426"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3B3114A" w14:textId="77777777" w:rsidR="00196808" w:rsidRPr="001D0ADC" w:rsidRDefault="00196808" w:rsidP="00196808">
            <w:pPr>
              <w:pStyle w:val="NoSpacing"/>
              <w:ind w:firstLine="0"/>
              <w:rPr>
                <w:color w:val="auto"/>
                <w:lang w:val="en-GB" w:eastAsia="cs-CZ"/>
              </w:rPr>
            </w:pPr>
          </w:p>
        </w:tc>
      </w:tr>
      <w:tr w:rsidR="001D0ADC" w:rsidRPr="001D0ADC" w14:paraId="09801B9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6DA3F5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DBC7D04" w14:textId="77777777" w:rsidR="00196808" w:rsidRPr="001D0ADC" w:rsidRDefault="00196808" w:rsidP="00196808">
            <w:pPr>
              <w:pStyle w:val="NoSpacing"/>
              <w:ind w:firstLine="0"/>
              <w:rPr>
                <w:color w:val="auto"/>
                <w:lang w:val="en-GB" w:eastAsia="cs-CZ"/>
              </w:rPr>
            </w:pPr>
            <w:r w:rsidRPr="001D0ADC">
              <w:rPr>
                <w:color w:val="auto"/>
                <w:lang w:val="en-GB" w:eastAsia="cs-CZ"/>
              </w:rPr>
              <w:t>150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3314D3E7"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top w:val="single" w:sz="4" w:space="0" w:color="auto"/>
              <w:left w:val="nil"/>
              <w:right w:val="single" w:sz="4" w:space="0" w:color="auto"/>
            </w:tcBorders>
          </w:tcPr>
          <w:p w14:paraId="41120967"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top w:val="single" w:sz="4" w:space="0" w:color="auto"/>
              <w:left w:val="single" w:sz="4" w:space="0" w:color="auto"/>
              <w:bottom w:val="single" w:sz="4" w:space="0" w:color="auto"/>
              <w:right w:val="single" w:sz="4" w:space="0" w:color="auto"/>
            </w:tcBorders>
          </w:tcPr>
          <w:p w14:paraId="6BFF8F01" w14:textId="77777777" w:rsidR="00196808" w:rsidRPr="001D0ADC" w:rsidRDefault="00196808" w:rsidP="00196808">
            <w:pPr>
              <w:pStyle w:val="NoSpacing"/>
              <w:ind w:firstLine="0"/>
              <w:rPr>
                <w:color w:val="auto"/>
                <w:lang w:val="en-GB" w:eastAsia="cs-CZ"/>
              </w:rPr>
            </w:pPr>
            <w:r w:rsidRPr="001D0ADC">
              <w:rPr>
                <w:color w:val="auto"/>
                <w:lang w:val="en-GB" w:eastAsia="cs-CZ"/>
              </w:rPr>
              <w:t>48h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61E0A5B"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{"citationID":"59Vr1uIR","properties":{"formattedCitation":"(Selderslaghs, Blust, and Witters 2012)","plainCitation":"(Selderslaghs, Blust, and Witters 2012)","noteIndex":0},"citationItems":[{"id":1191,"uris":["http://zotero.org/users/11614927/items/HC9WN3VU"],"itemData":{"id":1191,"type":"article-journal","container-title":"Reproductive Toxicology","DOI":"10.1016/j.reprotox.2011.08.003","ISSN":"08906238","issue":"2","journalAbbreviation":"Reproductive Toxicology","language":"en","page":"142-154","source":"DOI.org (Crossref)","title":"Feasibility study of the zebrafish assay as an alternative method to screen for developmental toxicity and embryotoxicity using a training set of 27 compounds","volume":"33","author":[{"family":"Selderslaghs","given":"Ingrid W.T."},{"family":"Blust","given":"Ronny"},{"family":"Witters","given":"Hilda E."}],"issued":{"date-parts":[["2012",4]]}}}],"schema":"https://github.com/citation-style-language/schema/raw/master/csl-citation.json"}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(Selderslaghs, Blust, and Witters 2012)</w:t>
            </w:r>
            <w:r w:rsidRPr="001D0ADC">
              <w:rPr>
                <w:color w:val="auto"/>
                <w:lang w:val="en-GB" w:eastAsia="cs-CZ"/>
              </w:rPr>
              <w:fldChar w:fldCharType="end"/>
            </w:r>
          </w:p>
        </w:tc>
      </w:tr>
      <w:tr w:rsidR="001D0ADC" w:rsidRPr="001D0ADC" w14:paraId="0D49F7A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2AFB4E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9BC6A44" w14:textId="77777777" w:rsidR="00196808" w:rsidRPr="001D0ADC" w:rsidRDefault="00196808" w:rsidP="00196808">
            <w:pPr>
              <w:pStyle w:val="NoSpacing"/>
              <w:ind w:firstLine="0"/>
              <w:rPr>
                <w:color w:val="auto"/>
                <w:lang w:val="en-GB" w:eastAsia="cs-CZ"/>
              </w:rPr>
            </w:pPr>
            <w:r w:rsidRPr="001D0ADC">
              <w:rPr>
                <w:color w:val="auto"/>
                <w:lang w:val="en-GB" w:eastAsia="cs-CZ"/>
              </w:rPr>
              <w:t>119</w:t>
            </w:r>
          </w:p>
        </w:tc>
        <w:tc>
          <w:tcPr>
            <w:tcW w:w="4520" w:type="dxa"/>
            <w:tcBorders>
              <w:top w:val="single" w:sz="4" w:space="0" w:color="auto"/>
              <w:left w:val="nil"/>
              <w:bottom w:val="single" w:sz="4" w:space="0" w:color="auto"/>
              <w:right w:val="single" w:sz="4" w:space="0" w:color="auto"/>
            </w:tcBorders>
            <w:shd w:val="clear" w:color="auto" w:fill="auto"/>
            <w:vAlign w:val="bottom"/>
          </w:tcPr>
          <w:p w14:paraId="4C45BD2C"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tcBorders>
              <w:left w:val="nil"/>
              <w:right w:val="single" w:sz="4" w:space="0" w:color="auto"/>
            </w:tcBorders>
          </w:tcPr>
          <w:p w14:paraId="2A770E3D" w14:textId="77777777" w:rsidR="00196808" w:rsidRPr="001D0ADC" w:rsidRDefault="00196808" w:rsidP="00196808">
            <w:pPr>
              <w:pStyle w:val="NoSpacing"/>
              <w:ind w:firstLine="0"/>
              <w:rPr>
                <w:color w:val="auto"/>
                <w:lang w:val="en-GB" w:eastAsia="cs-CZ"/>
              </w:rPr>
            </w:pPr>
          </w:p>
        </w:tc>
        <w:tc>
          <w:tcPr>
            <w:tcW w:w="1967" w:type="dxa"/>
            <w:vMerge w:val="restart"/>
            <w:tcBorders>
              <w:top w:val="single" w:sz="4" w:space="0" w:color="auto"/>
              <w:left w:val="single" w:sz="4" w:space="0" w:color="auto"/>
              <w:right w:val="single" w:sz="4" w:space="0" w:color="auto"/>
            </w:tcBorders>
          </w:tcPr>
          <w:p w14:paraId="3469F80D"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vMerge/>
            <w:tcBorders>
              <w:left w:val="single" w:sz="4" w:space="0" w:color="auto"/>
              <w:right w:val="single" w:sz="4" w:space="0" w:color="auto"/>
            </w:tcBorders>
            <w:shd w:val="clear" w:color="auto" w:fill="auto"/>
            <w:vAlign w:val="bottom"/>
          </w:tcPr>
          <w:p w14:paraId="605DE5E9" w14:textId="77777777" w:rsidR="00196808" w:rsidRPr="001D0ADC" w:rsidRDefault="00196808" w:rsidP="00196808">
            <w:pPr>
              <w:pStyle w:val="NoSpacing"/>
              <w:ind w:firstLine="0"/>
              <w:rPr>
                <w:color w:val="auto"/>
                <w:lang w:val="en-GB" w:eastAsia="cs-CZ"/>
              </w:rPr>
            </w:pPr>
          </w:p>
        </w:tc>
      </w:tr>
      <w:tr w:rsidR="001D0ADC" w:rsidRPr="001D0ADC" w14:paraId="61D57B8C"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9AEC3F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0A0D60F" w14:textId="19C0BE5E" w:rsidR="00196808" w:rsidRPr="001D0ADC" w:rsidRDefault="00196808" w:rsidP="00196808">
            <w:pPr>
              <w:pStyle w:val="NoSpacing"/>
              <w:ind w:firstLine="0"/>
              <w:rPr>
                <w:color w:val="auto"/>
                <w:lang w:val="en-GB" w:eastAsia="cs-CZ"/>
              </w:rPr>
            </w:pPr>
            <w:r w:rsidRPr="001D0ADC">
              <w:rPr>
                <w:color w:val="auto"/>
                <w:lang w:val="en-GB" w:eastAsia="cs-CZ"/>
              </w:rPr>
              <w:t>9</w:t>
            </w:r>
            <w:r w:rsidR="00CF2036" w:rsidRPr="001D0ADC">
              <w:rPr>
                <w:color w:val="auto"/>
                <w:lang w:val="en-GB" w:eastAsia="cs-CZ"/>
              </w:rPr>
              <w:t>4.</w:t>
            </w:r>
            <w:r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6540FCE6" w14:textId="77777777" w:rsidR="00196808" w:rsidRPr="001D0ADC" w:rsidRDefault="00196808" w:rsidP="00196808">
            <w:pPr>
              <w:pStyle w:val="NoSpacing"/>
              <w:ind w:firstLine="0"/>
              <w:rPr>
                <w:color w:val="auto"/>
                <w:lang w:val="en-GB" w:eastAsia="cs-CZ"/>
              </w:rPr>
            </w:pPr>
            <w:r w:rsidRPr="001D0ADC">
              <w:rPr>
                <w:color w:val="auto"/>
                <w:lang w:val="en-GB" w:eastAsia="cs-CZ"/>
              </w:rPr>
              <w:t>EC50 malformations</w:t>
            </w:r>
          </w:p>
        </w:tc>
        <w:tc>
          <w:tcPr>
            <w:tcW w:w="2633" w:type="dxa"/>
            <w:vMerge/>
            <w:tcBorders>
              <w:left w:val="nil"/>
              <w:right w:val="single" w:sz="4" w:space="0" w:color="auto"/>
            </w:tcBorders>
          </w:tcPr>
          <w:p w14:paraId="093302B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4FBBCF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88CEFBA" w14:textId="77777777" w:rsidR="00196808" w:rsidRPr="001D0ADC" w:rsidRDefault="00196808" w:rsidP="00196808">
            <w:pPr>
              <w:pStyle w:val="NoSpacing"/>
              <w:ind w:firstLine="0"/>
              <w:rPr>
                <w:color w:val="auto"/>
                <w:lang w:val="en-GB" w:eastAsia="cs-CZ"/>
              </w:rPr>
            </w:pPr>
          </w:p>
        </w:tc>
      </w:tr>
      <w:tr w:rsidR="001D0ADC" w:rsidRPr="001D0ADC" w14:paraId="53821D5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5F1A6E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29D3EEB" w14:textId="31D1E68D" w:rsidR="00196808" w:rsidRPr="001D0ADC" w:rsidRDefault="00196808" w:rsidP="00196808">
            <w:pPr>
              <w:pStyle w:val="NoSpacing"/>
              <w:ind w:firstLine="0"/>
              <w:rPr>
                <w:color w:val="auto"/>
                <w:lang w:val="en-GB" w:eastAsia="cs-CZ"/>
              </w:rPr>
            </w:pPr>
            <w:r w:rsidRPr="001D0ADC">
              <w:rPr>
                <w:color w:val="auto"/>
                <w:lang w:val="en-GB" w:eastAsia="cs-CZ"/>
              </w:rPr>
              <w:t>5</w:t>
            </w:r>
            <w:r w:rsidR="00CF2036" w:rsidRPr="001D0ADC">
              <w:rPr>
                <w:color w:val="auto"/>
                <w:lang w:val="en-GB" w:eastAsia="cs-CZ"/>
              </w:rPr>
              <w:t>6.</w:t>
            </w: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5838407"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tcBorders>
              <w:left w:val="nil"/>
              <w:right w:val="single" w:sz="4" w:space="0" w:color="auto"/>
            </w:tcBorders>
          </w:tcPr>
          <w:p w14:paraId="316CE566" w14:textId="77777777" w:rsidR="00196808" w:rsidRPr="001D0ADC" w:rsidRDefault="00196808" w:rsidP="00196808">
            <w:pPr>
              <w:pStyle w:val="NoSpacing"/>
              <w:ind w:firstLine="0"/>
              <w:rPr>
                <w:color w:val="auto"/>
                <w:lang w:val="en-GB" w:eastAsia="cs-CZ"/>
              </w:rPr>
            </w:pPr>
          </w:p>
        </w:tc>
        <w:tc>
          <w:tcPr>
            <w:tcW w:w="1967" w:type="dxa"/>
            <w:vMerge w:val="restart"/>
            <w:tcBorders>
              <w:top w:val="single" w:sz="4" w:space="0" w:color="auto"/>
              <w:left w:val="single" w:sz="4" w:space="0" w:color="auto"/>
              <w:right w:val="single" w:sz="4" w:space="0" w:color="auto"/>
            </w:tcBorders>
          </w:tcPr>
          <w:p w14:paraId="39A94043" w14:textId="77777777" w:rsidR="00196808" w:rsidRPr="001D0ADC" w:rsidRDefault="00196808" w:rsidP="00196808">
            <w:pPr>
              <w:pStyle w:val="NoSpacing"/>
              <w:ind w:firstLine="0"/>
              <w:rPr>
                <w:color w:val="auto"/>
                <w:lang w:val="en-GB" w:eastAsia="cs-CZ"/>
              </w:rPr>
            </w:pPr>
            <w:r w:rsidRPr="001D0ADC">
              <w:rPr>
                <w:color w:val="auto"/>
                <w:lang w:val="en-GB" w:eastAsia="cs-CZ"/>
              </w:rPr>
              <w:t>144h</w:t>
            </w:r>
          </w:p>
        </w:tc>
        <w:tc>
          <w:tcPr>
            <w:tcW w:w="2300" w:type="dxa"/>
            <w:vMerge/>
            <w:tcBorders>
              <w:left w:val="single" w:sz="4" w:space="0" w:color="auto"/>
              <w:right w:val="single" w:sz="4" w:space="0" w:color="auto"/>
            </w:tcBorders>
            <w:shd w:val="clear" w:color="auto" w:fill="auto"/>
            <w:vAlign w:val="bottom"/>
          </w:tcPr>
          <w:p w14:paraId="2D132BC0" w14:textId="77777777" w:rsidR="00196808" w:rsidRPr="001D0ADC" w:rsidRDefault="00196808" w:rsidP="00196808">
            <w:pPr>
              <w:pStyle w:val="NoSpacing"/>
              <w:ind w:firstLine="0"/>
              <w:rPr>
                <w:color w:val="auto"/>
                <w:lang w:val="en-GB" w:eastAsia="cs-CZ"/>
              </w:rPr>
            </w:pPr>
          </w:p>
        </w:tc>
      </w:tr>
      <w:tr w:rsidR="001D0ADC" w:rsidRPr="001D0ADC" w14:paraId="3045BEAD"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1ABB1F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2D684FA" w14:textId="471F92B1" w:rsidR="00196808" w:rsidRPr="001D0ADC" w:rsidRDefault="00196808" w:rsidP="00196808">
            <w:pPr>
              <w:pStyle w:val="NoSpacing"/>
              <w:ind w:firstLine="0"/>
              <w:rPr>
                <w:color w:val="auto"/>
                <w:lang w:val="en-GB" w:eastAsia="cs-CZ"/>
              </w:rPr>
            </w:pPr>
            <w:r w:rsidRPr="001D0ADC">
              <w:rPr>
                <w:color w:val="auto"/>
                <w:lang w:val="en-GB" w:eastAsia="cs-CZ"/>
              </w:rPr>
              <w:t>4</w:t>
            </w:r>
            <w:r w:rsidR="00CF2036" w:rsidRPr="001D0ADC">
              <w:rPr>
                <w:color w:val="auto"/>
                <w:lang w:val="en-GB" w:eastAsia="cs-CZ"/>
              </w:rPr>
              <w:t>7.</w:t>
            </w:r>
            <w:r w:rsidRPr="001D0ADC">
              <w:rPr>
                <w:color w:val="auto"/>
                <w:lang w:val="en-GB" w:eastAsia="cs-CZ"/>
              </w:rPr>
              <w:t>2</w:t>
            </w:r>
          </w:p>
        </w:tc>
        <w:tc>
          <w:tcPr>
            <w:tcW w:w="4520" w:type="dxa"/>
            <w:tcBorders>
              <w:top w:val="single" w:sz="4" w:space="0" w:color="auto"/>
              <w:left w:val="nil"/>
              <w:bottom w:val="single" w:sz="4" w:space="0" w:color="auto"/>
              <w:right w:val="single" w:sz="4" w:space="0" w:color="auto"/>
            </w:tcBorders>
            <w:shd w:val="clear" w:color="auto" w:fill="auto"/>
            <w:vAlign w:val="bottom"/>
          </w:tcPr>
          <w:p w14:paraId="2AB85286" w14:textId="77777777" w:rsidR="00196808" w:rsidRPr="001D0ADC" w:rsidRDefault="00196808" w:rsidP="00196808">
            <w:pPr>
              <w:pStyle w:val="NoSpacing"/>
              <w:ind w:firstLine="0"/>
              <w:rPr>
                <w:color w:val="auto"/>
                <w:lang w:val="en-GB" w:eastAsia="cs-CZ"/>
              </w:rPr>
            </w:pPr>
            <w:r w:rsidRPr="001D0ADC">
              <w:rPr>
                <w:color w:val="auto"/>
                <w:lang w:val="en-GB" w:eastAsia="cs-CZ"/>
              </w:rPr>
              <w:t>EC50 malformations</w:t>
            </w:r>
          </w:p>
        </w:tc>
        <w:tc>
          <w:tcPr>
            <w:tcW w:w="2633" w:type="dxa"/>
            <w:vMerge/>
            <w:tcBorders>
              <w:left w:val="nil"/>
              <w:bottom w:val="single" w:sz="4" w:space="0" w:color="auto"/>
              <w:right w:val="single" w:sz="4" w:space="0" w:color="auto"/>
            </w:tcBorders>
          </w:tcPr>
          <w:p w14:paraId="7C42A12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32CC05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6DB9091" w14:textId="77777777" w:rsidR="00196808" w:rsidRPr="001D0ADC" w:rsidRDefault="00196808" w:rsidP="00196808">
            <w:pPr>
              <w:pStyle w:val="NoSpacing"/>
              <w:ind w:firstLine="0"/>
              <w:rPr>
                <w:color w:val="auto"/>
                <w:lang w:val="en-GB" w:eastAsia="cs-CZ"/>
              </w:rPr>
            </w:pPr>
          </w:p>
        </w:tc>
      </w:tr>
      <w:tr w:rsidR="001D0ADC" w:rsidRPr="001D0ADC" w14:paraId="35448A1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EB0CEE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FFF89BA" w14:textId="77777777" w:rsidR="00196808" w:rsidRPr="001D0ADC" w:rsidRDefault="00196808" w:rsidP="00196808">
            <w:pPr>
              <w:pStyle w:val="NoSpacing"/>
              <w:ind w:firstLine="0"/>
              <w:rPr>
                <w:color w:val="auto"/>
                <w:lang w:val="en-GB" w:eastAsia="cs-CZ"/>
              </w:rPr>
            </w:pPr>
            <w:r w:rsidRPr="001D0ADC">
              <w:rPr>
                <w:color w:val="auto"/>
                <w:lang w:val="en-GB" w:eastAsia="cs-CZ"/>
              </w:rPr>
              <w:t>10</w:t>
            </w:r>
          </w:p>
        </w:tc>
        <w:tc>
          <w:tcPr>
            <w:tcW w:w="4520" w:type="dxa"/>
            <w:tcBorders>
              <w:top w:val="single" w:sz="4" w:space="0" w:color="auto"/>
              <w:left w:val="nil"/>
              <w:bottom w:val="single" w:sz="4" w:space="0" w:color="auto"/>
              <w:right w:val="single" w:sz="4" w:space="0" w:color="auto"/>
            </w:tcBorders>
            <w:shd w:val="clear" w:color="auto" w:fill="auto"/>
            <w:vAlign w:val="bottom"/>
          </w:tcPr>
          <w:p w14:paraId="69539BC7" w14:textId="77777777" w:rsidR="00196808" w:rsidRPr="001D0ADC" w:rsidRDefault="00196808" w:rsidP="00196808">
            <w:pPr>
              <w:pStyle w:val="NoSpacing"/>
              <w:ind w:firstLine="0"/>
              <w:rPr>
                <w:color w:val="auto"/>
                <w:lang w:val="en-GB" w:eastAsia="cs-CZ"/>
              </w:rPr>
            </w:pPr>
            <w:r w:rsidRPr="001D0ADC">
              <w:rPr>
                <w:color w:val="auto"/>
                <w:lang w:val="en-GB" w:eastAsia="cs-CZ"/>
              </w:rPr>
              <w:t>LOEC for hatching</w:t>
            </w:r>
          </w:p>
        </w:tc>
        <w:tc>
          <w:tcPr>
            <w:tcW w:w="2633" w:type="dxa"/>
            <w:vMerge w:val="restart"/>
            <w:tcBorders>
              <w:top w:val="single" w:sz="4" w:space="0" w:color="auto"/>
              <w:left w:val="nil"/>
              <w:right w:val="single" w:sz="4" w:space="0" w:color="auto"/>
            </w:tcBorders>
          </w:tcPr>
          <w:p w14:paraId="478C211F" w14:textId="77777777" w:rsidR="00196808" w:rsidRPr="001D0ADC" w:rsidRDefault="00196808" w:rsidP="00196808">
            <w:pPr>
              <w:pStyle w:val="NoSpacing"/>
              <w:ind w:firstLine="0"/>
              <w:rPr>
                <w:color w:val="auto"/>
                <w:lang w:val="en-GB" w:eastAsia="cs-CZ"/>
              </w:rPr>
            </w:pPr>
            <w:r w:rsidRPr="001D0ADC">
              <w:rPr>
                <w:color w:val="auto"/>
                <w:lang w:val="en-GB" w:eastAsia="cs-CZ"/>
              </w:rPr>
              <w:t>ELS (ZF transgenic Tg) DarT</w:t>
            </w:r>
          </w:p>
        </w:tc>
        <w:tc>
          <w:tcPr>
            <w:tcW w:w="1967" w:type="dxa"/>
            <w:vMerge w:val="restart"/>
            <w:tcBorders>
              <w:top w:val="single" w:sz="4" w:space="0" w:color="auto"/>
              <w:left w:val="single" w:sz="4" w:space="0" w:color="auto"/>
              <w:right w:val="single" w:sz="4" w:space="0" w:color="auto"/>
            </w:tcBorders>
          </w:tcPr>
          <w:p w14:paraId="65DF7774" w14:textId="77777777"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8F68B23"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{"citationID":"GOyuNODt","properties":{"formattedCitation":"(X. Zhang and Gong 2013)","plainCitation":"(X. Zhang and Gong 2013)","noteIndex":0},"citationItems":[{"id":1185,"uris":["http://zotero.org/users/11614927/items/D9CKPFW3"],"itemData":{"id":1185,"type":"article-journal","abstract":"Previously a standard toxicological test termed as DarT (Danio rerio Teratogenic assay) using wild type zebrafish embryos has been established and it is widely applied in toxicological and chemical screenings. As an increasing number of fluorescent transgenic zebrafish lines with specific fluorescent protein expression specifically expressed in different organs and tissues, we envision that the fluorescent markers may provide more sensitive endpoints for monitoring chemical induced phenotypical changes. Here we employed Tg(nkx2.2a:mEGFP) transgenic zebrafish which have GFP expression in the central nervous system to investigate its potential for screening neurotoxic chemicals. Five potential neurotoxins (acetaminophen, atenolol, atrazine, ethanol and lindane) and one neuroprotectant (mefenamic acid) were tested. We found that the GFP-labeled ventral axons from trunk motoneurons, which were easily observed in live fry and measured for quantification, were a highly sensitive to all of the five neurotoxins and the length of axons was significantly reduced in fry which looked normal based on DarT endpoints at low concentrations of neurotoxins. Compared to the most sensitive endpoints of DarT, ventral axon marker could improve the detection limit of these neurotoxins by about 10 fold. In contrast, there was no improvement for detection of the mefenamic acid compared to all DarT endpoints. Thus, ventral axon lengths provide a convenient and measureable marker specifically for neurotoxins. Our study may open a new avenue to use other fluorescent transgenic zebrafish embryos/fry to develop sensitive and specific toxicological tests for different categories of chemicals.","container-title":"PLoS ONE","DOI":"10.1371/journal.pone.0055474","ISSN":"1932-6203","issue":"2","journalAbbreviation":"PLoS ONE","language":"en","page":"e55474","source":"DOI.org (Crossref)","title":"Fluorescent Transgenic Zebrafish Tg(nkx2.2a:mEGFP) Provides a Highly Sensitive Monitoring Tool for Neurotoxins","title-short":"Fluorescent Transgenic Zebrafish Tg(nkx2.2a","volume":"8","author":[{"family":"Zhang","given":"Xiaoyan"},{"family":"Gong","given":"Zhiyuan"}],"editor":[{"family":"Xu","given":"Xiaolei"}],"issued":{"date-parts":[["2013",2,1]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(X. Zhang and Gong 2013)</w:t>
            </w:r>
            <w:r w:rsidRPr="001D0ADC">
              <w:rPr>
                <w:color w:val="auto"/>
                <w:lang w:val="en-GB" w:eastAsia="cs-CZ"/>
              </w:rPr>
              <w:fldChar w:fldCharType="end"/>
            </w:r>
          </w:p>
        </w:tc>
      </w:tr>
      <w:tr w:rsidR="001D0ADC" w:rsidRPr="001D0ADC" w14:paraId="214FD7E6"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1718B8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C02ED0D" w14:textId="77777777" w:rsidR="00196808" w:rsidRPr="001D0ADC" w:rsidRDefault="00196808" w:rsidP="00196808">
            <w:pPr>
              <w:pStyle w:val="NoSpacing"/>
              <w:ind w:firstLine="0"/>
              <w:rPr>
                <w:color w:val="auto"/>
                <w:lang w:val="en-GB" w:eastAsia="cs-CZ"/>
              </w:rPr>
            </w:pPr>
            <w:r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374CBCE0" w14:textId="77777777" w:rsidR="00196808" w:rsidRPr="001D0ADC" w:rsidRDefault="00196808" w:rsidP="00196808">
            <w:pPr>
              <w:pStyle w:val="NoSpacing"/>
              <w:ind w:firstLine="0"/>
              <w:rPr>
                <w:color w:val="auto"/>
                <w:lang w:val="en-GB" w:eastAsia="cs-CZ"/>
              </w:rPr>
            </w:pPr>
            <w:r w:rsidRPr="001D0ADC">
              <w:rPr>
                <w:color w:val="auto"/>
                <w:lang w:val="en-GB" w:eastAsia="cs-CZ"/>
              </w:rPr>
              <w:t>LOEC for heartbeat (48h)</w:t>
            </w:r>
          </w:p>
        </w:tc>
        <w:tc>
          <w:tcPr>
            <w:tcW w:w="2633" w:type="dxa"/>
            <w:vMerge/>
            <w:tcBorders>
              <w:left w:val="nil"/>
              <w:right w:val="single" w:sz="4" w:space="0" w:color="auto"/>
            </w:tcBorders>
          </w:tcPr>
          <w:p w14:paraId="15F6BD3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35C5804F"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74D8194F" w14:textId="77777777" w:rsidR="00196808" w:rsidRPr="001D0ADC" w:rsidRDefault="00196808" w:rsidP="00196808">
            <w:pPr>
              <w:pStyle w:val="NoSpacing"/>
              <w:ind w:firstLine="0"/>
              <w:rPr>
                <w:color w:val="auto"/>
                <w:lang w:val="en-GB" w:eastAsia="cs-CZ"/>
              </w:rPr>
            </w:pPr>
          </w:p>
        </w:tc>
      </w:tr>
      <w:tr w:rsidR="001D0ADC" w:rsidRPr="001D0ADC" w14:paraId="6BBDC616"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F1A512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FA6DF6F" w14:textId="77777777" w:rsidR="00196808" w:rsidRPr="001D0ADC" w:rsidRDefault="00196808" w:rsidP="00196808">
            <w:pPr>
              <w:pStyle w:val="NoSpacing"/>
              <w:ind w:firstLine="0"/>
              <w:rPr>
                <w:color w:val="auto"/>
                <w:lang w:val="en-GB" w:eastAsia="cs-CZ"/>
              </w:rPr>
            </w:pPr>
            <w:r w:rsidRPr="001D0ADC">
              <w:rPr>
                <w:color w:val="auto"/>
                <w:lang w:val="en-GB" w:eastAsia="cs-CZ"/>
              </w:rPr>
              <w:t>10</w:t>
            </w:r>
          </w:p>
        </w:tc>
        <w:tc>
          <w:tcPr>
            <w:tcW w:w="4520" w:type="dxa"/>
            <w:tcBorders>
              <w:top w:val="single" w:sz="4" w:space="0" w:color="auto"/>
              <w:left w:val="nil"/>
              <w:bottom w:val="single" w:sz="4" w:space="0" w:color="auto"/>
              <w:right w:val="single" w:sz="4" w:space="0" w:color="auto"/>
            </w:tcBorders>
            <w:shd w:val="clear" w:color="auto" w:fill="auto"/>
            <w:vAlign w:val="bottom"/>
          </w:tcPr>
          <w:p w14:paraId="3FD6A8F9" w14:textId="77777777" w:rsidR="00196808" w:rsidRPr="001D0ADC" w:rsidRDefault="00196808" w:rsidP="00196808">
            <w:pPr>
              <w:pStyle w:val="NoSpacing"/>
              <w:ind w:firstLine="0"/>
              <w:rPr>
                <w:color w:val="auto"/>
                <w:lang w:val="en-GB" w:eastAsia="cs-CZ"/>
              </w:rPr>
            </w:pPr>
            <w:r w:rsidRPr="001D0ADC">
              <w:rPr>
                <w:color w:val="auto"/>
                <w:lang w:val="en-GB" w:eastAsia="cs-CZ"/>
              </w:rPr>
              <w:t>LOEC for tail detachment and normal somite formation (24 and 48h)</w:t>
            </w:r>
          </w:p>
        </w:tc>
        <w:tc>
          <w:tcPr>
            <w:tcW w:w="2633" w:type="dxa"/>
            <w:vMerge/>
            <w:tcBorders>
              <w:left w:val="nil"/>
              <w:right w:val="single" w:sz="4" w:space="0" w:color="auto"/>
            </w:tcBorders>
          </w:tcPr>
          <w:p w14:paraId="291D37D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60F415B6"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EF1C275" w14:textId="77777777" w:rsidR="00196808" w:rsidRPr="001D0ADC" w:rsidRDefault="00196808" w:rsidP="00196808">
            <w:pPr>
              <w:pStyle w:val="NoSpacing"/>
              <w:ind w:firstLine="0"/>
              <w:rPr>
                <w:color w:val="auto"/>
                <w:lang w:val="en-GB" w:eastAsia="cs-CZ"/>
              </w:rPr>
            </w:pPr>
          </w:p>
        </w:tc>
      </w:tr>
      <w:tr w:rsidR="001D0ADC" w:rsidRPr="001D0ADC" w14:paraId="3EB90D5F"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A65340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78AAC84"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2E091CF8" w14:textId="77777777" w:rsidR="00196808" w:rsidRPr="001D0ADC" w:rsidRDefault="00196808" w:rsidP="00196808">
            <w:pPr>
              <w:pStyle w:val="NoSpacing"/>
              <w:ind w:firstLine="0"/>
              <w:rPr>
                <w:color w:val="auto"/>
                <w:lang w:val="en-GB" w:eastAsia="cs-CZ"/>
              </w:rPr>
            </w:pPr>
            <w:r w:rsidRPr="001D0ADC">
              <w:rPr>
                <w:color w:val="auto"/>
                <w:lang w:val="en-GB" w:eastAsia="cs-CZ"/>
              </w:rPr>
              <w:t>LOEC for axon length (neurotoxicity)</w:t>
            </w:r>
          </w:p>
        </w:tc>
        <w:tc>
          <w:tcPr>
            <w:tcW w:w="2633" w:type="dxa"/>
            <w:vMerge/>
            <w:tcBorders>
              <w:left w:val="nil"/>
              <w:bottom w:val="single" w:sz="4" w:space="0" w:color="auto"/>
              <w:right w:val="single" w:sz="4" w:space="0" w:color="auto"/>
            </w:tcBorders>
          </w:tcPr>
          <w:p w14:paraId="2EA927D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A6A437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9AAF656" w14:textId="77777777" w:rsidR="00196808" w:rsidRPr="001D0ADC" w:rsidRDefault="00196808" w:rsidP="00196808">
            <w:pPr>
              <w:pStyle w:val="NoSpacing"/>
              <w:ind w:firstLine="0"/>
              <w:rPr>
                <w:color w:val="auto"/>
                <w:lang w:val="en-GB" w:eastAsia="cs-CZ"/>
              </w:rPr>
            </w:pPr>
          </w:p>
        </w:tc>
      </w:tr>
      <w:tr w:rsidR="001D0ADC" w:rsidRPr="001D0ADC" w14:paraId="5DC9241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C42BDF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77E9F60" w14:textId="4D72FEE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FB4D5E8" w14:textId="77777777" w:rsidR="00196808" w:rsidRPr="001D0ADC" w:rsidRDefault="00196808" w:rsidP="00196808">
            <w:pPr>
              <w:pStyle w:val="NoSpacing"/>
              <w:ind w:firstLine="0"/>
              <w:rPr>
                <w:color w:val="auto"/>
                <w:lang w:val="en-GB" w:eastAsia="cs-CZ"/>
              </w:rPr>
            </w:pPr>
            <w:r w:rsidRPr="001D0ADC">
              <w:rPr>
                <w:color w:val="auto"/>
                <w:lang w:val="en-GB" w:eastAsia="cs-CZ"/>
              </w:rPr>
              <w:t>LOEC for mortality and abnormalities</w:t>
            </w:r>
          </w:p>
        </w:tc>
        <w:tc>
          <w:tcPr>
            <w:tcW w:w="2633" w:type="dxa"/>
            <w:tcBorders>
              <w:top w:val="single" w:sz="4" w:space="0" w:color="auto"/>
              <w:left w:val="nil"/>
              <w:bottom w:val="single" w:sz="4" w:space="0" w:color="auto"/>
              <w:right w:val="single" w:sz="4" w:space="0" w:color="auto"/>
            </w:tcBorders>
          </w:tcPr>
          <w:p w14:paraId="777EE950" w14:textId="77777777" w:rsidR="00196808" w:rsidRPr="001D0ADC" w:rsidRDefault="00196808" w:rsidP="00196808">
            <w:pPr>
              <w:pStyle w:val="NoSpacing"/>
              <w:ind w:firstLine="0"/>
              <w:rPr>
                <w:color w:val="auto"/>
                <w:lang w:val="en-GB" w:eastAsia="cs-CZ"/>
              </w:rPr>
            </w:pPr>
            <w:r w:rsidRPr="001D0ADC">
              <w:rPr>
                <w:color w:val="auto"/>
                <w:lang w:val="en-GB" w:eastAsia="cs-CZ"/>
              </w:rPr>
              <w:t>ELT (ZF)</w:t>
            </w:r>
          </w:p>
        </w:tc>
        <w:tc>
          <w:tcPr>
            <w:tcW w:w="1967" w:type="dxa"/>
            <w:tcBorders>
              <w:top w:val="single" w:sz="4" w:space="0" w:color="auto"/>
              <w:left w:val="single" w:sz="4" w:space="0" w:color="auto"/>
              <w:bottom w:val="single" w:sz="4" w:space="0" w:color="auto"/>
              <w:right w:val="single" w:sz="4" w:space="0" w:color="auto"/>
            </w:tcBorders>
          </w:tcPr>
          <w:p w14:paraId="5AC99F91"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03FB611C"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{"citationID":"rp9Ydlg0","properties":{"formattedCitation":"(Galus et al. 2013)","plainCitation":"(Galus et al. 2013)","noteIndex":0},"citationItems":[{"id":1266,"uris":["http://zotero.org/users/11614927/items/HIXDKLD5"],"itemData":{"id":1266,"type":"article-journal","container-title":"Aquatic Toxicology","DOI":"10.1016/j.aquatox.2012.12.021","ISSN":"0166445X","journalAbbreviation":"Aquatic Toxicology","language":"en","page":"200-211","source":"DOI.org (Crossref)","title":"Chronic, low concentration exposure to pharmaceuticals impacts multiple organ systems in zebrafish","volume":"132-133","author":[{"family":"Galus","given":"Michal"},{"family":"Kirischian","given":"Nina"},{"family":"Higgins","given":"Sarah"},{"family":"Purdy","given":"James"},{"family":"Chow","given":"Justin"},{"family":"Rangaranjan","given":"Sahaana"},{"family":"Li","given":"Hongxia"},{"family":"Metcalfe","given":"Chris"},{"family":"Wilson","given":"Joanna Y."}],"issued":{"date-parts":[["2013",5]]}}}],"schema":"https://github.com/citation-style-language/schema/raw/master/csl-citation.json"}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(Galus et al. 2013)</w:t>
            </w:r>
            <w:r w:rsidRPr="001D0ADC">
              <w:rPr>
                <w:color w:val="auto"/>
                <w:lang w:val="en-GB" w:eastAsia="cs-CZ"/>
              </w:rPr>
              <w:fldChar w:fldCharType="end"/>
            </w:r>
          </w:p>
        </w:tc>
      </w:tr>
      <w:tr w:rsidR="001D0ADC" w:rsidRPr="001D0ADC" w14:paraId="184B149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879A98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E692B22" w14:textId="28BFC08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3A88CB1"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tcBorders>
              <w:top w:val="single" w:sz="4" w:space="0" w:color="auto"/>
              <w:left w:val="nil"/>
              <w:bottom w:val="single" w:sz="4" w:space="0" w:color="auto"/>
              <w:right w:val="single" w:sz="4" w:space="0" w:color="auto"/>
            </w:tcBorders>
          </w:tcPr>
          <w:p w14:paraId="542A5E3B" w14:textId="77777777" w:rsidR="00196808" w:rsidRPr="001D0ADC" w:rsidRDefault="00196808" w:rsidP="00196808">
            <w:pPr>
              <w:pStyle w:val="NoSpacing"/>
              <w:ind w:firstLine="0"/>
              <w:rPr>
                <w:color w:val="auto"/>
                <w:lang w:val="en-GB" w:eastAsia="cs-CZ"/>
              </w:rPr>
            </w:pPr>
            <w:r w:rsidRPr="001D0ADC">
              <w:rPr>
                <w:color w:val="auto"/>
                <w:lang w:val="en-GB" w:eastAsia="cs-CZ"/>
              </w:rPr>
              <w:t>ELS (ZF) larvae &gt;96hpf</w:t>
            </w:r>
          </w:p>
        </w:tc>
        <w:tc>
          <w:tcPr>
            <w:tcW w:w="1967" w:type="dxa"/>
            <w:tcBorders>
              <w:top w:val="single" w:sz="4" w:space="0" w:color="auto"/>
              <w:left w:val="single" w:sz="4" w:space="0" w:color="auto"/>
              <w:bottom w:val="single" w:sz="4" w:space="0" w:color="auto"/>
              <w:right w:val="single" w:sz="4" w:space="0" w:color="auto"/>
            </w:tcBorders>
          </w:tcPr>
          <w:p w14:paraId="786DE7E7" w14:textId="77777777" w:rsidR="00196808" w:rsidRPr="001D0ADC" w:rsidRDefault="00196808" w:rsidP="00196808">
            <w:pPr>
              <w:pStyle w:val="NoSpacing"/>
              <w:ind w:firstLine="0"/>
              <w:rPr>
                <w:color w:val="auto"/>
                <w:lang w:val="en-GB" w:eastAsia="cs-CZ"/>
              </w:rPr>
            </w:pPr>
            <w:r w:rsidRPr="001D0ADC">
              <w:rPr>
                <w:color w:val="auto"/>
                <w:lang w:val="en-GB" w:eastAsia="cs-CZ"/>
              </w:rPr>
              <w:t>48h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B668D65"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{"citationID":"uNH7vbwE","properties":{"formattedCitation":"(Alsop and Wood 2013)","plainCitation":"(Alsop and Wood 2013)","noteIndex":0},"citationItems":[{"id":1183,"uris":["http://zotero.org/users/11614927/items/H7JBW27Q"],"itemData":{"id":1183,"type":"article-journal","container-title":"Aquatic Toxicology","DOI":"10.1016/j.aquatox.2013.05.021","ISSN":"0166445X","journalAbbreviation":"Aquatic Toxicology","language":"en","page":"257-267","source":"DOI.org (Crossref)","title":"Metal and pharmaceutical mixtures: Is ion loss the mechanism underlying acute toxicity and widespread additive toxicity in zebrafish?","title-short":"Metal and pharmaceutical mixtures","volume":"140-141","author":[{"family":"Alsop","given":"Derek"},{"family":"Wood","given":"Chris M."}],"issued":{"date-parts":[["2013",9]]}}}],"schema":"https://github.com/citation-style-language/schema/raw/master/csl-citation.json"}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(Alsop and Wood 2013)</w:t>
            </w:r>
            <w:r w:rsidRPr="001D0ADC">
              <w:rPr>
                <w:color w:val="auto"/>
                <w:lang w:val="en-GB" w:eastAsia="cs-CZ"/>
              </w:rPr>
              <w:fldChar w:fldCharType="end"/>
            </w:r>
          </w:p>
        </w:tc>
      </w:tr>
      <w:tr w:rsidR="001D0ADC" w:rsidRPr="001D0ADC" w14:paraId="16AF5366"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360ACF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ED8FCC3" w14:textId="77777777" w:rsidR="00196808" w:rsidRPr="001D0ADC" w:rsidRDefault="00196808" w:rsidP="00196808">
            <w:pPr>
              <w:pStyle w:val="NoSpacing"/>
              <w:ind w:firstLine="0"/>
              <w:rPr>
                <w:color w:val="auto"/>
                <w:lang w:val="en-GB" w:eastAsia="cs-CZ"/>
              </w:rPr>
            </w:pPr>
            <w:r w:rsidRPr="001D0ADC">
              <w:rPr>
                <w:color w:val="auto"/>
                <w:lang w:val="en-GB" w:eastAsia="cs-CZ"/>
              </w:rPr>
              <w:t>3401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565AE0A" w14:textId="77777777" w:rsidR="00196808" w:rsidRPr="001D0ADC" w:rsidRDefault="00196808" w:rsidP="00196808">
            <w:pPr>
              <w:pStyle w:val="NoSpacing"/>
              <w:ind w:firstLine="0"/>
              <w:rPr>
                <w:color w:val="auto"/>
                <w:lang w:val="en-GB" w:eastAsia="cs-CZ"/>
              </w:rPr>
            </w:pPr>
            <w:r w:rsidRPr="001D0ADC">
              <w:rPr>
                <w:color w:val="auto"/>
                <w:lang w:val="en-GB" w:eastAsia="cs-CZ"/>
              </w:rPr>
              <w:t xml:space="preserve">LOEC for mortality </w:t>
            </w:r>
          </w:p>
        </w:tc>
        <w:tc>
          <w:tcPr>
            <w:tcW w:w="2633" w:type="dxa"/>
            <w:vMerge w:val="restart"/>
            <w:tcBorders>
              <w:top w:val="single" w:sz="4" w:space="0" w:color="auto"/>
              <w:left w:val="nil"/>
              <w:right w:val="single" w:sz="4" w:space="0" w:color="auto"/>
            </w:tcBorders>
          </w:tcPr>
          <w:p w14:paraId="08D29060"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10F96515" w14:textId="77777777" w:rsidR="00196808" w:rsidRPr="001D0ADC" w:rsidRDefault="00196808" w:rsidP="00196808">
            <w:pPr>
              <w:pStyle w:val="NoSpacing"/>
              <w:ind w:firstLine="0"/>
              <w:rPr>
                <w:color w:val="auto"/>
                <w:lang w:val="en-GB" w:eastAsia="cs-CZ"/>
              </w:rPr>
            </w:pPr>
            <w:r w:rsidRPr="001D0ADC">
              <w:rPr>
                <w:color w:val="auto"/>
                <w:lang w:val="en-GB" w:eastAsia="cs-CZ"/>
              </w:rPr>
              <w:t>From 12hpf to 72hpf</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AA77E91"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{"citationID":"K89XgjAm","properties":{"formattedCitation":"(Peng et al. 2010)","plainCitation":"(Peng et al. 2010)","noteIndex":0},"citationItems":[{"id":1189,"uris":["http://zotero.org/users/11614927/items/4YSYXP6D"],"itemData":{"id":1189,"type":"article-journal","abstract":"We used a green ﬂuorescent kidney line, Tg(wt1b:GFP), as a model to access the acetaminophen (AAP)induced nephrotoxicity dynamically. Zebraﬁsh (Danio rerio) embryos at different developmental stages (12–60 hpf) were treated with different dosages of AAP (0–45 mM) for different time courses (12–60 h). Results showed that zebraﬁsh embryos exhibited no evident differences in survival rates and morphological changes between the mock-treated control (0 mM) and 2.25 mM AAP-exposure (12–72 hpf) groups. In contrast, after higher doses (22.5 and 45 mM) of exposure, embryos displayed malformed kidney phenotypes, such as curved, cystic pronephric tube, pronephric duct, and a cystic and atrophic glomerulus. The percentages of embryos with malformed kidney phenotypes increased as the exposure dosages of AAP increased. Interestingly, under the same exposure time course (12 h) and dose (22.5 mM), embryos displayed higher percentages of severe defects at earlier developmental stage of exposure (12–24 hpf), whereas embryos displayed higher percentages of mild defects at later exposure (60–72 hpf). With an exposure time course less than 24 h of 45 mM AAP, no embryo survived by the developmental stage of 72 hpf. These results indicated that AAP-induced nephrotoxicity depended on the exposure dose, time course and developmental stages. Immunohistochemical experiments showed that the cells' morphologies of the pronephric tube, pronephric duct and glomerulus were disrupted by AAP, and consequently caused cell death. Real-time RTPCR revealed embryos after AAP treatment decreased the expression of cox2 and bcl2, but increased p53 expression. In conclusion, AAP-induced defects on glomerulus, pronephric tube and pronephric duct could be easily and dynamically observed in vivo during kidney development in this present model.","container-title":"Comparative Biochemistry and Physiology Part C: Toxicology &amp; Pharmacology","DOI":"10.1016/j.cbpc.2010.02.004","ISSN":"15320456","issue":"4","journalAbbreviation":"Comparative Biochemistry and Physiology Part C: Toxicology &amp; Pharmacology","language":"en","page":"480-486","source":"DOI.org (Crossref)","title":"Nephrotoxicity assessments of acetaminophen during zebrafish embryogenesis","volume":"151","author":[{"family":"Peng","given":"Hsi-Chu"},{"family":"Wang","given":"Yun-Hsin"},{"family":"Wen","given":"Chi-Chung"},{"family":"Wang","given":"Wei-Hua"},{"family":"Cheng","given":"Chien-Chung"},{"family":"Chen","given":"Yau-Hung"}],"issued":{"date-parts":[["2010",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(Peng et al. 2010)</w:t>
            </w:r>
            <w:r w:rsidRPr="001D0ADC">
              <w:rPr>
                <w:color w:val="auto"/>
                <w:lang w:val="en-GB" w:eastAsia="cs-CZ"/>
              </w:rPr>
              <w:fldChar w:fldCharType="end"/>
            </w:r>
          </w:p>
        </w:tc>
      </w:tr>
      <w:tr w:rsidR="001D0ADC" w:rsidRPr="001D0ADC" w14:paraId="5E702A8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F1F37E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BB0C6E7" w14:textId="77777777" w:rsidR="00196808" w:rsidRPr="001D0ADC" w:rsidRDefault="00196808" w:rsidP="00196808">
            <w:pPr>
              <w:pStyle w:val="NoSpacing"/>
              <w:ind w:firstLine="0"/>
              <w:rPr>
                <w:color w:val="auto"/>
                <w:lang w:val="en-GB" w:eastAsia="cs-CZ"/>
              </w:rPr>
            </w:pPr>
            <w:r w:rsidRPr="001D0ADC">
              <w:rPr>
                <w:color w:val="auto"/>
                <w:lang w:val="en-GB" w:eastAsia="cs-CZ"/>
              </w:rPr>
              <w:t>6802</w:t>
            </w:r>
          </w:p>
        </w:tc>
        <w:tc>
          <w:tcPr>
            <w:tcW w:w="4520" w:type="dxa"/>
            <w:tcBorders>
              <w:top w:val="single" w:sz="4" w:space="0" w:color="auto"/>
              <w:left w:val="nil"/>
              <w:bottom w:val="single" w:sz="4" w:space="0" w:color="auto"/>
              <w:right w:val="single" w:sz="4" w:space="0" w:color="auto"/>
            </w:tcBorders>
            <w:shd w:val="clear" w:color="auto" w:fill="auto"/>
            <w:vAlign w:val="bottom"/>
          </w:tcPr>
          <w:p w14:paraId="57CB5CEA" w14:textId="77777777" w:rsidR="00196808" w:rsidRPr="001D0ADC" w:rsidRDefault="00196808" w:rsidP="00196808">
            <w:pPr>
              <w:pStyle w:val="NoSpacing"/>
              <w:ind w:firstLine="0"/>
              <w:rPr>
                <w:color w:val="auto"/>
                <w:lang w:val="en-GB" w:eastAsia="cs-CZ"/>
              </w:rPr>
            </w:pPr>
            <w:r w:rsidRPr="001D0ADC">
              <w:rPr>
                <w:color w:val="auto"/>
                <w:lang w:val="en-GB" w:eastAsia="cs-CZ"/>
              </w:rPr>
              <w:t>EC100 for mortality</w:t>
            </w:r>
          </w:p>
        </w:tc>
        <w:tc>
          <w:tcPr>
            <w:tcW w:w="2633" w:type="dxa"/>
            <w:vMerge/>
            <w:tcBorders>
              <w:left w:val="nil"/>
              <w:right w:val="single" w:sz="4" w:space="0" w:color="auto"/>
            </w:tcBorders>
          </w:tcPr>
          <w:p w14:paraId="2FB8646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4FF0DD18"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65ED076" w14:textId="77777777" w:rsidR="00196808" w:rsidRPr="001D0ADC" w:rsidRDefault="00196808" w:rsidP="00196808">
            <w:pPr>
              <w:pStyle w:val="NoSpacing"/>
              <w:ind w:firstLine="0"/>
              <w:rPr>
                <w:color w:val="auto"/>
                <w:lang w:val="en-GB" w:eastAsia="cs-CZ"/>
              </w:rPr>
            </w:pPr>
          </w:p>
        </w:tc>
      </w:tr>
      <w:tr w:rsidR="001D0ADC" w:rsidRPr="001D0ADC" w14:paraId="50D4D2F4"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01CCAA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B9705F7" w14:textId="77777777" w:rsidR="00196808" w:rsidRPr="001D0ADC" w:rsidRDefault="00196808" w:rsidP="00196808">
            <w:pPr>
              <w:pStyle w:val="NoSpacing"/>
              <w:ind w:firstLine="0"/>
              <w:rPr>
                <w:color w:val="auto"/>
                <w:lang w:val="en-GB" w:eastAsia="cs-CZ"/>
              </w:rPr>
            </w:pPr>
            <w:r w:rsidRPr="001D0ADC">
              <w:rPr>
                <w:color w:val="auto"/>
                <w:lang w:val="en-GB" w:eastAsia="cs-CZ"/>
              </w:rPr>
              <w:t>3401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2BCCAF65" w14:textId="77777777" w:rsidR="00196808" w:rsidRPr="001D0ADC" w:rsidRDefault="00196808" w:rsidP="00196808">
            <w:pPr>
              <w:pStyle w:val="NoSpacing"/>
              <w:ind w:firstLine="0"/>
              <w:rPr>
                <w:color w:val="auto"/>
                <w:lang w:val="en-GB" w:eastAsia="cs-CZ"/>
              </w:rPr>
            </w:pPr>
            <w:r w:rsidRPr="001D0ADC">
              <w:rPr>
                <w:color w:val="auto"/>
                <w:lang w:val="en-GB" w:eastAsia="cs-CZ"/>
              </w:rPr>
              <w:t>LOEC for kidney malformations</w:t>
            </w:r>
          </w:p>
        </w:tc>
        <w:tc>
          <w:tcPr>
            <w:tcW w:w="2633" w:type="dxa"/>
            <w:vMerge/>
            <w:tcBorders>
              <w:left w:val="nil"/>
              <w:bottom w:val="single" w:sz="4" w:space="0" w:color="auto"/>
              <w:right w:val="single" w:sz="4" w:space="0" w:color="auto"/>
            </w:tcBorders>
          </w:tcPr>
          <w:p w14:paraId="6671874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C5FF44E"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82C26AE" w14:textId="77777777" w:rsidR="00196808" w:rsidRPr="001D0ADC" w:rsidRDefault="00196808" w:rsidP="00196808">
            <w:pPr>
              <w:pStyle w:val="NoSpacing"/>
              <w:ind w:firstLine="0"/>
              <w:rPr>
                <w:color w:val="auto"/>
                <w:lang w:val="en-GB" w:eastAsia="cs-CZ"/>
              </w:rPr>
            </w:pPr>
          </w:p>
        </w:tc>
      </w:tr>
      <w:tr w:rsidR="001D0ADC" w:rsidRPr="001D0ADC" w14:paraId="3B4E8340"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FADAA4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46AB5F2" w14:textId="77777777" w:rsidR="00196808" w:rsidRPr="001D0ADC" w:rsidRDefault="00196808" w:rsidP="00196808">
            <w:pPr>
              <w:pStyle w:val="NoSpacing"/>
              <w:ind w:firstLine="0"/>
              <w:rPr>
                <w:color w:val="auto"/>
                <w:lang w:val="en-GB" w:eastAsia="cs-CZ"/>
              </w:rPr>
            </w:pPr>
            <w:r w:rsidRPr="001D0ADC">
              <w:rPr>
                <w:color w:val="auto"/>
                <w:lang w:val="en-GB" w:eastAsia="cs-CZ"/>
              </w:rPr>
              <w:t>907</w:t>
            </w:r>
          </w:p>
        </w:tc>
        <w:tc>
          <w:tcPr>
            <w:tcW w:w="4520" w:type="dxa"/>
            <w:tcBorders>
              <w:top w:val="single" w:sz="4" w:space="0" w:color="auto"/>
              <w:left w:val="nil"/>
              <w:bottom w:val="single" w:sz="4" w:space="0" w:color="auto"/>
              <w:right w:val="single" w:sz="4" w:space="0" w:color="auto"/>
            </w:tcBorders>
            <w:shd w:val="clear" w:color="auto" w:fill="auto"/>
            <w:vAlign w:val="bottom"/>
          </w:tcPr>
          <w:p w14:paraId="5CD2CF51"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 and malformations</w:t>
            </w:r>
          </w:p>
        </w:tc>
        <w:tc>
          <w:tcPr>
            <w:tcW w:w="2633" w:type="dxa"/>
            <w:tcBorders>
              <w:top w:val="single" w:sz="4" w:space="0" w:color="auto"/>
              <w:left w:val="nil"/>
              <w:bottom w:val="single" w:sz="4" w:space="0" w:color="auto"/>
              <w:right w:val="single" w:sz="4" w:space="0" w:color="auto"/>
            </w:tcBorders>
          </w:tcPr>
          <w:p w14:paraId="1E683E6E"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top w:val="single" w:sz="4" w:space="0" w:color="auto"/>
              <w:left w:val="single" w:sz="4" w:space="0" w:color="auto"/>
              <w:bottom w:val="single" w:sz="4" w:space="0" w:color="auto"/>
              <w:right w:val="single" w:sz="4" w:space="0" w:color="auto"/>
            </w:tcBorders>
          </w:tcPr>
          <w:p w14:paraId="202FB9EF" w14:textId="77777777"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1FCD399"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{"citationID":"1SLv9O44","properties":{"formattedCitation":"(Weigt et al. 2010)","plainCitation":"(Weigt et al. 2010)","noteIndex":0},"citationItems":[{"id":1188,"uris":["http://zotero.org/users/11614927/items/BWUDG7YS"],"itemData":{"id":1188,"type":"article-journal","abstract":"The zebraﬁsh Danio rerio embryo test with metabolic activation (mDarT) was developed to assess the teratogenic effects of proteratogens. In this study induced rat liver microsomes (RLM) were used as a mammalian metabolic activation system (MAS), since they contain various cytochrome P450 (CYP) isoforms at high concentrations. Acetaminophen (APAP) is considered not to be teratogenic in vivo, however, in vitro teratogenic effects were observed, e.g. in rat whole embryo culture. The CYP2E1 activation of APAP to the reactive metabolite N-acetyl-p-benzoquinone imine (NAPQI) mainly occurs, when the glucuronidation and sulfatation pathways are saturated. In vivo the soft electrophile NAPQI is usually inactivated by hepatic reduced glutathione (GSH), a soft nucleophile. In this study, we investigated the teratogenic and lethal effects of APAP after CYP activation in zebraﬁsh embryos. In the test groups with APAP and metabolic activation 11.7 ± 7.6% (2 mM), 25.0 ± 8.7% (4 mM) and 50.0 ± 21.8% (6 mM) affected embryos were seen, reaching statistical signiﬁcance at 4 mM APAP. When embryos were exposed to 6 mM APAP, MAS and 3 mM GSH the percentage of affected embryos decreased to 6.7 ± 5.8%. In contrast teratogenic and lethal effects of metabolically activated cyclophosphamide (CPA) could not be prevented by GSH addition, because the CPA metabolites are strong electrophiles, which preferentially bind to hard nucleophiles like DNA and RNA.","container-title":"Toxicology","DOI":"10.1016/j.tox.2010.05.012","ISSN":"0300483X","issue":"1-3","journalAbbreviation":"Toxicology","language":"en","page":"36-49","source":"DOI.org (Crossref)","title":"Zebrafish teratogenicity test with metabolic activation (mDarT): Effects of phase I activation of acetaminophen on zebrafish Danio rerio embryos","title-short":"Zebrafish teratogenicity test with metabolic activation (mDarT)","volume":"275","author":[{"family":"Weigt","given":"Stefan"},{"family":"Huebler","given":"Nicole"},{"family":"Braunbeck","given":"Thomas"},{"family":"Von Landenberg","given":"Friedrich"},{"family":"Broschard","given":"Thomas H."}],"issued":{"date-parts":[["2010",9]]}}}],"schema":"https://github.com/citation-style-language/schema/raw/master/csl-citation.json"}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(Weigt et al. 2010)</w:t>
            </w:r>
            <w:r w:rsidRPr="001D0ADC">
              <w:rPr>
                <w:color w:val="auto"/>
                <w:lang w:val="en-GB" w:eastAsia="cs-CZ"/>
              </w:rPr>
              <w:fldChar w:fldCharType="end"/>
            </w:r>
          </w:p>
        </w:tc>
      </w:tr>
      <w:tr w:rsidR="001D0ADC" w:rsidRPr="001D0ADC" w14:paraId="5EC1A2B9"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E0E12F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CF9F947" w14:textId="77777777" w:rsidR="00196808" w:rsidRPr="001D0ADC" w:rsidRDefault="00196808" w:rsidP="00196808">
            <w:pPr>
              <w:pStyle w:val="NoSpacing"/>
              <w:ind w:firstLine="0"/>
              <w:rPr>
                <w:color w:val="auto"/>
                <w:lang w:val="en-GB" w:eastAsia="cs-CZ"/>
              </w:rPr>
            </w:pPr>
            <w:r w:rsidRPr="001D0ADC">
              <w:rPr>
                <w:color w:val="auto"/>
                <w:lang w:val="en-GB" w:eastAsia="cs-CZ"/>
              </w:rPr>
              <w:t>252</w:t>
            </w:r>
          </w:p>
        </w:tc>
        <w:tc>
          <w:tcPr>
            <w:tcW w:w="4520" w:type="dxa"/>
            <w:tcBorders>
              <w:top w:val="single" w:sz="4" w:space="0" w:color="auto"/>
              <w:left w:val="nil"/>
              <w:bottom w:val="single" w:sz="4" w:space="0" w:color="auto"/>
              <w:right w:val="single" w:sz="4" w:space="0" w:color="auto"/>
            </w:tcBorders>
            <w:shd w:val="clear" w:color="auto" w:fill="auto"/>
            <w:vAlign w:val="bottom"/>
          </w:tcPr>
          <w:p w14:paraId="6CDCDC13"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6FF3C973" w14:textId="777777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top w:val="single" w:sz="4" w:space="0" w:color="auto"/>
              <w:left w:val="single" w:sz="4" w:space="0" w:color="auto"/>
              <w:bottom w:val="single" w:sz="4" w:space="0" w:color="auto"/>
              <w:right w:val="single" w:sz="4" w:space="0" w:color="auto"/>
            </w:tcBorders>
          </w:tcPr>
          <w:p w14:paraId="7684270D" w14:textId="77777777"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46DB1BAD"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{"citationID":"gEWBRREO","properties":{"formattedCitation":"(C. Zhang, Willett, and Fremgen 2003)","plainCitation":"(C. Zhang, Willett, and Fremgen 2003)","noteIndex":0},"citationItems":[{"id":1316,"uris":["http://zotero.org/users/11614927/items/T6DZN6YT"],"itemData":{"id":1316,"type":"article-journal","abstract":"Abstract\n            \n              Zebrafish (\n              Danio rerio\n              ) has been extensively studied and well described for environmental toxicity studies. Molecular biology and genetics have recently been used to elucidate the underlying mechanisms of toxicity in zebrafish and to predict effects in mammals. The versatile zebrafish is now incorporated in many areas of toxicological programs for assessing human risk and for preclinical drug discovery and screening.","container-title":"Current Protocols in Toxicology","DOI":"10.1002/0471140856.tx0107s17","ISSN":"1934-9254, 1934-9262","issue":"1","journalAbbreviation":"CP Toxicology","language":"en","source":"DOI.org (Crossref)","title":"Zebrafish: An Animal Model for Toxicological Studies","title-short":"Zebrafish","URL":"https://currentprotocols.onlinelibrary.wiley.com/doi/10.1002/0471140856.tx0107s17","volume":"17","author":[{"family":"Zhang","given":"Chaojie"},{"family":"Willett","given":"Catherine"},{"family":"Fremgen","given":"Trisha"}],"accessed":{"date-parts":[["2024",2,19]]},"issued":{"date-parts":[["2003",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 Zhang, Willett, and Fremgen 2003)</w:t>
            </w:r>
            <w:r w:rsidRPr="001D0ADC">
              <w:rPr>
                <w:color w:val="auto"/>
                <w:lang w:val="en-GB" w:eastAsia="cs-CZ"/>
              </w:rPr>
              <w:fldChar w:fldCharType="end"/>
            </w:r>
          </w:p>
        </w:tc>
      </w:tr>
      <w:tr w:rsidR="001D0ADC" w:rsidRPr="001D0ADC" w14:paraId="69AA4D76"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58C7C1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981FD0A" w14:textId="69C0ED14" w:rsidR="00196808" w:rsidRPr="001D0ADC" w:rsidRDefault="00196808" w:rsidP="00196808">
            <w:pPr>
              <w:pStyle w:val="NoSpacing"/>
              <w:ind w:firstLine="0"/>
              <w:rPr>
                <w:color w:val="auto"/>
                <w:lang w:val="en-GB" w:eastAsia="cs-CZ"/>
              </w:rPr>
            </w:pPr>
            <w:r w:rsidRPr="001D0ADC">
              <w:rPr>
                <w:color w:val="auto"/>
                <w:lang w:val="en-GB" w:eastAsia="cs-CZ"/>
              </w:rPr>
              <w:t>1008</w:t>
            </w:r>
          </w:p>
        </w:tc>
        <w:tc>
          <w:tcPr>
            <w:tcW w:w="4520" w:type="dxa"/>
            <w:tcBorders>
              <w:top w:val="single" w:sz="4" w:space="0" w:color="auto"/>
              <w:left w:val="nil"/>
              <w:bottom w:val="single" w:sz="4" w:space="0" w:color="auto"/>
              <w:right w:val="single" w:sz="4" w:space="0" w:color="auto"/>
            </w:tcBorders>
            <w:shd w:val="clear" w:color="auto" w:fill="auto"/>
            <w:vAlign w:val="bottom"/>
          </w:tcPr>
          <w:p w14:paraId="4AD52B52" w14:textId="295409A2"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top w:val="single" w:sz="4" w:space="0" w:color="auto"/>
              <w:left w:val="nil"/>
              <w:right w:val="single" w:sz="4" w:space="0" w:color="auto"/>
            </w:tcBorders>
          </w:tcPr>
          <w:p w14:paraId="6EEBB597" w14:textId="18025EE0" w:rsidR="00196808" w:rsidRPr="001D0ADC" w:rsidRDefault="00196808" w:rsidP="00196808">
            <w:pPr>
              <w:pStyle w:val="NoSpacing"/>
              <w:ind w:firstLine="0"/>
              <w:rPr>
                <w:color w:val="auto"/>
                <w:lang w:val="en-GB" w:eastAsia="cs-CZ"/>
              </w:rPr>
            </w:pPr>
            <w:r w:rsidRPr="001D0ADC">
              <w:rPr>
                <w:color w:val="auto"/>
                <w:lang w:val="en-GB" w:eastAsia="cs-CZ"/>
              </w:rPr>
              <w:t>ELS (ZF) OECD 236</w:t>
            </w:r>
          </w:p>
        </w:tc>
        <w:tc>
          <w:tcPr>
            <w:tcW w:w="1967" w:type="dxa"/>
            <w:vMerge w:val="restart"/>
            <w:tcBorders>
              <w:top w:val="single" w:sz="4" w:space="0" w:color="auto"/>
              <w:left w:val="single" w:sz="4" w:space="0" w:color="auto"/>
              <w:right w:val="single" w:sz="4" w:space="0" w:color="auto"/>
            </w:tcBorders>
          </w:tcPr>
          <w:p w14:paraId="63A242A9" w14:textId="2DFE74BE"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2E4414F" w14:textId="15D16DCD"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{"citationID":"4J42SIuw","properties":{"formattedCitation":"(Cedron et al. 2020)","plainCitation":"(Cedron et al. 2020)","noteIndex":0},"citationItems":[{"id":1646,"uris":["http://zotero.org/users/11614927/items/DAP3RZN2"],"itemData":{"id":1646,"type":"article-journal","abstract":"In spite of its toxic eﬀects, N-acetyl-p-aminophenol (APAP), also commonly known as acetaminophen or paracetamol, is one of the most widely used analgesic and antipyretic agents. It can be obtained without a medical prescription. To test the eﬀect over the zebraﬁsh embryonic development, a Fish Embryo acute Toxicity (FET) test was carried out with acetaminophen to establish the range of concentrations that cause a harmful eﬀect on the zebraﬁsh development. Diminished pigmentation (in embryos treated from 0 h post-fertilization) and blockage of melanin synthesis (in larvae treated from 72 h post-fertilization) were detected, suggesting the involvement of this compound in the development of black pigment cells as described recently for human epidermal melanocytes. Morphological abnormalities such as aberrant craniofacial structures, pericardial edemas, and blood accumulation were also found. All these eﬀects could be due to higher levels of apoptotic cells detected in treated embryos. Therefore, teratogenic eﬀects of acetaminophen cannot be ruled out, and its wide use should be taken with caution.","container-title":"Biochemical Pharmacology","DOI":"10.1016/j.bcp.2020.113816","ISSN":"00062952","journalAbbreviation":"Biochemical Pharmacology","language":"en","page":"113816","source":"DOI.org (Crossref)","title":"Acetaminophen affects the survivor, pigmentation and development of craniofacial structures in zebrafish (Danio rerio) embryos","volume":"174","author":[{"family":"Cedron","given":"Vanessa P."},{"family":"Weiner","given":"Andrea M.J."},{"family":"Vera","given":"Manuel"},{"family":"Sanchez","given":"Laura"}],"issued":{"date-parts":[["2020",4]]}}}],"schema":"https://github.com/citation-style-language/schema/raw/master/csl-citation.json"}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(Cedron et al. 2020)</w:t>
            </w:r>
            <w:r w:rsidRPr="001D0ADC">
              <w:rPr>
                <w:color w:val="auto"/>
                <w:lang w:val="en-GB" w:eastAsia="cs-CZ"/>
              </w:rPr>
              <w:fldChar w:fldCharType="end"/>
            </w:r>
          </w:p>
        </w:tc>
      </w:tr>
      <w:tr w:rsidR="001D0ADC" w:rsidRPr="001D0ADC" w14:paraId="32C632DF"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CEBA65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7584DBD" w14:textId="1E6DFD9C" w:rsidR="00196808" w:rsidRPr="001D0ADC" w:rsidRDefault="00196808" w:rsidP="00196808">
            <w:pPr>
              <w:pStyle w:val="NoSpacing"/>
              <w:ind w:firstLine="0"/>
              <w:rPr>
                <w:color w:val="auto"/>
                <w:lang w:val="en-GB" w:eastAsia="cs-CZ"/>
              </w:rPr>
            </w:pPr>
            <w:r w:rsidRPr="001D0ADC">
              <w:rPr>
                <w:color w:val="auto"/>
                <w:lang w:val="en-GB" w:eastAsia="cs-CZ"/>
              </w:rPr>
              <w:t>664</w:t>
            </w:r>
          </w:p>
        </w:tc>
        <w:tc>
          <w:tcPr>
            <w:tcW w:w="4520" w:type="dxa"/>
            <w:tcBorders>
              <w:top w:val="single" w:sz="4" w:space="0" w:color="auto"/>
              <w:left w:val="nil"/>
              <w:bottom w:val="single" w:sz="4" w:space="0" w:color="auto"/>
              <w:right w:val="single" w:sz="4" w:space="0" w:color="auto"/>
            </w:tcBorders>
            <w:shd w:val="clear" w:color="auto" w:fill="auto"/>
            <w:vAlign w:val="bottom"/>
          </w:tcPr>
          <w:p w14:paraId="51AB1D1B" w14:textId="7CA6FC9F" w:rsidR="00196808" w:rsidRPr="001D0ADC" w:rsidRDefault="00196808" w:rsidP="00196808">
            <w:pPr>
              <w:pStyle w:val="NoSpacing"/>
              <w:ind w:firstLine="0"/>
              <w:rPr>
                <w:color w:val="auto"/>
                <w:lang w:val="en-GB" w:eastAsia="cs-CZ"/>
              </w:rPr>
            </w:pPr>
            <w:r w:rsidRPr="001D0ADC">
              <w:rPr>
                <w:color w:val="auto"/>
                <w:lang w:val="en-GB" w:eastAsia="cs-CZ"/>
              </w:rPr>
              <w:t>LC10</w:t>
            </w:r>
          </w:p>
        </w:tc>
        <w:tc>
          <w:tcPr>
            <w:tcW w:w="2633" w:type="dxa"/>
            <w:vMerge/>
            <w:tcBorders>
              <w:left w:val="nil"/>
              <w:right w:val="single" w:sz="4" w:space="0" w:color="auto"/>
            </w:tcBorders>
          </w:tcPr>
          <w:p w14:paraId="2C887FA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0B962AA0"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1AEDE065" w14:textId="77777777" w:rsidR="00196808" w:rsidRPr="001D0ADC" w:rsidRDefault="00196808" w:rsidP="00196808">
            <w:pPr>
              <w:pStyle w:val="NoSpacing"/>
              <w:ind w:firstLine="0"/>
              <w:rPr>
                <w:color w:val="auto"/>
                <w:lang w:val="en-GB" w:eastAsia="cs-CZ"/>
              </w:rPr>
            </w:pPr>
          </w:p>
        </w:tc>
      </w:tr>
      <w:tr w:rsidR="001D0ADC" w:rsidRPr="001D0ADC" w14:paraId="475902AF"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89A66F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66DA072" w14:textId="2D364D62" w:rsidR="00196808" w:rsidRPr="001D0ADC" w:rsidRDefault="00196808" w:rsidP="00196808">
            <w:pPr>
              <w:pStyle w:val="NoSpacing"/>
              <w:ind w:firstLine="0"/>
              <w:rPr>
                <w:color w:val="auto"/>
                <w:lang w:val="en-GB" w:eastAsia="cs-CZ"/>
              </w:rPr>
            </w:pPr>
            <w:r w:rsidRPr="001D0ADC">
              <w:rPr>
                <w:color w:val="auto"/>
                <w:lang w:val="en-GB" w:eastAsia="cs-CZ"/>
              </w:rPr>
              <w:t>378</w:t>
            </w:r>
          </w:p>
        </w:tc>
        <w:tc>
          <w:tcPr>
            <w:tcW w:w="4520" w:type="dxa"/>
            <w:tcBorders>
              <w:top w:val="single" w:sz="4" w:space="0" w:color="auto"/>
              <w:left w:val="nil"/>
              <w:bottom w:val="single" w:sz="4" w:space="0" w:color="auto"/>
              <w:right w:val="single" w:sz="4" w:space="0" w:color="auto"/>
            </w:tcBorders>
            <w:shd w:val="clear" w:color="auto" w:fill="auto"/>
            <w:vAlign w:val="bottom"/>
          </w:tcPr>
          <w:p w14:paraId="46B11998" w14:textId="1743788E" w:rsidR="00196808" w:rsidRPr="001D0ADC" w:rsidRDefault="00196808" w:rsidP="00196808">
            <w:pPr>
              <w:pStyle w:val="NoSpacing"/>
              <w:ind w:firstLine="0"/>
              <w:rPr>
                <w:color w:val="auto"/>
                <w:lang w:val="en-GB" w:eastAsia="cs-CZ"/>
              </w:rPr>
            </w:pPr>
            <w:r w:rsidRPr="001D0ADC">
              <w:rPr>
                <w:color w:val="auto"/>
                <w:lang w:val="en-GB" w:eastAsia="cs-CZ"/>
              </w:rPr>
              <w:t>LOEC for edema, melanin reduction, cranial deformation</w:t>
            </w:r>
          </w:p>
        </w:tc>
        <w:tc>
          <w:tcPr>
            <w:tcW w:w="2633" w:type="dxa"/>
            <w:vMerge/>
            <w:tcBorders>
              <w:left w:val="nil"/>
              <w:bottom w:val="single" w:sz="4" w:space="0" w:color="auto"/>
              <w:right w:val="single" w:sz="4" w:space="0" w:color="auto"/>
            </w:tcBorders>
          </w:tcPr>
          <w:p w14:paraId="132FB07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79098D3"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71438BD9" w14:textId="77777777" w:rsidR="00196808" w:rsidRPr="001D0ADC" w:rsidRDefault="00196808" w:rsidP="00196808">
            <w:pPr>
              <w:pStyle w:val="NoSpacing"/>
              <w:ind w:firstLine="0"/>
              <w:rPr>
                <w:color w:val="auto"/>
                <w:lang w:val="en-GB" w:eastAsia="cs-CZ"/>
              </w:rPr>
            </w:pPr>
          </w:p>
        </w:tc>
      </w:tr>
      <w:tr w:rsidR="001D0ADC" w:rsidRPr="001D0ADC" w14:paraId="5F514FB6"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256FF9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E98E719" w14:textId="5907E2F7" w:rsidR="00196808" w:rsidRPr="001D0ADC" w:rsidRDefault="00196808" w:rsidP="00196808">
            <w:pPr>
              <w:pStyle w:val="NoSpacing"/>
              <w:ind w:firstLine="0"/>
              <w:rPr>
                <w:color w:val="auto"/>
                <w:lang w:val="en-GB" w:eastAsia="cs-CZ"/>
              </w:rPr>
            </w:pPr>
            <w:r w:rsidRPr="001D0ADC">
              <w:rPr>
                <w:color w:val="auto"/>
                <w:lang w:val="en-GB" w:eastAsia="cs-CZ"/>
              </w:rPr>
              <w:t>250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4AE6ABB5" w14:textId="116FAFA8" w:rsidR="00196808" w:rsidRPr="001D0ADC" w:rsidRDefault="00196808" w:rsidP="00196808">
            <w:pPr>
              <w:pStyle w:val="NoSpacing"/>
              <w:ind w:firstLine="0"/>
              <w:rPr>
                <w:color w:val="auto"/>
                <w:lang w:val="en-GB" w:eastAsia="cs-CZ"/>
              </w:rPr>
            </w:pPr>
            <w:r w:rsidRPr="001D0ADC">
              <w:rPr>
                <w:color w:val="auto"/>
                <w:lang w:val="en-GB" w:eastAsia="cs-CZ"/>
              </w:rPr>
              <w:t xml:space="preserve">LOEC for malformations </w:t>
            </w:r>
          </w:p>
        </w:tc>
        <w:tc>
          <w:tcPr>
            <w:tcW w:w="2633" w:type="dxa"/>
            <w:vMerge w:val="restart"/>
            <w:tcBorders>
              <w:left w:val="nil"/>
              <w:right w:val="single" w:sz="4" w:space="0" w:color="auto"/>
            </w:tcBorders>
          </w:tcPr>
          <w:p w14:paraId="0E5621E3" w14:textId="4FC8D6E0" w:rsidR="00196808" w:rsidRPr="001D0ADC" w:rsidRDefault="00196808" w:rsidP="00196808">
            <w:pPr>
              <w:pStyle w:val="NoSpacing"/>
              <w:ind w:firstLine="0"/>
              <w:rPr>
                <w:color w:val="auto"/>
                <w:lang w:val="en-GB" w:eastAsia="cs-CZ"/>
              </w:rPr>
            </w:pPr>
            <w:r w:rsidRPr="001D0ADC">
              <w:rPr>
                <w:color w:val="auto"/>
                <w:lang w:val="en-GB" w:eastAsia="cs-CZ"/>
              </w:rPr>
              <w:t>ELS (ZF) from 4hpf</w:t>
            </w:r>
          </w:p>
        </w:tc>
        <w:tc>
          <w:tcPr>
            <w:tcW w:w="1967" w:type="dxa"/>
            <w:vMerge w:val="restart"/>
            <w:tcBorders>
              <w:left w:val="single" w:sz="4" w:space="0" w:color="auto"/>
              <w:right w:val="single" w:sz="4" w:space="0" w:color="auto"/>
            </w:tcBorders>
          </w:tcPr>
          <w:p w14:paraId="195EC0DB" w14:textId="194D1112" w:rsidR="00196808" w:rsidRPr="001D0ADC" w:rsidRDefault="00196808" w:rsidP="00196808">
            <w:pPr>
              <w:pStyle w:val="NoSpacing"/>
              <w:ind w:firstLine="0"/>
              <w:rPr>
                <w:color w:val="auto"/>
                <w:lang w:val="en-GB" w:eastAsia="cs-CZ"/>
              </w:rPr>
            </w:pPr>
            <w:r w:rsidRPr="001D0ADC">
              <w:rPr>
                <w:color w:val="auto"/>
                <w:lang w:val="en-GB" w:eastAsia="cs-CZ"/>
              </w:rPr>
              <w:t>144h</w:t>
            </w:r>
          </w:p>
        </w:tc>
        <w:tc>
          <w:tcPr>
            <w:tcW w:w="2300" w:type="dxa"/>
            <w:vMerge w:val="restart"/>
            <w:tcBorders>
              <w:left w:val="single" w:sz="4" w:space="0" w:color="auto"/>
              <w:right w:val="single" w:sz="4" w:space="0" w:color="auto"/>
            </w:tcBorders>
            <w:shd w:val="clear" w:color="auto" w:fill="auto"/>
            <w:vAlign w:val="bottom"/>
          </w:tcPr>
          <w:p w14:paraId="63195EA8" w14:textId="18EF4AAF"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{"citationID":"a1pdrt1k8hf","properties":{"formattedCitation":"(Reuter et al. 2016)","plainCitation":"(Reuter et al. 2016)","noteIndex":0},"citationItems":[{"id":1647,"uris":["http://zotero.org/users/11614927/items/2IW4B8WH"],"itemData":{"id":1647,"type":"article-journal","container-title":"Journal of Neural Transmission","DOI":"10.1007/s00702-016-1556-z","ISSN":"0300-9564, 1435-1463","issue":"8","journalAbbreviation":"J Neural Transm","language":"en","page":"841-848","source":"DOI.org (Crossref)","title":"Developmental exposure to acetaminophen does not induce hyperactivity in zebrafish larvae","volume":"123","author":[{"family":"Reuter","given":"Isabel"},{"family":"Knaup","given":"Sabine"},{"family":"Romanos","given":"Marcel"},{"family":"Lesch","given":"Klaus-Peter"},{"family":"Drepper","given":"Carsten"},{"family":"Lillesaar","given":"Christina"}],"issued":{"date-parts":[["2016",8]]}}}],"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(Reuter et al. 2016)</w:t>
            </w:r>
            <w:r w:rsidRPr="001D0ADC">
              <w:rPr>
                <w:color w:val="auto"/>
                <w:lang w:val="en-GB" w:eastAsia="cs-CZ"/>
              </w:rPr>
              <w:fldChar w:fldCharType="end"/>
            </w:r>
          </w:p>
        </w:tc>
      </w:tr>
      <w:tr w:rsidR="001D0ADC" w:rsidRPr="001D0ADC" w14:paraId="11988F41"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66AC5F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9388CA9" w14:textId="25E1C70A" w:rsidR="00196808" w:rsidRPr="001D0ADC" w:rsidRDefault="00196808" w:rsidP="00196808">
            <w:pPr>
              <w:pStyle w:val="NoSpacing"/>
              <w:ind w:firstLine="0"/>
              <w:rPr>
                <w:color w:val="auto"/>
                <w:lang w:val="en-GB" w:eastAsia="cs-CZ"/>
              </w:rPr>
            </w:pPr>
            <w:r w:rsidRPr="001D0ADC">
              <w:rPr>
                <w:color w:val="auto"/>
                <w:lang w:val="en-GB" w:eastAsia="cs-CZ"/>
              </w:rPr>
              <w:t>1000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49790EA1" w14:textId="4C35E309" w:rsidR="00196808" w:rsidRPr="001D0ADC" w:rsidRDefault="00196808" w:rsidP="00196808">
            <w:pPr>
              <w:pStyle w:val="NoSpacing"/>
              <w:ind w:firstLine="0"/>
              <w:rPr>
                <w:color w:val="auto"/>
                <w:lang w:val="en-GB" w:eastAsia="cs-CZ"/>
              </w:rPr>
            </w:pPr>
            <w:r w:rsidRPr="001D0ADC">
              <w:rPr>
                <w:color w:val="auto"/>
                <w:lang w:val="en-GB" w:eastAsia="cs-CZ"/>
              </w:rPr>
              <w:t>LC95 prior to 6hpf</w:t>
            </w:r>
          </w:p>
        </w:tc>
        <w:tc>
          <w:tcPr>
            <w:tcW w:w="2633" w:type="dxa"/>
            <w:vMerge/>
            <w:tcBorders>
              <w:left w:val="nil"/>
              <w:right w:val="single" w:sz="4" w:space="0" w:color="auto"/>
            </w:tcBorders>
          </w:tcPr>
          <w:p w14:paraId="44330B28"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753FE11C"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EABD85F" w14:textId="77777777" w:rsidR="00196808" w:rsidRPr="001D0ADC" w:rsidRDefault="00196808" w:rsidP="00196808">
            <w:pPr>
              <w:pStyle w:val="NoSpacing"/>
              <w:ind w:firstLine="0"/>
              <w:rPr>
                <w:color w:val="auto"/>
                <w:lang w:val="en-GB" w:eastAsia="cs-CZ"/>
              </w:rPr>
            </w:pPr>
          </w:p>
        </w:tc>
      </w:tr>
      <w:tr w:rsidR="001D0ADC" w:rsidRPr="001D0ADC" w14:paraId="6EB7F51E"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B1DBBD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EBD009A" w14:textId="172C3899" w:rsidR="00196808" w:rsidRPr="001D0ADC" w:rsidRDefault="00CF2036" w:rsidP="00196808">
            <w:pPr>
              <w:pStyle w:val="NoSpacing"/>
              <w:ind w:firstLine="0"/>
              <w:rPr>
                <w:color w:val="auto"/>
                <w:lang w:val="en-GB" w:eastAsia="cs-CZ"/>
              </w:rPr>
            </w:pPr>
            <w:r w:rsidRPr="001D0ADC">
              <w:rPr>
                <w:color w:val="auto"/>
                <w:lang w:val="en-GB" w:eastAsia="cs-CZ"/>
              </w:rPr>
              <w:t>2.</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3CCDC66" w14:textId="7AEA413C" w:rsidR="00196808" w:rsidRPr="001D0ADC" w:rsidRDefault="00196808" w:rsidP="00196808">
            <w:pPr>
              <w:pStyle w:val="NoSpacing"/>
              <w:ind w:firstLine="0"/>
              <w:rPr>
                <w:color w:val="auto"/>
                <w:lang w:val="en-GB" w:eastAsia="cs-CZ"/>
              </w:rPr>
            </w:pPr>
            <w:r w:rsidRPr="001D0ADC">
              <w:rPr>
                <w:color w:val="auto"/>
                <w:lang w:val="en-GB" w:eastAsia="cs-CZ"/>
              </w:rPr>
              <w:t xml:space="preserve">LOEC for loss of liver marker </w:t>
            </w:r>
            <w:r w:rsidRPr="001D0ADC">
              <w:rPr>
                <w:i/>
                <w:iCs/>
                <w:color w:val="auto"/>
                <w:lang w:val="en-GB" w:eastAsia="cs-CZ"/>
              </w:rPr>
              <w:t>fabp10a</w:t>
            </w:r>
            <w:r w:rsidRPr="001D0ADC">
              <w:rPr>
                <w:color w:val="auto"/>
                <w:lang w:val="en-GB" w:eastAsia="cs-CZ"/>
              </w:rPr>
              <w:t xml:space="preserve"> (hepatotoxicity marker)</w:t>
            </w:r>
          </w:p>
        </w:tc>
        <w:tc>
          <w:tcPr>
            <w:tcW w:w="2633" w:type="dxa"/>
            <w:vMerge/>
            <w:tcBorders>
              <w:left w:val="nil"/>
              <w:bottom w:val="single" w:sz="4" w:space="0" w:color="auto"/>
              <w:right w:val="single" w:sz="4" w:space="0" w:color="auto"/>
            </w:tcBorders>
          </w:tcPr>
          <w:p w14:paraId="153027B3"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36FAE34"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E7AF93A" w14:textId="77777777" w:rsidR="00196808" w:rsidRPr="001D0ADC" w:rsidRDefault="00196808" w:rsidP="00196808">
            <w:pPr>
              <w:pStyle w:val="NoSpacing"/>
              <w:ind w:firstLine="0"/>
              <w:rPr>
                <w:color w:val="auto"/>
                <w:lang w:val="en-GB" w:eastAsia="cs-CZ"/>
              </w:rPr>
            </w:pPr>
          </w:p>
        </w:tc>
      </w:tr>
      <w:tr w:rsidR="001D0ADC" w:rsidRPr="001D0ADC" w14:paraId="1D2F7C21"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47C536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0988B88" w14:textId="6ECCC752" w:rsidR="00196808" w:rsidRPr="001D0ADC" w:rsidRDefault="00CF2036" w:rsidP="00196808">
            <w:pPr>
              <w:pStyle w:val="NoSpacing"/>
              <w:ind w:firstLine="0"/>
              <w:rPr>
                <w:color w:val="auto"/>
                <w:lang w:val="en-GB" w:eastAsia="cs-CZ"/>
              </w:rPr>
            </w:pPr>
            <w:r w:rsidRPr="001D0ADC">
              <w:rPr>
                <w:color w:val="auto"/>
                <w:lang w:val="en-GB" w:eastAsia="cs-CZ"/>
              </w:rPr>
              <w:t>3.</w:t>
            </w:r>
            <w:r w:rsidR="00196808" w:rsidRPr="001D0ADC">
              <w:rPr>
                <w:color w:val="auto"/>
                <w:lang w:val="en-GB" w:eastAsia="cs-CZ"/>
              </w:rPr>
              <w:t>125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372DB693" w14:textId="136DF8D5" w:rsidR="00196808" w:rsidRPr="001D0ADC" w:rsidRDefault="00196808" w:rsidP="00196808">
            <w:pPr>
              <w:pStyle w:val="NoSpacing"/>
              <w:ind w:firstLine="0"/>
              <w:rPr>
                <w:color w:val="auto"/>
                <w:lang w:val="en-GB" w:eastAsia="cs-CZ"/>
              </w:rPr>
            </w:pPr>
            <w:r w:rsidRPr="001D0ADC">
              <w:rPr>
                <w:color w:val="auto"/>
                <w:lang w:val="en-GB" w:eastAsia="cs-CZ"/>
              </w:rPr>
              <w:t>NOEC for mortality, hatching, CAT activity, LOEC for GST activity, swimming behav.</w:t>
            </w:r>
          </w:p>
        </w:tc>
        <w:tc>
          <w:tcPr>
            <w:tcW w:w="2633" w:type="dxa"/>
            <w:tcBorders>
              <w:left w:val="nil"/>
              <w:bottom w:val="single" w:sz="4" w:space="0" w:color="auto"/>
              <w:right w:val="single" w:sz="4" w:space="0" w:color="auto"/>
            </w:tcBorders>
          </w:tcPr>
          <w:p w14:paraId="6FC1FAE5" w14:textId="0EACB533" w:rsidR="00196808" w:rsidRPr="001D0ADC" w:rsidRDefault="00196808" w:rsidP="00196808">
            <w:pPr>
              <w:pStyle w:val="NoSpacing"/>
              <w:ind w:firstLine="0"/>
              <w:rPr>
                <w:color w:val="auto"/>
                <w:lang w:val="en-GB" w:eastAsia="cs-CZ"/>
              </w:rPr>
            </w:pPr>
            <w:r w:rsidRPr="001D0ADC">
              <w:rPr>
                <w:color w:val="auto"/>
                <w:lang w:val="en-GB" w:eastAsia="cs-CZ"/>
              </w:rPr>
              <w:t>ELS (ZF) (OECD236)</w:t>
            </w:r>
          </w:p>
        </w:tc>
        <w:tc>
          <w:tcPr>
            <w:tcW w:w="1967" w:type="dxa"/>
            <w:tcBorders>
              <w:left w:val="single" w:sz="4" w:space="0" w:color="auto"/>
              <w:bottom w:val="single" w:sz="4" w:space="0" w:color="auto"/>
              <w:right w:val="single" w:sz="4" w:space="0" w:color="auto"/>
            </w:tcBorders>
          </w:tcPr>
          <w:p w14:paraId="7FC306B1" w14:textId="12B01689"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left w:val="single" w:sz="4" w:space="0" w:color="auto"/>
              <w:right w:val="single" w:sz="4" w:space="0" w:color="auto"/>
            </w:tcBorders>
            <w:shd w:val="clear" w:color="auto" w:fill="auto"/>
            <w:vAlign w:val="bottom"/>
          </w:tcPr>
          <w:p w14:paraId="77E4BCE4" w14:textId="02F2BBED"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{"citationID":"EMH6zphG","properties":{"formattedCitation":"(Nogueira et al. 2019)","plainCitation":"(Nogueira et al. 2019)","noteIndex":0},"citationItems":[{"id":1630,"uris":["http://zotero.org/users/11614927/items/ELWYIWLB"],"itemData":{"id":1630,"type":"article-journal","abstract":"For several years, the scientific community has been concerned about the presence of pharmaceuticals in the wild, since these compounds may have unpredictable deleterious effects on living organisms. Two examples of widely used pharmaceuticals that are present in the environment are paracetamol and ciprofloxacin. Despite their common presence in the aquatic environment due to their poor removal by sewage treatment plants, knowledge concerning their putative toxic effects is still scarce. This work aimed to characterize the effects of paracetamol (0.005, 0.025, 0.125, 0.625, and 3.125 mg/L) and ciprofloxacin (0.005, 0.013, 0.031, 0.078, 0.195, and 0.488 μg/L) in zebrafish embryos and larvae, exposed to environmentally relevant levels, close to the real concentrations of these pharmaceuticals in surface waters and effluents. The adopted toxic end points were developmental, a behavioral parameter (total swimming time), and a biomarkerbased approach (quantification of the activities of catalase, glutathione-S-transferase, cholinesterases, glutathione peroxidase, and lipid peroxidation levels) combined with epigenetic analysis (immunohistochemical detection of 5-methylcytidine). Exposure to paracetamol had effects on all of the adopted toxic end points; however, ciprofloxacin only caused effects on behavioral tests and alterations in biomarkers. It is possible to ascertain the occurrence of oxidative stress following exposure to both drugs, which was more evident regarding paracetamol, an effect that may be related to the observed epigenetic modifications.","container-title":"Environmental Toxicology","DOI":"10.1002/tox.22819","ISSN":"1520-4081, 1522-7278","issue":"11","journalAbbreviation":"Environmental Toxicology","language":"en","page":"1177-1190","source":"DOI.org (Crossref)","title":"Embryonic development, locomotor behavior, biochemical, and epigenetic effects of the pharmaceutical drugs paracetamol and ciprofloxacin in larvae and embryos of &lt;i&gt;Danio rerio&lt;/i&gt; when exposed to environmental realistic levels of both drugs","volume":"34","author":[{"family":"Nogueira","given":"Ana F."},{"family":"Pinto","given":"Glória"},{"family":"Correia","given":"Barbara"},{"family":"Nunes","given":"Bruno"}],"issued":{"date-parts":[["2019",11]]}}}],"schema":"https://github.com/citation-style-language/schema/raw/master/csl-citation.json"}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(Nogueira et al. 2019)</w:t>
            </w:r>
            <w:r w:rsidRPr="001D0ADC">
              <w:rPr>
                <w:color w:val="auto"/>
                <w:lang w:val="en-GB" w:eastAsia="cs-CZ"/>
              </w:rPr>
              <w:fldChar w:fldCharType="end"/>
            </w:r>
          </w:p>
        </w:tc>
      </w:tr>
      <w:tr w:rsidR="001D0ADC" w:rsidRPr="001D0ADC" w14:paraId="74B705B8"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BD1F7F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1216164" w14:textId="409DE2C8"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625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8A223CD" w14:textId="2C2D478E" w:rsidR="00196808" w:rsidRPr="001D0ADC" w:rsidRDefault="00196808" w:rsidP="00196808">
            <w:pPr>
              <w:pStyle w:val="NoSpacing"/>
              <w:ind w:firstLine="0"/>
              <w:rPr>
                <w:color w:val="auto"/>
                <w:lang w:val="en-GB" w:eastAsia="cs-CZ"/>
              </w:rPr>
            </w:pPr>
            <w:r w:rsidRPr="001D0ADC">
              <w:rPr>
                <w:color w:val="auto"/>
                <w:lang w:val="en-GB" w:eastAsia="cs-CZ"/>
              </w:rPr>
              <w:t>LOEC for abnormal spine, effects of pigmentation after 72h (not observed at 96h), LOEC for ChE activity</w:t>
            </w:r>
          </w:p>
        </w:tc>
        <w:tc>
          <w:tcPr>
            <w:tcW w:w="2633" w:type="dxa"/>
            <w:vMerge w:val="restart"/>
            <w:tcBorders>
              <w:left w:val="nil"/>
              <w:right w:val="single" w:sz="4" w:space="0" w:color="auto"/>
            </w:tcBorders>
          </w:tcPr>
          <w:p w14:paraId="5F444D95" w14:textId="77777777" w:rsidR="00196808" w:rsidRPr="001D0ADC" w:rsidRDefault="00196808" w:rsidP="00196808">
            <w:pPr>
              <w:pStyle w:val="NoSpacing"/>
              <w:ind w:firstLine="0"/>
              <w:rPr>
                <w:color w:val="auto"/>
                <w:lang w:val="en-GB" w:eastAsia="cs-CZ"/>
              </w:rPr>
            </w:pPr>
          </w:p>
        </w:tc>
        <w:tc>
          <w:tcPr>
            <w:tcW w:w="1967" w:type="dxa"/>
            <w:vMerge w:val="restart"/>
            <w:tcBorders>
              <w:left w:val="single" w:sz="4" w:space="0" w:color="auto"/>
              <w:right w:val="single" w:sz="4" w:space="0" w:color="auto"/>
            </w:tcBorders>
          </w:tcPr>
          <w:p w14:paraId="5A612C5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5CEFC074" w14:textId="77777777" w:rsidR="00196808" w:rsidRPr="001D0ADC" w:rsidRDefault="00196808" w:rsidP="00196808">
            <w:pPr>
              <w:pStyle w:val="NoSpacing"/>
              <w:ind w:firstLine="0"/>
              <w:rPr>
                <w:color w:val="auto"/>
                <w:lang w:val="en-GB" w:eastAsia="cs-CZ"/>
              </w:rPr>
            </w:pPr>
          </w:p>
        </w:tc>
      </w:tr>
      <w:tr w:rsidR="001D0ADC" w:rsidRPr="001D0ADC" w14:paraId="5A188B51"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9C97E26"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1F93985" w14:textId="40EF3BAF"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1206241" w14:textId="21B7114A" w:rsidR="00196808" w:rsidRPr="001D0ADC" w:rsidRDefault="00196808" w:rsidP="00196808">
            <w:pPr>
              <w:pStyle w:val="NoSpacing"/>
              <w:ind w:firstLine="0"/>
              <w:rPr>
                <w:color w:val="auto"/>
                <w:lang w:val="en-GB" w:eastAsia="cs-CZ"/>
              </w:rPr>
            </w:pPr>
            <w:r w:rsidRPr="001D0ADC">
              <w:rPr>
                <w:color w:val="auto"/>
                <w:lang w:val="en-GB" w:eastAsia="cs-CZ"/>
              </w:rPr>
              <w:t>LOEC for TBARs increase</w:t>
            </w:r>
          </w:p>
        </w:tc>
        <w:tc>
          <w:tcPr>
            <w:tcW w:w="2633" w:type="dxa"/>
            <w:vMerge/>
            <w:tcBorders>
              <w:left w:val="nil"/>
              <w:bottom w:val="single" w:sz="4" w:space="0" w:color="auto"/>
              <w:right w:val="single" w:sz="4" w:space="0" w:color="auto"/>
            </w:tcBorders>
          </w:tcPr>
          <w:p w14:paraId="626647A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8D6F18A"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8FCECE3" w14:textId="77777777" w:rsidR="00196808" w:rsidRPr="001D0ADC" w:rsidRDefault="00196808" w:rsidP="00196808">
            <w:pPr>
              <w:pStyle w:val="NoSpacing"/>
              <w:ind w:firstLine="0"/>
              <w:rPr>
                <w:color w:val="auto"/>
                <w:lang w:val="en-GB" w:eastAsia="cs-CZ"/>
              </w:rPr>
            </w:pPr>
          </w:p>
        </w:tc>
      </w:tr>
      <w:tr w:rsidR="001D0ADC" w:rsidRPr="001D0ADC" w14:paraId="103C5C22"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22B7CF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9670314" w14:textId="13B4055E" w:rsidR="00196808" w:rsidRPr="001D0ADC" w:rsidRDefault="00196808" w:rsidP="00196808">
            <w:pPr>
              <w:pStyle w:val="NoSpacing"/>
              <w:ind w:firstLine="0"/>
              <w:rPr>
                <w:color w:val="auto"/>
                <w:lang w:val="en-GB" w:eastAsia="cs-CZ"/>
              </w:rPr>
            </w:pPr>
            <w:r w:rsidRPr="001D0ADC">
              <w:rPr>
                <w:color w:val="auto"/>
                <w:lang w:val="en-GB" w:eastAsia="cs-CZ"/>
              </w:rPr>
              <w:t>350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1FEDD1D6" w14:textId="7F11BA42" w:rsidR="00196808" w:rsidRPr="001D0ADC" w:rsidRDefault="00196808" w:rsidP="00196808">
            <w:pPr>
              <w:pStyle w:val="NoSpacing"/>
              <w:ind w:firstLine="0"/>
              <w:rPr>
                <w:color w:val="auto"/>
                <w:lang w:val="en-GB" w:eastAsia="cs-CZ"/>
              </w:rPr>
            </w:pPr>
            <w:r w:rsidRPr="001D0ADC">
              <w:rPr>
                <w:color w:val="auto"/>
                <w:lang w:val="en-GB" w:eastAsia="cs-CZ"/>
              </w:rPr>
              <w:t xml:space="preserve">LOEC for enteric nervous system development </w:t>
            </w:r>
          </w:p>
        </w:tc>
        <w:tc>
          <w:tcPr>
            <w:tcW w:w="2633" w:type="dxa"/>
            <w:tcBorders>
              <w:left w:val="nil"/>
              <w:bottom w:val="single" w:sz="4" w:space="0" w:color="auto"/>
              <w:right w:val="single" w:sz="4" w:space="0" w:color="auto"/>
            </w:tcBorders>
          </w:tcPr>
          <w:p w14:paraId="0197C1BB" w14:textId="66236877"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left w:val="single" w:sz="4" w:space="0" w:color="auto"/>
              <w:bottom w:val="single" w:sz="4" w:space="0" w:color="auto"/>
              <w:right w:val="single" w:sz="4" w:space="0" w:color="auto"/>
            </w:tcBorders>
          </w:tcPr>
          <w:p w14:paraId="35EFE53F" w14:textId="776B8C0C"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left w:val="single" w:sz="4" w:space="0" w:color="auto"/>
              <w:bottom w:val="single" w:sz="4" w:space="0" w:color="auto"/>
              <w:right w:val="single" w:sz="4" w:space="0" w:color="auto"/>
            </w:tcBorders>
            <w:shd w:val="clear" w:color="auto" w:fill="auto"/>
            <w:vAlign w:val="bottom"/>
          </w:tcPr>
          <w:p w14:paraId="4F3A7236" w14:textId="30FBC24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{"citationID":"1tPlzALr","properties":{"formattedCitation":"(Schill et al. 2016)","plainCitation":"(Schill et al. 2016)","noteIndex":0},"citationItems":[{"id":1594,"uris":["http://zotero.org/users/11614927/items/K8JS3EXL"],"itemData":{"id":1594,"type":"article-journal","abstract":"Hirschsprung Disease (HSCR) is a potentially deadly birth defect characterized by the absence of the enteric nervous system (ENS) in distal bowel. Although HSCR has clear genetic causes, no HSCR-associated mutation is 100% penetrant, suggesting gene–gene and gene-environment interactions determine HSCR occurrence. To test the hypothesis that certain medicines might alter HSCR risk we treated zebraﬁsh with medications commonly used during early human pregnancy and discovered that ibuprofen caused HSCR-like absence of enteric neurons in distal bowel. Using fetal CF-1 mouse gut slice cultures, we found that ibuprofen treated enteric neural crest-derived cells (ENCDC) had reduced migration, fewer lamellipodia and lower levels of active RAC1/CDC42. Additionally, inhibiting ROCK, a RHOA effector and known RAC1 antagonist, reversed ibuprofen effects on migrating mouse ENCDC in culture. Ibuprofen also inhibited colonization of Retþ/ À mouse bowel by ENCDC in vivo and dramatically reduced bowel colonization by chick ENCDC in culture. Interestingly, ibuprofen did not affect ENCDC migration until after at least three hours of exposure. Furthermore, mice deﬁcient in Ptgs1 (COX 1) and Ptgs2 (COX 2) had normal bowel colonization by ENCDC and normal ENCDC migration in vitro suggesting COX-independent effects. Consistent with selective and strain speciﬁc effects on ENCDC, ibuprofen did not affect migration of gut mesenchymal cells, NIH3T3, or WT C57BL/6 ENCDC, and did not affect dorsal root ganglion cell precursor migration in zebraﬁsh. Thus, ibuprofen inhibits ENCDC migration in vitro and bowel colonization by ENCDC in vivo in zebraﬁsh, mouse and chick, but there are cell type and strain speciﬁc responses. These data raise concern that ibuprofen may increase Hirschsprung disease risk in some genetically susceptible children.","container-title":"Developmental Biology","DOI":"10.1016/j.ydbio.2015.09.023","ISSN":"00121606","issue":"2","journalAbbreviation":"Developmental Biology","language":"en","page":"473-488","source":"DOI.org (Crossref)","title":"Ibuprofen slows migration and inhibits bowel colonization by enteric nervous system precursors in zebrafish, chick and mouse","volume":"409","author":[{"family":"Schill","given":"Ellen Merrick"},{"family":"Lake","given":"Jonathan I."},{"family":"Tusheva","given":"Olga A."},{"family":"Nagy","given":"Nandor"},{"family":"Bery","given":"Saya K."},{"family":"Foster","given":"Lynne"},{"family":"Avetisyan","given":"Marina"},{"family":"Johnson","given":"Stephen L."},{"family":"Stenson","given":"William F."},{"family":"Goldstein","given":"Allan M."},{"family":"Heuckeroth","given":"Robert O."}],"issued":{"date-parts":[["2016",1]]}}}],"schema":"https://github.com/citation-style-language/schema/raw/master/csl-citation.json"}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(Schill et al. 2016)</w:t>
            </w:r>
            <w:r w:rsidRPr="001D0ADC">
              <w:rPr>
                <w:color w:val="auto"/>
                <w:lang w:val="en-GB" w:eastAsia="cs-CZ"/>
              </w:rPr>
              <w:fldChar w:fldCharType="end"/>
            </w:r>
          </w:p>
        </w:tc>
      </w:tr>
      <w:tr w:rsidR="001D0ADC" w:rsidRPr="001D0ADC" w14:paraId="0307F00F"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397E65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56C81DC" w14:textId="662E5B0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2EBE77C4" w14:textId="7EC3B85C" w:rsidR="00196808" w:rsidRPr="001D0ADC" w:rsidRDefault="00196808" w:rsidP="00196808">
            <w:pPr>
              <w:pStyle w:val="NoSpacing"/>
              <w:ind w:firstLine="0"/>
              <w:rPr>
                <w:color w:val="auto"/>
                <w:lang w:val="en-GB" w:eastAsia="cs-CZ"/>
              </w:rPr>
            </w:pPr>
            <w:r w:rsidRPr="001D0ADC">
              <w:rPr>
                <w:color w:val="auto"/>
                <w:lang w:val="en-GB" w:eastAsia="cs-CZ"/>
              </w:rPr>
              <w:t xml:space="preserve">LOEC for abnormalities – mainly edemas </w:t>
            </w:r>
          </w:p>
        </w:tc>
        <w:tc>
          <w:tcPr>
            <w:tcW w:w="2633" w:type="dxa"/>
            <w:vMerge w:val="restart"/>
            <w:tcBorders>
              <w:left w:val="nil"/>
              <w:right w:val="single" w:sz="4" w:space="0" w:color="auto"/>
            </w:tcBorders>
          </w:tcPr>
          <w:p w14:paraId="5C055F6F" w14:textId="35848AEC"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left w:val="single" w:sz="4" w:space="0" w:color="auto"/>
              <w:right w:val="single" w:sz="4" w:space="0" w:color="auto"/>
            </w:tcBorders>
          </w:tcPr>
          <w:p w14:paraId="552B1F3B" w14:textId="38D24FFC" w:rsidR="00196808" w:rsidRPr="001D0ADC" w:rsidRDefault="00196808" w:rsidP="00196808">
            <w:pPr>
              <w:pStyle w:val="NoSpacing"/>
              <w:ind w:firstLine="0"/>
              <w:rPr>
                <w:color w:val="auto"/>
                <w:lang w:val="en-GB" w:eastAsia="cs-CZ"/>
              </w:rPr>
            </w:pPr>
            <w:r w:rsidRPr="001D0ADC">
              <w:rPr>
                <w:color w:val="auto"/>
                <w:lang w:val="en-GB" w:eastAsia="cs-CZ"/>
              </w:rPr>
              <w:t>72h</w:t>
            </w:r>
          </w:p>
        </w:tc>
        <w:tc>
          <w:tcPr>
            <w:tcW w:w="2300" w:type="dxa"/>
            <w:vMerge w:val="restart"/>
            <w:tcBorders>
              <w:left w:val="single" w:sz="4" w:space="0" w:color="auto"/>
              <w:right w:val="single" w:sz="4" w:space="0" w:color="auto"/>
            </w:tcBorders>
            <w:shd w:val="clear" w:color="auto" w:fill="auto"/>
            <w:vAlign w:val="bottom"/>
          </w:tcPr>
          <w:p w14:paraId="725A0893" w14:textId="67FDCB5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{"citationID":"a2kmac4qvsd","properties":{"formattedCitation":"(Galus et al. 2020)","plainCitation":"(Galus et al. 2020)","noteIndex":0},"citationItems":[{"id":1649,"uris":["http://zotero.org/users/11614927/items/YE5TXMYI"],"itemData":{"id":1649,"type":"article-journal","abstract":"Previous research in our laboratory showed that acetaminophen (ACE) induced embryonic mortality and abnormalities in zebrafish. Here, we examined the dose response of ACE (0.05–50 μg L−1) in zebrafish embryos. Concentrations as low as 0.1 μg L−1 significantly increased abnormalities, and all test concentrations significantly increased mortality rates. In mammals, ACE inhibits cyclooxygenase (COX) enzymes to decrease prostaglandin production. Here we report COX activity and expression of the cox-1, cox-2a, and cox-2b genes in zebrafish embryos. COX activity was significantly inhibited by specific mammalian cox-1 (SC-560) and cox-2 (DuP-697) inhibitors in unexposed and ACE-exposed embryos. COX activity declined with development time. Maternal transcripts of all cox genes were found at 1 -h post fertilization and embryonic expression began in gastrulation or early segmentation. Co-exposure of ACE and prostaglandin E2 abolished the ACE-induced effects. This strongly supports that ACE elicits embryo toxicity in zebrafish though the same molecular mechanism of action of their therapeutic effects in mammals.","container-title":"Environmental Toxicology and Pharmacology","DOI":"10.1016/j.etap.2020.103463","ISSN":"13826689","journalAbbreviation":"Environmental Toxicology and Pharmacology","language":"en","page":"103463","source":"DOI.org (Crossref)","title":"Prostaglandins prevent acetaminophen induced embryo toxicity in zebrafish (Danio rerio)","volume":"80","author":[{"family":"Galus","given":"Michal"},{"family":"Fraz","given":"Shamaila"},{"family":"Gugilla","given":"Akash"},{"family":"Jönsson","given":"Maria"},{"family":"Wilson","given":"Joanna Y."}],"issued":{"date-parts":[["2020",11]]}}}],"schema":"https://github.com/citation-style-language/schema/raw/master/csl-citation.json"}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(Galus et al. 2020)</w:t>
            </w:r>
            <w:r w:rsidRPr="001D0ADC">
              <w:rPr>
                <w:color w:val="auto"/>
                <w:lang w:val="en-GB" w:eastAsia="cs-CZ"/>
              </w:rPr>
              <w:fldChar w:fldCharType="end"/>
            </w:r>
          </w:p>
        </w:tc>
      </w:tr>
      <w:tr w:rsidR="001D0ADC" w:rsidRPr="001D0ADC" w14:paraId="376A91D6"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3F55E8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73737A1" w14:textId="69A3F5A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C5E013D" w14:textId="5A44B997" w:rsidR="00196808" w:rsidRPr="001D0ADC" w:rsidRDefault="00196808" w:rsidP="00196808">
            <w:pPr>
              <w:pStyle w:val="NoSpacing"/>
              <w:ind w:firstLine="0"/>
              <w:rPr>
                <w:color w:val="auto"/>
                <w:lang w:val="en-GB" w:eastAsia="cs-CZ"/>
              </w:rPr>
            </w:pPr>
            <w:r w:rsidRPr="001D0ADC">
              <w:rPr>
                <w:color w:val="auto"/>
                <w:lang w:val="en-GB" w:eastAsia="cs-CZ"/>
              </w:rPr>
              <w:t>LOEC for mortality (1000x higher dose had same mortality)</w:t>
            </w:r>
          </w:p>
        </w:tc>
        <w:tc>
          <w:tcPr>
            <w:tcW w:w="2633" w:type="dxa"/>
            <w:vMerge/>
            <w:tcBorders>
              <w:left w:val="nil"/>
              <w:bottom w:val="single" w:sz="4" w:space="0" w:color="auto"/>
              <w:right w:val="single" w:sz="4" w:space="0" w:color="auto"/>
            </w:tcBorders>
          </w:tcPr>
          <w:p w14:paraId="3D6274A0"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520F48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C51565A" w14:textId="77777777" w:rsidR="00196808" w:rsidRPr="001D0ADC" w:rsidRDefault="00196808" w:rsidP="00196808">
            <w:pPr>
              <w:pStyle w:val="NoSpacing"/>
              <w:ind w:firstLine="0"/>
              <w:rPr>
                <w:color w:val="auto"/>
                <w:lang w:val="en-GB" w:eastAsia="cs-CZ"/>
              </w:rPr>
            </w:pPr>
          </w:p>
        </w:tc>
      </w:tr>
      <w:tr w:rsidR="001D0ADC" w:rsidRPr="001D0ADC" w14:paraId="7654DA97"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0D6123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F862983" w14:textId="0842374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7369</w:t>
            </w:r>
          </w:p>
        </w:tc>
        <w:tc>
          <w:tcPr>
            <w:tcW w:w="4520" w:type="dxa"/>
            <w:tcBorders>
              <w:top w:val="single" w:sz="4" w:space="0" w:color="auto"/>
              <w:left w:val="nil"/>
              <w:bottom w:val="single" w:sz="4" w:space="0" w:color="auto"/>
              <w:right w:val="single" w:sz="4" w:space="0" w:color="auto"/>
            </w:tcBorders>
            <w:shd w:val="clear" w:color="auto" w:fill="auto"/>
            <w:vAlign w:val="bottom"/>
          </w:tcPr>
          <w:p w14:paraId="38F37CE7" w14:textId="10EC51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left w:val="nil"/>
              <w:right w:val="single" w:sz="4" w:space="0" w:color="auto"/>
            </w:tcBorders>
          </w:tcPr>
          <w:p w14:paraId="700B7C7D" w14:textId="6710AEF1" w:rsidR="00196808" w:rsidRPr="001D0ADC" w:rsidRDefault="00196808" w:rsidP="00196808">
            <w:pPr>
              <w:pStyle w:val="NoSpacing"/>
              <w:ind w:firstLine="0"/>
              <w:rPr>
                <w:color w:val="auto"/>
                <w:lang w:val="en-GB" w:eastAsia="cs-CZ"/>
              </w:rPr>
            </w:pPr>
            <w:r w:rsidRPr="001D0ADC">
              <w:rPr>
                <w:color w:val="auto"/>
                <w:lang w:val="en-GB" w:eastAsia="cs-CZ"/>
              </w:rPr>
              <w:t>ELS (ZF) (embryos bleached)</w:t>
            </w:r>
          </w:p>
        </w:tc>
        <w:tc>
          <w:tcPr>
            <w:tcW w:w="1967" w:type="dxa"/>
            <w:vMerge w:val="restart"/>
            <w:tcBorders>
              <w:left w:val="single" w:sz="4" w:space="0" w:color="auto"/>
              <w:right w:val="single" w:sz="4" w:space="0" w:color="auto"/>
            </w:tcBorders>
          </w:tcPr>
          <w:p w14:paraId="03B3A7B2" w14:textId="7CA7C596"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left w:val="single" w:sz="4" w:space="0" w:color="auto"/>
              <w:right w:val="single" w:sz="4" w:space="0" w:color="auto"/>
            </w:tcBorders>
            <w:shd w:val="clear" w:color="auto" w:fill="auto"/>
            <w:vAlign w:val="bottom"/>
          </w:tcPr>
          <w:p w14:paraId="1E351AE1" w14:textId="34A501F4"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{"citationID":"VOAug8Yh","properties":{"formattedCitation":"(Rosas-Ram\\uc0\\u237{}rez et al. 2022)","plainCitation":"(Rosas-Ramírez et al. 2022)","noteIndex":0},"citationItems":[{"id":1433,"uris":["http://zotero.org/users/11614927/items/K3XBR9BS"],"itemData":{"id":1433,"type":"article-journal","abstract":"Even though the toxic effects of paracetamol (PCM) and ciproﬂoxacin (CPX) have been deeply studied in the last decades, the impact of the PCM-CPX mixture may induce in aquatic organisms is poorly known. Thus, the objective of this work was to investigate the teratogenic effects and oxidative stress that PCM, CPX, and their mixture induce in Danio rerio embryos. Moreover, we aimed to determine whether the PCM-CPX mixture induces more severe effects on the embryos than the individual drugs. For this purpose, zebraﬁsh embryos (4 hpf) were exposed to environmentally relevant concentrations of PCM, CPX, and their mixture until 96 hpf. In addition, at 72 hpf and 96 hpf, we also evaluated the oxidative stress biomarkers (superoxide dismutase, catalase, glutathione peroxidase, lipid peroxidation, and hydroperoxides and carbonyl content) in the embryos. Our results demonstrated that PCM, CPX, and their mixture reduced the survival rate of embryos by up to 75%. In addition, both drugs, induced morphological alterations in the embryos, causing their death. The most observed malformations were: scoliosis, craniofacial malformations, hypopigmentation, growth retardation, pericardial edema. Concerning oxidative stress, our integrated biomarkers response (IBR) analysis demonstrated that PCM, CPX, and their mixture induce oxidative damage on the embryos. In conclusion, PCM, CPX, and their mixture can alter zebraﬁsh embryonic development via an oxidative stress response.","container-title":"Science of The Total Environment","DOI":"10.1016/j.scitotenv.2021.150541","ISSN":"00489697","journalAbbreviation":"Science of The Total Environment","language":"en","page":"150541","source":"DOI.org (Crossref)","title":"Teratogenic effects induced by paracetamol, ciprofloxacin, and their mixture on Danio rerio embryos: Oxidative stress implications","title-short":"Teratogenic effects induced by paracetamol, ciprofloxacin, and their mixture on Danio rerio embryos","volume":"806","author":[{"family":"Rosas-Ramírez","given":"Jonathan Ricardo"},{"family":"Orozco-Hernández","given":"José Manuel"},{"family":"Elizalde-Velázquez","given":"Gustavo Axel"},{"family":"Raldúa","given":"Demetrio"},{"family":"Islas-Flores","given":"Hariz"},{"family":"Gómez-Oliván","given":"Leobardo Manuel"}],"issued":{"date-parts":[["2022",2]]}}}],"schema":"https://github.com/citation-style-language/schema/raw/master/csl-citation.json"}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(Rosas-Ramírez et al. 2022)</w:t>
            </w:r>
            <w:r w:rsidRPr="001D0ADC">
              <w:rPr>
                <w:color w:val="auto"/>
                <w:lang w:val="en-GB" w:eastAsia="cs-CZ"/>
              </w:rPr>
              <w:fldChar w:fldCharType="end"/>
            </w:r>
          </w:p>
        </w:tc>
      </w:tr>
      <w:tr w:rsidR="001D0ADC" w:rsidRPr="001D0ADC" w14:paraId="6B7ABD81"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A45D17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3810670" w14:textId="6A6E8EB8"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4388</w:t>
            </w:r>
          </w:p>
        </w:tc>
        <w:tc>
          <w:tcPr>
            <w:tcW w:w="4520" w:type="dxa"/>
            <w:tcBorders>
              <w:top w:val="single" w:sz="4" w:space="0" w:color="auto"/>
              <w:left w:val="nil"/>
              <w:bottom w:val="single" w:sz="4" w:space="0" w:color="auto"/>
              <w:right w:val="single" w:sz="4" w:space="0" w:color="auto"/>
            </w:tcBorders>
            <w:shd w:val="clear" w:color="auto" w:fill="auto"/>
            <w:vAlign w:val="bottom"/>
          </w:tcPr>
          <w:p w14:paraId="47E0D279" w14:textId="331DD368" w:rsidR="00196808" w:rsidRPr="001D0ADC" w:rsidRDefault="00196808" w:rsidP="00196808">
            <w:pPr>
              <w:pStyle w:val="NoSpacing"/>
              <w:ind w:firstLine="0"/>
              <w:rPr>
                <w:color w:val="auto"/>
                <w:lang w:val="en-GB" w:eastAsia="cs-CZ"/>
              </w:rPr>
            </w:pPr>
            <w:r w:rsidRPr="001D0ADC">
              <w:rPr>
                <w:color w:val="auto"/>
                <w:lang w:val="en-GB" w:eastAsia="cs-CZ"/>
              </w:rPr>
              <w:t>EC50</w:t>
            </w:r>
          </w:p>
        </w:tc>
        <w:tc>
          <w:tcPr>
            <w:tcW w:w="2633" w:type="dxa"/>
            <w:vMerge/>
            <w:tcBorders>
              <w:left w:val="nil"/>
              <w:right w:val="single" w:sz="4" w:space="0" w:color="auto"/>
            </w:tcBorders>
          </w:tcPr>
          <w:p w14:paraId="16F7595B"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2A2BB30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97FEB82" w14:textId="77777777" w:rsidR="00196808" w:rsidRPr="001D0ADC" w:rsidRDefault="00196808" w:rsidP="00196808">
            <w:pPr>
              <w:pStyle w:val="NoSpacing"/>
              <w:ind w:firstLine="0"/>
              <w:rPr>
                <w:color w:val="auto"/>
                <w:lang w:val="en-GB" w:eastAsia="cs-CZ"/>
              </w:rPr>
            </w:pPr>
          </w:p>
        </w:tc>
      </w:tr>
      <w:tr w:rsidR="001D0ADC" w:rsidRPr="001D0ADC" w14:paraId="62B15F45" w14:textId="77777777" w:rsidTr="0032446C">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BC94E1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4C675A5" w14:textId="1CFA28CC"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3</w:t>
            </w:r>
          </w:p>
        </w:tc>
        <w:tc>
          <w:tcPr>
            <w:tcW w:w="4520" w:type="dxa"/>
            <w:tcBorders>
              <w:top w:val="single" w:sz="4" w:space="0" w:color="auto"/>
              <w:left w:val="nil"/>
              <w:bottom w:val="single" w:sz="4" w:space="0" w:color="auto"/>
              <w:right w:val="single" w:sz="4" w:space="0" w:color="auto"/>
            </w:tcBorders>
            <w:shd w:val="clear" w:color="auto" w:fill="auto"/>
            <w:vAlign w:val="bottom"/>
          </w:tcPr>
          <w:p w14:paraId="3C9BFCE1" w14:textId="1A0BEA3A" w:rsidR="00196808" w:rsidRPr="001D0ADC" w:rsidRDefault="00196808" w:rsidP="00196808">
            <w:pPr>
              <w:pStyle w:val="NoSpacing"/>
              <w:ind w:firstLine="0"/>
              <w:rPr>
                <w:color w:val="auto"/>
                <w:lang w:val="en-GB" w:eastAsia="cs-CZ"/>
              </w:rPr>
            </w:pPr>
            <w:r w:rsidRPr="001D0ADC">
              <w:rPr>
                <w:color w:val="auto"/>
                <w:lang w:val="en-GB" w:eastAsia="cs-CZ"/>
              </w:rPr>
              <w:t>LOEC for LPO, PCC, HPX, SOD, GPX, and CAT activity</w:t>
            </w:r>
          </w:p>
        </w:tc>
        <w:tc>
          <w:tcPr>
            <w:tcW w:w="2633" w:type="dxa"/>
            <w:vMerge/>
            <w:tcBorders>
              <w:left w:val="nil"/>
              <w:bottom w:val="single" w:sz="4" w:space="0" w:color="auto"/>
              <w:right w:val="single" w:sz="4" w:space="0" w:color="auto"/>
            </w:tcBorders>
          </w:tcPr>
          <w:p w14:paraId="4741179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73292C9"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A35F2D3" w14:textId="77777777" w:rsidR="00196808" w:rsidRPr="001D0ADC" w:rsidRDefault="00196808" w:rsidP="00196808">
            <w:pPr>
              <w:pStyle w:val="NoSpacing"/>
              <w:ind w:firstLine="0"/>
              <w:rPr>
                <w:color w:val="auto"/>
                <w:lang w:val="en-GB" w:eastAsia="cs-CZ"/>
              </w:rPr>
            </w:pPr>
          </w:p>
        </w:tc>
      </w:tr>
      <w:tr w:rsidR="001D0ADC" w:rsidRPr="001D0ADC" w14:paraId="63D3BD6E"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62F126B"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76E25495" w14:textId="3A55BE7B"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(other than ZF)</w:t>
            </w:r>
            <w:r w:rsidR="000F6A8E" w:rsidRPr="001D0ADC">
              <w:rPr>
                <w:b/>
                <w:bCs/>
                <w:color w:val="auto"/>
                <w:lang w:val="en-GB" w:eastAsia="cs-CZ"/>
              </w:rPr>
              <w:t xml:space="preserve"> (mg/l)</w:t>
            </w:r>
          </w:p>
        </w:tc>
      </w:tr>
      <w:tr w:rsidR="001D0ADC" w:rsidRPr="001D0ADC" w14:paraId="6E97A82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D1714F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98CA9DE" w14:textId="3015EDA1"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745D6477" w14:textId="77777777" w:rsidR="00196808" w:rsidRPr="001D0ADC" w:rsidRDefault="00196808" w:rsidP="00196808">
            <w:pPr>
              <w:pStyle w:val="NoSpacing"/>
              <w:ind w:firstLine="0"/>
              <w:rPr>
                <w:color w:val="auto"/>
                <w:lang w:val="en-GB" w:eastAsia="cs-CZ"/>
              </w:rPr>
            </w:pPr>
            <w:r w:rsidRPr="001D0ADC">
              <w:rPr>
                <w:color w:val="auto"/>
                <w:lang w:val="en-GB" w:eastAsia="cs-CZ"/>
              </w:rPr>
              <w:t>LOEC lethality</w:t>
            </w:r>
          </w:p>
        </w:tc>
        <w:tc>
          <w:tcPr>
            <w:tcW w:w="2633" w:type="dxa"/>
            <w:vMerge w:val="restart"/>
            <w:tcBorders>
              <w:top w:val="single" w:sz="4" w:space="0" w:color="auto"/>
              <w:left w:val="nil"/>
              <w:right w:val="single" w:sz="4" w:space="0" w:color="auto"/>
            </w:tcBorders>
          </w:tcPr>
          <w:p w14:paraId="3DE419A0" w14:textId="77777777" w:rsidR="00196808" w:rsidRPr="001D0ADC" w:rsidRDefault="00196808" w:rsidP="00196808">
            <w:pPr>
              <w:pStyle w:val="NoSpacing"/>
              <w:ind w:firstLine="0"/>
              <w:rPr>
                <w:color w:val="auto"/>
                <w:lang w:val="en-GB" w:eastAsia="cs-CZ"/>
              </w:rPr>
            </w:pPr>
            <w:r w:rsidRPr="001D0ADC">
              <w:rPr>
                <w:color w:val="auto"/>
                <w:lang w:val="en-GB" w:eastAsia="cs-CZ"/>
              </w:rPr>
              <w:t>ELS (OECD236) (AC)</w:t>
            </w:r>
          </w:p>
        </w:tc>
        <w:tc>
          <w:tcPr>
            <w:tcW w:w="1967" w:type="dxa"/>
            <w:vMerge w:val="restart"/>
            <w:tcBorders>
              <w:top w:val="single" w:sz="4" w:space="0" w:color="auto"/>
              <w:left w:val="single" w:sz="4" w:space="0" w:color="auto"/>
              <w:right w:val="single" w:sz="4" w:space="0" w:color="auto"/>
            </w:tcBorders>
          </w:tcPr>
          <w:p w14:paraId="72B7D448"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157C119"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{"citationID":"sdemaJiP","properties":{"formattedCitation":"(Erhunmwunse, Tongo, and Ezemonye 2021)","plainCitation":"(Erhunmwunse, Tongo, and Ezemonye 2021)","noteIndex":0},"citationItems":[{"id":1178,"uris":["http://zotero.org/users/11614927/items/E5G3ZSIJ"],"itemData":{"id":1178,"type":"article-journal","abstract":"Acetaminophen is a widely used analgesic that has been detected in many water bodies with few reports con­ cerning its potential toxicity to fish. This study sought to assess the developmental, swimming performance and cardiovascular activities of embryo/larvae catfish (Clarias gariepinus) exposed to acetaminophen. The Organi­ zation for Economic Development (OECD) Fish Embryo Acute Toxicity Test (OECD 236) was employed. Fertil­ ized embryo were exposed to different concentrations of acetaminophen (0, 0.5, 1, 10 µg/L) for 96 h. Hatching rates of the embryo were observed to decrease with increasing concentrations of acetaminophen. Fish embryo exposed to acetaminophen displayed varying levels of teratogenic effects at different levels of development in a dose-dependent manner. The results also showed a significant (p &lt; 0.05) dose-dependent increase in swimming speed and movement patterns in fish larvae exposed to acetaminophen, with distance travelled in larvae exposed to the highest concentration of acetaminophen (10 µg/L) about eight (8) times the distance travelled by the control larvae, indicating that acetaminophen-induced erratic swimming behaviour in the catfish species. Car­ diotoxicity was evident, with a significant reduction in heartbeat rate with increasing concentrations of acet­ aminophen. The results showed that exposure to acetaminophen resulted in teratogenic, neurotoxic and cardiotoxic effects in embryo/larvae of Clarias gariepinus. The findings suggest that acetaminophen which has recently been detected in many water bodies could potentially impact on survival of aquatic life, especially catfish.","container-title":"Ecotoxicology and Environmental Safety","DOI":"10.1016/j.ecoenv.2020.111482","ISSN":"01476513","journalAbbreviation":"Ecotoxicology and Environmental Safety","language":"en","page":"111482","source":"DOI.org (Crossref)","title":"Acute effects of acetaminophen on the developmental, swimming performance and cardiovascular activities of the African catfish embryos/larvae (Clarias gariepinus)","volume":"208","author":[{"family":"Erhunmwunse","given":"Nosakhare Osazee"},{"family":"Tongo","given":"Isioma"},{"family":"Ezemonye","given":"Lawrence Ikechukwu"}],"issued":{"date-parts":[["2021",1]]}}}],"schema":"https://github.com/citation-style-language/schema/raw/master/csl-citation.json"}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(Erhunmwunse, Tongo, and Ezemonye 2021)</w:t>
            </w:r>
            <w:r w:rsidRPr="001D0ADC">
              <w:rPr>
                <w:color w:val="auto"/>
                <w:lang w:val="en-GB" w:eastAsia="cs-CZ"/>
              </w:rPr>
              <w:fldChar w:fldCharType="end"/>
            </w:r>
          </w:p>
        </w:tc>
      </w:tr>
      <w:tr w:rsidR="001D0ADC" w:rsidRPr="001D0ADC" w14:paraId="1D0E29BB"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B1A083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0B98370" w14:textId="3598746F"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27F443A5" w14:textId="77777777" w:rsidR="00196808" w:rsidRPr="001D0ADC" w:rsidRDefault="00196808" w:rsidP="00196808">
            <w:pPr>
              <w:pStyle w:val="NoSpacing"/>
              <w:ind w:firstLine="0"/>
              <w:rPr>
                <w:color w:val="auto"/>
                <w:lang w:val="en-GB" w:eastAsia="cs-CZ"/>
              </w:rPr>
            </w:pPr>
            <w:r w:rsidRPr="001D0ADC">
              <w:rPr>
                <w:color w:val="auto"/>
                <w:lang w:val="en-GB" w:eastAsia="cs-CZ"/>
              </w:rPr>
              <w:t>LOEC swimming behaviour</w:t>
            </w:r>
          </w:p>
        </w:tc>
        <w:tc>
          <w:tcPr>
            <w:tcW w:w="2633" w:type="dxa"/>
            <w:vMerge/>
            <w:tcBorders>
              <w:left w:val="nil"/>
              <w:bottom w:val="single" w:sz="4" w:space="0" w:color="auto"/>
              <w:right w:val="single" w:sz="4" w:space="0" w:color="auto"/>
            </w:tcBorders>
          </w:tcPr>
          <w:p w14:paraId="60D3D04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38E93A1C"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66671E9C" w14:textId="77777777" w:rsidR="00196808" w:rsidRPr="001D0ADC" w:rsidRDefault="00196808" w:rsidP="00196808">
            <w:pPr>
              <w:pStyle w:val="NoSpacing"/>
              <w:ind w:firstLine="0"/>
              <w:rPr>
                <w:color w:val="auto"/>
                <w:lang w:val="en-GB" w:eastAsia="cs-CZ"/>
              </w:rPr>
            </w:pPr>
          </w:p>
        </w:tc>
      </w:tr>
      <w:tr w:rsidR="001D0ADC" w:rsidRPr="001D0ADC" w14:paraId="41B62E7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4363A35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07EAB47" w14:textId="031B01D9"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00129</w:t>
            </w:r>
          </w:p>
        </w:tc>
        <w:tc>
          <w:tcPr>
            <w:tcW w:w="4520" w:type="dxa"/>
            <w:tcBorders>
              <w:top w:val="single" w:sz="4" w:space="0" w:color="auto"/>
              <w:left w:val="nil"/>
              <w:bottom w:val="single" w:sz="4" w:space="0" w:color="auto"/>
              <w:right w:val="single" w:sz="4" w:space="0" w:color="auto"/>
            </w:tcBorders>
            <w:shd w:val="clear" w:color="auto" w:fill="auto"/>
            <w:vAlign w:val="bottom"/>
          </w:tcPr>
          <w:p w14:paraId="767DBF19"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vMerge w:val="restart"/>
            <w:tcBorders>
              <w:top w:val="single" w:sz="4" w:space="0" w:color="auto"/>
              <w:left w:val="nil"/>
              <w:right w:val="single" w:sz="4" w:space="0" w:color="auto"/>
            </w:tcBorders>
          </w:tcPr>
          <w:p w14:paraId="51190908" w14:textId="77777777" w:rsidR="00196808" w:rsidRPr="001D0ADC" w:rsidRDefault="00196808" w:rsidP="00196808">
            <w:pPr>
              <w:pStyle w:val="NoSpacing"/>
              <w:ind w:firstLine="0"/>
              <w:rPr>
                <w:color w:val="auto"/>
                <w:lang w:val="en-GB" w:eastAsia="cs-CZ"/>
              </w:rPr>
            </w:pPr>
            <w:r w:rsidRPr="001D0ADC">
              <w:rPr>
                <w:color w:val="auto"/>
                <w:lang w:val="en-GB" w:eastAsia="cs-CZ"/>
              </w:rPr>
              <w:t>ELS (OECD 236) (CC)</w:t>
            </w:r>
          </w:p>
        </w:tc>
        <w:tc>
          <w:tcPr>
            <w:tcW w:w="1967" w:type="dxa"/>
            <w:vMerge w:val="restart"/>
            <w:tcBorders>
              <w:top w:val="single" w:sz="4" w:space="0" w:color="auto"/>
              <w:left w:val="single" w:sz="4" w:space="0" w:color="auto"/>
              <w:right w:val="single" w:sz="4" w:space="0" w:color="auto"/>
            </w:tcBorders>
          </w:tcPr>
          <w:p w14:paraId="487C67ED"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7ABB7C7"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{"citationID":"AZ5CeLdU","properties":{"formattedCitation":"(Guti\\uc0\\u233{}rrez-Noya et al. 2021)","plainCitation":"(Gutiérrez-Noya et al. 2021)","noteIndex":0},"citationItems":[{"id":1175,"uris":["http://zotero.org/users/11614927/items/DNVPFN2R"],"itemData":{"id":1175,"type":"article-journal","abstract":"Paracetamol (PCM) is among the most consumed analgesic and antipyretic drugs worldwide. Due to its high consumption, this drug has been reported ubiquitously on different water bodies, posing a real threat to aquatic organisms. Until now, several studies have pointed out that PCM may induce oxidative stress, histological damage and developmental disorders on different aquatic species. Nonetheless, there is still a huge knowledge gap about the toxic effects that PCM may induce in species of commercial interest such as the common carp Cyprinus carpio. The aim of this study was to evaluate survival and malformation rates induced by PCM (0.5 μg/L – 3.5 μg/L) in early life stages of common carp. Furthermore, oxidative stress biomarkers were evaluated at 72 and 96 h post fecundation. PCM reduced the survival rate of the embryos of up to 90%, as concentration increased. LC50 and EC50m were 1.29 μg/L and 2.84 μg/L, respectively. Biomarkers of cellular oxidation and antioxidant enzymes were modiﬁed in a concentration-dependent way with respect to the control group (p &lt; 0.05). The main developmental alterations observed were lordosis, scoliosis, craniofacial malformations, hypopigmentation, growth retardation, pericardial edema and rachyschisis. These data indicate that environmentally realistic concentrations of PCM could be hazardous and affects the development in early stages of C. carpio. Moreover, our ﬁndings also indicate that C. carpio embryos may be a useful in vivo model to evaluate embryonic and teratogenic effects of drugs such as PCM.","container-title":"Science of The Total Environment","DOI":"10.1016/j.scitotenv.2020.144585","ISSN":"00489697","journalAbbreviation":"Science of The Total Environment","language":"en","page":"144585","source":"DOI.org (Crossref)","title":"Survival and malformations rates, oxidative status in early life stages of Cyprinus carpio due to exposure to environmentally realistic concentrations of paracetamol","volume":"768","author":[{"family":"Gutiérrez-Noya","given":"Verónica Margarita"},{"family":"Gómez-Oliván","given":"Leobardo Manuel"},{"family":"Ramírez-Montero","given":"María Del Carmen"},{"family":"Islas-Flores","given":"Hariz"},{"family":"Galar-Martínez","given":"Marcela"},{"family":"García-Medina","given":"Sandra"}],"issued":{"date-parts":[["2021",5]]}}}],"schema":"https://github.com/citation-style-language/schema/raw/master/csl-citation.json"}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(Gutiérrez-Noya et al. 2021)</w:t>
            </w:r>
            <w:r w:rsidRPr="001D0ADC">
              <w:rPr>
                <w:color w:val="auto"/>
                <w:lang w:val="en-GB" w:eastAsia="cs-CZ"/>
              </w:rPr>
              <w:fldChar w:fldCharType="end"/>
            </w:r>
          </w:p>
        </w:tc>
      </w:tr>
      <w:tr w:rsidR="001D0ADC" w:rsidRPr="001D0ADC" w14:paraId="398DB411"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521C85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C0FE9DA" w14:textId="502E44B8"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00284</w:t>
            </w:r>
          </w:p>
        </w:tc>
        <w:tc>
          <w:tcPr>
            <w:tcW w:w="4520" w:type="dxa"/>
            <w:tcBorders>
              <w:top w:val="single" w:sz="4" w:space="0" w:color="auto"/>
              <w:left w:val="nil"/>
              <w:bottom w:val="single" w:sz="4" w:space="0" w:color="auto"/>
              <w:right w:val="single" w:sz="4" w:space="0" w:color="auto"/>
            </w:tcBorders>
            <w:shd w:val="clear" w:color="auto" w:fill="auto"/>
            <w:vAlign w:val="bottom"/>
          </w:tcPr>
          <w:p w14:paraId="098B4324" w14:textId="77777777" w:rsidR="00196808" w:rsidRPr="001D0ADC" w:rsidRDefault="00196808" w:rsidP="00196808">
            <w:pPr>
              <w:pStyle w:val="NoSpacing"/>
              <w:ind w:firstLine="0"/>
              <w:rPr>
                <w:color w:val="auto"/>
                <w:lang w:val="en-GB" w:eastAsia="cs-CZ"/>
              </w:rPr>
            </w:pPr>
            <w:r w:rsidRPr="001D0ADC">
              <w:rPr>
                <w:color w:val="auto"/>
                <w:lang w:val="en-GB" w:eastAsia="cs-CZ"/>
              </w:rPr>
              <w:t>EC50</w:t>
            </w:r>
          </w:p>
        </w:tc>
        <w:tc>
          <w:tcPr>
            <w:tcW w:w="2633" w:type="dxa"/>
            <w:vMerge/>
            <w:tcBorders>
              <w:left w:val="nil"/>
              <w:right w:val="single" w:sz="4" w:space="0" w:color="auto"/>
            </w:tcBorders>
          </w:tcPr>
          <w:p w14:paraId="3E9B61C4"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6A02840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7D90DD7B" w14:textId="77777777" w:rsidR="00196808" w:rsidRPr="001D0ADC" w:rsidRDefault="00196808" w:rsidP="00196808">
            <w:pPr>
              <w:pStyle w:val="NoSpacing"/>
              <w:ind w:firstLine="0"/>
              <w:rPr>
                <w:color w:val="auto"/>
                <w:lang w:val="en-GB" w:eastAsia="cs-CZ"/>
              </w:rPr>
            </w:pPr>
          </w:p>
        </w:tc>
      </w:tr>
      <w:tr w:rsidR="001D0ADC" w:rsidRPr="001D0ADC" w14:paraId="26AFDD1A"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0C41B7B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0326CAE" w14:textId="4FCA9DBD"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398030B2" w14:textId="0CD096C1" w:rsidR="00196808" w:rsidRPr="001D0ADC" w:rsidRDefault="00196808" w:rsidP="00196808">
            <w:pPr>
              <w:pStyle w:val="NoSpacing"/>
              <w:ind w:firstLine="0"/>
              <w:rPr>
                <w:color w:val="auto"/>
                <w:lang w:val="en-GB" w:eastAsia="cs-CZ"/>
              </w:rPr>
            </w:pPr>
            <w:r w:rsidRPr="001D0ADC">
              <w:rPr>
                <w:color w:val="auto"/>
                <w:lang w:val="en-GB" w:eastAsia="cs-CZ"/>
              </w:rPr>
              <w:t>LOEC for LPO, HPC, SOD and CAT act.</w:t>
            </w:r>
          </w:p>
        </w:tc>
        <w:tc>
          <w:tcPr>
            <w:tcW w:w="2633" w:type="dxa"/>
            <w:vMerge/>
            <w:tcBorders>
              <w:left w:val="nil"/>
              <w:bottom w:val="single" w:sz="4" w:space="0" w:color="auto"/>
              <w:right w:val="single" w:sz="4" w:space="0" w:color="auto"/>
            </w:tcBorders>
          </w:tcPr>
          <w:p w14:paraId="05D8DC3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B8491ED"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57DF2589" w14:textId="77777777" w:rsidR="00196808" w:rsidRPr="001D0ADC" w:rsidRDefault="00196808" w:rsidP="00196808">
            <w:pPr>
              <w:pStyle w:val="NoSpacing"/>
              <w:ind w:firstLine="0"/>
              <w:rPr>
                <w:color w:val="auto"/>
                <w:lang w:val="en-GB" w:eastAsia="cs-CZ"/>
              </w:rPr>
            </w:pPr>
          </w:p>
        </w:tc>
      </w:tr>
      <w:tr w:rsidR="001D0ADC" w:rsidRPr="001D0ADC" w14:paraId="3DEB993F"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327213F1"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5D73C8CF" w14:textId="7644E22B"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(cell lines)</w:t>
            </w:r>
            <w:r w:rsidR="000F6A8E" w:rsidRPr="001D0ADC">
              <w:rPr>
                <w:b/>
                <w:bCs/>
                <w:color w:val="auto"/>
                <w:lang w:val="en-GB" w:eastAsia="cs-CZ"/>
              </w:rPr>
              <w:t xml:space="preserve"> (mg/l)</w:t>
            </w:r>
          </w:p>
        </w:tc>
      </w:tr>
      <w:tr w:rsidR="001D0ADC" w:rsidRPr="001D0ADC" w14:paraId="6D6235A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262DCE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5C07927" w14:textId="77777777" w:rsidR="00196808" w:rsidRPr="001D0ADC" w:rsidRDefault="00196808" w:rsidP="00196808">
            <w:pPr>
              <w:pStyle w:val="NoSpacing"/>
              <w:ind w:firstLine="0"/>
              <w:rPr>
                <w:color w:val="auto"/>
                <w:lang w:val="en-GB" w:eastAsia="cs-CZ"/>
              </w:rPr>
            </w:pPr>
            <w:r w:rsidRPr="001D0ADC">
              <w:rPr>
                <w:color w:val="auto"/>
                <w:lang w:val="en-GB" w:eastAsia="cs-CZ"/>
              </w:rPr>
              <w:t>&gt; 1512</w:t>
            </w:r>
          </w:p>
        </w:tc>
        <w:tc>
          <w:tcPr>
            <w:tcW w:w="4520" w:type="dxa"/>
            <w:tcBorders>
              <w:top w:val="single" w:sz="4" w:space="0" w:color="auto"/>
              <w:left w:val="nil"/>
              <w:bottom w:val="single" w:sz="4" w:space="0" w:color="auto"/>
              <w:right w:val="single" w:sz="4" w:space="0" w:color="auto"/>
            </w:tcBorders>
            <w:shd w:val="clear" w:color="auto" w:fill="auto"/>
            <w:vAlign w:val="bottom"/>
          </w:tcPr>
          <w:p w14:paraId="73F4D011"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11DF029B" w14:textId="77777777" w:rsidR="00196808" w:rsidRPr="001D0ADC" w:rsidRDefault="00196808" w:rsidP="00196808">
            <w:pPr>
              <w:pStyle w:val="NoSpacing"/>
              <w:ind w:firstLine="0"/>
              <w:rPr>
                <w:color w:val="auto"/>
                <w:lang w:val="en-GB" w:eastAsia="cs-CZ"/>
              </w:rPr>
            </w:pPr>
            <w:r w:rsidRPr="001D0ADC">
              <w:rPr>
                <w:color w:val="auto"/>
                <w:lang w:val="en-GB" w:eastAsia="cs-CZ"/>
              </w:rPr>
              <w:t>In vitro RTG-2 MTT</w:t>
            </w:r>
          </w:p>
        </w:tc>
        <w:tc>
          <w:tcPr>
            <w:tcW w:w="1967" w:type="dxa"/>
            <w:tcBorders>
              <w:top w:val="single" w:sz="4" w:space="0" w:color="auto"/>
              <w:left w:val="single" w:sz="4" w:space="0" w:color="auto"/>
              <w:bottom w:val="single" w:sz="4" w:space="0" w:color="auto"/>
              <w:right w:val="single" w:sz="4" w:space="0" w:color="auto"/>
            </w:tcBorders>
          </w:tcPr>
          <w:p w14:paraId="3373B379"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8B90783"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{"citationID":"Du06HmfB","properties":{"formattedCitation":"(Caminada, Escher, and Fent 2006)","plainCitation":"(Caminada, Escher, and Fent 2006)","noteIndex":0},"citationItems":[{"id":1190,"uris":["http://zotero.org/users/11614927/items/PF8NEWNG"],"itemData":{"id":1190,"type":"article-journal","abstract":"There is need for a better understanding of the ecotoxicity of pharmaceuticals present in aquatic systems as only little is known about their potential acute and chronic toxicity to aquatic organisms. In our work, we evaluate the in vitro cytotoxicity of 34 common pharmaceuticals from different classes and with different modes of action using the mitochondrial MTT reduction and neutral red uptake assays in the two ﬁsh cell lines, PLHC-1 and RTG-2. Cytotoxicity was found for 21 pharmaceuticals with EC50-values ranging from 2.1 </w:instrText>
            </w:r>
            <w:r w:rsidRPr="001D0ADC">
              <w:rPr>
                <w:rFonts w:cs="Times New Roman"/>
                <w:color w:val="auto"/>
                <w:lang w:val="en-GB" w:eastAsia="cs-CZ"/>
              </w:rPr>
              <w:instrText>␮</w:instrText>
            </w:r>
            <w:r w:rsidRPr="001D0ADC">
              <w:rPr>
                <w:color w:val="auto"/>
                <w:lang w:val="en-GB" w:eastAsia="cs-CZ"/>
              </w:rPr>
              <w:instrText>M (1.14 mg l</w:instrText>
            </w:r>
            <w:r w:rsidRPr="001D0ADC">
              <w:rPr>
                <w:rFonts w:cs="Times New Roman"/>
                <w:color w:val="auto"/>
                <w:lang w:val="en-GB" w:eastAsia="cs-CZ"/>
              </w:rPr>
              <w:instrText>−</w:instrText>
            </w:r>
            <w:r w:rsidRPr="001D0ADC">
              <w:rPr>
                <w:color w:val="auto"/>
                <w:lang w:val="en-GB" w:eastAsia="cs-CZ"/>
              </w:rPr>
              <w:instrText>1) (doxorubicin) to 8.66 mM (1200 mg l</w:instrText>
            </w:r>
            <w:r w:rsidRPr="001D0ADC">
              <w:rPr>
                <w:rFonts w:cs="Times New Roman"/>
                <w:color w:val="auto"/>
                <w:lang w:val="en-GB" w:eastAsia="cs-CZ"/>
              </w:rPr>
              <w:instrText>−</w:instrText>
            </w:r>
            <w:r w:rsidRPr="001D0ADC">
              <w:rPr>
                <w:color w:val="auto"/>
                <w:lang w:val="en-GB" w:eastAsia="cs-CZ"/>
              </w:rPr>
              <w:instrText>1) (salicylic acid). There was no signi</w:instrText>
            </w:r>
            <w:r w:rsidRPr="001D0ADC">
              <w:rPr>
                <w:rFonts w:cs="Times New Roman"/>
                <w:color w:val="auto"/>
                <w:lang w:val="en-GB" w:eastAsia="cs-CZ"/>
              </w:rPr>
              <w:instrText>ﬁ</w:instrText>
            </w:r>
            <w:r w:rsidRPr="001D0ADC">
              <w:rPr>
                <w:color w:val="auto"/>
                <w:lang w:val="en-GB" w:eastAsia="cs-CZ"/>
              </w:rPr>
              <w:instrText xml:space="preserve">cant difference between the MTT and NR assays except for an increase in absorption observed with four pharmaceuticals at low concentrations in the MTT assay with PLHC-1 cells indicating a hormesis effect. The comparison of the cell lines revealed that the PLHC-1 cell line was slightly more sensitive than the RTG-2 cell line, showing cytotoxicity at smaller concentrations. The cytotoxicity of pharmaceuticals showed a correlation with their Log D-values at physiological conditions (pH 7.0). A correlation between the in vitro data and in vivo data was found for Daphnia, but not for ﬁsh due to insufﬁcient and heterogeneous data. Our work provides an indication that in vitro cytotoxicity assays with ﬁsh cell lines could be suited for the ﬁrst screening of the acute in vivo toxicity of pharmaceuticals, thereby contributing to the reduction of in vivo experiments. Further investigations with a larger set of pharmaceuticals are needed to strengthen the reliability of the assays and to validate the correlation with in vivo data.","container-title":"Aquatic Toxicology","DOI":"10.1016/j.aquatox.2006.05.010","ISSN":"0166445X","issue":"2","journalAbbreviation":"Aquatic Toxicology","language":"en","page":"114-123","source":"DOI.org (Crossref)","title":"Cytotoxicity of pharmaceuticals found in aquatic systems: Comparison of PLHC-1 and RTG-2 fish cell lines","title-short":"Cytotoxicity of pharmaceuticals found in aquatic systems","volume":"79","author":[{"family":"Caminada","given":"Daniel"},{"family":"Escher","given":"Claudia"},{"family":"Fent","given":"Karl"}],"issued":{"date-parts":[["2006",8]]}}}],"schema":"https://github.com/citation-style-language/schema/raw/master/csl-citation.json"}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(Caminada, Escher, and Fent 2006)</w:t>
            </w:r>
            <w:r w:rsidRPr="001D0ADC">
              <w:rPr>
                <w:color w:val="auto"/>
                <w:lang w:val="en-GB" w:eastAsia="cs-CZ"/>
              </w:rPr>
              <w:fldChar w:fldCharType="end"/>
            </w:r>
          </w:p>
        </w:tc>
      </w:tr>
      <w:tr w:rsidR="001D0ADC" w:rsidRPr="001D0ADC" w14:paraId="6AA8EE4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BB06A3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69E8464D" w14:textId="77777777" w:rsidR="00196808" w:rsidRPr="001D0ADC" w:rsidRDefault="00196808" w:rsidP="00196808">
            <w:pPr>
              <w:pStyle w:val="NoSpacing"/>
              <w:ind w:firstLine="0"/>
              <w:rPr>
                <w:color w:val="auto"/>
                <w:lang w:val="en-GB" w:eastAsia="cs-CZ"/>
              </w:rPr>
            </w:pPr>
            <w:r w:rsidRPr="001D0ADC">
              <w:rPr>
                <w:color w:val="auto"/>
                <w:lang w:val="en-GB" w:eastAsia="cs-CZ"/>
              </w:rPr>
              <w:t>&gt; 1512</w:t>
            </w:r>
          </w:p>
        </w:tc>
        <w:tc>
          <w:tcPr>
            <w:tcW w:w="4520" w:type="dxa"/>
            <w:tcBorders>
              <w:top w:val="single" w:sz="4" w:space="0" w:color="auto"/>
              <w:left w:val="nil"/>
              <w:bottom w:val="single" w:sz="4" w:space="0" w:color="auto"/>
              <w:right w:val="single" w:sz="4" w:space="0" w:color="auto"/>
            </w:tcBorders>
            <w:shd w:val="clear" w:color="auto" w:fill="auto"/>
            <w:vAlign w:val="bottom"/>
          </w:tcPr>
          <w:p w14:paraId="0EDDF555"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74196CEE"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MTT</w:t>
            </w:r>
          </w:p>
        </w:tc>
        <w:tc>
          <w:tcPr>
            <w:tcW w:w="1967" w:type="dxa"/>
            <w:tcBorders>
              <w:top w:val="single" w:sz="4" w:space="0" w:color="auto"/>
              <w:left w:val="single" w:sz="4" w:space="0" w:color="auto"/>
              <w:bottom w:val="single" w:sz="4" w:space="0" w:color="auto"/>
              <w:right w:val="single" w:sz="4" w:space="0" w:color="auto"/>
            </w:tcBorders>
          </w:tcPr>
          <w:p w14:paraId="0E74E95D"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right w:val="single" w:sz="4" w:space="0" w:color="auto"/>
            </w:tcBorders>
            <w:shd w:val="clear" w:color="auto" w:fill="auto"/>
            <w:vAlign w:val="bottom"/>
          </w:tcPr>
          <w:p w14:paraId="362954DA" w14:textId="77777777" w:rsidR="00196808" w:rsidRPr="001D0ADC" w:rsidRDefault="00196808" w:rsidP="00196808">
            <w:pPr>
              <w:pStyle w:val="NoSpacing"/>
              <w:ind w:firstLine="0"/>
              <w:rPr>
                <w:color w:val="auto"/>
                <w:lang w:val="en-GB" w:eastAsia="cs-CZ"/>
              </w:rPr>
            </w:pPr>
          </w:p>
        </w:tc>
      </w:tr>
      <w:tr w:rsidR="001D0ADC" w:rsidRPr="001D0ADC" w14:paraId="4AAC8908"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6DCA3E1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2BD9EFA" w14:textId="77777777" w:rsidR="00196808" w:rsidRPr="001D0ADC" w:rsidRDefault="00196808" w:rsidP="00196808">
            <w:pPr>
              <w:pStyle w:val="NoSpacing"/>
              <w:ind w:firstLine="0"/>
              <w:rPr>
                <w:color w:val="auto"/>
                <w:lang w:val="en-GB" w:eastAsia="cs-CZ"/>
              </w:rPr>
            </w:pPr>
            <w:r w:rsidRPr="001D0ADC">
              <w:rPr>
                <w:color w:val="auto"/>
                <w:lang w:val="en-GB" w:eastAsia="cs-CZ"/>
              </w:rPr>
              <w:t>&gt; 1512</w:t>
            </w:r>
          </w:p>
        </w:tc>
        <w:tc>
          <w:tcPr>
            <w:tcW w:w="4520" w:type="dxa"/>
            <w:tcBorders>
              <w:top w:val="single" w:sz="4" w:space="0" w:color="auto"/>
              <w:left w:val="nil"/>
              <w:bottom w:val="single" w:sz="4" w:space="0" w:color="auto"/>
              <w:right w:val="single" w:sz="4" w:space="0" w:color="auto"/>
            </w:tcBorders>
            <w:shd w:val="clear" w:color="auto" w:fill="auto"/>
            <w:vAlign w:val="bottom"/>
          </w:tcPr>
          <w:p w14:paraId="3F889863"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764AF750"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 NR</w:t>
            </w:r>
          </w:p>
        </w:tc>
        <w:tc>
          <w:tcPr>
            <w:tcW w:w="1967" w:type="dxa"/>
            <w:tcBorders>
              <w:top w:val="single" w:sz="4" w:space="0" w:color="auto"/>
              <w:left w:val="single" w:sz="4" w:space="0" w:color="auto"/>
              <w:bottom w:val="single" w:sz="4" w:space="0" w:color="auto"/>
              <w:right w:val="single" w:sz="4" w:space="0" w:color="auto"/>
            </w:tcBorders>
          </w:tcPr>
          <w:p w14:paraId="34FEB7BE"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tcBorders>
              <w:left w:val="single" w:sz="4" w:space="0" w:color="auto"/>
              <w:bottom w:val="single" w:sz="4" w:space="0" w:color="auto"/>
              <w:right w:val="single" w:sz="4" w:space="0" w:color="auto"/>
            </w:tcBorders>
            <w:shd w:val="clear" w:color="auto" w:fill="auto"/>
            <w:vAlign w:val="bottom"/>
          </w:tcPr>
          <w:p w14:paraId="2ADBBB48" w14:textId="77777777" w:rsidR="00196808" w:rsidRPr="001D0ADC" w:rsidRDefault="00196808" w:rsidP="00196808">
            <w:pPr>
              <w:pStyle w:val="NoSpacing"/>
              <w:ind w:firstLine="0"/>
              <w:rPr>
                <w:color w:val="auto"/>
                <w:lang w:val="en-GB" w:eastAsia="cs-CZ"/>
              </w:rPr>
            </w:pPr>
          </w:p>
        </w:tc>
      </w:tr>
      <w:tr w:rsidR="001D0ADC" w:rsidRPr="001D0ADC" w14:paraId="12D0168E"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811C38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C8636A2" w14:textId="77777777" w:rsidR="00196808" w:rsidRPr="001D0ADC" w:rsidRDefault="00196808" w:rsidP="00196808">
            <w:pPr>
              <w:pStyle w:val="NoSpacing"/>
              <w:ind w:firstLine="0"/>
              <w:rPr>
                <w:color w:val="auto"/>
                <w:lang w:val="en-GB" w:eastAsia="cs-CZ"/>
              </w:rPr>
            </w:pPr>
            <w:r w:rsidRPr="001D0ADC">
              <w:rPr>
                <w:color w:val="auto"/>
                <w:lang w:val="en-GB" w:eastAsia="cs-CZ"/>
              </w:rPr>
              <w:t>19</w:t>
            </w:r>
          </w:p>
        </w:tc>
        <w:tc>
          <w:tcPr>
            <w:tcW w:w="4520" w:type="dxa"/>
            <w:tcBorders>
              <w:top w:val="single" w:sz="4" w:space="0" w:color="auto"/>
              <w:left w:val="nil"/>
              <w:bottom w:val="single" w:sz="4" w:space="0" w:color="auto"/>
              <w:right w:val="single" w:sz="4" w:space="0" w:color="auto"/>
            </w:tcBorders>
            <w:shd w:val="clear" w:color="auto" w:fill="auto"/>
            <w:vAlign w:val="bottom"/>
          </w:tcPr>
          <w:p w14:paraId="03EAA79E" w14:textId="77777777" w:rsidR="00196808" w:rsidRPr="001D0ADC" w:rsidRDefault="00196808" w:rsidP="00196808">
            <w:pPr>
              <w:pStyle w:val="NoSpacing"/>
              <w:ind w:firstLine="0"/>
              <w:rPr>
                <w:color w:val="auto"/>
                <w:lang w:val="en-GB" w:eastAsia="cs-CZ"/>
              </w:rPr>
            </w:pPr>
            <w:r w:rsidRPr="001D0ADC">
              <w:rPr>
                <w:color w:val="auto"/>
                <w:lang w:val="en-GB" w:eastAsia="cs-CZ"/>
              </w:rPr>
              <w:t>EC50 viability</w:t>
            </w:r>
          </w:p>
        </w:tc>
        <w:tc>
          <w:tcPr>
            <w:tcW w:w="2633" w:type="dxa"/>
            <w:tcBorders>
              <w:top w:val="single" w:sz="4" w:space="0" w:color="auto"/>
              <w:left w:val="nil"/>
              <w:bottom w:val="single" w:sz="4" w:space="0" w:color="auto"/>
              <w:right w:val="single" w:sz="4" w:space="0" w:color="auto"/>
            </w:tcBorders>
          </w:tcPr>
          <w:p w14:paraId="5C2D05CE" w14:textId="77777777" w:rsidR="00196808" w:rsidRPr="001D0ADC" w:rsidRDefault="00196808" w:rsidP="00196808">
            <w:pPr>
              <w:pStyle w:val="NoSpacing"/>
              <w:ind w:firstLine="0"/>
              <w:rPr>
                <w:color w:val="auto"/>
                <w:lang w:val="en-GB" w:eastAsia="cs-CZ"/>
              </w:rPr>
            </w:pPr>
            <w:r w:rsidRPr="001D0ADC">
              <w:rPr>
                <w:color w:val="auto"/>
                <w:lang w:val="en-GB" w:eastAsia="cs-CZ"/>
              </w:rPr>
              <w:t>In vitro BF-2</w:t>
            </w:r>
          </w:p>
        </w:tc>
        <w:tc>
          <w:tcPr>
            <w:tcW w:w="1967" w:type="dxa"/>
            <w:tcBorders>
              <w:top w:val="single" w:sz="4" w:space="0" w:color="auto"/>
              <w:left w:val="single" w:sz="4" w:space="0" w:color="auto"/>
              <w:bottom w:val="single" w:sz="4" w:space="0" w:color="auto"/>
              <w:right w:val="single" w:sz="4" w:space="0" w:color="auto"/>
            </w:tcBorders>
          </w:tcPr>
          <w:p w14:paraId="46448C86" w14:textId="77777777" w:rsidR="00196808" w:rsidRPr="001D0ADC" w:rsidRDefault="00196808" w:rsidP="00196808">
            <w:pPr>
              <w:pStyle w:val="NoSpacing"/>
              <w:ind w:firstLine="0"/>
              <w:rPr>
                <w:color w:val="auto"/>
                <w:lang w:val="en-GB" w:eastAsia="cs-CZ"/>
              </w:rPr>
            </w:pPr>
            <w:r w:rsidRPr="001D0ADC">
              <w:rPr>
                <w:color w:val="auto"/>
                <w:lang w:val="en-GB" w:eastAsia="cs-CZ"/>
              </w:rPr>
              <w:t>48h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4ECFBE9B"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{"citationID":"QHCw6Mhb","properties":{"formattedCitation":"(Henschel et al. 1997)","plainCitation":"(Henschel et al. 1997)","noteIndex":0},"citationItems":[{"id":1320,"uris":["http://zotero.org/users/11614927/items/UYF8SCE6"],"itemData":{"id":1320,"type":"article-journal","container-title":"Regulatory Toxicology and Pharmacology","DOI":"10.1006/rtph.1997.1102","ISSN":"02732300","issue":"3","journalAbbreviation":"Regulatory Toxicology and Pharmacology","language":"en","page":"220-225","source":"DOI.org (Crossref)","title":"Environmental Hazard Assessment of Pharmaceuticals","volume":"25","author":[{"family":"Henschel","given":"K.-P."},{"family":"Wenzel","given":"A."},{"family":"Diedrich","given":"M."},{"family":"Fliedner","given":"A."}],"issued":{"date-parts":[["1997",6]]}}}],"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(Henschel et al. 1997)</w:t>
            </w:r>
            <w:r w:rsidRPr="001D0ADC">
              <w:rPr>
                <w:color w:val="auto"/>
                <w:lang w:val="en-GB" w:eastAsia="cs-CZ"/>
              </w:rPr>
              <w:fldChar w:fldCharType="end"/>
            </w:r>
          </w:p>
        </w:tc>
      </w:tr>
      <w:tr w:rsidR="001D0ADC" w:rsidRPr="001D0ADC" w14:paraId="216A0A4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3FDFBA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1AD47F5" w14:textId="57AFCB44" w:rsidR="00196808" w:rsidRPr="001D0ADC" w:rsidRDefault="00CF2036" w:rsidP="00196808">
            <w:pPr>
              <w:pStyle w:val="NoSpacing"/>
              <w:ind w:firstLine="0"/>
              <w:rPr>
                <w:color w:val="auto"/>
                <w:lang w:val="en-GB" w:eastAsia="cs-CZ"/>
              </w:rPr>
            </w:pPr>
            <w:r w:rsidRPr="001D0ADC">
              <w:rPr>
                <w:color w:val="auto"/>
                <w:lang w:val="en-GB" w:eastAsia="cs-CZ"/>
              </w:rPr>
              <w:t>3.</w:t>
            </w:r>
            <w:r w:rsidR="00196808" w:rsidRPr="001D0ADC">
              <w:rPr>
                <w:color w:val="auto"/>
                <w:lang w:val="en-GB" w:eastAsia="cs-CZ"/>
              </w:rPr>
              <w:t>8</w:t>
            </w:r>
          </w:p>
        </w:tc>
        <w:tc>
          <w:tcPr>
            <w:tcW w:w="4520" w:type="dxa"/>
            <w:tcBorders>
              <w:top w:val="single" w:sz="4" w:space="0" w:color="auto"/>
              <w:left w:val="nil"/>
              <w:bottom w:val="single" w:sz="4" w:space="0" w:color="auto"/>
              <w:right w:val="single" w:sz="4" w:space="0" w:color="auto"/>
            </w:tcBorders>
            <w:shd w:val="clear" w:color="auto" w:fill="auto"/>
            <w:vAlign w:val="bottom"/>
          </w:tcPr>
          <w:p w14:paraId="7FAE649B" w14:textId="77777777" w:rsidR="00196808" w:rsidRPr="001D0ADC" w:rsidRDefault="00196808" w:rsidP="00196808">
            <w:pPr>
              <w:pStyle w:val="NoSpacing"/>
              <w:ind w:firstLine="0"/>
              <w:rPr>
                <w:color w:val="auto"/>
                <w:lang w:val="en-GB" w:eastAsia="cs-CZ"/>
              </w:rPr>
            </w:pPr>
            <w:r w:rsidRPr="001D0ADC">
              <w:rPr>
                <w:color w:val="auto"/>
                <w:lang w:val="en-GB" w:eastAsia="cs-CZ"/>
              </w:rPr>
              <w:t>NOEC for efflux pump inhibition, CYP1 activity, gene expression (pumps, CYP), microtubule disruption</w:t>
            </w:r>
          </w:p>
        </w:tc>
        <w:tc>
          <w:tcPr>
            <w:tcW w:w="2633" w:type="dxa"/>
            <w:tcBorders>
              <w:top w:val="single" w:sz="4" w:space="0" w:color="auto"/>
              <w:left w:val="nil"/>
              <w:bottom w:val="single" w:sz="4" w:space="0" w:color="auto"/>
              <w:right w:val="single" w:sz="4" w:space="0" w:color="auto"/>
            </w:tcBorders>
          </w:tcPr>
          <w:p w14:paraId="60569002"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w:t>
            </w:r>
          </w:p>
        </w:tc>
        <w:tc>
          <w:tcPr>
            <w:tcW w:w="1967" w:type="dxa"/>
            <w:tcBorders>
              <w:top w:val="single" w:sz="4" w:space="0" w:color="auto"/>
              <w:left w:val="single" w:sz="4" w:space="0" w:color="auto"/>
              <w:bottom w:val="single" w:sz="4" w:space="0" w:color="auto"/>
              <w:right w:val="single" w:sz="4" w:space="0" w:color="auto"/>
            </w:tcBorders>
          </w:tcPr>
          <w:p w14:paraId="73DF86BF"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1414E69"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{"citationID":"cJ1MJe0J","properties":{"formattedCitation":"(Wassmur et al. 2013)","plainCitation":"(Wassmur et al. 2013)","noteIndex":0},"citationItems":[{"id":812,"uris":["http://zotero.org/users/11614927/items/5VVIXG3D"],"itemData":{"id":812,"type":"article-journal","abstract":"Fish are exposed to chemicals, including pharmaceuticals, in their natural habitat. This study focuses on effects of chemicals, including nine classes of pharmaceuticals, on key detoxiﬁcation mechanisms in a ﬁsh liver cell-line (PLHC-1). Chemical interactions were investigated on efﬂux pumps, P-glycoprotein (Pgp) and multidrug resistance associated proteins (MRP1/MRP2), and on biotransformation enzymes, cytochrome P450 (CYP1A/CYP3A). Diclofenac and troleandomycin inhibited efﬂux activities, whereas ethinylestradiol activated efﬂux function. Exposure to troleandomycin and b-naphthoﬂavone induced MRP2 mRNA levels, but no effects were seen on MRP1 or Pgp expressions. Inhibition of CYP1A activities were seen in cells exposed to a-naphthoﬂavone, b-naphthoﬂavone, clotrimazole, nocodazole, ketoconazole, omeprazole, ethinylestradiol, lithocholic acid, rifampicin and troleandomycin. Exposure to fulvestrant, clotrimazole and nocodazole resulted in induction of CYP1A mRNA levels. Although, exposure to nocodazole resulted in disassembled microtubules. A CYP3A-like cDNA sequence was isolated from PLHC-1, but basal expression and activities were low and the gene was not responsive to prototypical CYP3A inducers. Exposure to ibuprofen, lithocholic acid and omeprazole resulted in fragmentation of microtubules. This study revealed multiple interactions on key detoxiﬁcation systems, which illustrates the importance of study effects on regulation combined with functional studies to provide a better picture of the dynamics of the chemical defense system.","container-title":"Toxicology in Vitro","DOI":"10.1016/j.tiv.2012.10.002","ISSN":"08872333","issue":"1","journalAbbreviation":"Toxicology in Vitro","language":"en","page":"111-120","source":"DOI.org (Crossref)","title":"Interactions of pharmaceuticals and other xenobiotics on key detoxification mechanisms and cytoskeleton in Poeciliopsis lucida hepatocellular carcinoma, PLHC-1 cell line","volume":"27","author":[{"family":"Wassmur","given":"Britt"},{"family":"Gräns","given":"Johanna"},{"family":"Norström","given":"Elisabeth"},{"family":"Wallin","given":"Margareta"},{"family":"Celander","given":"Malin C."}],"issued":{"date-parts":[["2013",2]]}}}],"schema":"https://github.com/citation-style-language/schema/raw/master/csl-citation.json"}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(Wassmur et al. 2013)</w:t>
            </w:r>
            <w:r w:rsidRPr="001D0ADC">
              <w:rPr>
                <w:color w:val="auto"/>
                <w:lang w:val="en-GB" w:eastAsia="cs-CZ"/>
              </w:rPr>
              <w:fldChar w:fldCharType="end"/>
            </w:r>
          </w:p>
        </w:tc>
      </w:tr>
      <w:tr w:rsidR="001D0ADC" w:rsidRPr="001D0ADC" w14:paraId="1CD10962"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7C183FF8"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95AFD90" w14:textId="769DCA0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822</w:t>
            </w:r>
          </w:p>
        </w:tc>
        <w:tc>
          <w:tcPr>
            <w:tcW w:w="4520" w:type="dxa"/>
            <w:tcBorders>
              <w:top w:val="single" w:sz="4" w:space="0" w:color="auto"/>
              <w:left w:val="nil"/>
              <w:bottom w:val="single" w:sz="4" w:space="0" w:color="auto"/>
              <w:right w:val="single" w:sz="4" w:space="0" w:color="auto"/>
            </w:tcBorders>
            <w:shd w:val="clear" w:color="auto" w:fill="auto"/>
            <w:vAlign w:val="bottom"/>
          </w:tcPr>
          <w:p w14:paraId="42BE4984"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19171C61" w14:textId="77777777" w:rsidR="00196808" w:rsidRPr="001D0ADC" w:rsidRDefault="00196808" w:rsidP="00196808">
            <w:pPr>
              <w:pStyle w:val="NoSpacing"/>
              <w:ind w:firstLine="0"/>
              <w:rPr>
                <w:color w:val="auto"/>
                <w:lang w:val="en-GB" w:eastAsia="cs-CZ"/>
              </w:rPr>
            </w:pPr>
            <w:r w:rsidRPr="001D0ADC">
              <w:rPr>
                <w:color w:val="auto"/>
                <w:lang w:val="en-GB" w:eastAsia="cs-CZ"/>
              </w:rPr>
              <w:t>In vitro (SAF-1)</w:t>
            </w:r>
          </w:p>
        </w:tc>
        <w:tc>
          <w:tcPr>
            <w:tcW w:w="1967" w:type="dxa"/>
            <w:vMerge w:val="restart"/>
            <w:tcBorders>
              <w:top w:val="single" w:sz="4" w:space="0" w:color="auto"/>
              <w:left w:val="single" w:sz="4" w:space="0" w:color="auto"/>
              <w:right w:val="single" w:sz="4" w:space="0" w:color="auto"/>
            </w:tcBorders>
          </w:tcPr>
          <w:p w14:paraId="26A87D65"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28DF6276"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{"citationID":"T2j2hkWH","properties":{"formattedCitation":"(Almeida et al. 2019)","plainCitation":"(Almeida et al. 2019)","noteIndex":0},"citationItems":[{"id":1179,"uris":["http://zotero.org/users/11614927/items/3ZL4CUAE"],"itemData":{"id":1179,"type":"article-journal","abstract":"There is an increasing concern on the consequences of the presence of micro(nano)plastics to marine organisms. The present study aimed to provide information on the effects of polystyrene nanoplastics (PSNPs) to fish cells alone and combined with human pharmaceuticals, other emerging contaminants, using as biological models marine fish cell lines SAF-1 and DLB-1. Cells were exposed for 24 h to 100 nm PSNPs, starting at 0.001 up to 10 mg/L, to assess effects on viability and activity of catalase (antioxidant defense) and glutathione S-transferases (phase II biotransformation and antioxidant defense). The viability of cells was also evaluated after exposure to human pharmaceuticals alone and combined with PSNPs. Overall, PSNPs failed to be cytotoxic but data proved their ability to alter the toxicity of human pharmaceuticals. DLB-1 was the most sensitive cell line to PSNPs. Data support the use of marine fish cell lines in the study of the effects of micro(nano)plastics.","container-title":"Environmental Toxicology and Pharmacology","DOI":"10.1016/j.etap.2019.03.019","ISSN":"13826689","journalAbbreviation":"Environmental Toxicology and Pharmacology","language":"en","page":"57-65","source":"DOI.org (Crossref)","title":"Polystyrene nanoplastics alter the cytotoxicity of human pharmaceuticals on marine fish cell lines","volume":"69","author":[{"family":"Almeida","given":"Mónica"},{"family":"Martins","given":"Manuel A."},{"family":"Soares","given":"Amadeu M.V."},{"family":"Cuesta","given":"Alberto"},{"family":"Oliveira","given":"Miguel"}],"issued":{"date-parts":[["2019",7]]}}}],"schema":"https://github.com/citation-style-language/schema/raw/master/csl-citation.json"}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(Almeida et al. 2019)</w:t>
            </w:r>
            <w:r w:rsidRPr="001D0ADC">
              <w:rPr>
                <w:color w:val="auto"/>
                <w:lang w:val="en-GB" w:eastAsia="cs-CZ"/>
              </w:rPr>
              <w:fldChar w:fldCharType="end"/>
            </w:r>
          </w:p>
        </w:tc>
      </w:tr>
      <w:tr w:rsidR="001D0ADC" w:rsidRPr="001D0ADC" w14:paraId="7D9B913E"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1A61B72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31BB9EF2" w14:textId="4E305B6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711</w:t>
            </w:r>
          </w:p>
        </w:tc>
        <w:tc>
          <w:tcPr>
            <w:tcW w:w="4520" w:type="dxa"/>
            <w:tcBorders>
              <w:top w:val="single" w:sz="4" w:space="0" w:color="auto"/>
              <w:left w:val="nil"/>
              <w:bottom w:val="single" w:sz="4" w:space="0" w:color="auto"/>
              <w:right w:val="single" w:sz="4" w:space="0" w:color="auto"/>
            </w:tcBorders>
            <w:shd w:val="clear" w:color="auto" w:fill="auto"/>
            <w:vAlign w:val="bottom"/>
          </w:tcPr>
          <w:p w14:paraId="05CD6C9B" w14:textId="77777777" w:rsidR="00196808" w:rsidRPr="001D0ADC" w:rsidRDefault="00196808" w:rsidP="00196808">
            <w:pPr>
              <w:pStyle w:val="NoSpacing"/>
              <w:ind w:firstLine="0"/>
              <w:rPr>
                <w:color w:val="auto"/>
                <w:lang w:val="en-GB" w:eastAsia="cs-CZ"/>
              </w:rPr>
            </w:pPr>
            <w:r w:rsidRPr="001D0ADC">
              <w:rPr>
                <w:color w:val="auto"/>
                <w:lang w:val="en-GB" w:eastAsia="cs-CZ"/>
              </w:rPr>
              <w:t>LC25</w:t>
            </w:r>
          </w:p>
        </w:tc>
        <w:tc>
          <w:tcPr>
            <w:tcW w:w="2633" w:type="dxa"/>
            <w:tcBorders>
              <w:top w:val="single" w:sz="4" w:space="0" w:color="auto"/>
              <w:left w:val="nil"/>
              <w:bottom w:val="single" w:sz="4" w:space="0" w:color="auto"/>
              <w:right w:val="single" w:sz="4" w:space="0" w:color="auto"/>
            </w:tcBorders>
          </w:tcPr>
          <w:p w14:paraId="34CC1CBF" w14:textId="77777777" w:rsidR="00196808" w:rsidRPr="001D0ADC" w:rsidRDefault="00196808" w:rsidP="00196808">
            <w:pPr>
              <w:pStyle w:val="NoSpacing"/>
              <w:ind w:firstLine="0"/>
              <w:rPr>
                <w:color w:val="auto"/>
                <w:lang w:val="en-GB" w:eastAsia="cs-CZ"/>
              </w:rPr>
            </w:pPr>
            <w:r w:rsidRPr="001D0ADC">
              <w:rPr>
                <w:color w:val="auto"/>
                <w:lang w:val="en-GB" w:eastAsia="cs-CZ"/>
              </w:rPr>
              <w:t>In vitro (DLB-1)</w:t>
            </w:r>
          </w:p>
        </w:tc>
        <w:tc>
          <w:tcPr>
            <w:tcW w:w="1967" w:type="dxa"/>
            <w:vMerge/>
            <w:tcBorders>
              <w:left w:val="single" w:sz="4" w:space="0" w:color="auto"/>
              <w:bottom w:val="single" w:sz="4" w:space="0" w:color="auto"/>
              <w:right w:val="single" w:sz="4" w:space="0" w:color="auto"/>
            </w:tcBorders>
          </w:tcPr>
          <w:p w14:paraId="1577AC32"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B15C7B7" w14:textId="77777777" w:rsidR="00196808" w:rsidRPr="001D0ADC" w:rsidRDefault="00196808" w:rsidP="00196808">
            <w:pPr>
              <w:pStyle w:val="NoSpacing"/>
              <w:ind w:firstLine="0"/>
              <w:rPr>
                <w:color w:val="auto"/>
                <w:lang w:val="en-GB" w:eastAsia="cs-CZ"/>
              </w:rPr>
            </w:pPr>
          </w:p>
        </w:tc>
      </w:tr>
      <w:tr w:rsidR="001D0ADC" w:rsidRPr="001D0ADC" w14:paraId="2DC0F75C"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2D488CD5"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534F8C2A" w14:textId="27EC5B18"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(primary cultures)</w:t>
            </w:r>
            <w:r w:rsidR="000F6A8E" w:rsidRPr="001D0ADC">
              <w:rPr>
                <w:b/>
                <w:bCs/>
                <w:color w:val="auto"/>
                <w:lang w:val="en-GB" w:eastAsia="cs-CZ"/>
              </w:rPr>
              <w:t xml:space="preserve"> (mg/l)</w:t>
            </w:r>
          </w:p>
        </w:tc>
      </w:tr>
      <w:tr w:rsidR="001D0ADC" w:rsidRPr="001D0ADC" w14:paraId="19A62B75" w14:textId="77777777" w:rsidTr="00CF4707">
        <w:trPr>
          <w:gridAfter w:val="4"/>
          <w:wAfter w:w="9200" w:type="dxa"/>
          <w:trHeight w:val="300"/>
        </w:trPr>
        <w:tc>
          <w:tcPr>
            <w:tcW w:w="760" w:type="dxa"/>
            <w:vMerge/>
            <w:tcBorders>
              <w:left w:val="single" w:sz="4" w:space="0" w:color="auto"/>
              <w:right w:val="single" w:sz="4" w:space="0" w:color="auto"/>
            </w:tcBorders>
            <w:shd w:val="clear" w:color="auto" w:fill="auto"/>
            <w:noWrap/>
            <w:vAlign w:val="bottom"/>
          </w:tcPr>
          <w:p w14:paraId="5EDE3E9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F1318B8" w14:textId="190244C3"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000025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AA80EBA" w14:textId="77777777" w:rsidR="00196808" w:rsidRPr="001D0ADC" w:rsidRDefault="00196808" w:rsidP="00196808">
            <w:pPr>
              <w:pStyle w:val="NoSpacing"/>
              <w:ind w:firstLine="0"/>
              <w:rPr>
                <w:color w:val="auto"/>
                <w:lang w:val="en-GB" w:eastAsia="cs-CZ"/>
              </w:rPr>
            </w:pPr>
            <w:r w:rsidRPr="001D0ADC">
              <w:rPr>
                <w:color w:val="auto"/>
                <w:lang w:val="en-GB" w:eastAsia="cs-CZ"/>
              </w:rPr>
              <w:t>LOEC for genotoxicity (comet assay)</w:t>
            </w:r>
          </w:p>
        </w:tc>
        <w:tc>
          <w:tcPr>
            <w:tcW w:w="2633" w:type="dxa"/>
            <w:tcBorders>
              <w:top w:val="single" w:sz="4" w:space="0" w:color="auto"/>
              <w:left w:val="nil"/>
              <w:bottom w:val="single" w:sz="4" w:space="0" w:color="auto"/>
              <w:right w:val="single" w:sz="4" w:space="0" w:color="auto"/>
            </w:tcBorders>
          </w:tcPr>
          <w:p w14:paraId="4C49E523" w14:textId="77777777" w:rsidR="00196808" w:rsidRPr="001D0ADC" w:rsidRDefault="00196808" w:rsidP="00196808">
            <w:pPr>
              <w:pStyle w:val="NoSpacing"/>
              <w:ind w:firstLine="0"/>
              <w:rPr>
                <w:color w:val="auto"/>
                <w:lang w:val="en-GB" w:eastAsia="cs-CZ"/>
              </w:rPr>
            </w:pPr>
            <w:r w:rsidRPr="001D0ADC">
              <w:rPr>
                <w:color w:val="auto"/>
                <w:lang w:val="en-GB" w:eastAsia="cs-CZ"/>
              </w:rPr>
              <w:t>In vitro (HM) anterior kidney monocyte primary cells</w:t>
            </w:r>
          </w:p>
        </w:tc>
        <w:tc>
          <w:tcPr>
            <w:tcW w:w="1967" w:type="dxa"/>
            <w:tcBorders>
              <w:top w:val="single" w:sz="4" w:space="0" w:color="auto"/>
              <w:left w:val="single" w:sz="4" w:space="0" w:color="auto"/>
              <w:bottom w:val="single" w:sz="4" w:space="0" w:color="auto"/>
              <w:right w:val="single" w:sz="4" w:space="0" w:color="auto"/>
            </w:tcBorders>
          </w:tcPr>
          <w:p w14:paraId="49E85B50"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203DF9B"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{"citationID":"DauYMjtH","properties":{"formattedCitation":"(Ribas et al. 2014)","plainCitation":"(Ribas et al. 2014)","noteIndex":0},"citationItems":[{"id":1275,"uris":["http://zotero.org/users/11614927/items/DC28P7G2"],"itemData":{"id":1275,"type":"article-journal","abstract":"The non-steroidal anti-inﬂammatory drugs are emerging contaminants in aquatic ecosystems. This study aimed to evaluate toxic effects of some representative drugs of this pharmaceutical group on primary culture of monocytic lineage of Hoplias malabaricus anterior kidney. The effects of diclofenac, acetaminophen and ibuprofen in cell viability, lipopolysaccharide (LPS)-induced NO production and genotoxicity were evaluated. Cytometry analysis CD11bþ cells showed 71.5% of stem cells, 19.5% of macrophages and 9% of monocytes. Cell viability was lower in the ﬁcoll compared to percoll separation. LPS-induced NO production by these cells was blocked after treatment with dexamethasone and NGMethyl-L-Arginine (L-NMMA). Exposure of the cells to diclofenac (0.2e200 ng/mL), acetaminophen (0.025e250 ng/mL) ibuprofen (10e1000 ng/mL) reduced basal NO production and inhibited LPS-induced NO production at all concentrations after 24 h of exposure. Genotoxicity occurred at the highest concentration of diclofenac and at the intermediary concentration of acetaminophen. Genotoxicity was also observed by ibuprofen. In summary, the pharmaceuticals inﬂuenced NO production and caused DNA damage in monocytic cells suggesting that these drugs can induce immunosuppression and genotoxicity in ﬁsh.","container-title":"Fish &amp; Shellfish Immunology","DOI":"10.1016/j.fsi.2014.07.009","ISSN":"10504648","issue":"1","journalAbbreviation":"Fish &amp; Shellfish Immunology","language":"en","page":"296-303","source":"DOI.org (Crossref)","title":"Effects of anti-inflammatory drugs in primary kidney cell culture of a freshwater fish","volume":"40","author":[{"family":"Ribas","given":"João Luiz Coelho"},{"family":"Silva","given":"Cesar A. Da"},{"family":"Andrade","given":"Lucas De"},{"family":"Galvan","given":"Gabrieli Limberger"},{"family":"Cestari","given":"Marta Margarete"},{"family":"Trindade","given":"Edvaldo S."},{"family":"Zampronio","given":"Aleksander R."},{"family":"Silva De Assis","given":"Helena C."}],"issued":{"date-parts":[["2014",9]]}}}],"schema":"https://github.com/citation-style-language/schema/raw/master/csl-citation.json"}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(Ribas et al. 2014)</w:t>
            </w:r>
            <w:r w:rsidRPr="001D0ADC">
              <w:rPr>
                <w:color w:val="auto"/>
                <w:lang w:val="en-GB" w:eastAsia="cs-CZ"/>
              </w:rPr>
              <w:fldChar w:fldCharType="end"/>
            </w:r>
          </w:p>
        </w:tc>
      </w:tr>
      <w:tr w:rsidR="001D0ADC" w:rsidRPr="001D0ADC" w14:paraId="12E65310"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67DFE1CD" w14:textId="77777777" w:rsidR="00196808" w:rsidRPr="001D0ADC" w:rsidRDefault="00196808" w:rsidP="00196808">
            <w:pPr>
              <w:pStyle w:val="NoSpacing"/>
              <w:ind w:firstLine="0"/>
              <w:rPr>
                <w:color w:val="auto"/>
                <w:lang w:val="en-GB" w:eastAsia="cs-CZ"/>
              </w:rPr>
            </w:pPr>
          </w:p>
        </w:tc>
      </w:tr>
      <w:tr w:rsidR="001D0ADC" w:rsidRPr="001D0ADC" w14:paraId="7BA79137" w14:textId="77777777" w:rsidTr="00CF4707">
        <w:trPr>
          <w:gridAfter w:val="4"/>
          <w:wAfter w:w="9200" w:type="dxa"/>
          <w:trHeight w:val="300"/>
        </w:trPr>
        <w:tc>
          <w:tcPr>
            <w:tcW w:w="13882"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290D3B45" w14:textId="77777777" w:rsidR="00196808" w:rsidRPr="001D0ADC" w:rsidRDefault="00196808" w:rsidP="00196808">
            <w:pPr>
              <w:pStyle w:val="NoSpacing"/>
              <w:ind w:firstLine="0"/>
              <w:jc w:val="center"/>
              <w:rPr>
                <w:color w:val="auto"/>
                <w:lang w:val="en-GB" w:eastAsia="cs-CZ"/>
              </w:rPr>
            </w:pPr>
            <w:r w:rsidRPr="001D0ADC">
              <w:rPr>
                <w:color w:val="auto"/>
                <w:lang w:val="en-GB" w:eastAsia="cs-CZ"/>
              </w:rPr>
              <w:t>SMX</w:t>
            </w:r>
          </w:p>
        </w:tc>
      </w:tr>
      <w:tr w:rsidR="001D0ADC" w:rsidRPr="001D0ADC" w14:paraId="5B30F321" w14:textId="77777777" w:rsidTr="00305BA7">
        <w:trPr>
          <w:gridAfter w:val="4"/>
          <w:wAfter w:w="9200" w:type="dxa"/>
          <w:trHeight w:val="300"/>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667AF24D" w14:textId="77777777" w:rsidR="00196808" w:rsidRPr="001D0ADC" w:rsidRDefault="00196808" w:rsidP="00196808">
            <w:pPr>
              <w:pStyle w:val="NoSpacing"/>
              <w:ind w:firstLine="0"/>
              <w:rPr>
                <w:color w:val="auto"/>
                <w:lang w:val="en-GB" w:eastAsia="cs-CZ"/>
              </w:rPr>
            </w:pPr>
            <w:r w:rsidRPr="001D0ADC">
              <w:rPr>
                <w:color w:val="auto"/>
                <w:lang w:val="en-GB" w:eastAsia="cs-CZ"/>
              </w:rPr>
              <w:t>SMX</w:t>
            </w: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15AE4F9D" w14:textId="1C6E4C46" w:rsidR="00196808" w:rsidRPr="001D0ADC" w:rsidRDefault="00196808" w:rsidP="00196808">
            <w:pPr>
              <w:pStyle w:val="NoSpacing"/>
              <w:ind w:firstLine="0"/>
              <w:rPr>
                <w:b/>
                <w:bCs/>
                <w:color w:val="auto"/>
                <w:lang w:val="en-GB" w:eastAsia="cs-CZ"/>
              </w:rPr>
            </w:pPr>
            <w:r w:rsidRPr="001D0ADC">
              <w:rPr>
                <w:b/>
                <w:bCs/>
                <w:color w:val="auto"/>
                <w:lang w:val="en-GB" w:eastAsia="cs-CZ"/>
              </w:rPr>
              <w:t>Acute Fish Toxicity (adults or juvenile)</w:t>
            </w:r>
            <w:r w:rsidR="000F6A8E" w:rsidRPr="001D0ADC">
              <w:rPr>
                <w:b/>
                <w:bCs/>
                <w:color w:val="auto"/>
                <w:lang w:val="en-GB" w:eastAsia="cs-CZ"/>
              </w:rPr>
              <w:t xml:space="preserve"> (mg/l)</w:t>
            </w:r>
          </w:p>
        </w:tc>
      </w:tr>
      <w:tr w:rsidR="001D0ADC" w:rsidRPr="001D0ADC" w14:paraId="28599F42"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7FEC228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0F6C588" w14:textId="5F38CEA8" w:rsidR="00196808" w:rsidRPr="001D0ADC" w:rsidRDefault="00196808" w:rsidP="00196808">
            <w:pPr>
              <w:pStyle w:val="NoSpacing"/>
              <w:ind w:firstLine="0"/>
              <w:rPr>
                <w:color w:val="auto"/>
                <w:lang w:val="en-GB" w:eastAsia="cs-CZ"/>
              </w:rPr>
            </w:pPr>
            <w:r w:rsidRPr="001D0ADC">
              <w:rPr>
                <w:color w:val="auto"/>
                <w:lang w:val="en-GB" w:eastAsia="cs-CZ"/>
              </w:rPr>
              <w:t>56</w:t>
            </w:r>
            <w:r w:rsidR="00CF2036" w:rsidRPr="001D0ADC">
              <w:rPr>
                <w:color w:val="auto"/>
                <w:lang w:val="en-GB" w:eastAsia="cs-CZ"/>
              </w:rPr>
              <w:t>2.</w:t>
            </w:r>
            <w:r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3604B65E" w14:textId="77777777" w:rsidR="00196808" w:rsidRPr="001D0ADC" w:rsidRDefault="00196808" w:rsidP="00196808">
            <w:pPr>
              <w:pStyle w:val="NoSpacing"/>
              <w:ind w:firstLine="0"/>
              <w:rPr>
                <w:color w:val="auto"/>
                <w:lang w:val="en-GB" w:eastAsia="cs-CZ"/>
              </w:rPr>
            </w:pPr>
            <w:r w:rsidRPr="001D0ADC">
              <w:rPr>
                <w:color w:val="auto"/>
                <w:lang w:val="en-GB" w:eastAsia="cs-CZ"/>
              </w:rPr>
              <w:t>LC50</w:t>
            </w:r>
          </w:p>
        </w:tc>
        <w:tc>
          <w:tcPr>
            <w:tcW w:w="2633" w:type="dxa"/>
            <w:tcBorders>
              <w:top w:val="single" w:sz="4" w:space="0" w:color="auto"/>
              <w:left w:val="nil"/>
              <w:bottom w:val="single" w:sz="4" w:space="0" w:color="auto"/>
              <w:right w:val="single" w:sz="4" w:space="0" w:color="auto"/>
            </w:tcBorders>
          </w:tcPr>
          <w:p w14:paraId="6DD50452" w14:textId="77777777" w:rsidR="00196808" w:rsidRPr="001D0ADC" w:rsidRDefault="00196808" w:rsidP="00196808">
            <w:pPr>
              <w:pStyle w:val="NoSpacing"/>
              <w:ind w:firstLine="0"/>
              <w:rPr>
                <w:color w:val="auto"/>
                <w:lang w:val="en-GB" w:eastAsia="cs-CZ"/>
              </w:rPr>
            </w:pPr>
            <w:r w:rsidRPr="001D0ADC">
              <w:rPr>
                <w:color w:val="auto"/>
                <w:lang w:val="en-GB" w:eastAsia="cs-CZ"/>
              </w:rPr>
              <w:t>AFT (OECD203)(OL)</w:t>
            </w:r>
          </w:p>
        </w:tc>
        <w:tc>
          <w:tcPr>
            <w:tcW w:w="1967" w:type="dxa"/>
            <w:tcBorders>
              <w:top w:val="single" w:sz="4" w:space="0" w:color="auto"/>
              <w:left w:val="single" w:sz="4" w:space="0" w:color="auto"/>
              <w:bottom w:val="single" w:sz="4" w:space="0" w:color="auto"/>
              <w:right w:val="single" w:sz="4" w:space="0" w:color="auto"/>
            </w:tcBorders>
          </w:tcPr>
          <w:p w14:paraId="2013A544"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2CB7F5B3"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{"citationID":"DIZdKo8B","properties":{"formattedCitation":"(Y. Kim et al. 2007)","plainCitation":"(Y. Kim et al. 2007)","noteIndex":0},"citationItems":[{"id":1165,"uris":["http://zotero.org/users/11614927/items/9WDYTYH5"],"itemData":{"id":1165,"type":"article-journal","abstract":"Pharmaceuticals are manufactured and used for specific biological functions in veterinary and human medicine. Their detection in the environment and their bioactivity have resulted in concern for potential adverse effects on non-target species. Notwithstanding recent attention for their occurrence in the environment, there are significant research gaps for existing pharmaceuticals with regard to their potential ecological consequences. In this study, the four most abundantly used pharmaceuticals in Korea, namely acetaminophen, carbamazepine, cimetidine, and diltiazem, and six sulfonamide related antibiotics, including sulfamethoxazole, sulfachlorpyridazine, sulfathiazole, sulfamethazine, sulfadimethoxine, and trimethoprim were examined for their acute aquatic toxicity employing a marine bacterium (Vibrio fischeri), a freshwater invertebrate (Daphnia magna), and the Japanese medaka fish (Oryzias latipes). In general, Daphnia was the most susceptible among the test organisms. The most acutely toxic among the chemicals tested in this study was diltiazem, with a median lethal concentration of 8.2 mg/L for D. magna. The resulting acute toxicity of these pharmaceuticals was reasonably predicted by physicochemical descriptors such as pH-dependent distribution coefficient and EHOMO − ELUMO gap. Predicted environmental concentrations (PECs) derived for the test pharmaceuticals in Korea ranged between 0.14 and 16.5 μg/L. Hazard quotients derived from PECs and predicted no effect concentrations (PNECs) for sulfamethoxazole and acetaminophen were 6.3 and 1.8, respectively, suggesting potential environmental concerns and a need for further investigation.","container-title":"Environment International","DOI":"10.1016/j.envint.2006.11.017","ISSN":"01604120","issue":"3","journalAbbreviation":"Environment International","language":"en","page":"370-375","source":"DOI.org (Crossref)","title":"Aquatic toxicity of acetaminophen, carbamazepine, cimetidine, diltiazem and six major sulfonamides, and their potential ecological risks in Korea","volume":"33","author":[{"family":"Kim","given":"Younghee"},{"family":"Choi","given":"Kyungho"},{"family":"Jung","given":"Jinyong"},{"family":"Park","given":"Sujung"},{"family":"Kim","given":"Pan-Gyi"},{"family":"Park","given":"Jeongim"}],"issued":{"date-parts":[["2007",4]]}}}],"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(Y. Kim et al. 2007)</w:t>
            </w:r>
            <w:r w:rsidRPr="001D0ADC">
              <w:rPr>
                <w:color w:val="auto"/>
                <w:lang w:val="en-GB" w:eastAsia="cs-CZ"/>
              </w:rPr>
              <w:fldChar w:fldCharType="end"/>
            </w:r>
          </w:p>
        </w:tc>
      </w:tr>
      <w:tr w:rsidR="001D0ADC" w:rsidRPr="001D0ADC" w14:paraId="26023AC3"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113F688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89A4D80" w14:textId="77777777" w:rsidR="00196808" w:rsidRPr="001D0ADC" w:rsidRDefault="00196808" w:rsidP="00196808">
            <w:pPr>
              <w:pStyle w:val="NoSpacing"/>
              <w:ind w:firstLine="0"/>
              <w:rPr>
                <w:color w:val="auto"/>
                <w:lang w:val="en-GB" w:eastAsia="cs-CZ"/>
              </w:rPr>
            </w:pPr>
            <w:r w:rsidRPr="001D0ADC">
              <w:rPr>
                <w:color w:val="auto"/>
                <w:lang w:val="en-GB" w:eastAsia="cs-CZ"/>
              </w:rPr>
              <w:t>1000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629BF965"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tcBorders>
              <w:top w:val="single" w:sz="4" w:space="0" w:color="auto"/>
              <w:left w:val="nil"/>
              <w:bottom w:val="single" w:sz="4" w:space="0" w:color="auto"/>
              <w:right w:val="single" w:sz="4" w:space="0" w:color="auto"/>
            </w:tcBorders>
          </w:tcPr>
          <w:p w14:paraId="14BB85FD" w14:textId="77777777" w:rsidR="00196808" w:rsidRPr="001D0ADC" w:rsidRDefault="00196808" w:rsidP="00196808">
            <w:pPr>
              <w:pStyle w:val="NoSpacing"/>
              <w:ind w:firstLine="0"/>
              <w:rPr>
                <w:color w:val="auto"/>
                <w:lang w:val="en-GB" w:eastAsia="cs-CZ"/>
              </w:rPr>
            </w:pPr>
            <w:r w:rsidRPr="001D0ADC">
              <w:rPr>
                <w:color w:val="auto"/>
                <w:lang w:val="en-GB" w:eastAsia="cs-CZ"/>
              </w:rPr>
              <w:t>Acute (ZF) adult</w:t>
            </w:r>
          </w:p>
        </w:tc>
        <w:tc>
          <w:tcPr>
            <w:tcW w:w="1967" w:type="dxa"/>
            <w:tcBorders>
              <w:top w:val="single" w:sz="4" w:space="0" w:color="auto"/>
              <w:left w:val="single" w:sz="4" w:space="0" w:color="auto"/>
              <w:bottom w:val="single" w:sz="4" w:space="0" w:color="auto"/>
              <w:right w:val="single" w:sz="4" w:space="0" w:color="auto"/>
            </w:tcBorders>
          </w:tcPr>
          <w:p w14:paraId="790FFCC5" w14:textId="77777777"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756104CE"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{"citationID":"tcWgKYOP","properties":{"formattedCitation":"(Isidori et al. 2005)","plainCitation":"(Isidori et al. 2005)","noteIndex":0},"citationItems":[{"id":1173,"uris":["http://zotero.org/users/11614927/items/DGBXIW99"],"itemData":{"id":1173,"type":"article-journal","abstract":"The ecotoxicity of the following six antibiotics on aquatic organisms was investigated: Erythromycin, Oxytetracyclin, Sulfamethoxazole, Ofloxacin, Lincomycin and Clarithromycin. Bioassays were performed on bacteria, algae, rotifers, microcrustaceans and fish to assess acute and chronic toxicity, while SOS Chromotest and Ames test were used to detect the genotoxic potential of the investigated drugs. For risk assessment, the environmental impact was calculated by MEC/PNEC ratio using the available data from the literature regarding their occurrence in the aquatic environment and the toxicity data obtained from the bioassays performed. The ecotoxicological results showed that acute toxicity was in the order of mg/L while, for the chronic data the antibiotics were bioactive at concentrations in the order of Ag/L, mainly for the algae. Drugs investigated were one or two order of magnitude less active against rotifers and crustaceans. Ofloxacin was the only genotoxic compound and Sulfamethoxazole, Ofloxacin and Lincomycin were mutagenic. As for environmental risk, the macrolides were found to be the most harmful for the aquatic environment.","container-title":"Science of The Total Environment","DOI":"10.1016/j.scitotenv.2004.11.017","ISSN":"00489697","issue":"1-3","journalAbbreviation":"Science of The Total Environment","language":"en","page":"87-98","source":"DOI.org (Crossref)","title":"Toxic and genotoxic evaluation of six antibiotics on non-target organisms","volume":"346","author":[{"family":"Isidori","given":"Marina"},{"family":"Lavorgna","given":"Margherita"},{"family":"Nardelli","given":"Angela"},{"family":"Pascarella","given":"Luigia"},{"family":"Parrella","given":"Alfredo"}],"issued":{"date-parts":[["2005",6]]}}}],"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(Isidori et al. 2005)</w:t>
            </w:r>
            <w:r w:rsidRPr="001D0ADC">
              <w:rPr>
                <w:color w:val="auto"/>
                <w:lang w:val="en-GB" w:eastAsia="cs-CZ"/>
              </w:rPr>
              <w:fldChar w:fldCharType="end"/>
            </w:r>
          </w:p>
        </w:tc>
      </w:tr>
      <w:tr w:rsidR="001D0ADC" w:rsidRPr="001D0ADC" w14:paraId="66414ABB"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36B634EC"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0719077F" w14:textId="585D92DB" w:rsidR="00196808" w:rsidRPr="001D0ADC" w:rsidRDefault="00196808" w:rsidP="00196808">
            <w:pPr>
              <w:pStyle w:val="NoSpacing"/>
              <w:ind w:firstLine="0"/>
              <w:rPr>
                <w:b/>
                <w:bCs/>
                <w:color w:val="auto"/>
                <w:lang w:val="en-GB" w:eastAsia="cs-CZ"/>
              </w:rPr>
            </w:pPr>
            <w:r w:rsidRPr="001D0ADC">
              <w:rPr>
                <w:b/>
                <w:bCs/>
                <w:color w:val="auto"/>
                <w:lang w:val="en-GB" w:eastAsia="cs-CZ"/>
              </w:rPr>
              <w:t>Non-lethal effects after acute exposure (adults or juvenile)</w:t>
            </w:r>
            <w:r w:rsidR="000F6A8E" w:rsidRPr="001D0ADC">
              <w:rPr>
                <w:b/>
                <w:bCs/>
                <w:color w:val="auto"/>
                <w:lang w:val="en-GB" w:eastAsia="cs-CZ"/>
              </w:rPr>
              <w:t xml:space="preserve"> (mg/l)</w:t>
            </w:r>
          </w:p>
        </w:tc>
      </w:tr>
      <w:tr w:rsidR="001D0ADC" w:rsidRPr="001D0ADC" w14:paraId="75F3920D"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71DCDF97"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17AA721" w14:textId="77777777"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196A7FD2" w14:textId="63D88AFB" w:rsidR="00196808" w:rsidRPr="001D0ADC" w:rsidRDefault="002B512A" w:rsidP="00196808">
            <w:pPr>
              <w:pStyle w:val="NoSpacing"/>
              <w:ind w:firstLine="0"/>
              <w:rPr>
                <w:color w:val="auto"/>
                <w:lang w:val="en-GB" w:eastAsia="cs-CZ"/>
              </w:rPr>
            </w:pPr>
            <w:r w:rsidRPr="001D0ADC">
              <w:rPr>
                <w:color w:val="auto"/>
                <w:lang w:val="en-GB" w:eastAsia="cs-CZ"/>
              </w:rPr>
              <w:t xml:space="preserve">LOEC </w:t>
            </w:r>
            <w:r w:rsidR="00196808" w:rsidRPr="001D0ADC">
              <w:rPr>
                <w:color w:val="auto"/>
                <w:lang w:val="en-GB" w:eastAsia="cs-CZ"/>
              </w:rPr>
              <w:t>VTG production in males</w:t>
            </w:r>
          </w:p>
        </w:tc>
        <w:tc>
          <w:tcPr>
            <w:tcW w:w="2633" w:type="dxa"/>
            <w:tcBorders>
              <w:top w:val="single" w:sz="4" w:space="0" w:color="auto"/>
              <w:left w:val="nil"/>
              <w:bottom w:val="single" w:sz="4" w:space="0" w:color="auto"/>
              <w:right w:val="single" w:sz="4" w:space="0" w:color="auto"/>
            </w:tcBorders>
          </w:tcPr>
          <w:p w14:paraId="25B6652C" w14:textId="77777777" w:rsidR="00196808" w:rsidRPr="001D0ADC" w:rsidRDefault="00196808" w:rsidP="00196808">
            <w:pPr>
              <w:pStyle w:val="NoSpacing"/>
              <w:ind w:firstLine="0"/>
              <w:rPr>
                <w:color w:val="auto"/>
                <w:lang w:val="en-GB" w:eastAsia="cs-CZ"/>
              </w:rPr>
            </w:pPr>
            <w:r w:rsidRPr="001D0ADC">
              <w:rPr>
                <w:color w:val="auto"/>
                <w:lang w:val="en-GB" w:eastAsia="cs-CZ"/>
              </w:rPr>
              <w:t>Acute (OL)</w:t>
            </w:r>
          </w:p>
        </w:tc>
        <w:tc>
          <w:tcPr>
            <w:tcW w:w="1967" w:type="dxa"/>
            <w:tcBorders>
              <w:top w:val="single" w:sz="4" w:space="0" w:color="auto"/>
              <w:left w:val="single" w:sz="4" w:space="0" w:color="auto"/>
              <w:bottom w:val="single" w:sz="4" w:space="0" w:color="auto"/>
              <w:right w:val="single" w:sz="4" w:space="0" w:color="auto"/>
            </w:tcBorders>
          </w:tcPr>
          <w:p w14:paraId="61540034" w14:textId="77777777" w:rsidR="00196808" w:rsidRPr="001D0ADC" w:rsidRDefault="00196808" w:rsidP="00196808">
            <w:pPr>
              <w:pStyle w:val="NoSpacing"/>
              <w:ind w:firstLine="0"/>
              <w:rPr>
                <w:color w:val="auto"/>
                <w:lang w:val="en-GB" w:eastAsia="cs-CZ"/>
              </w:rPr>
            </w:pPr>
            <w:r w:rsidRPr="001D0ADC">
              <w:rPr>
                <w:color w:val="auto"/>
                <w:lang w:val="en-GB" w:eastAsia="cs-CZ"/>
              </w:rPr>
              <w:t>3 to 5 days</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6E98C612"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{"citationID":"AolOVdi0","properties":{"formattedCitation":"(Kang et al. 2006)","plainCitation":"(Kang et al. 2006)","noteIndex":0},"citationItems":[{"id":1326,"uris":["http://zotero.org/users/11614927/items/F5E6L2NH"],"itemData":{"id":1326,"type":"article-journal","issue":"No.3","journalAbbreviation":"Kor. J. Env. Hlth.","page":"227-234","title":"Endocrine Disruption Induced by Some Sulfa Drugs and Tetracyclines on Oryzias latipes","volume":"Vol. 32","author":[{"family":"Kang","given":"Hee Joo"},{"family":"Kyungho","given":"Choi"},{"family":"Kim","given":"Min Young"},{"family":"Kim","given":"PanGyi"}],"issued":{"date-parts":[["2006",5]]}}}],"schema":"https://github.com/citation-style-language/schema/raw/master/csl-citation.json"}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(Kang et al. 2006)</w:t>
            </w:r>
            <w:r w:rsidRPr="001D0ADC">
              <w:rPr>
                <w:color w:val="auto"/>
                <w:lang w:val="en-GB" w:eastAsia="cs-CZ"/>
              </w:rPr>
              <w:fldChar w:fldCharType="end"/>
            </w:r>
          </w:p>
        </w:tc>
      </w:tr>
      <w:tr w:rsidR="001D0ADC" w:rsidRPr="001D0ADC" w14:paraId="4E019D20"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1C37041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5A5D56F" w14:textId="77777777" w:rsidR="00196808" w:rsidRPr="001D0ADC" w:rsidRDefault="00196808" w:rsidP="00196808">
            <w:pPr>
              <w:pStyle w:val="NoSpacing"/>
              <w:ind w:firstLine="0"/>
              <w:rPr>
                <w:color w:val="auto"/>
                <w:lang w:val="en-GB" w:eastAsia="cs-CZ"/>
              </w:rPr>
            </w:pPr>
            <w:r w:rsidRPr="001D0ADC">
              <w:rPr>
                <w:color w:val="auto"/>
                <w:lang w:val="en-GB" w:eastAsia="cs-CZ"/>
              </w:rPr>
              <w:t>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45F9B155" w14:textId="77777777" w:rsidR="00196808" w:rsidRPr="001D0ADC" w:rsidRDefault="00196808" w:rsidP="00196808">
            <w:pPr>
              <w:pStyle w:val="NoSpacing"/>
              <w:ind w:firstLine="0"/>
              <w:rPr>
                <w:color w:val="auto"/>
                <w:lang w:val="en-GB" w:eastAsia="cs-CZ"/>
              </w:rPr>
            </w:pPr>
            <w:r w:rsidRPr="001D0ADC">
              <w:rPr>
                <w:color w:val="auto"/>
                <w:lang w:val="en-GB" w:eastAsia="cs-CZ"/>
              </w:rPr>
              <w:t>NOEC for mortality</w:t>
            </w:r>
          </w:p>
        </w:tc>
        <w:tc>
          <w:tcPr>
            <w:tcW w:w="2633" w:type="dxa"/>
            <w:vMerge w:val="restart"/>
            <w:tcBorders>
              <w:top w:val="single" w:sz="4" w:space="0" w:color="auto"/>
              <w:left w:val="nil"/>
              <w:right w:val="single" w:sz="4" w:space="0" w:color="auto"/>
            </w:tcBorders>
          </w:tcPr>
          <w:p w14:paraId="1714D197" w14:textId="77777777" w:rsidR="00196808" w:rsidRPr="001D0ADC" w:rsidRDefault="00196808" w:rsidP="00196808">
            <w:pPr>
              <w:pStyle w:val="NoSpacing"/>
              <w:ind w:firstLine="0"/>
              <w:rPr>
                <w:color w:val="auto"/>
                <w:lang w:val="en-GB" w:eastAsia="cs-CZ"/>
              </w:rPr>
            </w:pPr>
            <w:r w:rsidRPr="001D0ADC">
              <w:rPr>
                <w:color w:val="auto"/>
                <w:lang w:val="en-GB" w:eastAsia="cs-CZ"/>
              </w:rPr>
              <w:t>Acute (CA)</w:t>
            </w:r>
          </w:p>
        </w:tc>
        <w:tc>
          <w:tcPr>
            <w:tcW w:w="1967" w:type="dxa"/>
            <w:vMerge w:val="restart"/>
            <w:tcBorders>
              <w:top w:val="single" w:sz="4" w:space="0" w:color="auto"/>
              <w:left w:val="single" w:sz="4" w:space="0" w:color="auto"/>
              <w:right w:val="single" w:sz="4" w:space="0" w:color="auto"/>
            </w:tcBorders>
          </w:tcPr>
          <w:p w14:paraId="14B93AD1" w14:textId="77777777" w:rsidR="00196808" w:rsidRPr="001D0ADC" w:rsidRDefault="00196808" w:rsidP="00196808">
            <w:pPr>
              <w:pStyle w:val="NoSpacing"/>
              <w:ind w:firstLine="0"/>
              <w:rPr>
                <w:color w:val="auto"/>
                <w:lang w:val="en-GB" w:eastAsia="cs-CZ"/>
              </w:rPr>
            </w:pPr>
            <w:r w:rsidRPr="001D0ADC">
              <w:rPr>
                <w:color w:val="auto"/>
                <w:lang w:val="en-GB" w:eastAsia="cs-CZ"/>
              </w:rPr>
              <w:t>7d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211216CE"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{"citationID":"GVIjr4au","properties":{"formattedCitation":"(Z. Li et al. 2012)","plainCitation":"(Z. Li et al. 2012)","noteIndex":0},"citationItems":[{"id":1171,"uris":["http://zotero.org/users/11614927/items/QK3STQNY"],"itemData":{"id":1171,"type":"article-journal","abstract":"In this study, the sublethal effects of caffeine, sulfamethoxazole and their mixture on goldﬁsh (Carassius auratus) were investigated, the biomarkers including acetylcholinesterase (AChE) in brain, 7-ethoxyresoruﬁn O-deethylase (EROD), glutathione S-transferase (GST) and superoxide dismutase (SOD) in liver and vitellogenin (VTG) in serum were determined after 1, 2, 4, and 7 days of exposure. AChE activity was signiﬁcantly inhibited by caffeine (C0.4 mg/l), sulfamethoxazole (C0.4 mg/l) and their mixtures (C0.048 mg/l) during all exposure periods, and obvious concentration-response and time-response relationships were obtained. EROD, GST and SOD activities were signiﬁcantly increased by individual compounds and mixtures in most cases. GST induction exhibited bell-shaped concentration-response curves. Serum VTG was signiﬁcantly induced by 2 mg/l of caffeine, 10 mg/l of sulfamethoxazole and the mixtures at concentrations C1.2 mg/l. In general, the two pharmaceuticals induced similar biological responses. The joint effect of caffeine/sulfamethoxazole was additive with regard to AChE and GST activity variation and was antagonistic with regard to EROD and SOD induction. The results indicated that multiple biomarker response method might be a useful tool for describing an integrated toxicological effect of chemicals. VTG induction suggested that caffeine and sulfamethoxazole may cause a slightly feminization effect.","container-title":"Ecotoxicology","DOI":"10.1007/s10646-011-0796-9","ISSN":"0963-9292, 1573-3017","issue":"2","journalAbbreviation":"Ecotoxicology","language":"en","page":"353-361","source":"DOI.org (Crossref)","title":"Single and combined effects of selected pharmaceuticals at sublethal concentrations on multiple biomarkers in Carassius auratus","volume":"21","author":[{"family":"Li","given":"Zhihua"},{"family":"Lu","given":"Guanghua"},{"family":"Yang","given":"Xiaofan"},{"family":"Wang","given":"Chao"}],"issued":{"date-parts":[["2012",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(Z. Li et al. 2012)</w:t>
            </w:r>
            <w:r w:rsidRPr="001D0ADC">
              <w:rPr>
                <w:color w:val="auto"/>
                <w:lang w:val="en-GB" w:eastAsia="cs-CZ"/>
              </w:rPr>
              <w:fldChar w:fldCharType="end"/>
            </w:r>
          </w:p>
        </w:tc>
      </w:tr>
      <w:tr w:rsidR="001D0ADC" w:rsidRPr="001D0ADC" w14:paraId="339F09C0"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EF5A89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152A6FE" w14:textId="3CE6FA2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016</w:t>
            </w:r>
          </w:p>
        </w:tc>
        <w:tc>
          <w:tcPr>
            <w:tcW w:w="4520" w:type="dxa"/>
            <w:tcBorders>
              <w:top w:val="single" w:sz="4" w:space="0" w:color="auto"/>
              <w:left w:val="nil"/>
              <w:bottom w:val="single" w:sz="4" w:space="0" w:color="auto"/>
              <w:right w:val="single" w:sz="4" w:space="0" w:color="auto"/>
            </w:tcBorders>
            <w:shd w:val="clear" w:color="auto" w:fill="auto"/>
            <w:vAlign w:val="bottom"/>
          </w:tcPr>
          <w:p w14:paraId="7ADD1FD5" w14:textId="77777777" w:rsidR="00196808" w:rsidRPr="001D0ADC" w:rsidRDefault="00196808" w:rsidP="00196808">
            <w:pPr>
              <w:pStyle w:val="NoSpacing"/>
              <w:ind w:firstLine="0"/>
              <w:rPr>
                <w:color w:val="auto"/>
                <w:lang w:val="en-GB" w:eastAsia="cs-CZ"/>
              </w:rPr>
            </w:pPr>
            <w:r w:rsidRPr="001D0ADC">
              <w:rPr>
                <w:color w:val="auto"/>
                <w:lang w:val="en-GB" w:eastAsia="cs-CZ"/>
              </w:rPr>
              <w:t>LOEC AchE inhibition, EROD activity in liver, GST activity, SOD activity</w:t>
            </w:r>
          </w:p>
        </w:tc>
        <w:tc>
          <w:tcPr>
            <w:tcW w:w="2633" w:type="dxa"/>
            <w:vMerge/>
            <w:tcBorders>
              <w:left w:val="nil"/>
              <w:right w:val="single" w:sz="4" w:space="0" w:color="auto"/>
            </w:tcBorders>
          </w:tcPr>
          <w:p w14:paraId="101B2C1D"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7D780037"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7FAD3A35" w14:textId="77777777" w:rsidR="00196808" w:rsidRPr="001D0ADC" w:rsidRDefault="00196808" w:rsidP="00196808">
            <w:pPr>
              <w:pStyle w:val="NoSpacing"/>
              <w:ind w:firstLine="0"/>
              <w:rPr>
                <w:color w:val="auto"/>
                <w:lang w:val="en-GB" w:eastAsia="cs-CZ"/>
              </w:rPr>
            </w:pPr>
          </w:p>
        </w:tc>
      </w:tr>
      <w:tr w:rsidR="001D0ADC" w:rsidRPr="001D0ADC" w14:paraId="25949138"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7745E66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FA4436C" w14:textId="77777777" w:rsidR="00196808" w:rsidRPr="001D0ADC" w:rsidRDefault="00196808" w:rsidP="00196808">
            <w:pPr>
              <w:pStyle w:val="NoSpacing"/>
              <w:ind w:firstLine="0"/>
              <w:rPr>
                <w:color w:val="auto"/>
                <w:lang w:val="en-GB" w:eastAsia="cs-CZ"/>
              </w:rPr>
            </w:pPr>
            <w:r w:rsidRPr="001D0ADC">
              <w:rPr>
                <w:color w:val="auto"/>
                <w:lang w:val="en-GB" w:eastAsia="cs-CZ"/>
              </w:rPr>
              <w:t>10</w:t>
            </w:r>
          </w:p>
        </w:tc>
        <w:tc>
          <w:tcPr>
            <w:tcW w:w="4520" w:type="dxa"/>
            <w:tcBorders>
              <w:top w:val="single" w:sz="4" w:space="0" w:color="auto"/>
              <w:left w:val="nil"/>
              <w:bottom w:val="single" w:sz="4" w:space="0" w:color="auto"/>
              <w:right w:val="single" w:sz="4" w:space="0" w:color="auto"/>
            </w:tcBorders>
            <w:shd w:val="clear" w:color="auto" w:fill="auto"/>
            <w:vAlign w:val="bottom"/>
          </w:tcPr>
          <w:p w14:paraId="6BBB6FF5" w14:textId="77777777" w:rsidR="00196808" w:rsidRPr="001D0ADC" w:rsidRDefault="00196808" w:rsidP="00196808">
            <w:pPr>
              <w:pStyle w:val="NoSpacing"/>
              <w:ind w:firstLine="0"/>
              <w:rPr>
                <w:color w:val="auto"/>
                <w:lang w:val="en-GB" w:eastAsia="cs-CZ"/>
              </w:rPr>
            </w:pPr>
            <w:r w:rsidRPr="001D0ADC">
              <w:rPr>
                <w:color w:val="auto"/>
                <w:lang w:val="en-GB" w:eastAsia="cs-CZ"/>
              </w:rPr>
              <w:t>LOEC for VTG levels in serum incr.</w:t>
            </w:r>
          </w:p>
        </w:tc>
        <w:tc>
          <w:tcPr>
            <w:tcW w:w="2633" w:type="dxa"/>
            <w:vMerge/>
            <w:tcBorders>
              <w:left w:val="nil"/>
              <w:bottom w:val="single" w:sz="4" w:space="0" w:color="auto"/>
              <w:right w:val="single" w:sz="4" w:space="0" w:color="auto"/>
            </w:tcBorders>
          </w:tcPr>
          <w:p w14:paraId="10C2EF2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15DB3C4"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22C61EB3" w14:textId="77777777" w:rsidR="00196808" w:rsidRPr="001D0ADC" w:rsidRDefault="00196808" w:rsidP="00196808">
            <w:pPr>
              <w:pStyle w:val="NoSpacing"/>
              <w:ind w:firstLine="0"/>
              <w:rPr>
                <w:color w:val="auto"/>
                <w:lang w:val="en-GB" w:eastAsia="cs-CZ"/>
              </w:rPr>
            </w:pPr>
          </w:p>
        </w:tc>
      </w:tr>
      <w:tr w:rsidR="001D0ADC" w:rsidRPr="001D0ADC" w14:paraId="025801C2" w14:textId="77777777" w:rsidTr="00305BA7">
        <w:trPr>
          <w:gridAfter w:val="4"/>
          <w:wAfter w:w="9200" w:type="dxa"/>
          <w:trHeight w:val="15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60FCF89D" w14:textId="77777777" w:rsidR="00196808" w:rsidRPr="001D0ADC" w:rsidRDefault="00196808" w:rsidP="00196808">
            <w:pPr>
              <w:pStyle w:val="NoSpacing"/>
              <w:ind w:firstLine="0"/>
              <w:rPr>
                <w:color w:val="auto"/>
                <w:lang w:val="en-GB" w:eastAsia="cs-CZ"/>
              </w:rPr>
            </w:pPr>
          </w:p>
        </w:tc>
        <w:tc>
          <w:tcPr>
            <w:tcW w:w="1702" w:type="dxa"/>
            <w:vMerge w:val="restart"/>
            <w:tcBorders>
              <w:top w:val="single" w:sz="4" w:space="0" w:color="auto"/>
              <w:left w:val="nil"/>
              <w:right w:val="single" w:sz="4" w:space="0" w:color="auto"/>
            </w:tcBorders>
            <w:shd w:val="clear" w:color="auto" w:fill="auto"/>
            <w:noWrap/>
            <w:vAlign w:val="center"/>
          </w:tcPr>
          <w:p w14:paraId="63DA8563" w14:textId="04F66D4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513C0573" w14:textId="399D1D6F" w:rsidR="00196808" w:rsidRPr="001D0ADC" w:rsidRDefault="00196808" w:rsidP="00196808">
            <w:pPr>
              <w:pStyle w:val="NoSpacing"/>
              <w:ind w:firstLine="0"/>
              <w:rPr>
                <w:color w:val="auto"/>
                <w:lang w:val="en-GB" w:eastAsia="cs-CZ"/>
              </w:rPr>
            </w:pPr>
            <w:r w:rsidRPr="001D0ADC">
              <w:rPr>
                <w:color w:val="auto"/>
                <w:lang w:val="en-GB" w:eastAsia="cs-CZ"/>
              </w:rPr>
              <w:t xml:space="preserve">NOEC for mortality, </w:t>
            </w:r>
          </w:p>
        </w:tc>
        <w:tc>
          <w:tcPr>
            <w:tcW w:w="2633" w:type="dxa"/>
            <w:vMerge w:val="restart"/>
            <w:tcBorders>
              <w:left w:val="nil"/>
              <w:right w:val="single" w:sz="4" w:space="0" w:color="auto"/>
            </w:tcBorders>
          </w:tcPr>
          <w:p w14:paraId="06A9E87E" w14:textId="5EFB8533" w:rsidR="00196808" w:rsidRPr="001D0ADC" w:rsidRDefault="00196808" w:rsidP="00196808">
            <w:pPr>
              <w:pStyle w:val="NoSpacing"/>
              <w:ind w:firstLine="0"/>
              <w:rPr>
                <w:color w:val="auto"/>
                <w:lang w:val="en-GB" w:eastAsia="cs-CZ"/>
              </w:rPr>
            </w:pPr>
            <w:r w:rsidRPr="001D0ADC">
              <w:rPr>
                <w:color w:val="auto"/>
                <w:lang w:val="en-GB" w:eastAsia="cs-CZ"/>
              </w:rPr>
              <w:t>Acute (CA)</w:t>
            </w:r>
          </w:p>
        </w:tc>
        <w:tc>
          <w:tcPr>
            <w:tcW w:w="1967" w:type="dxa"/>
            <w:tcBorders>
              <w:left w:val="single" w:sz="4" w:space="0" w:color="auto"/>
              <w:right w:val="single" w:sz="4" w:space="0" w:color="auto"/>
            </w:tcBorders>
          </w:tcPr>
          <w:p w14:paraId="3F48E9D6" w14:textId="7231D00A" w:rsidR="00196808" w:rsidRPr="001D0ADC" w:rsidRDefault="00196808" w:rsidP="00196808">
            <w:pPr>
              <w:pStyle w:val="NoSpacing"/>
              <w:ind w:firstLine="0"/>
              <w:rPr>
                <w:color w:val="auto"/>
                <w:lang w:val="en-GB" w:eastAsia="cs-CZ"/>
              </w:rPr>
            </w:pPr>
            <w:r w:rsidRPr="001D0ADC">
              <w:rPr>
                <w:color w:val="auto"/>
                <w:lang w:val="en-GB" w:eastAsia="cs-CZ"/>
              </w:rPr>
              <w:t>7d</w:t>
            </w:r>
          </w:p>
        </w:tc>
        <w:tc>
          <w:tcPr>
            <w:tcW w:w="2300" w:type="dxa"/>
            <w:vMerge w:val="restart"/>
            <w:tcBorders>
              <w:left w:val="single" w:sz="4" w:space="0" w:color="auto"/>
              <w:right w:val="single" w:sz="4" w:space="0" w:color="auto"/>
            </w:tcBorders>
            <w:shd w:val="clear" w:color="auto" w:fill="auto"/>
            <w:vAlign w:val="bottom"/>
          </w:tcPr>
          <w:p w14:paraId="6B3F9C31" w14:textId="0FF36C1D"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{"citationID":"D4dBwXLG","properties":{"formattedCitation":"(X. Yang et al. 2019)","plainCitation":"(X. Yang et al. 2019)","noteIndex":0},"citationItems":[{"id":1597,"uris":["http://zotero.org/users/11614927/items/GWFA3R2X"],"itemData":{"id":1597,"type":"article-journal","abstract":"Oﬂoxacin, sulfamethoxazole and ibuprofen are three commonly used drugs which can be detected in aquatic environments. To assess their ecotoxicity, the eﬀects of these three pharmaceuticals and their mixture on AChE (acetylcholinesterase) activity in the brain, and EROD (7-ethoxyresoruﬁn-O-deethylase) and SOD (superoxide dismutase) activities in the liver of the freshwater crucian carp Carassius auratus were tested after exposure for 1, 2, 4 and 7 days. The results showed that treatments with 0.002–0.01 mg/L oﬂoxacin and 0.0008–0.004 mg/L sulfamethoxazole did not signiﬁcantly change AChE, EROD and SOD activities. AChE activity was signiﬁcantly inhibited in response to treatment with &gt;0.05mg/L oﬂoxacin and &gt;0.02 mg/L sulfamethoxazole. All three biomarkers were induced signiﬁcantly in treatments with ibuprofen and the mixture of the three pharmaceuticals at all the tested concentrations. The combined eﬀects of oﬂoxacin, sulfamethoxazole and ibuprofen were compared with their isolated eﬀects on the three biomarkers, and the results indicated that exposure to ibuprofen and the mixture at environmentally relevant concentrations could trigger adverse impacts on Carassius auratus. The hazard quotient (HQ) index also demonstrated a high risk for ibuprofen. Moreover, the present study showed that the eﬀects of oﬂoxacin, sulfamethoxazole and ibuprofen might be additive on the physiological indices of Carassius auratus.","container-title":"International Journal of Environmental Research and Public Health","DOI":"10.3390/ijerph16091628","ISSN":"1660-4601","issue":"9","journalAbbreviation":"IJERPH","language":"en","page":"1628","source":"DOI.org (Crossref)","title":"Biomarker Effects in Carassius auratus Exposure to Ofloxacin, Sulfamethoxazole and Ibuprofen","volume":"16","author":[{"family":"Yang","given":"Xiaofan"},{"family":"Xu","given":"Xiaoping"},{"family":"Wei","given":"Xueyu"},{"family":"Wan","given":"Jie"},{"family":"Zhang","given":"Yu"}],"issued":{"date-parts":[["2019",5,9]]}}}],"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(X. Yang et al. 2019)</w:t>
            </w:r>
            <w:r w:rsidRPr="001D0ADC">
              <w:rPr>
                <w:color w:val="auto"/>
                <w:lang w:val="en-GB" w:eastAsia="cs-CZ"/>
              </w:rPr>
              <w:fldChar w:fldCharType="end"/>
            </w:r>
          </w:p>
        </w:tc>
      </w:tr>
      <w:tr w:rsidR="001D0ADC" w:rsidRPr="001D0ADC" w14:paraId="0691E06E" w14:textId="77777777" w:rsidTr="00305BA7">
        <w:trPr>
          <w:gridAfter w:val="4"/>
          <w:wAfter w:w="9200" w:type="dxa"/>
          <w:trHeight w:val="15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52BCC245" w14:textId="77777777" w:rsidR="00196808" w:rsidRPr="001D0ADC" w:rsidRDefault="00196808" w:rsidP="00196808">
            <w:pPr>
              <w:pStyle w:val="NoSpacing"/>
              <w:ind w:firstLine="0"/>
              <w:rPr>
                <w:color w:val="auto"/>
                <w:lang w:val="en-GB" w:eastAsia="cs-CZ"/>
              </w:rPr>
            </w:pPr>
          </w:p>
        </w:tc>
        <w:tc>
          <w:tcPr>
            <w:tcW w:w="1702" w:type="dxa"/>
            <w:vMerge/>
            <w:tcBorders>
              <w:left w:val="nil"/>
              <w:bottom w:val="single" w:sz="4" w:space="0" w:color="auto"/>
              <w:right w:val="single" w:sz="4" w:space="0" w:color="auto"/>
            </w:tcBorders>
            <w:shd w:val="clear" w:color="auto" w:fill="auto"/>
            <w:noWrap/>
            <w:vAlign w:val="center"/>
          </w:tcPr>
          <w:p w14:paraId="2E75AA4F" w14:textId="77777777"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731358FC" w14:textId="4CAFD75F" w:rsidR="00196808" w:rsidRPr="001D0ADC" w:rsidRDefault="00196808" w:rsidP="00196808">
            <w:pPr>
              <w:pStyle w:val="NoSpacing"/>
              <w:ind w:firstLine="0"/>
              <w:rPr>
                <w:color w:val="auto"/>
                <w:lang w:val="en-GB" w:eastAsia="cs-CZ"/>
              </w:rPr>
            </w:pPr>
            <w:r w:rsidRPr="001D0ADC">
              <w:rPr>
                <w:color w:val="auto"/>
                <w:lang w:val="en-GB" w:eastAsia="cs-CZ"/>
              </w:rPr>
              <w:t>LOEC for SOD activity</w:t>
            </w:r>
          </w:p>
        </w:tc>
        <w:tc>
          <w:tcPr>
            <w:tcW w:w="2633" w:type="dxa"/>
            <w:vMerge/>
            <w:tcBorders>
              <w:left w:val="nil"/>
              <w:right w:val="single" w:sz="4" w:space="0" w:color="auto"/>
            </w:tcBorders>
          </w:tcPr>
          <w:p w14:paraId="4849B5E8" w14:textId="77777777" w:rsidR="00196808" w:rsidRPr="001D0ADC" w:rsidRDefault="00196808" w:rsidP="00196808">
            <w:pPr>
              <w:pStyle w:val="NoSpacing"/>
              <w:ind w:firstLine="0"/>
              <w:rPr>
                <w:color w:val="auto"/>
                <w:lang w:val="en-GB" w:eastAsia="cs-CZ"/>
              </w:rPr>
            </w:pPr>
          </w:p>
        </w:tc>
        <w:tc>
          <w:tcPr>
            <w:tcW w:w="1967" w:type="dxa"/>
            <w:tcBorders>
              <w:left w:val="single" w:sz="4" w:space="0" w:color="auto"/>
              <w:bottom w:val="single" w:sz="4" w:space="0" w:color="auto"/>
              <w:right w:val="single" w:sz="4" w:space="0" w:color="auto"/>
            </w:tcBorders>
          </w:tcPr>
          <w:p w14:paraId="4ED45095"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2245306" w14:textId="77777777" w:rsidR="00196808" w:rsidRPr="001D0ADC" w:rsidRDefault="00196808" w:rsidP="00196808">
            <w:pPr>
              <w:pStyle w:val="NoSpacing"/>
              <w:ind w:firstLine="0"/>
              <w:rPr>
                <w:color w:val="auto"/>
                <w:lang w:val="en-GB" w:eastAsia="cs-CZ"/>
              </w:rPr>
            </w:pPr>
          </w:p>
        </w:tc>
      </w:tr>
      <w:tr w:rsidR="001D0ADC" w:rsidRPr="001D0ADC" w14:paraId="4C691B07"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DF4DA3C" w14:textId="77777777" w:rsidR="00196808" w:rsidRPr="001D0ADC" w:rsidRDefault="00196808" w:rsidP="00196808">
            <w:pPr>
              <w:pStyle w:val="NoSpacing"/>
              <w:ind w:firstLine="0"/>
              <w:rPr>
                <w:color w:val="auto"/>
                <w:lang w:val="en-GB" w:eastAsia="cs-CZ"/>
              </w:rPr>
            </w:pPr>
          </w:p>
        </w:tc>
        <w:tc>
          <w:tcPr>
            <w:tcW w:w="1702" w:type="dxa"/>
            <w:vMerge w:val="restart"/>
            <w:tcBorders>
              <w:top w:val="single" w:sz="4" w:space="0" w:color="auto"/>
              <w:left w:val="nil"/>
              <w:right w:val="single" w:sz="4" w:space="0" w:color="auto"/>
            </w:tcBorders>
            <w:shd w:val="clear" w:color="auto" w:fill="auto"/>
            <w:noWrap/>
            <w:vAlign w:val="center"/>
          </w:tcPr>
          <w:p w14:paraId="25650332" w14:textId="11A9AAA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02</w:t>
            </w:r>
          </w:p>
        </w:tc>
        <w:tc>
          <w:tcPr>
            <w:tcW w:w="4520" w:type="dxa"/>
            <w:tcBorders>
              <w:top w:val="single" w:sz="4" w:space="0" w:color="auto"/>
              <w:left w:val="nil"/>
              <w:bottom w:val="single" w:sz="4" w:space="0" w:color="auto"/>
              <w:right w:val="single" w:sz="4" w:space="0" w:color="auto"/>
            </w:tcBorders>
            <w:shd w:val="clear" w:color="auto" w:fill="auto"/>
            <w:vAlign w:val="bottom"/>
          </w:tcPr>
          <w:p w14:paraId="2F384F03" w14:textId="754A26D5" w:rsidR="00196808" w:rsidRPr="001D0ADC" w:rsidRDefault="00196808" w:rsidP="00196808">
            <w:pPr>
              <w:pStyle w:val="NoSpacing"/>
              <w:ind w:firstLine="0"/>
              <w:rPr>
                <w:color w:val="auto"/>
                <w:lang w:val="en-GB" w:eastAsia="cs-CZ"/>
              </w:rPr>
            </w:pPr>
            <w:r w:rsidRPr="001D0ADC">
              <w:rPr>
                <w:color w:val="auto"/>
                <w:lang w:val="en-GB" w:eastAsia="cs-CZ"/>
              </w:rPr>
              <w:t>LOEC for AChE activity</w:t>
            </w:r>
          </w:p>
        </w:tc>
        <w:tc>
          <w:tcPr>
            <w:tcW w:w="2633" w:type="dxa"/>
            <w:vMerge/>
            <w:tcBorders>
              <w:left w:val="nil"/>
              <w:right w:val="single" w:sz="4" w:space="0" w:color="auto"/>
            </w:tcBorders>
          </w:tcPr>
          <w:p w14:paraId="1E3BE242" w14:textId="77777777" w:rsidR="00196808" w:rsidRPr="001D0ADC" w:rsidRDefault="00196808" w:rsidP="00196808">
            <w:pPr>
              <w:pStyle w:val="NoSpacing"/>
              <w:ind w:firstLine="0"/>
              <w:rPr>
                <w:color w:val="auto"/>
                <w:lang w:val="en-GB" w:eastAsia="cs-CZ"/>
              </w:rPr>
            </w:pPr>
          </w:p>
        </w:tc>
        <w:tc>
          <w:tcPr>
            <w:tcW w:w="1967" w:type="dxa"/>
            <w:tcBorders>
              <w:left w:val="single" w:sz="4" w:space="0" w:color="auto"/>
              <w:bottom w:val="single" w:sz="4" w:space="0" w:color="auto"/>
              <w:right w:val="single" w:sz="4" w:space="0" w:color="auto"/>
            </w:tcBorders>
          </w:tcPr>
          <w:p w14:paraId="7A63D258" w14:textId="20320BC8" w:rsidR="00196808" w:rsidRPr="001D0ADC" w:rsidRDefault="00196808" w:rsidP="00196808">
            <w:pPr>
              <w:pStyle w:val="NoSpacing"/>
              <w:ind w:firstLine="0"/>
              <w:rPr>
                <w:color w:val="auto"/>
                <w:lang w:val="en-GB" w:eastAsia="cs-CZ"/>
              </w:rPr>
            </w:pPr>
            <w:r w:rsidRPr="001D0ADC">
              <w:rPr>
                <w:color w:val="auto"/>
                <w:lang w:val="en-GB" w:eastAsia="cs-CZ"/>
              </w:rPr>
              <w:t>1d</w:t>
            </w:r>
          </w:p>
        </w:tc>
        <w:tc>
          <w:tcPr>
            <w:tcW w:w="2300" w:type="dxa"/>
            <w:vMerge/>
            <w:tcBorders>
              <w:left w:val="single" w:sz="4" w:space="0" w:color="auto"/>
              <w:right w:val="single" w:sz="4" w:space="0" w:color="auto"/>
            </w:tcBorders>
            <w:shd w:val="clear" w:color="auto" w:fill="auto"/>
            <w:vAlign w:val="bottom"/>
          </w:tcPr>
          <w:p w14:paraId="62896809" w14:textId="77777777" w:rsidR="00196808" w:rsidRPr="001D0ADC" w:rsidRDefault="00196808" w:rsidP="00196808">
            <w:pPr>
              <w:pStyle w:val="NoSpacing"/>
              <w:ind w:firstLine="0"/>
              <w:rPr>
                <w:color w:val="auto"/>
                <w:lang w:val="en-GB" w:eastAsia="cs-CZ"/>
              </w:rPr>
            </w:pPr>
          </w:p>
        </w:tc>
      </w:tr>
      <w:tr w:rsidR="001D0ADC" w:rsidRPr="001D0ADC" w14:paraId="7E3FF497"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7CC1034F" w14:textId="77777777" w:rsidR="00196808" w:rsidRPr="001D0ADC" w:rsidRDefault="00196808" w:rsidP="00196808">
            <w:pPr>
              <w:pStyle w:val="NoSpacing"/>
              <w:ind w:firstLine="0"/>
              <w:rPr>
                <w:color w:val="auto"/>
                <w:lang w:val="en-GB" w:eastAsia="cs-CZ"/>
              </w:rPr>
            </w:pPr>
          </w:p>
        </w:tc>
        <w:tc>
          <w:tcPr>
            <w:tcW w:w="1702" w:type="dxa"/>
            <w:vMerge/>
            <w:tcBorders>
              <w:left w:val="nil"/>
              <w:bottom w:val="single" w:sz="4" w:space="0" w:color="auto"/>
              <w:right w:val="single" w:sz="4" w:space="0" w:color="auto"/>
            </w:tcBorders>
            <w:shd w:val="clear" w:color="auto" w:fill="auto"/>
            <w:noWrap/>
            <w:vAlign w:val="center"/>
          </w:tcPr>
          <w:p w14:paraId="13A8F9D1" w14:textId="016221C9" w:rsidR="00196808" w:rsidRPr="001D0ADC" w:rsidRDefault="00196808" w:rsidP="00196808">
            <w:pPr>
              <w:pStyle w:val="NoSpacing"/>
              <w:ind w:firstLine="0"/>
              <w:rPr>
                <w:color w:val="auto"/>
                <w:lang w:val="en-GB" w:eastAsia="cs-CZ"/>
              </w:rPr>
            </w:pPr>
          </w:p>
        </w:tc>
        <w:tc>
          <w:tcPr>
            <w:tcW w:w="4520" w:type="dxa"/>
            <w:tcBorders>
              <w:top w:val="single" w:sz="4" w:space="0" w:color="auto"/>
              <w:left w:val="nil"/>
              <w:bottom w:val="single" w:sz="4" w:space="0" w:color="auto"/>
              <w:right w:val="single" w:sz="4" w:space="0" w:color="auto"/>
            </w:tcBorders>
            <w:shd w:val="clear" w:color="auto" w:fill="auto"/>
            <w:vAlign w:val="bottom"/>
          </w:tcPr>
          <w:p w14:paraId="5484942D" w14:textId="26EF00C9" w:rsidR="00196808" w:rsidRPr="001D0ADC" w:rsidRDefault="00196808" w:rsidP="00196808">
            <w:pPr>
              <w:pStyle w:val="NoSpacing"/>
              <w:ind w:firstLine="0"/>
              <w:rPr>
                <w:color w:val="auto"/>
                <w:lang w:val="en-GB" w:eastAsia="cs-CZ"/>
              </w:rPr>
            </w:pPr>
            <w:r w:rsidRPr="001D0ADC">
              <w:rPr>
                <w:color w:val="auto"/>
                <w:lang w:val="en-GB" w:eastAsia="cs-CZ"/>
              </w:rPr>
              <w:t>LOEC for EROD activity</w:t>
            </w:r>
          </w:p>
        </w:tc>
        <w:tc>
          <w:tcPr>
            <w:tcW w:w="2633" w:type="dxa"/>
            <w:vMerge/>
            <w:tcBorders>
              <w:left w:val="nil"/>
              <w:right w:val="single" w:sz="4" w:space="0" w:color="auto"/>
            </w:tcBorders>
          </w:tcPr>
          <w:p w14:paraId="7D356699" w14:textId="77777777" w:rsidR="00196808" w:rsidRPr="001D0ADC" w:rsidRDefault="00196808" w:rsidP="00196808">
            <w:pPr>
              <w:pStyle w:val="NoSpacing"/>
              <w:ind w:firstLine="0"/>
              <w:rPr>
                <w:color w:val="auto"/>
                <w:lang w:val="en-GB" w:eastAsia="cs-CZ"/>
              </w:rPr>
            </w:pPr>
          </w:p>
        </w:tc>
        <w:tc>
          <w:tcPr>
            <w:tcW w:w="1967" w:type="dxa"/>
            <w:tcBorders>
              <w:left w:val="single" w:sz="4" w:space="0" w:color="auto"/>
              <w:bottom w:val="single" w:sz="4" w:space="0" w:color="auto"/>
              <w:right w:val="single" w:sz="4" w:space="0" w:color="auto"/>
            </w:tcBorders>
          </w:tcPr>
          <w:p w14:paraId="04ADFD23" w14:textId="152383C4" w:rsidR="00196808" w:rsidRPr="001D0ADC" w:rsidRDefault="00196808" w:rsidP="00196808">
            <w:pPr>
              <w:pStyle w:val="NoSpacing"/>
              <w:ind w:firstLine="0"/>
              <w:rPr>
                <w:color w:val="auto"/>
                <w:lang w:val="en-GB" w:eastAsia="cs-CZ"/>
              </w:rPr>
            </w:pPr>
            <w:r w:rsidRPr="001D0ADC">
              <w:rPr>
                <w:color w:val="auto"/>
                <w:lang w:val="en-GB" w:eastAsia="cs-CZ"/>
              </w:rPr>
              <w:t>2d</w:t>
            </w:r>
          </w:p>
        </w:tc>
        <w:tc>
          <w:tcPr>
            <w:tcW w:w="2300" w:type="dxa"/>
            <w:vMerge/>
            <w:tcBorders>
              <w:left w:val="single" w:sz="4" w:space="0" w:color="auto"/>
              <w:right w:val="single" w:sz="4" w:space="0" w:color="auto"/>
            </w:tcBorders>
            <w:shd w:val="clear" w:color="auto" w:fill="auto"/>
            <w:vAlign w:val="bottom"/>
          </w:tcPr>
          <w:p w14:paraId="21D4DD71" w14:textId="77777777" w:rsidR="00196808" w:rsidRPr="001D0ADC" w:rsidRDefault="00196808" w:rsidP="00196808">
            <w:pPr>
              <w:pStyle w:val="NoSpacing"/>
              <w:ind w:firstLine="0"/>
              <w:rPr>
                <w:color w:val="auto"/>
                <w:lang w:val="en-GB" w:eastAsia="cs-CZ"/>
              </w:rPr>
            </w:pPr>
          </w:p>
        </w:tc>
      </w:tr>
      <w:tr w:rsidR="001D0ADC" w:rsidRPr="001D0ADC" w14:paraId="56252DAA" w14:textId="77777777" w:rsidTr="00305BA7">
        <w:trPr>
          <w:gridAfter w:val="4"/>
          <w:wAfter w:w="9200" w:type="dxa"/>
          <w:trHeight w:val="15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1ACCFE74"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right w:val="single" w:sz="4" w:space="0" w:color="auto"/>
            </w:tcBorders>
            <w:shd w:val="clear" w:color="auto" w:fill="auto"/>
            <w:noWrap/>
            <w:vAlign w:val="center"/>
          </w:tcPr>
          <w:p w14:paraId="454A6CED" w14:textId="7E39DAEB"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3419032" w14:textId="3BF6EFDE" w:rsidR="00196808" w:rsidRPr="001D0ADC" w:rsidRDefault="00196808" w:rsidP="00196808">
            <w:pPr>
              <w:pStyle w:val="NoSpacing"/>
              <w:ind w:firstLine="0"/>
              <w:rPr>
                <w:color w:val="auto"/>
                <w:lang w:val="en-GB" w:eastAsia="cs-CZ"/>
              </w:rPr>
            </w:pPr>
            <w:r w:rsidRPr="001D0ADC">
              <w:rPr>
                <w:color w:val="auto"/>
                <w:lang w:val="en-GB" w:eastAsia="cs-CZ"/>
              </w:rPr>
              <w:t>LOEC for EROD activity</w:t>
            </w:r>
          </w:p>
        </w:tc>
        <w:tc>
          <w:tcPr>
            <w:tcW w:w="2633" w:type="dxa"/>
            <w:vMerge/>
            <w:tcBorders>
              <w:left w:val="nil"/>
              <w:right w:val="single" w:sz="4" w:space="0" w:color="auto"/>
            </w:tcBorders>
          </w:tcPr>
          <w:p w14:paraId="1545AEAD" w14:textId="77777777" w:rsidR="00196808" w:rsidRPr="001D0ADC" w:rsidRDefault="00196808" w:rsidP="00196808">
            <w:pPr>
              <w:pStyle w:val="NoSpacing"/>
              <w:ind w:firstLine="0"/>
              <w:rPr>
                <w:color w:val="auto"/>
                <w:lang w:val="en-GB" w:eastAsia="cs-CZ"/>
              </w:rPr>
            </w:pPr>
          </w:p>
        </w:tc>
        <w:tc>
          <w:tcPr>
            <w:tcW w:w="1967" w:type="dxa"/>
            <w:tcBorders>
              <w:top w:val="single" w:sz="4" w:space="0" w:color="auto"/>
              <w:left w:val="single" w:sz="4" w:space="0" w:color="auto"/>
              <w:bottom w:val="single" w:sz="4" w:space="0" w:color="auto"/>
              <w:right w:val="single" w:sz="4" w:space="0" w:color="auto"/>
            </w:tcBorders>
          </w:tcPr>
          <w:p w14:paraId="2D4AD487" w14:textId="41F935AE" w:rsidR="00196808" w:rsidRPr="001D0ADC" w:rsidRDefault="00196808" w:rsidP="00196808">
            <w:pPr>
              <w:pStyle w:val="NoSpacing"/>
              <w:ind w:firstLine="0"/>
              <w:rPr>
                <w:color w:val="auto"/>
                <w:lang w:val="en-GB" w:eastAsia="cs-CZ"/>
              </w:rPr>
            </w:pPr>
            <w:r w:rsidRPr="001D0ADC">
              <w:rPr>
                <w:color w:val="auto"/>
                <w:lang w:val="en-GB" w:eastAsia="cs-CZ"/>
              </w:rPr>
              <w:t>1d</w:t>
            </w:r>
          </w:p>
        </w:tc>
        <w:tc>
          <w:tcPr>
            <w:tcW w:w="2300" w:type="dxa"/>
            <w:vMerge/>
            <w:tcBorders>
              <w:left w:val="single" w:sz="4" w:space="0" w:color="auto"/>
              <w:right w:val="single" w:sz="4" w:space="0" w:color="auto"/>
            </w:tcBorders>
            <w:shd w:val="clear" w:color="auto" w:fill="auto"/>
            <w:vAlign w:val="bottom"/>
          </w:tcPr>
          <w:p w14:paraId="2AC802EE" w14:textId="77777777" w:rsidR="00196808" w:rsidRPr="001D0ADC" w:rsidRDefault="00196808" w:rsidP="00196808">
            <w:pPr>
              <w:pStyle w:val="NoSpacing"/>
              <w:ind w:firstLine="0"/>
              <w:rPr>
                <w:color w:val="auto"/>
                <w:lang w:val="en-GB" w:eastAsia="cs-CZ"/>
              </w:rPr>
            </w:pPr>
          </w:p>
        </w:tc>
      </w:tr>
      <w:tr w:rsidR="001D0ADC" w:rsidRPr="001D0ADC" w14:paraId="15E8573B"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53C0EF2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BA3FDA5" w14:textId="186BDDF7"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0008</w:t>
            </w:r>
          </w:p>
        </w:tc>
        <w:tc>
          <w:tcPr>
            <w:tcW w:w="4520" w:type="dxa"/>
            <w:tcBorders>
              <w:top w:val="single" w:sz="4" w:space="0" w:color="auto"/>
              <w:left w:val="nil"/>
              <w:bottom w:val="single" w:sz="4" w:space="0" w:color="auto"/>
              <w:right w:val="single" w:sz="4" w:space="0" w:color="auto"/>
            </w:tcBorders>
            <w:shd w:val="clear" w:color="auto" w:fill="auto"/>
            <w:vAlign w:val="bottom"/>
          </w:tcPr>
          <w:p w14:paraId="4D465F2F" w14:textId="13ABEA13" w:rsidR="00196808" w:rsidRPr="001D0ADC" w:rsidRDefault="00196808" w:rsidP="00196808">
            <w:pPr>
              <w:pStyle w:val="NoSpacing"/>
              <w:ind w:firstLine="0"/>
              <w:rPr>
                <w:color w:val="auto"/>
                <w:lang w:val="en-GB" w:eastAsia="cs-CZ"/>
              </w:rPr>
            </w:pPr>
            <w:r w:rsidRPr="001D0ADC">
              <w:rPr>
                <w:color w:val="auto"/>
                <w:lang w:val="en-GB" w:eastAsia="cs-CZ"/>
              </w:rPr>
              <w:t>LOEC for SOD activity</w:t>
            </w:r>
          </w:p>
        </w:tc>
        <w:tc>
          <w:tcPr>
            <w:tcW w:w="2633" w:type="dxa"/>
            <w:tcBorders>
              <w:left w:val="nil"/>
              <w:bottom w:val="single" w:sz="4" w:space="0" w:color="auto"/>
              <w:right w:val="single" w:sz="4" w:space="0" w:color="auto"/>
            </w:tcBorders>
          </w:tcPr>
          <w:p w14:paraId="1FBE696A" w14:textId="77777777" w:rsidR="00196808" w:rsidRPr="001D0ADC" w:rsidRDefault="00196808" w:rsidP="00196808">
            <w:pPr>
              <w:pStyle w:val="NoSpacing"/>
              <w:ind w:firstLine="0"/>
              <w:rPr>
                <w:color w:val="auto"/>
                <w:lang w:val="en-GB" w:eastAsia="cs-CZ"/>
              </w:rPr>
            </w:pPr>
          </w:p>
        </w:tc>
        <w:tc>
          <w:tcPr>
            <w:tcW w:w="1967" w:type="dxa"/>
            <w:tcBorders>
              <w:left w:val="single" w:sz="4" w:space="0" w:color="auto"/>
              <w:bottom w:val="single" w:sz="4" w:space="0" w:color="auto"/>
              <w:right w:val="single" w:sz="4" w:space="0" w:color="auto"/>
            </w:tcBorders>
          </w:tcPr>
          <w:p w14:paraId="66DECB17" w14:textId="1ADC2418" w:rsidR="00196808" w:rsidRPr="001D0ADC" w:rsidRDefault="00196808" w:rsidP="00196808">
            <w:pPr>
              <w:pStyle w:val="NoSpacing"/>
              <w:ind w:firstLine="0"/>
              <w:rPr>
                <w:color w:val="auto"/>
                <w:lang w:val="en-GB" w:eastAsia="cs-CZ"/>
              </w:rPr>
            </w:pPr>
            <w:r w:rsidRPr="001D0ADC">
              <w:rPr>
                <w:color w:val="auto"/>
                <w:lang w:val="en-GB" w:eastAsia="cs-CZ"/>
              </w:rPr>
              <w:t>4d</w:t>
            </w:r>
          </w:p>
        </w:tc>
        <w:tc>
          <w:tcPr>
            <w:tcW w:w="2300" w:type="dxa"/>
            <w:vMerge/>
            <w:tcBorders>
              <w:left w:val="single" w:sz="4" w:space="0" w:color="auto"/>
              <w:bottom w:val="single" w:sz="4" w:space="0" w:color="auto"/>
              <w:right w:val="single" w:sz="4" w:space="0" w:color="auto"/>
            </w:tcBorders>
            <w:shd w:val="clear" w:color="auto" w:fill="auto"/>
            <w:vAlign w:val="bottom"/>
          </w:tcPr>
          <w:p w14:paraId="0C222B6B" w14:textId="77777777" w:rsidR="00196808" w:rsidRPr="001D0ADC" w:rsidRDefault="00196808" w:rsidP="00196808">
            <w:pPr>
              <w:pStyle w:val="NoSpacing"/>
              <w:ind w:firstLine="0"/>
              <w:rPr>
                <w:color w:val="auto"/>
                <w:lang w:val="en-GB" w:eastAsia="cs-CZ"/>
              </w:rPr>
            </w:pPr>
          </w:p>
        </w:tc>
      </w:tr>
      <w:tr w:rsidR="001D0ADC" w:rsidRPr="001D0ADC" w14:paraId="4B8C1C11"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52DA613A"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1ED0CE6E" w14:textId="2A984AB7" w:rsidR="00196808" w:rsidRPr="001D0ADC" w:rsidRDefault="00196808" w:rsidP="00196808">
            <w:pPr>
              <w:pStyle w:val="NoSpacing"/>
              <w:ind w:firstLine="0"/>
              <w:rPr>
                <w:b/>
                <w:bCs/>
                <w:color w:val="auto"/>
                <w:lang w:val="en-GB" w:eastAsia="cs-CZ"/>
              </w:rPr>
            </w:pPr>
            <w:r w:rsidRPr="001D0ADC">
              <w:rPr>
                <w:b/>
                <w:bCs/>
                <w:color w:val="auto"/>
                <w:lang w:val="en-GB" w:eastAsia="cs-CZ"/>
              </w:rPr>
              <w:t>FET or comparable early life-stage test with ZF</w:t>
            </w:r>
            <w:r w:rsidR="000F6A8E" w:rsidRPr="001D0ADC">
              <w:rPr>
                <w:b/>
                <w:bCs/>
                <w:color w:val="auto"/>
                <w:lang w:val="en-GB" w:eastAsia="cs-CZ"/>
              </w:rPr>
              <w:t xml:space="preserve"> (mg/l)</w:t>
            </w:r>
          </w:p>
        </w:tc>
      </w:tr>
      <w:tr w:rsidR="001D0ADC" w:rsidRPr="001D0ADC" w14:paraId="76982E5E"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591D844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C696CCA" w14:textId="12947B7C"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37F7406" w14:textId="77777777" w:rsidR="00196808" w:rsidRPr="001D0ADC" w:rsidRDefault="00196808" w:rsidP="00196808">
            <w:pPr>
              <w:pStyle w:val="NoSpacing"/>
              <w:ind w:firstLine="0"/>
              <w:rPr>
                <w:color w:val="auto"/>
                <w:lang w:val="en-GB" w:eastAsia="cs-CZ"/>
              </w:rPr>
            </w:pPr>
            <w:r w:rsidRPr="001D0ADC">
              <w:rPr>
                <w:color w:val="auto"/>
                <w:lang w:val="en-GB" w:eastAsia="cs-CZ"/>
              </w:rPr>
              <w:t>LOEC for spontaneous swimming activity</w:t>
            </w:r>
          </w:p>
        </w:tc>
        <w:tc>
          <w:tcPr>
            <w:tcW w:w="2633" w:type="dxa"/>
            <w:vMerge w:val="restart"/>
            <w:tcBorders>
              <w:top w:val="single" w:sz="4" w:space="0" w:color="auto"/>
              <w:left w:val="nil"/>
              <w:right w:val="single" w:sz="4" w:space="0" w:color="auto"/>
            </w:tcBorders>
          </w:tcPr>
          <w:p w14:paraId="5B92E092" w14:textId="77777777" w:rsidR="00196808" w:rsidRPr="001D0ADC" w:rsidRDefault="00196808" w:rsidP="00196808">
            <w:pPr>
              <w:pStyle w:val="NoSpacing"/>
              <w:ind w:firstLine="0"/>
              <w:rPr>
                <w:color w:val="auto"/>
                <w:lang w:val="en-GB" w:eastAsia="cs-CZ"/>
              </w:rPr>
            </w:pPr>
            <w:r w:rsidRPr="001D0ADC">
              <w:rPr>
                <w:color w:val="auto"/>
                <w:lang w:val="en-GB" w:eastAsia="cs-CZ"/>
              </w:rPr>
              <w:t>ELS (ZF) from 7dph</w:t>
            </w:r>
          </w:p>
        </w:tc>
        <w:tc>
          <w:tcPr>
            <w:tcW w:w="1967" w:type="dxa"/>
            <w:vMerge w:val="restart"/>
            <w:tcBorders>
              <w:top w:val="single" w:sz="4" w:space="0" w:color="auto"/>
              <w:left w:val="single" w:sz="4" w:space="0" w:color="auto"/>
              <w:right w:val="single" w:sz="4" w:space="0" w:color="auto"/>
            </w:tcBorders>
          </w:tcPr>
          <w:p w14:paraId="2CBE2B70" w14:textId="77777777" w:rsidR="00196808" w:rsidRPr="001D0ADC" w:rsidRDefault="00196808" w:rsidP="00196808">
            <w:pPr>
              <w:pStyle w:val="NoSpacing"/>
              <w:ind w:firstLine="0"/>
              <w:rPr>
                <w:color w:val="auto"/>
                <w:lang w:val="en-GB" w:eastAsia="cs-CZ"/>
              </w:rPr>
            </w:pPr>
            <w:r w:rsidRPr="001D0ADC">
              <w:rPr>
                <w:color w:val="auto"/>
                <w:lang w:val="en-GB" w:eastAsia="cs-CZ"/>
              </w:rPr>
              <w:t>7d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6953ED5"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{"citationID":"vyblbokH","properties":{"formattedCitation":"(Lin et al. 2014)","plainCitation":"(Lin et al. 2014)","noteIndex":0},"citationItems":[{"id":1172,"uris":["http://zotero.org/users/11614927/items/H4UK66RL"],"itemData":{"id":1172,"type":"article-journal","container-title":"Environmental Toxicology and Pharmacology","DOI":"10.1016/j.etap.2014.07.020","ISSN":"13826689","issue":"2","journalAbbreviation":"Environmental Toxicology and Pharmacology","language":"en","page":"444-452","source":"DOI.org (Crossref)","title":"Integrated biomarker responses in zebrafish exposed to sulfonamides","volume":"38","author":[{"family":"Lin","given":"Tao"},{"family":"Yu","given":"Shilin"},{"family":"Chen","given":"Yanqiu"},{"family":"Chen","given":"Wei"}],"issued":{"date-parts":[["2014",9]]}}}],"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(Lin et al. 2014)</w:t>
            </w:r>
            <w:r w:rsidRPr="001D0ADC">
              <w:rPr>
                <w:color w:val="auto"/>
                <w:lang w:val="en-GB" w:eastAsia="cs-CZ"/>
              </w:rPr>
              <w:fldChar w:fldCharType="end"/>
            </w:r>
          </w:p>
        </w:tc>
      </w:tr>
      <w:tr w:rsidR="001D0ADC" w:rsidRPr="001D0ADC" w14:paraId="0D7D9455"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4737C6CE"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1D2B403" w14:textId="15DF125A"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4B50B580" w14:textId="77777777" w:rsidR="00196808" w:rsidRPr="001D0ADC" w:rsidRDefault="00196808" w:rsidP="00196808">
            <w:pPr>
              <w:pStyle w:val="NoSpacing"/>
              <w:ind w:firstLine="0"/>
              <w:rPr>
                <w:color w:val="auto"/>
                <w:lang w:val="en-GB" w:eastAsia="cs-CZ"/>
              </w:rPr>
            </w:pPr>
            <w:r w:rsidRPr="001D0ADC">
              <w:rPr>
                <w:color w:val="auto"/>
                <w:lang w:val="en-GB" w:eastAsia="cs-CZ"/>
              </w:rPr>
              <w:t>LOEC for heartbeat increase</w:t>
            </w:r>
          </w:p>
        </w:tc>
        <w:tc>
          <w:tcPr>
            <w:tcW w:w="2633" w:type="dxa"/>
            <w:vMerge/>
            <w:tcBorders>
              <w:left w:val="nil"/>
              <w:bottom w:val="single" w:sz="4" w:space="0" w:color="auto"/>
              <w:right w:val="single" w:sz="4" w:space="0" w:color="auto"/>
            </w:tcBorders>
          </w:tcPr>
          <w:p w14:paraId="724FC43E"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9286911"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1E53BCC5" w14:textId="77777777" w:rsidR="00196808" w:rsidRPr="001D0ADC" w:rsidRDefault="00196808" w:rsidP="00196808">
            <w:pPr>
              <w:pStyle w:val="NoSpacing"/>
              <w:ind w:firstLine="0"/>
              <w:rPr>
                <w:color w:val="auto"/>
                <w:lang w:val="en-GB" w:eastAsia="cs-CZ"/>
              </w:rPr>
            </w:pPr>
          </w:p>
        </w:tc>
      </w:tr>
      <w:tr w:rsidR="001D0ADC" w:rsidRPr="001D0ADC" w14:paraId="388EB2AA"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5B02E4A"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2EC8334" w14:textId="7B165E9E" w:rsidR="00196808" w:rsidRPr="001D0ADC" w:rsidRDefault="00196808" w:rsidP="00196808">
            <w:pPr>
              <w:pStyle w:val="NoSpacing"/>
              <w:ind w:firstLine="0"/>
              <w:rPr>
                <w:color w:val="auto"/>
                <w:lang w:val="en-GB" w:eastAsia="cs-CZ"/>
              </w:rPr>
            </w:pPr>
            <w:r w:rsidRPr="001D0ADC">
              <w:rPr>
                <w:color w:val="auto"/>
                <w:lang w:val="en-GB" w:eastAsia="cs-CZ"/>
              </w:rPr>
              <w:t>400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7672562D" w14:textId="6A2DF100" w:rsidR="00196808" w:rsidRPr="001D0ADC" w:rsidRDefault="00196808" w:rsidP="00196808">
            <w:pPr>
              <w:pStyle w:val="NoSpacing"/>
              <w:ind w:firstLine="0"/>
              <w:rPr>
                <w:color w:val="auto"/>
                <w:lang w:val="en-GB" w:eastAsia="cs-CZ"/>
              </w:rPr>
            </w:pPr>
            <w:r w:rsidRPr="001D0ADC">
              <w:rPr>
                <w:color w:val="auto"/>
                <w:lang w:val="en-GB" w:eastAsia="cs-CZ"/>
              </w:rPr>
              <w:t>NOEC for mortality, LOEC for heart rate, sublethal malformations, CAT gene expression</w:t>
            </w:r>
          </w:p>
        </w:tc>
        <w:tc>
          <w:tcPr>
            <w:tcW w:w="2633" w:type="dxa"/>
            <w:vMerge w:val="restart"/>
            <w:tcBorders>
              <w:top w:val="single" w:sz="4" w:space="0" w:color="auto"/>
              <w:left w:val="nil"/>
              <w:right w:val="single" w:sz="4" w:space="0" w:color="auto"/>
            </w:tcBorders>
          </w:tcPr>
          <w:p w14:paraId="1B60F8F5" w14:textId="1AEA1735" w:rsidR="00196808" w:rsidRPr="001D0ADC" w:rsidRDefault="00196808" w:rsidP="00196808">
            <w:pPr>
              <w:pStyle w:val="NoSpacing"/>
              <w:ind w:firstLine="0"/>
              <w:rPr>
                <w:color w:val="auto"/>
                <w:lang w:val="en-GB" w:eastAsia="cs-CZ"/>
              </w:rPr>
            </w:pPr>
            <w:r w:rsidRPr="001D0ADC">
              <w:rPr>
                <w:color w:val="auto"/>
                <w:lang w:val="en-GB" w:eastAsia="cs-CZ"/>
              </w:rPr>
              <w:t>ELS (ZF) from 24hpf (OECD 236)</w:t>
            </w:r>
          </w:p>
        </w:tc>
        <w:tc>
          <w:tcPr>
            <w:tcW w:w="1967" w:type="dxa"/>
            <w:vMerge w:val="restart"/>
            <w:tcBorders>
              <w:top w:val="single" w:sz="4" w:space="0" w:color="auto"/>
              <w:left w:val="single" w:sz="4" w:space="0" w:color="auto"/>
              <w:right w:val="single" w:sz="4" w:space="0" w:color="auto"/>
            </w:tcBorders>
          </w:tcPr>
          <w:p w14:paraId="723B852D" w14:textId="3B8673CE"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070F5B2" w14:textId="1D7750F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{"citationID":"a2o0621t7l2","properties":{"formattedCitation":"(Adeolu et al. 2020)","plainCitation":"(Adeolu et al. 2020)","noteIndex":0},"citationItems":[{"id":1835,"uris":["http://zotero.org/users/11614927/items/HNA287GU"],"itemData":{"id":1835,"type":"article-journal","language":"en","source":"Zotero","title":"Developmental Anomalies and Oxidative Stress Responses in Zebrafish (Danio Rerio) Following Embryonic Exposure to Human Pharmaceuticals","author":[{"family":"Adeolu","given":"Aderemi O"},{"family":"Colin","given":"Hunter"},{"family":"Ole","given":"Pahl"},{"family":"Joanne","given":"Roberts"},{"family":"Xinhua","given":"Shu"}],"issued":{"date-parts":[["2020"]]}}}],"schema":"https://github.com/citation-style-language/schema/raw/master/csl-citation.json"}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(Adeolu et al. 2020)</w:t>
            </w:r>
            <w:r w:rsidRPr="001D0ADC">
              <w:rPr>
                <w:color w:val="auto"/>
                <w:lang w:val="en-GB" w:eastAsia="cs-CZ"/>
              </w:rPr>
              <w:fldChar w:fldCharType="end"/>
            </w:r>
          </w:p>
        </w:tc>
      </w:tr>
      <w:tr w:rsidR="001D0ADC" w:rsidRPr="001D0ADC" w14:paraId="1063C8D8"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4F6CB781"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8C8B8C4" w14:textId="1D0AEFA1" w:rsidR="00196808" w:rsidRPr="001D0ADC" w:rsidRDefault="00196808" w:rsidP="00196808">
            <w:pPr>
              <w:pStyle w:val="NoSpacing"/>
              <w:ind w:firstLine="0"/>
              <w:rPr>
                <w:color w:val="auto"/>
                <w:lang w:val="en-GB" w:eastAsia="cs-CZ"/>
              </w:rPr>
            </w:pPr>
            <w:r w:rsidRPr="001D0ADC">
              <w:rPr>
                <w:color w:val="auto"/>
                <w:lang w:val="en-GB" w:eastAsia="cs-CZ"/>
              </w:rPr>
              <w:t>99</w:t>
            </w:r>
          </w:p>
        </w:tc>
        <w:tc>
          <w:tcPr>
            <w:tcW w:w="4520" w:type="dxa"/>
            <w:tcBorders>
              <w:top w:val="single" w:sz="4" w:space="0" w:color="auto"/>
              <w:left w:val="nil"/>
              <w:bottom w:val="single" w:sz="4" w:space="0" w:color="auto"/>
              <w:right w:val="single" w:sz="4" w:space="0" w:color="auto"/>
            </w:tcBorders>
            <w:shd w:val="clear" w:color="auto" w:fill="auto"/>
            <w:vAlign w:val="bottom"/>
          </w:tcPr>
          <w:p w14:paraId="6764F611" w14:textId="46B2D3AD" w:rsidR="00196808" w:rsidRPr="001D0ADC" w:rsidRDefault="00196808" w:rsidP="00196808">
            <w:pPr>
              <w:pStyle w:val="NoSpacing"/>
              <w:ind w:firstLine="0"/>
              <w:rPr>
                <w:color w:val="auto"/>
                <w:lang w:val="en-GB" w:eastAsia="cs-CZ"/>
              </w:rPr>
            </w:pPr>
            <w:r w:rsidRPr="001D0ADC">
              <w:rPr>
                <w:color w:val="auto"/>
                <w:lang w:val="en-GB" w:eastAsia="cs-CZ"/>
              </w:rPr>
              <w:t>LOEC for hatching success increase</w:t>
            </w:r>
          </w:p>
        </w:tc>
        <w:tc>
          <w:tcPr>
            <w:tcW w:w="2633" w:type="dxa"/>
            <w:vMerge/>
            <w:tcBorders>
              <w:left w:val="nil"/>
              <w:bottom w:val="single" w:sz="4" w:space="0" w:color="auto"/>
              <w:right w:val="single" w:sz="4" w:space="0" w:color="auto"/>
            </w:tcBorders>
          </w:tcPr>
          <w:p w14:paraId="2740D33A"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7CF424DE"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D375FD2" w14:textId="77777777" w:rsidR="00196808" w:rsidRPr="001D0ADC" w:rsidRDefault="00196808" w:rsidP="00196808">
            <w:pPr>
              <w:pStyle w:val="NoSpacing"/>
              <w:ind w:firstLine="0"/>
              <w:rPr>
                <w:color w:val="auto"/>
                <w:lang w:val="en-GB" w:eastAsia="cs-CZ"/>
              </w:rPr>
            </w:pPr>
          </w:p>
        </w:tc>
      </w:tr>
      <w:tr w:rsidR="001D0ADC" w:rsidRPr="001D0ADC" w14:paraId="2E10F42D"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445B10B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49D6F55" w14:textId="242E18B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56C4FFD2" w14:textId="3C0979C2" w:rsidR="00196808" w:rsidRPr="001D0ADC" w:rsidRDefault="00196808" w:rsidP="00196808">
            <w:pPr>
              <w:pStyle w:val="NoSpacing"/>
              <w:ind w:firstLine="0"/>
              <w:rPr>
                <w:color w:val="auto"/>
                <w:lang w:val="en-GB" w:eastAsia="cs-CZ"/>
              </w:rPr>
            </w:pPr>
            <w:r w:rsidRPr="001D0ADC">
              <w:rPr>
                <w:color w:val="auto"/>
                <w:lang w:val="en-GB" w:eastAsia="cs-CZ"/>
              </w:rPr>
              <w:t>NOEC for mortality, LOEC for length decrease, CAT, total antiox., and NOC activities, lysozyme mRNA and lysozyme content</w:t>
            </w:r>
          </w:p>
        </w:tc>
        <w:tc>
          <w:tcPr>
            <w:tcW w:w="2633" w:type="dxa"/>
            <w:vMerge w:val="restart"/>
            <w:tcBorders>
              <w:top w:val="single" w:sz="4" w:space="0" w:color="auto"/>
              <w:left w:val="nil"/>
              <w:right w:val="single" w:sz="4" w:space="0" w:color="auto"/>
            </w:tcBorders>
          </w:tcPr>
          <w:p w14:paraId="5E970383" w14:textId="59C8B073"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626EABD4" w14:textId="3809276C" w:rsidR="00196808" w:rsidRPr="001D0ADC" w:rsidRDefault="00196808" w:rsidP="00196808">
            <w:pPr>
              <w:pStyle w:val="NoSpacing"/>
              <w:ind w:firstLine="0"/>
              <w:rPr>
                <w:color w:val="auto"/>
                <w:lang w:val="en-GB" w:eastAsia="cs-CZ"/>
              </w:rPr>
            </w:pPr>
            <w:r w:rsidRPr="001D0ADC">
              <w:rPr>
                <w:color w:val="auto"/>
                <w:lang w:val="en-GB" w:eastAsia="cs-CZ"/>
              </w:rPr>
              <w:t>120h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4AC2CBCA" w14:textId="0AB2FEDD"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{"citationID":"ag81deg8v1","properties":{"formattedCitation":"(Liu et al. 2020)","plainCitation":"(Liu et al. 2020)","noteIndex":0},"citationItems":[{"id":1694,"uris":["http://zotero.org/users/11614927/items/UTJTZM5B"],"itemData":{"id":1694,"type":"article-journal","container-title":"Science of The Total Environment","DOI":"10.1016/j.scitotenv.2019.134724","ISSN":"00489697","journalAbbreviation":"Science of The Total Environment","language":"en","page":"134724","source":"DOI.org (Crossref)","title":"Early exposure to environmental levels of sulfamethoxazole triggers immune and inflammatory response of healthy zebrafish larvae","volume":"703","author":[{"family":"Liu","given":"Jingyu"},{"family":"Wei","given":"Tianzi"},{"family":"Wu","given":"Xin"},{"family":"Zhong","given":"Hanbin"},{"family":"Qiu","given":"Wenhui"},{"family":"Zheng","given":"Yan"}],"issued":{"date-parts":[["2020",2]]}}}],"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(Liu et al. 2020)</w:t>
            </w:r>
            <w:r w:rsidRPr="001D0ADC">
              <w:rPr>
                <w:color w:val="auto"/>
                <w:lang w:val="en-GB" w:eastAsia="cs-CZ"/>
              </w:rPr>
              <w:fldChar w:fldCharType="end"/>
            </w:r>
          </w:p>
        </w:tc>
      </w:tr>
      <w:tr w:rsidR="001D0ADC" w:rsidRPr="001D0ADC" w14:paraId="210F499A"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7C56E98C"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D4AA10A" w14:textId="6D6ED53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0001</w:t>
            </w:r>
          </w:p>
        </w:tc>
        <w:tc>
          <w:tcPr>
            <w:tcW w:w="4520" w:type="dxa"/>
            <w:tcBorders>
              <w:top w:val="single" w:sz="4" w:space="0" w:color="auto"/>
              <w:left w:val="nil"/>
              <w:bottom w:val="single" w:sz="4" w:space="0" w:color="auto"/>
              <w:right w:val="single" w:sz="4" w:space="0" w:color="auto"/>
            </w:tcBorders>
            <w:shd w:val="clear" w:color="auto" w:fill="auto"/>
            <w:vAlign w:val="bottom"/>
          </w:tcPr>
          <w:p w14:paraId="2310B5CE" w14:textId="041B41BF" w:rsidR="00196808" w:rsidRPr="001D0ADC" w:rsidRDefault="00196808" w:rsidP="00196808">
            <w:pPr>
              <w:pStyle w:val="NoSpacing"/>
              <w:ind w:firstLine="0"/>
              <w:rPr>
                <w:color w:val="auto"/>
                <w:lang w:val="en-GB" w:eastAsia="cs-CZ"/>
              </w:rPr>
            </w:pPr>
            <w:r w:rsidRPr="001D0ADC">
              <w:rPr>
                <w:color w:val="auto"/>
                <w:lang w:val="en-GB" w:eastAsia="cs-CZ"/>
              </w:rPr>
              <w:t>LOEC for delay in hatching, change in expression of immune-related genes, toll-like receptor gene expression</w:t>
            </w:r>
          </w:p>
        </w:tc>
        <w:tc>
          <w:tcPr>
            <w:tcW w:w="2633" w:type="dxa"/>
            <w:vMerge/>
            <w:tcBorders>
              <w:left w:val="nil"/>
              <w:bottom w:val="single" w:sz="4" w:space="0" w:color="auto"/>
              <w:right w:val="single" w:sz="4" w:space="0" w:color="auto"/>
            </w:tcBorders>
          </w:tcPr>
          <w:p w14:paraId="531B6A04"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DBEEE8C"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00D25B90" w14:textId="77777777" w:rsidR="00196808" w:rsidRPr="001D0ADC" w:rsidRDefault="00196808" w:rsidP="00196808">
            <w:pPr>
              <w:pStyle w:val="NoSpacing"/>
              <w:ind w:firstLine="0"/>
              <w:rPr>
                <w:color w:val="auto"/>
                <w:lang w:val="en-GB" w:eastAsia="cs-CZ"/>
              </w:rPr>
            </w:pPr>
          </w:p>
        </w:tc>
      </w:tr>
      <w:tr w:rsidR="001D0ADC" w:rsidRPr="001D0ADC" w14:paraId="5126D1C6"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113C28B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BF193EC" w14:textId="21A6BE55" w:rsidR="00196808" w:rsidRPr="001D0ADC" w:rsidRDefault="00196808" w:rsidP="00196808">
            <w:pPr>
              <w:pStyle w:val="NoSpacing"/>
              <w:ind w:firstLine="0"/>
              <w:rPr>
                <w:color w:val="auto"/>
                <w:lang w:val="en-GB" w:eastAsia="cs-CZ"/>
              </w:rPr>
            </w:pPr>
            <w:r w:rsidRPr="001D0ADC">
              <w:rPr>
                <w:color w:val="auto"/>
                <w:lang w:val="en-GB" w:eastAsia="cs-CZ"/>
              </w:rPr>
              <w:t>500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0DC4A71E" w14:textId="6736C785" w:rsidR="00196808" w:rsidRPr="001D0ADC" w:rsidRDefault="00196808" w:rsidP="00196808">
            <w:pPr>
              <w:pStyle w:val="NoSpacing"/>
              <w:ind w:firstLine="0"/>
              <w:rPr>
                <w:color w:val="auto"/>
                <w:lang w:val="en-GB" w:eastAsia="cs-CZ"/>
              </w:rPr>
            </w:pPr>
            <w:r w:rsidRPr="001D0ADC">
              <w:rPr>
                <w:color w:val="auto"/>
                <w:lang w:val="en-GB" w:eastAsia="cs-CZ"/>
              </w:rPr>
              <w:t xml:space="preserve">LOEC for enteric nervous system development </w:t>
            </w:r>
          </w:p>
        </w:tc>
        <w:tc>
          <w:tcPr>
            <w:tcW w:w="2633" w:type="dxa"/>
            <w:tcBorders>
              <w:top w:val="single" w:sz="4" w:space="0" w:color="auto"/>
              <w:left w:val="nil"/>
              <w:bottom w:val="single" w:sz="4" w:space="0" w:color="auto"/>
              <w:right w:val="single" w:sz="4" w:space="0" w:color="auto"/>
            </w:tcBorders>
          </w:tcPr>
          <w:p w14:paraId="4C4BF055" w14:textId="3B91389F"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tcBorders>
              <w:top w:val="single" w:sz="4" w:space="0" w:color="auto"/>
              <w:left w:val="single" w:sz="4" w:space="0" w:color="auto"/>
              <w:bottom w:val="single" w:sz="4" w:space="0" w:color="auto"/>
              <w:right w:val="single" w:sz="4" w:space="0" w:color="auto"/>
            </w:tcBorders>
          </w:tcPr>
          <w:p w14:paraId="184FBCD5" w14:textId="4D35F68A" w:rsidR="00196808" w:rsidRPr="001D0ADC" w:rsidRDefault="00196808" w:rsidP="00196808">
            <w:pPr>
              <w:pStyle w:val="NoSpacing"/>
              <w:ind w:firstLine="0"/>
              <w:rPr>
                <w:color w:val="auto"/>
                <w:lang w:val="en-GB" w:eastAsia="cs-CZ"/>
              </w:rPr>
            </w:pPr>
            <w:r w:rsidRPr="001D0ADC">
              <w:rPr>
                <w:color w:val="auto"/>
                <w:lang w:val="en-GB" w:eastAsia="cs-CZ"/>
              </w:rPr>
              <w:t>96h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460BE396" w14:textId="2E2F57B6"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{"citationID":"uB4z4PNy","properties":{"formattedCitation":"(Schill et al. 2016)","plainCitation":"(Schill et al. 2016)","noteIndex":0},"citationItems":[{"id":1594,"uris":["http://zotero.org/users/11614927/items/K8JS3EXL"],"itemData":{"id":1594,"type":"article-journal","abstract":"Hirschsprung Disease (HSCR) is a potentially deadly birth defect characterized by the absence of the enteric nervous system (ENS) in distal bowel. Although HSCR has clear genetic causes, no HSCR-associated mutation is 100% penetrant, suggesting gene–gene and gene-environment interactions determine HSCR occurrence. To test the hypothesis that certain medicines might alter HSCR risk we treated zebraﬁsh with medications commonly used during early human pregnancy and discovered that ibuprofen caused HSCR-like absence of enteric neurons in distal bowel. Using fetal CF-1 mouse gut slice cultures, we found that ibuprofen treated enteric neural crest-derived cells (ENCDC) had reduced migration, fewer lamellipodia and lower levels of active RAC1/CDC42. Additionally, inhibiting ROCK, a RHOA effector and known RAC1 antagonist, reversed ibuprofen effects on migrating mouse ENCDC in culture. Ibuprofen also inhibited colonization of Retþ/ À mouse bowel by ENCDC in vivo and dramatically reduced bowel colonization by chick ENCDC in culture. Interestingly, ibuprofen did not affect ENCDC migration until after at least three hours of exposure. Furthermore, mice deﬁcient in Ptgs1 (COX 1) and Ptgs2 (COX 2) had normal bowel colonization by ENCDC and normal ENCDC migration in vitro suggesting COX-independent effects. Consistent with selective and strain speciﬁc effects on ENCDC, ibuprofen did not affect migration of gut mesenchymal cells, NIH3T3, or WT C57BL/6 ENCDC, and did not affect dorsal root ganglion cell precursor migration in zebraﬁsh. Thus, ibuprofen inhibits ENCDC migration in vitro and bowel colonization by ENCDC in vivo in zebraﬁsh, mouse and chick, but there are cell type and strain speciﬁc responses. These data raise concern that ibuprofen may increase Hirschsprung disease risk in some genetically susceptible children.","container-title":"Developmental Biology","DOI":"10.1016/j.ydbio.2015.09.023","ISSN":"00121606","issue":"2","journalAbbreviation":"Developmental Biology","language":"en","page":"473-488","source":"DOI.org (Crossref)","title":"Ibuprofen slows migration and inhibits bowel colonization by enteric nervous system precursors in zebrafish, chick and mouse","volume":"409","author":[{"family":"Schill","given":"Ellen Merrick"},{"family":"Lake","given":"Jonathan I."},{"family":"Tusheva","given":"Olga A."},{"family":"Nagy","given":"Nandor"},{"family":"Bery","given":"Saya K."},{"family":"Foster","given":"Lynne"},{"family":"Avetisyan","given":"Marina"},{"family":"Johnson","given":"Stephen L."},{"family":"Stenson","given":"William F."},{"family":"Goldstein","given":"Allan M."},{"family":"Heuckeroth","given":"Robert O."}],"issued":{"date-parts":[["2016",1]]}}}],"schema":"https://github.com/citation-style-language/schema/raw/master/csl-citation.json"}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(Schill et al. 2016)</w:t>
            </w:r>
            <w:r w:rsidRPr="001D0ADC">
              <w:rPr>
                <w:color w:val="auto"/>
                <w:lang w:val="en-GB" w:eastAsia="cs-CZ"/>
              </w:rPr>
              <w:fldChar w:fldCharType="end"/>
            </w:r>
          </w:p>
        </w:tc>
      </w:tr>
      <w:tr w:rsidR="001D0ADC" w:rsidRPr="001D0ADC" w14:paraId="054331BE"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79A22DC3"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DC28F7E" w14:textId="3126308E"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04</w:t>
            </w:r>
          </w:p>
        </w:tc>
        <w:tc>
          <w:tcPr>
            <w:tcW w:w="4520" w:type="dxa"/>
            <w:tcBorders>
              <w:top w:val="single" w:sz="4" w:space="0" w:color="auto"/>
              <w:left w:val="nil"/>
              <w:bottom w:val="single" w:sz="4" w:space="0" w:color="auto"/>
              <w:right w:val="single" w:sz="4" w:space="0" w:color="auto"/>
            </w:tcBorders>
            <w:shd w:val="clear" w:color="auto" w:fill="auto"/>
            <w:vAlign w:val="bottom"/>
          </w:tcPr>
          <w:p w14:paraId="0C07C625" w14:textId="38DE4C7A" w:rsidR="00196808" w:rsidRPr="001D0ADC" w:rsidRDefault="00196808" w:rsidP="00196808">
            <w:pPr>
              <w:pStyle w:val="NoSpacing"/>
              <w:ind w:firstLine="0"/>
              <w:rPr>
                <w:color w:val="auto"/>
                <w:lang w:val="en-GB" w:eastAsia="cs-CZ"/>
              </w:rPr>
            </w:pPr>
            <w:r w:rsidRPr="001D0ADC">
              <w:rPr>
                <w:color w:val="auto"/>
                <w:lang w:val="en-GB" w:eastAsia="cs-CZ"/>
              </w:rPr>
              <w:t>LOEC for mortality</w:t>
            </w:r>
          </w:p>
        </w:tc>
        <w:tc>
          <w:tcPr>
            <w:tcW w:w="2633" w:type="dxa"/>
            <w:vMerge w:val="restart"/>
            <w:tcBorders>
              <w:top w:val="single" w:sz="4" w:space="0" w:color="auto"/>
              <w:left w:val="nil"/>
              <w:right w:val="single" w:sz="4" w:space="0" w:color="auto"/>
            </w:tcBorders>
          </w:tcPr>
          <w:p w14:paraId="2149261A" w14:textId="26F1DDEB"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0E4770D1" w14:textId="254982E3" w:rsidR="00196808" w:rsidRPr="001D0ADC" w:rsidRDefault="00196808" w:rsidP="00196808">
            <w:pPr>
              <w:pStyle w:val="NoSpacing"/>
              <w:ind w:firstLine="0"/>
              <w:rPr>
                <w:color w:val="auto"/>
                <w:lang w:val="en-GB" w:eastAsia="cs-CZ"/>
              </w:rPr>
            </w:pPr>
            <w:r w:rsidRPr="001D0ADC">
              <w:rPr>
                <w:color w:val="auto"/>
                <w:lang w:val="en-GB" w:eastAsia="cs-CZ"/>
              </w:rPr>
              <w:t>168</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65BFAC55" w14:textId="4158E641"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{"citationID":"a4t2ar9nrn","properties":{"formattedCitation":"(Hamid, Junaid, and Pei 2020)","plainCitation":"(Hamid, Junaid, and Pei 2020)","noteIndex":0},"citationItems":[{"id":1834,"uris":["http://zotero.org/users/11614927/items/QGD4K2M9"],"itemData":{"id":1834,"type":"article-journal","abstract":"Sulfonamides (SAs) are conventional veterinary antibiotics that pose ecological risks in the aquatic environment. This study aims to evaluate the environmental concerns of SAs in the Three Gorges Reservoir Area (TGRA) and their toxicogenetic implications. Here, we employed various in vitro and in vivo bioassays to determine the combine toxicogenetic effects of SAs, which were further confirmed through applying Combination Index (CI) and Independent Action (IA) models. Among the investigated SAs, sulfamethoxazole (SMX) appeared as the individual chemical with relatively high environmental effects and elevated in vitro and in vivo toxicity. Importantly, exposure to the binary mixtures of SAs induced higher developmental toxicity and significantly perturbed the detoxification pathway in zebrafish, compared to that of individual compound exposure. Moreover, the CI and IA models indicated greater synergistic effects of SAs binary mixtures as SMX-SMR, SMX-ST, and SPY-ST on the Acinetobacter sp. Tox2 at Fa = 0.5. Contrarily, IA model predicted the additive, antagonistic and synergistic effects of SAs mixtures on the transcriptional responses of detoxification pathways in zebrafish, implying the different mode of actions (MoAs) for SAs to induce mixture toxicity in vivo. Thus, the nature of toxicological interactions of SAs should be considered while performing their ecological risk assessment.","container-title":"Journal of Hazardous Materials","DOI":"10.1016/j.jhazmat.2019.121106","ISSN":"03043894","journalAbbreviation":"Journal of Hazardous Materials","language":"en","page":"121106","source":"DOI.org (Crossref)","title":"Individual and combined mechanistic toxicity of sulfonamides and their implications for ecological risk assessment in the Three Gorges Reservoir Area (TGRA), China","volume":"382","author":[{"family":"Hamid","given":"Naima"},{"family":"Junaid","given":"Muhammad"},{"family":"Pei","given":"De-Sheng"}],"issued":{"date-parts":[["2020",1]]}}}],"schema":"https://github.com/citation-style-language/schema/raw/master/csl-citation.json"}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(Hamid, Junaid, and Pei 2020)</w:t>
            </w:r>
            <w:r w:rsidRPr="001D0ADC">
              <w:rPr>
                <w:color w:val="auto"/>
                <w:lang w:val="en-GB" w:eastAsia="cs-CZ"/>
              </w:rPr>
              <w:fldChar w:fldCharType="end"/>
            </w:r>
          </w:p>
        </w:tc>
      </w:tr>
      <w:tr w:rsidR="001D0ADC" w:rsidRPr="001D0ADC" w14:paraId="4807811A"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3931FC09"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D9EAD5A" w14:textId="1D3CD225"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02</w:t>
            </w:r>
          </w:p>
        </w:tc>
        <w:tc>
          <w:tcPr>
            <w:tcW w:w="4520" w:type="dxa"/>
            <w:tcBorders>
              <w:top w:val="single" w:sz="4" w:space="0" w:color="auto"/>
              <w:left w:val="nil"/>
              <w:bottom w:val="single" w:sz="4" w:space="0" w:color="auto"/>
              <w:right w:val="single" w:sz="4" w:space="0" w:color="auto"/>
            </w:tcBorders>
            <w:shd w:val="clear" w:color="auto" w:fill="auto"/>
            <w:vAlign w:val="bottom"/>
          </w:tcPr>
          <w:p w14:paraId="5B6D257E" w14:textId="670DC6DB" w:rsidR="00196808" w:rsidRPr="001D0ADC" w:rsidRDefault="00196808" w:rsidP="00196808">
            <w:pPr>
              <w:pStyle w:val="NoSpacing"/>
              <w:ind w:firstLine="0"/>
              <w:rPr>
                <w:color w:val="auto"/>
                <w:lang w:val="en-GB" w:eastAsia="cs-CZ"/>
              </w:rPr>
            </w:pPr>
            <w:r w:rsidRPr="001D0ADC">
              <w:rPr>
                <w:color w:val="auto"/>
                <w:lang w:val="en-GB" w:eastAsia="cs-CZ"/>
              </w:rPr>
              <w:t>LOEC for deformity and edema, biotransformation gene expression</w:t>
            </w:r>
          </w:p>
        </w:tc>
        <w:tc>
          <w:tcPr>
            <w:tcW w:w="2633" w:type="dxa"/>
            <w:vMerge/>
            <w:tcBorders>
              <w:left w:val="nil"/>
              <w:bottom w:val="single" w:sz="4" w:space="0" w:color="auto"/>
              <w:right w:val="single" w:sz="4" w:space="0" w:color="auto"/>
            </w:tcBorders>
          </w:tcPr>
          <w:p w14:paraId="05443DC6"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26029718"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4C6B361B" w14:textId="77777777" w:rsidR="00196808" w:rsidRPr="001D0ADC" w:rsidRDefault="00196808" w:rsidP="00196808">
            <w:pPr>
              <w:pStyle w:val="NoSpacing"/>
              <w:ind w:firstLine="0"/>
              <w:rPr>
                <w:color w:val="auto"/>
                <w:lang w:val="en-GB" w:eastAsia="cs-CZ"/>
              </w:rPr>
            </w:pPr>
          </w:p>
        </w:tc>
      </w:tr>
      <w:tr w:rsidR="001D0ADC" w:rsidRPr="001D0ADC" w14:paraId="0423A72B"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7362866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5CAD4CB" w14:textId="0143E1F9" w:rsidR="00196808" w:rsidRPr="001D0ADC" w:rsidRDefault="00196808"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71522C36" w14:textId="774D924F" w:rsidR="00196808" w:rsidRPr="001D0ADC" w:rsidRDefault="00196808" w:rsidP="00196808">
            <w:pPr>
              <w:pStyle w:val="NoSpacing"/>
              <w:ind w:firstLine="0"/>
              <w:rPr>
                <w:color w:val="auto"/>
                <w:lang w:val="en-GB" w:eastAsia="cs-CZ"/>
              </w:rPr>
            </w:pPr>
            <w:r w:rsidRPr="001D0ADC">
              <w:rPr>
                <w:color w:val="auto"/>
                <w:lang w:val="en-GB" w:eastAsia="cs-CZ"/>
              </w:rPr>
              <w:t>LOEC for mortality</w:t>
            </w:r>
          </w:p>
        </w:tc>
        <w:tc>
          <w:tcPr>
            <w:tcW w:w="2633" w:type="dxa"/>
            <w:vMerge w:val="restart"/>
            <w:tcBorders>
              <w:top w:val="single" w:sz="4" w:space="0" w:color="auto"/>
              <w:left w:val="nil"/>
              <w:right w:val="single" w:sz="4" w:space="0" w:color="auto"/>
            </w:tcBorders>
          </w:tcPr>
          <w:p w14:paraId="787703DB" w14:textId="4378DCC5" w:rsidR="00196808" w:rsidRPr="001D0ADC" w:rsidRDefault="00196808"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08DBECA9" w14:textId="1BE026F9" w:rsidR="00196808" w:rsidRPr="001D0ADC" w:rsidRDefault="00196808" w:rsidP="00196808">
            <w:pPr>
              <w:pStyle w:val="NoSpacing"/>
              <w:ind w:firstLine="0"/>
              <w:rPr>
                <w:color w:val="auto"/>
                <w:lang w:val="en-GB" w:eastAsia="cs-CZ"/>
              </w:rPr>
            </w:pPr>
            <w:r w:rsidRPr="001D0ADC">
              <w:rPr>
                <w:color w:val="auto"/>
                <w:lang w:val="en-GB" w:eastAsia="cs-CZ"/>
              </w:rPr>
              <w:t>7d</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7812CBDC" w14:textId="45CABD5D"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{"citationID":"a1mm0gg7k6v","properties":{"formattedCitation":"(Iftikhar et al. 2023)","plainCitation":"(Iftikhar et al. 2023)","noteIndex":0},"citationItems":[{"id":1690,"uris":["http://zotero.org/users/11614927/items/7QKL9FC2"],"itemData":{"id":1690,"type":"article-journal","abstract":"Sulfamethoxazole (SMX) is a broad-range bacteriostatic antibiotic widely used in animal and ﬁsh farming and is also employed in human medicine. These antibiotics can ultimately end up in the aquatic ecosystem and affect non-target organisms such as ﬁsh. To discern the effect of SMX on developing zebraﬁsh embryos and larvae, we investigated a broad range of sub-lethal toxicity endpoints. Higher concentrations of SMX affected survivability, caused hatch delay, and induced malformations including edema of the yolk sac, pericardial effusion, bent tail, and curved spine in developing embryos. Lower levels of SMX provoked an inﬂammatory response in larvae at seven days post fertilization (dpf), as noted by up-regulation of interferon (ifn-γ) and interleukin 1β (il-1β). SMX also increased the expression of genes related to apoptosis, including BCL2-Associated Agonist of Cell Death (bad) and BCL2 Associated X, Apoptosis Regulator (bax) at 50 µg/L and decreased caspase 3 (casp3) expression in a dose-dependent manner. SMX induced hyperactivity in larval ﬁsh at 500 and 2500 µg/L based upon the light/dark preference test. Collectively, this study revealed that exposure to SMX can disrupt the immune system by altering host defense mechanisms as well as transcripts related to apoptosis. These data improve understanding of antibiotic chemical toxicity in aquatic organisms and serves as a baseline for in-depth environmental risk assessment of SMX and antibiotics.","container-title":"Toxics","DOI":"10.3390/toxics11020178","ISSN":"2305-6304","issue":"2","journalAbbreviation":"Toxics","language":"en","page":"178","source":"DOI.org (Crossref)","title":"Sulfamethoxazole (SMX) Alters Immune and Apoptotic Endpoints in Developing Zebrafish (Danio rerio)","volume":"11","author":[{"family":"Iftikhar","given":"Nazish"},{"family":"Konig","given":"Isaac"},{"family":"English","given":"Cole"},{"family":"Ivantsova","given":"Emma"},{"family":"Souders","given":"Christopher L."},{"family":"Hashmi","given":"Imran"},{"family":"Martyniuk","given":"Christopher J."}],"issued":{"date-parts":[["2023",2,14]]}}}],"schema":"https://github.com/citation-style-language/schema/raw/master/csl-citation.json"} </w:instrText>
            </w:r>
            <w:r w:rsidRPr="001D0ADC">
              <w:rPr>
                <w:color w:val="auto"/>
                <w:lang w:val="en-GB" w:eastAsia="cs-CZ"/>
              </w:rPr>
              <w:fldChar w:fldCharType="separate"/>
            </w:r>
            <w:r w:rsidRPr="001D0ADC">
              <w:rPr>
                <w:rFonts w:cs="Times New Roman"/>
                <w:color w:val="auto"/>
                <w:szCs w:val="24"/>
                <w:lang w:val="en-GB"/>
              </w:rPr>
              <w:t>(Iftikhar et al. 2023)</w:t>
            </w:r>
            <w:r w:rsidRPr="001D0ADC">
              <w:rPr>
                <w:color w:val="auto"/>
                <w:lang w:val="en-GB" w:eastAsia="cs-CZ"/>
              </w:rPr>
              <w:fldChar w:fldCharType="end"/>
            </w:r>
          </w:p>
        </w:tc>
      </w:tr>
      <w:tr w:rsidR="001D0ADC" w:rsidRPr="001D0ADC" w14:paraId="3FED5424"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6BCC02EB"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C98EDD5" w14:textId="346CDBE4"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1E8AC9D" w14:textId="0F937D78" w:rsidR="00196808" w:rsidRPr="001D0ADC" w:rsidRDefault="00196808" w:rsidP="00196808">
            <w:pPr>
              <w:pStyle w:val="NoSpacing"/>
              <w:ind w:firstLine="0"/>
              <w:rPr>
                <w:color w:val="auto"/>
                <w:lang w:val="en-GB" w:eastAsia="cs-CZ"/>
              </w:rPr>
            </w:pPr>
            <w:r w:rsidRPr="001D0ADC">
              <w:rPr>
                <w:color w:val="auto"/>
                <w:lang w:val="en-GB" w:eastAsia="cs-CZ"/>
              </w:rPr>
              <w:t>LOEC for delay in hatching, movement, NOEC for oxidative stress related gene expression</w:t>
            </w:r>
          </w:p>
        </w:tc>
        <w:tc>
          <w:tcPr>
            <w:tcW w:w="2633" w:type="dxa"/>
            <w:vMerge/>
            <w:tcBorders>
              <w:left w:val="nil"/>
              <w:right w:val="single" w:sz="4" w:space="0" w:color="auto"/>
            </w:tcBorders>
          </w:tcPr>
          <w:p w14:paraId="3632F1A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5B6C8B39"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6E25EC76" w14:textId="77777777" w:rsidR="00196808" w:rsidRPr="001D0ADC" w:rsidRDefault="00196808" w:rsidP="00196808">
            <w:pPr>
              <w:pStyle w:val="NoSpacing"/>
              <w:ind w:firstLine="0"/>
              <w:rPr>
                <w:color w:val="auto"/>
                <w:lang w:val="en-GB" w:eastAsia="cs-CZ"/>
              </w:rPr>
            </w:pPr>
          </w:p>
        </w:tc>
      </w:tr>
      <w:tr w:rsidR="001D0ADC" w:rsidRPr="001D0ADC" w14:paraId="63D0024A"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09CC9192"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7F9499C" w14:textId="03052384" w:rsidR="00196808" w:rsidRPr="001D0ADC" w:rsidRDefault="00CF2036" w:rsidP="00196808">
            <w:pPr>
              <w:pStyle w:val="NoSpacing"/>
              <w:ind w:firstLine="0"/>
              <w:rPr>
                <w:color w:val="auto"/>
                <w:lang w:val="en-GB" w:eastAsia="cs-CZ"/>
              </w:rPr>
            </w:pPr>
            <w:r w:rsidRPr="001D0ADC">
              <w:rPr>
                <w:color w:val="auto"/>
                <w:lang w:val="en-GB" w:eastAsia="cs-CZ"/>
              </w:rPr>
              <w:t>2.</w:t>
            </w:r>
            <w:r w:rsidR="00196808" w:rsidRPr="001D0ADC">
              <w:rPr>
                <w:color w:val="auto"/>
                <w:lang w:val="en-GB" w:eastAsia="cs-CZ"/>
              </w:rPr>
              <w:t>5</w:t>
            </w:r>
          </w:p>
        </w:tc>
        <w:tc>
          <w:tcPr>
            <w:tcW w:w="4520" w:type="dxa"/>
            <w:tcBorders>
              <w:top w:val="single" w:sz="4" w:space="0" w:color="auto"/>
              <w:left w:val="nil"/>
              <w:bottom w:val="single" w:sz="4" w:space="0" w:color="auto"/>
              <w:right w:val="single" w:sz="4" w:space="0" w:color="auto"/>
            </w:tcBorders>
            <w:shd w:val="clear" w:color="auto" w:fill="auto"/>
            <w:vAlign w:val="bottom"/>
          </w:tcPr>
          <w:p w14:paraId="0189A8A9" w14:textId="2EB86304" w:rsidR="00196808" w:rsidRPr="001D0ADC" w:rsidRDefault="00196808" w:rsidP="00196808">
            <w:pPr>
              <w:pStyle w:val="NoSpacing"/>
              <w:ind w:firstLine="0"/>
              <w:rPr>
                <w:color w:val="auto"/>
                <w:lang w:val="en-GB" w:eastAsia="cs-CZ"/>
              </w:rPr>
            </w:pPr>
            <w:r w:rsidRPr="001D0ADC">
              <w:rPr>
                <w:color w:val="auto"/>
                <w:lang w:val="en-GB" w:eastAsia="cs-CZ"/>
              </w:rPr>
              <w:t>LOEC for deformities</w:t>
            </w:r>
          </w:p>
        </w:tc>
        <w:tc>
          <w:tcPr>
            <w:tcW w:w="2633" w:type="dxa"/>
            <w:vMerge/>
            <w:tcBorders>
              <w:left w:val="nil"/>
              <w:right w:val="single" w:sz="4" w:space="0" w:color="auto"/>
            </w:tcBorders>
          </w:tcPr>
          <w:p w14:paraId="19181DB5"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4D387914"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A89CED2" w14:textId="77777777" w:rsidR="00196808" w:rsidRPr="001D0ADC" w:rsidRDefault="00196808" w:rsidP="00196808">
            <w:pPr>
              <w:pStyle w:val="NoSpacing"/>
              <w:ind w:firstLine="0"/>
              <w:rPr>
                <w:color w:val="auto"/>
                <w:lang w:val="en-GB" w:eastAsia="cs-CZ"/>
              </w:rPr>
            </w:pPr>
          </w:p>
        </w:tc>
      </w:tr>
      <w:tr w:rsidR="001D0ADC" w:rsidRPr="001D0ADC" w14:paraId="0F48DD27"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1145E9A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2228E14" w14:textId="610B4386"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05</w:t>
            </w:r>
          </w:p>
        </w:tc>
        <w:tc>
          <w:tcPr>
            <w:tcW w:w="4520" w:type="dxa"/>
            <w:tcBorders>
              <w:top w:val="single" w:sz="4" w:space="0" w:color="auto"/>
              <w:left w:val="nil"/>
              <w:bottom w:val="single" w:sz="4" w:space="0" w:color="auto"/>
              <w:right w:val="single" w:sz="4" w:space="0" w:color="auto"/>
            </w:tcBorders>
            <w:shd w:val="clear" w:color="auto" w:fill="auto"/>
            <w:vAlign w:val="bottom"/>
          </w:tcPr>
          <w:p w14:paraId="42B17540" w14:textId="63782AD2" w:rsidR="00196808" w:rsidRPr="001D0ADC" w:rsidRDefault="00196808" w:rsidP="00196808">
            <w:pPr>
              <w:pStyle w:val="NoSpacing"/>
              <w:ind w:firstLine="0"/>
              <w:rPr>
                <w:color w:val="auto"/>
                <w:lang w:val="en-GB" w:eastAsia="cs-CZ"/>
              </w:rPr>
            </w:pPr>
            <w:r w:rsidRPr="001D0ADC">
              <w:rPr>
                <w:color w:val="auto"/>
                <w:lang w:val="en-GB" w:eastAsia="cs-CZ"/>
              </w:rPr>
              <w:t>LOEC for immune-related genes expression change</w:t>
            </w:r>
          </w:p>
        </w:tc>
        <w:tc>
          <w:tcPr>
            <w:tcW w:w="2633" w:type="dxa"/>
            <w:vMerge/>
            <w:tcBorders>
              <w:left w:val="nil"/>
              <w:right w:val="single" w:sz="4" w:space="0" w:color="auto"/>
            </w:tcBorders>
          </w:tcPr>
          <w:p w14:paraId="2CEBE5E1"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70DEA31B"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28242FC2" w14:textId="77777777" w:rsidR="00196808" w:rsidRPr="001D0ADC" w:rsidRDefault="00196808" w:rsidP="00196808">
            <w:pPr>
              <w:pStyle w:val="NoSpacing"/>
              <w:ind w:firstLine="0"/>
              <w:rPr>
                <w:color w:val="auto"/>
                <w:lang w:val="en-GB" w:eastAsia="cs-CZ"/>
              </w:rPr>
            </w:pPr>
          </w:p>
        </w:tc>
      </w:tr>
      <w:tr w:rsidR="001D0ADC" w:rsidRPr="001D0ADC" w14:paraId="00080CD8"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15EBF07D"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7759D8A" w14:textId="5DECB51C" w:rsidR="00196808" w:rsidRPr="001D0ADC" w:rsidRDefault="00CF2036" w:rsidP="00196808">
            <w:pPr>
              <w:pStyle w:val="NoSpacing"/>
              <w:ind w:firstLine="0"/>
              <w:rPr>
                <w:color w:val="auto"/>
                <w:lang w:val="en-GB" w:eastAsia="cs-CZ"/>
              </w:rPr>
            </w:pPr>
            <w:r w:rsidRPr="001D0ADC">
              <w:rPr>
                <w:color w:val="auto"/>
                <w:lang w:val="en-GB" w:eastAsia="cs-CZ"/>
              </w:rPr>
              <w:t>0.</w:t>
            </w:r>
            <w:r w:rsidR="00196808" w:rsidRPr="001D0ADC">
              <w:rPr>
                <w:color w:val="auto"/>
                <w:lang w:val="en-GB" w:eastAsia="cs-CZ"/>
              </w:rPr>
              <w:t>025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16297E78" w14:textId="42649C6D" w:rsidR="00196808" w:rsidRPr="001D0ADC" w:rsidRDefault="00196808" w:rsidP="00196808">
            <w:pPr>
              <w:pStyle w:val="NoSpacing"/>
              <w:ind w:firstLine="0"/>
              <w:rPr>
                <w:color w:val="auto"/>
                <w:lang w:val="en-GB" w:eastAsia="cs-CZ"/>
              </w:rPr>
            </w:pPr>
            <w:r w:rsidRPr="001D0ADC">
              <w:rPr>
                <w:color w:val="auto"/>
                <w:lang w:val="en-GB" w:eastAsia="cs-CZ"/>
              </w:rPr>
              <w:t>LOEC for apoptosis-related genes expression change</w:t>
            </w:r>
          </w:p>
        </w:tc>
        <w:tc>
          <w:tcPr>
            <w:tcW w:w="2633" w:type="dxa"/>
            <w:vMerge/>
            <w:tcBorders>
              <w:left w:val="nil"/>
              <w:bottom w:val="single" w:sz="4" w:space="0" w:color="auto"/>
              <w:right w:val="single" w:sz="4" w:space="0" w:color="auto"/>
            </w:tcBorders>
          </w:tcPr>
          <w:p w14:paraId="50E57212"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0D560A63"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8D93662" w14:textId="77777777" w:rsidR="00196808" w:rsidRPr="001D0ADC" w:rsidRDefault="00196808" w:rsidP="00196808">
            <w:pPr>
              <w:pStyle w:val="NoSpacing"/>
              <w:ind w:firstLine="0"/>
              <w:rPr>
                <w:color w:val="auto"/>
                <w:lang w:val="en-GB" w:eastAsia="cs-CZ"/>
              </w:rPr>
            </w:pPr>
          </w:p>
        </w:tc>
      </w:tr>
      <w:tr w:rsidR="001D0ADC" w:rsidRPr="001D0ADC" w14:paraId="0C01869A" w14:textId="77777777" w:rsidTr="006004EA">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C734DC9" w14:textId="77777777" w:rsidR="00513201" w:rsidRPr="001D0ADC" w:rsidRDefault="00513201"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5E7BDB88" w14:textId="21758D01" w:rsidR="00513201" w:rsidRPr="001D0ADC" w:rsidRDefault="00513201" w:rsidP="00196808">
            <w:pPr>
              <w:pStyle w:val="NoSpacing"/>
              <w:ind w:firstLine="0"/>
              <w:rPr>
                <w:color w:val="auto"/>
                <w:lang w:val="en-GB" w:eastAsia="cs-CZ"/>
              </w:rPr>
            </w:pPr>
            <w:r w:rsidRPr="001D0ADC">
              <w:rPr>
                <w:color w:val="auto"/>
                <w:lang w:val="en-GB" w:eastAsia="cs-CZ"/>
              </w:rPr>
              <w:t>250</w:t>
            </w:r>
          </w:p>
        </w:tc>
        <w:tc>
          <w:tcPr>
            <w:tcW w:w="4520" w:type="dxa"/>
            <w:tcBorders>
              <w:top w:val="single" w:sz="4" w:space="0" w:color="auto"/>
              <w:left w:val="nil"/>
              <w:bottom w:val="single" w:sz="4" w:space="0" w:color="auto"/>
              <w:right w:val="single" w:sz="4" w:space="0" w:color="auto"/>
            </w:tcBorders>
            <w:shd w:val="clear" w:color="auto" w:fill="auto"/>
            <w:vAlign w:val="bottom"/>
          </w:tcPr>
          <w:p w14:paraId="50A1C8A2" w14:textId="46EA5618" w:rsidR="00513201" w:rsidRPr="001D0ADC" w:rsidRDefault="00513201" w:rsidP="00196808">
            <w:pPr>
              <w:pStyle w:val="NoSpacing"/>
              <w:ind w:firstLine="0"/>
              <w:rPr>
                <w:color w:val="auto"/>
                <w:lang w:val="en-GB" w:eastAsia="cs-CZ"/>
              </w:rPr>
            </w:pPr>
            <w:r w:rsidRPr="001D0ADC">
              <w:rPr>
                <w:color w:val="auto"/>
                <w:lang w:val="en-GB" w:eastAsia="cs-CZ"/>
              </w:rPr>
              <w:t>LOEC for malformations, hatching delay, yolk area, survival, angiogenesis related gene expression change</w:t>
            </w:r>
          </w:p>
        </w:tc>
        <w:tc>
          <w:tcPr>
            <w:tcW w:w="2633" w:type="dxa"/>
            <w:vMerge w:val="restart"/>
            <w:tcBorders>
              <w:top w:val="single" w:sz="4" w:space="0" w:color="auto"/>
              <w:left w:val="nil"/>
              <w:right w:val="single" w:sz="4" w:space="0" w:color="auto"/>
            </w:tcBorders>
          </w:tcPr>
          <w:p w14:paraId="699AD74D" w14:textId="6D7D4ED7" w:rsidR="00513201" w:rsidRPr="001D0ADC" w:rsidRDefault="00513201" w:rsidP="00196808">
            <w:pPr>
              <w:pStyle w:val="NoSpacing"/>
              <w:ind w:firstLine="0"/>
              <w:rPr>
                <w:color w:val="auto"/>
                <w:lang w:val="en-GB" w:eastAsia="cs-CZ"/>
              </w:rPr>
            </w:pPr>
            <w:r w:rsidRPr="001D0ADC">
              <w:rPr>
                <w:color w:val="auto"/>
                <w:lang w:val="en-GB" w:eastAsia="cs-CZ"/>
              </w:rPr>
              <w:t>ELS (ZF)</w:t>
            </w:r>
          </w:p>
        </w:tc>
        <w:tc>
          <w:tcPr>
            <w:tcW w:w="1967" w:type="dxa"/>
            <w:vMerge w:val="restart"/>
            <w:tcBorders>
              <w:top w:val="single" w:sz="4" w:space="0" w:color="auto"/>
              <w:left w:val="single" w:sz="4" w:space="0" w:color="auto"/>
              <w:right w:val="single" w:sz="4" w:space="0" w:color="auto"/>
            </w:tcBorders>
          </w:tcPr>
          <w:p w14:paraId="744286C0" w14:textId="5794DF34" w:rsidR="00513201" w:rsidRPr="001D0ADC" w:rsidRDefault="00513201" w:rsidP="00196808">
            <w:pPr>
              <w:pStyle w:val="NoSpacing"/>
              <w:ind w:firstLine="0"/>
              <w:rPr>
                <w:color w:val="auto"/>
                <w:lang w:val="en-GB" w:eastAsia="cs-CZ"/>
              </w:rPr>
            </w:pPr>
            <w:r w:rsidRPr="001D0ADC">
              <w:rPr>
                <w:color w:val="auto"/>
                <w:lang w:val="en-GB" w:eastAsia="cs-CZ"/>
              </w:rPr>
              <w:t>96h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37387587" w14:textId="6AAF2E4A" w:rsidR="00513201" w:rsidRPr="001D0ADC" w:rsidRDefault="00513201" w:rsidP="00196808">
            <w:pPr>
              <w:pStyle w:val="NoSpacing"/>
              <w:ind w:firstLine="0"/>
              <w:rPr>
                <w:color w:val="auto"/>
                <w:lang w:val="en-GB" w:eastAsia="cs-CZ"/>
              </w:rPr>
            </w:pPr>
            <w:r w:rsidRPr="001D0ADC">
              <w:rPr>
                <w:color w:val="auto"/>
                <w:lang w:val="en-GB" w:eastAsia="cs-CZ"/>
              </w:rPr>
              <w:fldChar w:fldCharType="begin"/>
            </w:r>
            <w:r w:rsidR="004E4B09" w:rsidRPr="001D0ADC">
              <w:rPr>
                <w:color w:val="auto"/>
                <w:lang w:val="en-GB" w:eastAsia="cs-CZ"/>
              </w:rPr>
              <w:instrText xml:space="preserve"> ADDIN ZOTERO_ITEM CSL_CITATION {"citationID":"a17lmadtini","properties":{"formattedCitation":"(Xu, Luo, and Chen 2022)","plainCitation":"(Xu, Luo, and Chen 2022)","noteIndex":0},"citationItems":[{"id":1687,"uris":["http://zotero.org/users/11614927/items/9JQHGLNK"],"itemData":{"id":1687,"type":"article-journal","abstract":"Sulfamethoxazole (SMX) is a widespread broad-spectrum bacteriostatic antibiotic. Its residual is frequently detected in the water and may therefore bioaccumulate in the brain of aquatic organisms via blood circulation. Brain capillaries toxicity is very important for brain development. However, little information is available in the literature to show the toxicity of SMX to brain development. To study the SMX’s brain toxic effects and the related mechanisms, we exposed zebrafish embryos to SMX at different concentrations (0 ppm, 1 ppm, 25 ppm, 100 ppm and 250 ppm) and found that high concentration (250 ppm) of SMX would not only caused an abnormal in malformation rate, hatching rate, body length and survival rate of zebrafish embryos, but also lead to brain oedema. In addition, SMX also induced cerebral ischaemia, aggravates oxidative stress, and changes genes related to oxidative stress (sod1, cat, gpx4, and nrf2). Furthermore, ischaemia caused by SMX could promote ectopic angiogenesis in brain via activating the angiogenesis-related genes (vegfab, cxcr4a, cxcl12b) from 24 h to 53 h. Inhibition of VEGF signalling by SU5416, or inhibition of chemokine downstream PI3K signalling by LY294002, could rescue the brain capillaries toxicity and brain oedema induced by SMX. Our results provide new evidence for the brain toxicity of SMX and its residual danger in the environment and aquatic organisms.","container-title":"Ecotoxicology and Environmental Safety","DOI":"10.1016/j.ecoenv.2022.113620","ISSN":"01476513","journalAbbreviation":"Ecotoxicology and Environmental Safety","language":"en","page":"113620","source":"DOI.org (Crossref)","title":"Sulfamethoxazole induces brain capillaries toxicity in zebrafish by up-regulation of VEGF and chemokine signalling","volume":"238","author":[{"family":"Xu","given":"Yuhang"},{"family":"Luo","given":"Lingfei"},{"family":"Chen","given":"Jingying"}],"issued":{"date-parts":[["2022",6]]}}}],"schema":"https://github.com/citation-style-language/schema/raw/master/csl-citation.json"} </w:instrText>
            </w:r>
            <w:r w:rsidRPr="001D0ADC">
              <w:rPr>
                <w:color w:val="auto"/>
                <w:lang w:val="en-GB" w:eastAsia="cs-CZ"/>
              </w:rPr>
              <w:fldChar w:fldCharType="separate"/>
            </w:r>
            <w:r w:rsidR="004E4B09" w:rsidRPr="001D0ADC">
              <w:rPr>
                <w:rFonts w:cs="Times New Roman"/>
                <w:color w:val="auto"/>
                <w:szCs w:val="24"/>
              </w:rPr>
              <w:t>(Xu, Luo, and Chen 2022)</w:t>
            </w:r>
            <w:r w:rsidRPr="001D0ADC">
              <w:rPr>
                <w:color w:val="auto"/>
                <w:lang w:val="en-GB" w:eastAsia="cs-CZ"/>
              </w:rPr>
              <w:fldChar w:fldCharType="end"/>
            </w:r>
          </w:p>
        </w:tc>
      </w:tr>
      <w:tr w:rsidR="001D0ADC" w:rsidRPr="001D0ADC" w14:paraId="4947B01B" w14:textId="77777777" w:rsidTr="006004EA">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0D297C3" w14:textId="77777777" w:rsidR="00513201" w:rsidRPr="001D0ADC" w:rsidRDefault="00513201"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4A14DE3E" w14:textId="4FBB38E3" w:rsidR="00513201" w:rsidRPr="001D0ADC" w:rsidRDefault="00513201" w:rsidP="00196808">
            <w:pPr>
              <w:pStyle w:val="NoSpacing"/>
              <w:ind w:firstLine="0"/>
              <w:rPr>
                <w:color w:val="auto"/>
                <w:lang w:val="en-GB" w:eastAsia="cs-CZ"/>
              </w:rPr>
            </w:pPr>
            <w:r w:rsidRPr="001D0ADC">
              <w:rPr>
                <w:color w:val="auto"/>
                <w:lang w:val="en-GB" w:eastAsia="cs-CZ"/>
              </w:rPr>
              <w:t>100</w:t>
            </w:r>
          </w:p>
        </w:tc>
        <w:tc>
          <w:tcPr>
            <w:tcW w:w="4520" w:type="dxa"/>
            <w:tcBorders>
              <w:top w:val="single" w:sz="4" w:space="0" w:color="auto"/>
              <w:left w:val="nil"/>
              <w:bottom w:val="single" w:sz="4" w:space="0" w:color="auto"/>
              <w:right w:val="single" w:sz="4" w:space="0" w:color="auto"/>
            </w:tcBorders>
            <w:shd w:val="clear" w:color="auto" w:fill="auto"/>
            <w:vAlign w:val="bottom"/>
          </w:tcPr>
          <w:p w14:paraId="1D9ED887" w14:textId="667579FA" w:rsidR="00513201" w:rsidRPr="001D0ADC" w:rsidRDefault="00513201" w:rsidP="00196808">
            <w:pPr>
              <w:pStyle w:val="NoSpacing"/>
              <w:ind w:firstLine="0"/>
              <w:rPr>
                <w:color w:val="auto"/>
                <w:lang w:val="en-GB" w:eastAsia="cs-CZ"/>
              </w:rPr>
            </w:pPr>
            <w:r w:rsidRPr="001D0ADC">
              <w:rPr>
                <w:color w:val="auto"/>
                <w:lang w:val="en-GB" w:eastAsia="cs-CZ"/>
              </w:rPr>
              <w:t>LOEC for length, inter optic distance, brain capillary development</w:t>
            </w:r>
          </w:p>
        </w:tc>
        <w:tc>
          <w:tcPr>
            <w:tcW w:w="2633" w:type="dxa"/>
            <w:vMerge/>
            <w:tcBorders>
              <w:left w:val="nil"/>
              <w:right w:val="single" w:sz="4" w:space="0" w:color="auto"/>
            </w:tcBorders>
          </w:tcPr>
          <w:p w14:paraId="71E56B03" w14:textId="77777777" w:rsidR="00513201" w:rsidRPr="001D0ADC" w:rsidRDefault="00513201"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0947463B" w14:textId="77777777" w:rsidR="00513201" w:rsidRPr="001D0ADC" w:rsidRDefault="00513201"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0E5E0DE5" w14:textId="77777777" w:rsidR="00513201" w:rsidRPr="001D0ADC" w:rsidRDefault="00513201" w:rsidP="00196808">
            <w:pPr>
              <w:pStyle w:val="NoSpacing"/>
              <w:ind w:firstLine="0"/>
              <w:rPr>
                <w:color w:val="auto"/>
                <w:lang w:val="en-GB" w:eastAsia="cs-CZ"/>
              </w:rPr>
            </w:pPr>
          </w:p>
        </w:tc>
      </w:tr>
      <w:tr w:rsidR="001D0ADC" w:rsidRPr="001D0ADC" w14:paraId="7E26A641" w14:textId="77777777" w:rsidTr="006004EA">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6C53E5A" w14:textId="77777777" w:rsidR="00513201" w:rsidRPr="001D0ADC" w:rsidRDefault="00513201"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77F5DB8F" w14:textId="2C0702BD" w:rsidR="00513201" w:rsidRPr="001D0ADC" w:rsidRDefault="00513201" w:rsidP="00196808">
            <w:pPr>
              <w:pStyle w:val="NoSpacing"/>
              <w:ind w:firstLine="0"/>
              <w:rPr>
                <w:color w:val="auto"/>
                <w:lang w:val="en-GB" w:eastAsia="cs-CZ"/>
              </w:rPr>
            </w:pPr>
            <w:r w:rsidRPr="001D0ADC">
              <w:rPr>
                <w:color w:val="auto"/>
                <w:lang w:val="en-GB" w:eastAsia="cs-CZ"/>
              </w:rPr>
              <w:t>25</w:t>
            </w:r>
          </w:p>
        </w:tc>
        <w:tc>
          <w:tcPr>
            <w:tcW w:w="4520" w:type="dxa"/>
            <w:tcBorders>
              <w:top w:val="single" w:sz="4" w:space="0" w:color="auto"/>
              <w:left w:val="nil"/>
              <w:bottom w:val="single" w:sz="4" w:space="0" w:color="auto"/>
              <w:right w:val="single" w:sz="4" w:space="0" w:color="auto"/>
            </w:tcBorders>
            <w:shd w:val="clear" w:color="auto" w:fill="auto"/>
            <w:vAlign w:val="bottom"/>
          </w:tcPr>
          <w:p w14:paraId="2DF4E720" w14:textId="5ACCF344" w:rsidR="00513201" w:rsidRPr="001D0ADC" w:rsidRDefault="00513201" w:rsidP="00196808">
            <w:pPr>
              <w:pStyle w:val="NoSpacing"/>
              <w:ind w:firstLine="0"/>
              <w:rPr>
                <w:color w:val="auto"/>
                <w:lang w:val="en-GB" w:eastAsia="cs-CZ"/>
              </w:rPr>
            </w:pPr>
            <w:r w:rsidRPr="001D0ADC">
              <w:rPr>
                <w:color w:val="auto"/>
                <w:lang w:val="en-GB" w:eastAsia="cs-CZ"/>
              </w:rPr>
              <w:t>LOEC for brain area, ROS production, expression of oxidative stress related genes</w:t>
            </w:r>
          </w:p>
        </w:tc>
        <w:tc>
          <w:tcPr>
            <w:tcW w:w="2633" w:type="dxa"/>
            <w:vMerge/>
            <w:tcBorders>
              <w:left w:val="nil"/>
              <w:right w:val="single" w:sz="4" w:space="0" w:color="auto"/>
            </w:tcBorders>
          </w:tcPr>
          <w:p w14:paraId="275378F0" w14:textId="77777777" w:rsidR="00513201" w:rsidRPr="001D0ADC" w:rsidRDefault="00513201" w:rsidP="00196808">
            <w:pPr>
              <w:pStyle w:val="NoSpacing"/>
              <w:ind w:firstLine="0"/>
              <w:rPr>
                <w:color w:val="auto"/>
                <w:lang w:val="en-GB" w:eastAsia="cs-CZ"/>
              </w:rPr>
            </w:pPr>
          </w:p>
        </w:tc>
        <w:tc>
          <w:tcPr>
            <w:tcW w:w="1967" w:type="dxa"/>
            <w:vMerge/>
            <w:tcBorders>
              <w:left w:val="single" w:sz="4" w:space="0" w:color="auto"/>
              <w:right w:val="single" w:sz="4" w:space="0" w:color="auto"/>
            </w:tcBorders>
          </w:tcPr>
          <w:p w14:paraId="48535F83" w14:textId="77777777" w:rsidR="00513201" w:rsidRPr="001D0ADC" w:rsidRDefault="00513201" w:rsidP="00196808">
            <w:pPr>
              <w:pStyle w:val="NoSpacing"/>
              <w:ind w:firstLine="0"/>
              <w:rPr>
                <w:color w:val="auto"/>
                <w:lang w:val="en-GB" w:eastAsia="cs-CZ"/>
              </w:rPr>
            </w:pPr>
          </w:p>
        </w:tc>
        <w:tc>
          <w:tcPr>
            <w:tcW w:w="2300" w:type="dxa"/>
            <w:vMerge/>
            <w:tcBorders>
              <w:left w:val="single" w:sz="4" w:space="0" w:color="auto"/>
              <w:right w:val="single" w:sz="4" w:space="0" w:color="auto"/>
            </w:tcBorders>
            <w:shd w:val="clear" w:color="auto" w:fill="auto"/>
            <w:vAlign w:val="bottom"/>
          </w:tcPr>
          <w:p w14:paraId="4183F3A4" w14:textId="77777777" w:rsidR="00513201" w:rsidRPr="001D0ADC" w:rsidRDefault="00513201" w:rsidP="00196808">
            <w:pPr>
              <w:pStyle w:val="NoSpacing"/>
              <w:ind w:firstLine="0"/>
              <w:rPr>
                <w:color w:val="auto"/>
                <w:lang w:val="en-GB" w:eastAsia="cs-CZ"/>
              </w:rPr>
            </w:pPr>
          </w:p>
        </w:tc>
      </w:tr>
      <w:tr w:rsidR="001D0ADC" w:rsidRPr="001D0ADC" w14:paraId="6CFE3767" w14:textId="77777777" w:rsidTr="006004EA">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5B1D97B2" w14:textId="77777777" w:rsidR="00513201" w:rsidRPr="001D0ADC" w:rsidRDefault="00513201"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19517BF5" w14:textId="3C13B169" w:rsidR="00513201" w:rsidRPr="001D0ADC" w:rsidRDefault="00513201" w:rsidP="00196808">
            <w:pPr>
              <w:pStyle w:val="NoSpacing"/>
              <w:ind w:firstLine="0"/>
              <w:rPr>
                <w:color w:val="auto"/>
                <w:lang w:val="en-GB" w:eastAsia="cs-CZ"/>
              </w:rPr>
            </w:pPr>
            <w:r w:rsidRPr="001D0ADC">
              <w:rPr>
                <w:color w:val="auto"/>
                <w:lang w:val="en-GB" w:eastAsia="cs-CZ"/>
              </w:rPr>
              <w:t>1</w:t>
            </w:r>
          </w:p>
        </w:tc>
        <w:tc>
          <w:tcPr>
            <w:tcW w:w="4520" w:type="dxa"/>
            <w:tcBorders>
              <w:top w:val="single" w:sz="4" w:space="0" w:color="auto"/>
              <w:left w:val="nil"/>
              <w:bottom w:val="single" w:sz="4" w:space="0" w:color="auto"/>
              <w:right w:val="single" w:sz="4" w:space="0" w:color="auto"/>
            </w:tcBorders>
            <w:shd w:val="clear" w:color="auto" w:fill="auto"/>
            <w:vAlign w:val="bottom"/>
          </w:tcPr>
          <w:p w14:paraId="660D15E2" w14:textId="673934DF" w:rsidR="00513201" w:rsidRPr="001D0ADC" w:rsidRDefault="00513201" w:rsidP="00196808">
            <w:pPr>
              <w:pStyle w:val="NoSpacing"/>
              <w:ind w:firstLine="0"/>
              <w:rPr>
                <w:color w:val="auto"/>
                <w:lang w:val="en-GB" w:eastAsia="cs-CZ"/>
              </w:rPr>
            </w:pPr>
            <w:r w:rsidRPr="001D0ADC">
              <w:rPr>
                <w:color w:val="auto"/>
                <w:lang w:val="en-GB" w:eastAsia="cs-CZ"/>
              </w:rPr>
              <w:t>LOEC for MDA activity</w:t>
            </w:r>
          </w:p>
        </w:tc>
        <w:tc>
          <w:tcPr>
            <w:tcW w:w="2633" w:type="dxa"/>
            <w:vMerge/>
            <w:tcBorders>
              <w:left w:val="nil"/>
              <w:bottom w:val="single" w:sz="4" w:space="0" w:color="auto"/>
              <w:right w:val="single" w:sz="4" w:space="0" w:color="auto"/>
            </w:tcBorders>
          </w:tcPr>
          <w:p w14:paraId="1F0D5B91" w14:textId="77777777" w:rsidR="00513201" w:rsidRPr="001D0ADC" w:rsidRDefault="00513201"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5E7E82B2" w14:textId="77777777" w:rsidR="00513201" w:rsidRPr="001D0ADC" w:rsidRDefault="00513201"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668C945" w14:textId="77777777" w:rsidR="00513201" w:rsidRPr="001D0ADC" w:rsidRDefault="00513201" w:rsidP="00196808">
            <w:pPr>
              <w:pStyle w:val="NoSpacing"/>
              <w:ind w:firstLine="0"/>
              <w:rPr>
                <w:color w:val="auto"/>
                <w:lang w:val="en-GB" w:eastAsia="cs-CZ"/>
              </w:rPr>
            </w:pPr>
          </w:p>
        </w:tc>
      </w:tr>
      <w:tr w:rsidR="001D0ADC" w:rsidRPr="001D0ADC" w14:paraId="5CB461C2"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18F08D07"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5F5F0E4C" w14:textId="05283372"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(cell lines)</w:t>
            </w:r>
            <w:r w:rsidR="000F6A8E" w:rsidRPr="001D0ADC">
              <w:rPr>
                <w:b/>
                <w:bCs/>
                <w:color w:val="auto"/>
                <w:lang w:val="en-GB" w:eastAsia="cs-CZ"/>
              </w:rPr>
              <w:t xml:space="preserve"> (mg/l)</w:t>
            </w:r>
          </w:p>
        </w:tc>
      </w:tr>
      <w:tr w:rsidR="001D0ADC" w:rsidRPr="001D0ADC" w14:paraId="3FAD8727"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0F173BC0"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95BFA4A" w14:textId="30A3D838" w:rsidR="00196808" w:rsidRPr="001D0ADC" w:rsidRDefault="00196808" w:rsidP="00196808">
            <w:pPr>
              <w:pStyle w:val="NoSpacing"/>
              <w:ind w:firstLine="0"/>
              <w:rPr>
                <w:color w:val="auto"/>
                <w:lang w:val="en-GB" w:eastAsia="cs-CZ"/>
              </w:rPr>
            </w:pPr>
            <w:r w:rsidRPr="001D0ADC">
              <w:rPr>
                <w:color w:val="auto"/>
                <w:lang w:val="en-GB" w:eastAsia="cs-CZ"/>
              </w:rPr>
              <w:t>12</w:t>
            </w:r>
            <w:r w:rsidR="00CF2036" w:rsidRPr="001D0ADC">
              <w:rPr>
                <w:color w:val="auto"/>
                <w:lang w:val="en-GB" w:eastAsia="cs-CZ"/>
              </w:rPr>
              <w:t>6.</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289D8B94" w14:textId="77777777" w:rsidR="00196808" w:rsidRPr="001D0ADC" w:rsidRDefault="00196808" w:rsidP="00196808">
            <w:pPr>
              <w:pStyle w:val="NoSpacing"/>
              <w:ind w:firstLine="0"/>
              <w:rPr>
                <w:color w:val="auto"/>
                <w:lang w:val="en-GB" w:eastAsia="cs-CZ"/>
              </w:rPr>
            </w:pPr>
            <w:r w:rsidRPr="001D0ADC">
              <w:rPr>
                <w:color w:val="auto"/>
                <w:lang w:val="en-GB" w:eastAsia="cs-CZ"/>
              </w:rPr>
              <w:t>LOEC cytotoxicity MTT</w:t>
            </w:r>
          </w:p>
        </w:tc>
        <w:tc>
          <w:tcPr>
            <w:tcW w:w="2633" w:type="dxa"/>
            <w:tcBorders>
              <w:top w:val="single" w:sz="4" w:space="0" w:color="auto"/>
              <w:left w:val="nil"/>
              <w:bottom w:val="single" w:sz="4" w:space="0" w:color="auto"/>
              <w:right w:val="single" w:sz="4" w:space="0" w:color="auto"/>
            </w:tcBorders>
          </w:tcPr>
          <w:p w14:paraId="3F006410" w14:textId="77777777" w:rsidR="00196808" w:rsidRPr="001D0ADC" w:rsidRDefault="00196808" w:rsidP="00196808">
            <w:pPr>
              <w:pStyle w:val="NoSpacing"/>
              <w:ind w:firstLine="0"/>
              <w:rPr>
                <w:color w:val="auto"/>
                <w:lang w:val="en-GB" w:eastAsia="cs-CZ"/>
              </w:rPr>
            </w:pPr>
            <w:r w:rsidRPr="001D0ADC">
              <w:rPr>
                <w:color w:val="auto"/>
                <w:lang w:val="en-GB" w:eastAsia="cs-CZ"/>
              </w:rPr>
              <w:t>In vitro PLHC-1</w:t>
            </w:r>
          </w:p>
        </w:tc>
        <w:tc>
          <w:tcPr>
            <w:tcW w:w="1967" w:type="dxa"/>
            <w:tcBorders>
              <w:top w:val="single" w:sz="4" w:space="0" w:color="auto"/>
              <w:left w:val="single" w:sz="4" w:space="0" w:color="auto"/>
              <w:bottom w:val="single" w:sz="4" w:space="0" w:color="auto"/>
              <w:right w:val="single" w:sz="4" w:space="0" w:color="auto"/>
            </w:tcBorders>
          </w:tcPr>
          <w:p w14:paraId="0D0B959A"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tcBorders>
              <w:top w:val="single" w:sz="4" w:space="0" w:color="auto"/>
              <w:left w:val="single" w:sz="4" w:space="0" w:color="auto"/>
              <w:bottom w:val="single" w:sz="4" w:space="0" w:color="auto"/>
              <w:right w:val="single" w:sz="4" w:space="0" w:color="auto"/>
            </w:tcBorders>
            <w:shd w:val="clear" w:color="auto" w:fill="auto"/>
            <w:vAlign w:val="bottom"/>
          </w:tcPr>
          <w:p w14:paraId="1076FBFB"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{"citationID":"jQ8OopyI","properties":{"formattedCitation":"(Laville et al. 2004)","plainCitation":"(Laville et al. 2004)","noteIndex":0},"citationItems":[{"id":1264,"uris":["http://zotero.org/users/11614927/items/42IL9Z9R"],"itemData":{"id":1264,"type":"article-journal","abstract":"Pharmaceuticals are found in the aquatic environment but their potential effects on non-target species like ﬁsh remain unknown. This in vitro study is a ﬁrst approach in the toxicity assessment of human drugs on ﬁsh. Nine pharmaceuticals were tested on two ﬁsh hepatocyte models: primary cultures of rainbow trout hepatocytes (PRTH) and PLHC-1 ﬁsh cell line. Cell viability, interaction with cytochrome P450 1A (CYP1A) enzyme and oxidative stress were assessed by using 3-(4,5-dimethylthiazol-2-yl)-2,5-diphenyltetrasodium bromide tetrazolium (MTT), 7-ethoxyresoruﬁn-o-deethylase (EROD) and dichloroﬂuorescein (DCFH-DA) assays, respectively. The tested drugs were cloﬁbrate (CF), fenoﬁbrate (FF), carbamazepine (CBZ), ﬂuoxetine (FX), diclofenac (DiCF), propranolol (POH), sulfamethoxazole (SFX), amoxicillin (AMX) and gadolinium chloride (GdCl3). All substances were cytotoxic, except AMX at concentration up to 500 </w:instrText>
            </w:r>
            <w:r w:rsidRPr="001D0ADC">
              <w:rPr>
                <w:rFonts w:cs="Times New Roman"/>
                <w:color w:val="auto"/>
                <w:lang w:val="en-GB" w:eastAsia="cs-CZ"/>
              </w:rPr>
              <w:instrText>␮</w:instrText>
            </w:r>
            <w:r w:rsidRPr="001D0ADC">
              <w:rPr>
                <w:color w:val="auto"/>
                <w:lang w:val="en-GB" w:eastAsia="cs-CZ"/>
              </w:rPr>
              <w:instrText xml:space="preserve">M. The calculated MTT EC50 values ranged from 2 </w:instrText>
            </w:r>
            <w:r w:rsidRPr="001D0ADC">
              <w:rPr>
                <w:rFonts w:cs="Times New Roman"/>
                <w:color w:val="auto"/>
                <w:lang w:val="en-GB" w:eastAsia="cs-CZ"/>
              </w:rPr>
              <w:instrText>␮</w:instrText>
            </w:r>
            <w:r w:rsidRPr="001D0ADC">
              <w:rPr>
                <w:color w:val="auto"/>
                <w:lang w:val="en-GB" w:eastAsia="cs-CZ"/>
              </w:rPr>
              <w:instrText xml:space="preserve">M (CF) to 651 </w:instrText>
            </w:r>
            <w:r w:rsidRPr="001D0ADC">
              <w:rPr>
                <w:rFonts w:cs="Times New Roman"/>
                <w:color w:val="auto"/>
                <w:lang w:val="en-GB" w:eastAsia="cs-CZ"/>
              </w:rPr>
              <w:instrText>␮</w:instrText>
            </w:r>
            <w:r w:rsidRPr="001D0ADC">
              <w:rPr>
                <w:color w:val="auto"/>
                <w:lang w:val="en-GB" w:eastAsia="cs-CZ"/>
              </w:rPr>
              <w:instrText xml:space="preserve">M (CBZ) in PLHC-1, and from 53 </w:instrText>
            </w:r>
            <w:r w:rsidRPr="001D0ADC">
              <w:rPr>
                <w:rFonts w:cs="Times New Roman"/>
                <w:color w:val="auto"/>
                <w:lang w:val="en-GB" w:eastAsia="cs-CZ"/>
              </w:rPr>
              <w:instrText>␮</w:instrText>
            </w:r>
            <w:r w:rsidRPr="001D0ADC">
              <w:rPr>
                <w:color w:val="auto"/>
                <w:lang w:val="en-GB" w:eastAsia="cs-CZ"/>
              </w:rPr>
              <w:instrText xml:space="preserve">M (FF) to 962 </w:instrText>
            </w:r>
            <w:r w:rsidRPr="001D0ADC">
              <w:rPr>
                <w:rFonts w:cs="Times New Roman"/>
                <w:color w:val="auto"/>
                <w:lang w:val="en-GB" w:eastAsia="cs-CZ"/>
              </w:rPr>
              <w:instrText>␮</w:instrText>
            </w:r>
            <w:r w:rsidRPr="001D0ADC">
              <w:rPr>
                <w:color w:val="auto"/>
                <w:lang w:val="en-GB" w:eastAsia="cs-CZ"/>
              </w:rPr>
              <w:instrText xml:space="preserve">M (GdCl3) in PRTH. CF, FF, and FX were the most cytotoxic drugs and induced oxidative stress before being cytotoxic. Compared to hepatocytes from human and dog, </w:instrText>
            </w:r>
            <w:r w:rsidRPr="001D0ADC">
              <w:rPr>
                <w:rFonts w:cs="Times New Roman"/>
                <w:color w:val="auto"/>
                <w:lang w:val="en-GB" w:eastAsia="cs-CZ"/>
              </w:rPr>
              <w:instrText>ﬁ</w:instrText>
            </w:r>
            <w:r w:rsidRPr="001D0ADC">
              <w:rPr>
                <w:color w:val="auto"/>
                <w:lang w:val="en-GB" w:eastAsia="cs-CZ"/>
              </w:rPr>
              <w:instrText xml:space="preserve">sh hepatocytes seemed to be more susceptible to the peroxisome proliferators (PPs) CF and FF. In PLHC-1 cells none of the tested drugs induced the EROD activity whereas POH appeared as a weak EROD inducer in PRTH. Moreover, in PRTH, SFX, DiCF, CBZ and to a lesser extend, FF and CF inhibited the basal EROD activity at clearly sublethal concentrations which may be of concern at the biological and chemical levels in a multipollution context.","container-title":"Toxicology","DOI":"10.1016/j.tox.2003.11.002","ISSN":"0300483X","issue":"1-2","journalAbbreviation":"Toxicology","language":"en","page":"41-55","source":"DOI.org (Crossref)","title":"Effects of human pharmaceuticals on cytotoxicity, EROD activity and ROS production in fish hepatocytes","volume":"196","author":[{"family":"Laville","given":"N"},{"family":"Aı̈t-Aı̈ssa","given":"S"},{"family":"Gomez","given":"E"},{"family":"Casellas","given":"C"},{"family":"Porcher","given":"J.M"}],"issued":{"date-parts":[["2004",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(Laville et al. 2004)</w:t>
            </w:r>
            <w:r w:rsidRPr="001D0ADC">
              <w:rPr>
                <w:color w:val="auto"/>
                <w:lang w:val="en-GB" w:eastAsia="cs-CZ"/>
              </w:rPr>
              <w:fldChar w:fldCharType="end"/>
            </w:r>
          </w:p>
        </w:tc>
      </w:tr>
      <w:tr w:rsidR="001D0ADC" w:rsidRPr="001D0ADC" w14:paraId="26C99DAC" w14:textId="77777777" w:rsidTr="00305BA7">
        <w:trPr>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034FAC7A" w14:textId="77777777" w:rsidR="00196808" w:rsidRPr="001D0ADC" w:rsidRDefault="00196808" w:rsidP="00196808">
            <w:pPr>
              <w:pStyle w:val="NoSpacing"/>
              <w:ind w:firstLine="0"/>
              <w:rPr>
                <w:color w:val="auto"/>
                <w:lang w:val="en-GB" w:eastAsia="cs-CZ"/>
              </w:rPr>
            </w:pPr>
          </w:p>
        </w:tc>
        <w:tc>
          <w:tcPr>
            <w:tcW w:w="13122" w:type="dxa"/>
            <w:gridSpan w:val="5"/>
            <w:tcBorders>
              <w:top w:val="single" w:sz="4" w:space="0" w:color="auto"/>
              <w:left w:val="nil"/>
              <w:bottom w:val="single" w:sz="4" w:space="0" w:color="auto"/>
              <w:right w:val="single" w:sz="4" w:space="0" w:color="auto"/>
            </w:tcBorders>
            <w:shd w:val="clear" w:color="auto" w:fill="auto"/>
            <w:noWrap/>
            <w:vAlign w:val="center"/>
          </w:tcPr>
          <w:p w14:paraId="229881C3" w14:textId="26FED9FA" w:rsidR="00196808" w:rsidRPr="001D0ADC" w:rsidRDefault="00196808" w:rsidP="00196808">
            <w:pPr>
              <w:pStyle w:val="NoSpacing"/>
              <w:ind w:firstLine="0"/>
              <w:rPr>
                <w:b/>
                <w:bCs/>
                <w:color w:val="auto"/>
                <w:lang w:val="en-GB" w:eastAsia="cs-CZ"/>
              </w:rPr>
            </w:pPr>
            <w:r w:rsidRPr="001D0ADC">
              <w:rPr>
                <w:b/>
                <w:bCs/>
                <w:i/>
                <w:iCs/>
                <w:color w:val="auto"/>
                <w:lang w:val="en-GB" w:eastAsia="cs-CZ"/>
              </w:rPr>
              <w:t>In vitro</w:t>
            </w:r>
            <w:r w:rsidRPr="001D0ADC">
              <w:rPr>
                <w:b/>
                <w:bCs/>
                <w:color w:val="auto"/>
                <w:lang w:val="en-GB" w:eastAsia="cs-CZ"/>
              </w:rPr>
              <w:t xml:space="preserve"> (primary cultures)</w:t>
            </w:r>
            <w:r w:rsidR="000F6A8E" w:rsidRPr="001D0ADC">
              <w:rPr>
                <w:b/>
                <w:bCs/>
                <w:color w:val="auto"/>
                <w:lang w:val="en-GB" w:eastAsia="cs-CZ"/>
              </w:rPr>
              <w:t xml:space="preserve"> (mg/l)</w:t>
            </w:r>
          </w:p>
        </w:tc>
        <w:tc>
          <w:tcPr>
            <w:tcW w:w="2300" w:type="dxa"/>
          </w:tcPr>
          <w:p w14:paraId="4FB6ED95" w14:textId="77777777" w:rsidR="00196808" w:rsidRPr="001D0ADC" w:rsidRDefault="00196808" w:rsidP="00196808">
            <w:pPr>
              <w:rPr>
                <w:lang w:val="en-GB"/>
              </w:rPr>
            </w:pPr>
          </w:p>
        </w:tc>
        <w:tc>
          <w:tcPr>
            <w:tcW w:w="2300" w:type="dxa"/>
          </w:tcPr>
          <w:p w14:paraId="37C55282" w14:textId="77777777" w:rsidR="00196808" w:rsidRPr="001D0ADC" w:rsidRDefault="00196808" w:rsidP="00196808">
            <w:pPr>
              <w:rPr>
                <w:lang w:val="en-GB"/>
              </w:rPr>
            </w:pPr>
          </w:p>
        </w:tc>
        <w:tc>
          <w:tcPr>
            <w:tcW w:w="2300" w:type="dxa"/>
          </w:tcPr>
          <w:p w14:paraId="27FB15DA" w14:textId="77777777" w:rsidR="00196808" w:rsidRPr="001D0ADC" w:rsidRDefault="00196808" w:rsidP="00196808">
            <w:pPr>
              <w:rPr>
                <w:lang w:val="en-GB"/>
              </w:rPr>
            </w:pPr>
          </w:p>
        </w:tc>
        <w:tc>
          <w:tcPr>
            <w:tcW w:w="2300" w:type="dxa"/>
            <w:vAlign w:val="bottom"/>
          </w:tcPr>
          <w:p w14:paraId="668210C1" w14:textId="77777777" w:rsidR="00196808" w:rsidRPr="001D0ADC" w:rsidRDefault="00196808" w:rsidP="00196808">
            <w:pPr>
              <w:rPr>
                <w:lang w:val="en-GB"/>
              </w:rPr>
            </w:pPr>
          </w:p>
        </w:tc>
      </w:tr>
      <w:tr w:rsidR="001D0ADC" w:rsidRPr="001D0ADC" w14:paraId="5B9B2D48"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1FB295FF"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21310831" w14:textId="64E8BF9A" w:rsidR="00196808" w:rsidRPr="001D0ADC" w:rsidRDefault="00196808" w:rsidP="00196808">
            <w:pPr>
              <w:pStyle w:val="NoSpacing"/>
              <w:ind w:firstLine="0"/>
              <w:rPr>
                <w:color w:val="auto"/>
                <w:lang w:val="en-GB" w:eastAsia="cs-CZ"/>
              </w:rPr>
            </w:pPr>
            <w:r w:rsidRPr="001D0ADC">
              <w:rPr>
                <w:color w:val="auto"/>
                <w:lang w:val="en-GB" w:eastAsia="cs-CZ"/>
              </w:rPr>
              <w:t>12</w:t>
            </w:r>
            <w:r w:rsidR="00CF2036" w:rsidRPr="001D0ADC">
              <w:rPr>
                <w:color w:val="auto"/>
                <w:lang w:val="en-GB" w:eastAsia="cs-CZ"/>
              </w:rPr>
              <w:t>6.</w:t>
            </w:r>
            <w:r w:rsidRPr="001D0ADC">
              <w:rPr>
                <w:color w:val="auto"/>
                <w:lang w:val="en-GB" w:eastAsia="cs-CZ"/>
              </w:rPr>
              <w:t>6</w:t>
            </w:r>
          </w:p>
        </w:tc>
        <w:tc>
          <w:tcPr>
            <w:tcW w:w="4520" w:type="dxa"/>
            <w:tcBorders>
              <w:top w:val="single" w:sz="4" w:space="0" w:color="auto"/>
              <w:left w:val="nil"/>
              <w:bottom w:val="single" w:sz="4" w:space="0" w:color="auto"/>
              <w:right w:val="single" w:sz="4" w:space="0" w:color="auto"/>
            </w:tcBorders>
            <w:shd w:val="clear" w:color="auto" w:fill="auto"/>
            <w:vAlign w:val="bottom"/>
          </w:tcPr>
          <w:p w14:paraId="71140E3F" w14:textId="77777777" w:rsidR="00196808" w:rsidRPr="001D0ADC" w:rsidRDefault="00196808" w:rsidP="00196808">
            <w:pPr>
              <w:pStyle w:val="NoSpacing"/>
              <w:ind w:firstLine="0"/>
              <w:rPr>
                <w:color w:val="auto"/>
                <w:lang w:val="en-GB" w:eastAsia="cs-CZ"/>
              </w:rPr>
            </w:pPr>
            <w:r w:rsidRPr="001D0ADC">
              <w:rPr>
                <w:color w:val="auto"/>
                <w:lang w:val="en-GB" w:eastAsia="cs-CZ"/>
              </w:rPr>
              <w:t>LOEC cytotoxicity MTT</w:t>
            </w:r>
          </w:p>
        </w:tc>
        <w:tc>
          <w:tcPr>
            <w:tcW w:w="2633" w:type="dxa"/>
            <w:vMerge w:val="restart"/>
            <w:tcBorders>
              <w:top w:val="single" w:sz="4" w:space="0" w:color="auto"/>
              <w:left w:val="nil"/>
              <w:right w:val="single" w:sz="4" w:space="0" w:color="auto"/>
            </w:tcBorders>
          </w:tcPr>
          <w:p w14:paraId="29738DE9" w14:textId="77777777" w:rsidR="00196808" w:rsidRPr="001D0ADC" w:rsidRDefault="00196808" w:rsidP="00196808">
            <w:pPr>
              <w:pStyle w:val="NoSpacing"/>
              <w:ind w:firstLine="0"/>
              <w:rPr>
                <w:color w:val="auto"/>
                <w:lang w:val="en-GB" w:eastAsia="cs-CZ"/>
              </w:rPr>
            </w:pPr>
            <w:r w:rsidRPr="001D0ADC">
              <w:rPr>
                <w:color w:val="auto"/>
                <w:lang w:val="en-GB" w:eastAsia="cs-CZ"/>
              </w:rPr>
              <w:t>In vitro primary hepatocytes (OM)</w:t>
            </w:r>
          </w:p>
        </w:tc>
        <w:tc>
          <w:tcPr>
            <w:tcW w:w="1967" w:type="dxa"/>
            <w:vMerge w:val="restart"/>
            <w:tcBorders>
              <w:top w:val="single" w:sz="4" w:space="0" w:color="auto"/>
              <w:left w:val="single" w:sz="4" w:space="0" w:color="auto"/>
              <w:right w:val="single" w:sz="4" w:space="0" w:color="auto"/>
            </w:tcBorders>
          </w:tcPr>
          <w:p w14:paraId="5117E368" w14:textId="77777777" w:rsidR="00196808" w:rsidRPr="001D0ADC" w:rsidRDefault="00196808" w:rsidP="00196808">
            <w:pPr>
              <w:pStyle w:val="NoSpacing"/>
              <w:ind w:firstLine="0"/>
              <w:rPr>
                <w:color w:val="auto"/>
                <w:lang w:val="en-GB" w:eastAsia="cs-CZ"/>
              </w:rPr>
            </w:pPr>
            <w:r w:rsidRPr="001D0ADC">
              <w:rPr>
                <w:color w:val="auto"/>
                <w:lang w:val="en-GB" w:eastAsia="cs-CZ"/>
              </w:rPr>
              <w:t>24h</w:t>
            </w:r>
          </w:p>
        </w:tc>
        <w:tc>
          <w:tcPr>
            <w:tcW w:w="2300" w:type="dxa"/>
            <w:vMerge w:val="restart"/>
            <w:tcBorders>
              <w:top w:val="single" w:sz="4" w:space="0" w:color="auto"/>
              <w:left w:val="single" w:sz="4" w:space="0" w:color="auto"/>
              <w:right w:val="single" w:sz="4" w:space="0" w:color="auto"/>
            </w:tcBorders>
            <w:shd w:val="clear" w:color="auto" w:fill="auto"/>
            <w:vAlign w:val="bottom"/>
          </w:tcPr>
          <w:p w14:paraId="1C7BFCBA" w14:textId="77777777" w:rsidR="00196808" w:rsidRPr="001D0ADC" w:rsidRDefault="00196808" w:rsidP="00196808">
            <w:pPr>
              <w:pStyle w:val="NoSpacing"/>
              <w:ind w:firstLine="0"/>
              <w:rPr>
                <w:color w:val="auto"/>
                <w:lang w:val="en-GB" w:eastAsia="cs-CZ"/>
              </w:rPr>
            </w:pPr>
            <w:r w:rsidRPr="001D0ADC">
              <w:rPr>
                <w:color w:val="auto"/>
                <w:lang w:val="en-GB" w:eastAsia="cs-CZ"/>
              </w:rPr>
              <w:fldChar w:fldCharType="begin"/>
            </w:r>
            <w:r w:rsidRPr="001D0ADC">
              <w:rPr>
                <w:color w:val="auto"/>
                <w:lang w:val="en-GB" w:eastAsia="cs-CZ"/>
              </w:rPr>
              <w:instrText xml:space="preserve"> ADDIN ZOTERO_ITEM CSL_CITATION {"citationID":"rZCw8Djr","properties":{"formattedCitation":"(Laville et al. 2004)","plainCitation":"(Laville et al. 2004)","noteIndex":0},"citationItems":[{"id":1264,"uris":["http://zotero.org/users/11614927/items/42IL9Z9R"],"itemData":{"id":1264,"type":"article-journal","abstract":"Pharmaceuticals are found in the aquatic environment but their potential effects on non-target species like ﬁsh remain unknown. This in vitro study is a ﬁrst approach in the toxicity assessment of human drugs on ﬁsh. Nine pharmaceuticals were tested on two ﬁsh hepatocyte models: primary cultures of rainbow trout hepatocytes (PRTH) and PLHC-1 ﬁsh cell line. Cell viability, interaction with cytochrome P450 1A (CYP1A) enzyme and oxidative stress were assessed by using 3-(4,5-dimethylthiazol-2-yl)-2,5-diphenyltetrasodium bromide tetrazolium (MTT), 7-ethoxyresoruﬁn-o-deethylase (EROD) and dichloroﬂuorescein (DCFH-DA) assays, respectively. The tested drugs were cloﬁbrate (CF), fenoﬁbrate (FF), carbamazepine (CBZ), ﬂuoxetine (FX), diclofenac (DiCF), propranolol (POH), sulfamethoxazole (SFX), amoxicillin (AMX) and gadolinium chloride (GdCl3). All substances were cytotoxic, except AMX at concentration up to 500 </w:instrText>
            </w:r>
            <w:r w:rsidRPr="001D0ADC">
              <w:rPr>
                <w:rFonts w:cs="Times New Roman"/>
                <w:color w:val="auto"/>
                <w:lang w:val="en-GB" w:eastAsia="cs-CZ"/>
              </w:rPr>
              <w:instrText>␮</w:instrText>
            </w:r>
            <w:r w:rsidRPr="001D0ADC">
              <w:rPr>
                <w:color w:val="auto"/>
                <w:lang w:val="en-GB" w:eastAsia="cs-CZ"/>
              </w:rPr>
              <w:instrText xml:space="preserve">M. The calculated MTT EC50 values ranged from 2 </w:instrText>
            </w:r>
            <w:r w:rsidRPr="001D0ADC">
              <w:rPr>
                <w:rFonts w:cs="Times New Roman"/>
                <w:color w:val="auto"/>
                <w:lang w:val="en-GB" w:eastAsia="cs-CZ"/>
              </w:rPr>
              <w:instrText>␮</w:instrText>
            </w:r>
            <w:r w:rsidRPr="001D0ADC">
              <w:rPr>
                <w:color w:val="auto"/>
                <w:lang w:val="en-GB" w:eastAsia="cs-CZ"/>
              </w:rPr>
              <w:instrText xml:space="preserve">M (CF) to 651 </w:instrText>
            </w:r>
            <w:r w:rsidRPr="001D0ADC">
              <w:rPr>
                <w:rFonts w:cs="Times New Roman"/>
                <w:color w:val="auto"/>
                <w:lang w:val="en-GB" w:eastAsia="cs-CZ"/>
              </w:rPr>
              <w:instrText>␮</w:instrText>
            </w:r>
            <w:r w:rsidRPr="001D0ADC">
              <w:rPr>
                <w:color w:val="auto"/>
                <w:lang w:val="en-GB" w:eastAsia="cs-CZ"/>
              </w:rPr>
              <w:instrText xml:space="preserve">M (CBZ) in PLHC-1, and from 53 </w:instrText>
            </w:r>
            <w:r w:rsidRPr="001D0ADC">
              <w:rPr>
                <w:rFonts w:cs="Times New Roman"/>
                <w:color w:val="auto"/>
                <w:lang w:val="en-GB" w:eastAsia="cs-CZ"/>
              </w:rPr>
              <w:instrText>␮</w:instrText>
            </w:r>
            <w:r w:rsidRPr="001D0ADC">
              <w:rPr>
                <w:color w:val="auto"/>
                <w:lang w:val="en-GB" w:eastAsia="cs-CZ"/>
              </w:rPr>
              <w:instrText xml:space="preserve">M (FF) to 962 </w:instrText>
            </w:r>
            <w:r w:rsidRPr="001D0ADC">
              <w:rPr>
                <w:rFonts w:cs="Times New Roman"/>
                <w:color w:val="auto"/>
                <w:lang w:val="en-GB" w:eastAsia="cs-CZ"/>
              </w:rPr>
              <w:instrText>␮</w:instrText>
            </w:r>
            <w:r w:rsidRPr="001D0ADC">
              <w:rPr>
                <w:color w:val="auto"/>
                <w:lang w:val="en-GB" w:eastAsia="cs-CZ"/>
              </w:rPr>
              <w:instrText xml:space="preserve">M (GdCl3) in PRTH. CF, FF, and FX were the most cytotoxic drugs and induced oxidative stress before being cytotoxic. Compared to hepatocytes from human and dog, ﬁsh hepatocytes seemed to be more susceptible to the peroxisome proliferators (PPs) CF and FF. In PLHC-1 cells none of the tested drugs induced the EROD activity whereas POH appeared as a weak EROD inducer in PRTH. Moreover, in PRTH, SFX, DiCF, CBZ and to a lesser extend, FF and CF inhibited the basal EROD activity at clearly sublethal concentrations which may be of concern at the biological and chemical levels in a multipollution context.","container-title":"Toxicology","DOI":"10.1016/j.tox.2003.11.002","ISSN":"0300483X","issue":"1-2","journalAbbreviation":"Toxicology","language":"en","page":"41-55","source":"DOI.org (Crossref)","title":"Effects of human pharmaceuticals on cytotoxicity, EROD activity and ROS production in fish hepatocytes","volume":"196","author":[{"family":"Laville","given":"N"},{"family":"Aı̈t-Aı̈ssa","given":"S"},{"family":"Gomez","given":"E"},{"family":"Casellas","given":"C"},{"family":"Porcher","given":"J.M"}],"issued":{"date-parts":[["2004",3]]}}}],"schema":"https://github.com/citation-style-language/schema/raw/master/csl-citation.json"} </w:instrText>
            </w:r>
            <w:r w:rsidRPr="001D0ADC">
              <w:rPr>
                <w:color w:val="auto"/>
                <w:lang w:val="en-GB" w:eastAsia="cs-CZ"/>
              </w:rPr>
              <w:fldChar w:fldCharType="separate"/>
            </w:r>
            <w:r w:rsidRPr="001D0ADC">
              <w:rPr>
                <w:rFonts w:cs="Times New Roman"/>
                <w:color w:val="auto"/>
                <w:lang w:val="en-GB"/>
              </w:rPr>
              <w:t>(Laville et al. 2004)</w:t>
            </w:r>
            <w:r w:rsidRPr="001D0ADC">
              <w:rPr>
                <w:color w:val="auto"/>
                <w:lang w:val="en-GB" w:eastAsia="cs-CZ"/>
              </w:rPr>
              <w:fldChar w:fldCharType="end"/>
            </w:r>
          </w:p>
        </w:tc>
      </w:tr>
      <w:tr w:rsidR="00196808" w:rsidRPr="001D0ADC" w14:paraId="6A819C26" w14:textId="77777777" w:rsidTr="00305BA7">
        <w:trPr>
          <w:gridAfter w:val="4"/>
          <w:wAfter w:w="9200" w:type="dxa"/>
          <w:trHeight w:val="300"/>
        </w:trPr>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6B250875" w14:textId="77777777" w:rsidR="00196808" w:rsidRPr="001D0ADC" w:rsidRDefault="00196808" w:rsidP="00196808">
            <w:pPr>
              <w:pStyle w:val="NoSpacing"/>
              <w:ind w:firstLine="0"/>
              <w:rPr>
                <w:color w:val="auto"/>
                <w:lang w:val="en-GB" w:eastAsia="cs-CZ"/>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14:paraId="06C26087" w14:textId="63734CEC" w:rsidR="00196808" w:rsidRPr="001D0ADC" w:rsidRDefault="00196808" w:rsidP="00196808">
            <w:pPr>
              <w:pStyle w:val="NoSpacing"/>
              <w:ind w:firstLine="0"/>
              <w:rPr>
                <w:color w:val="auto"/>
                <w:lang w:val="en-GB" w:eastAsia="cs-CZ"/>
              </w:rPr>
            </w:pPr>
            <w:r w:rsidRPr="001D0ADC">
              <w:rPr>
                <w:color w:val="auto"/>
                <w:lang w:val="en-GB" w:eastAsia="cs-CZ"/>
              </w:rPr>
              <w:t>2</w:t>
            </w:r>
            <w:r w:rsidR="00CF2036" w:rsidRPr="001D0ADC">
              <w:rPr>
                <w:color w:val="auto"/>
                <w:lang w:val="en-GB" w:eastAsia="cs-CZ"/>
              </w:rPr>
              <w:t>7.</w:t>
            </w:r>
            <w:r w:rsidRPr="001D0ADC">
              <w:rPr>
                <w:color w:val="auto"/>
                <w:lang w:val="en-GB" w:eastAsia="cs-CZ"/>
              </w:rPr>
              <w:t>35</w:t>
            </w:r>
          </w:p>
        </w:tc>
        <w:tc>
          <w:tcPr>
            <w:tcW w:w="4520" w:type="dxa"/>
            <w:tcBorders>
              <w:top w:val="single" w:sz="4" w:space="0" w:color="auto"/>
              <w:left w:val="nil"/>
              <w:bottom w:val="single" w:sz="4" w:space="0" w:color="auto"/>
              <w:right w:val="single" w:sz="4" w:space="0" w:color="auto"/>
            </w:tcBorders>
            <w:shd w:val="clear" w:color="auto" w:fill="auto"/>
            <w:vAlign w:val="bottom"/>
          </w:tcPr>
          <w:p w14:paraId="69FDBD6F" w14:textId="77777777" w:rsidR="00196808" w:rsidRPr="001D0ADC" w:rsidRDefault="00196808" w:rsidP="00196808">
            <w:pPr>
              <w:pStyle w:val="NoSpacing"/>
              <w:ind w:firstLine="0"/>
              <w:rPr>
                <w:color w:val="auto"/>
                <w:lang w:val="en-GB" w:eastAsia="cs-CZ"/>
              </w:rPr>
            </w:pPr>
            <w:r w:rsidRPr="001D0ADC">
              <w:rPr>
                <w:color w:val="auto"/>
                <w:lang w:val="en-GB" w:eastAsia="cs-CZ"/>
              </w:rPr>
              <w:t>IC50 for EROD inhibition</w:t>
            </w:r>
          </w:p>
        </w:tc>
        <w:tc>
          <w:tcPr>
            <w:tcW w:w="2633" w:type="dxa"/>
            <w:vMerge/>
            <w:tcBorders>
              <w:left w:val="nil"/>
              <w:bottom w:val="single" w:sz="4" w:space="0" w:color="auto"/>
              <w:right w:val="single" w:sz="4" w:space="0" w:color="auto"/>
            </w:tcBorders>
          </w:tcPr>
          <w:p w14:paraId="46593379" w14:textId="77777777" w:rsidR="00196808" w:rsidRPr="001D0ADC" w:rsidRDefault="00196808" w:rsidP="00196808">
            <w:pPr>
              <w:pStyle w:val="NoSpacing"/>
              <w:ind w:firstLine="0"/>
              <w:rPr>
                <w:color w:val="auto"/>
                <w:lang w:val="en-GB" w:eastAsia="cs-CZ"/>
              </w:rPr>
            </w:pPr>
          </w:p>
        </w:tc>
        <w:tc>
          <w:tcPr>
            <w:tcW w:w="1967" w:type="dxa"/>
            <w:vMerge/>
            <w:tcBorders>
              <w:left w:val="single" w:sz="4" w:space="0" w:color="auto"/>
              <w:bottom w:val="single" w:sz="4" w:space="0" w:color="auto"/>
              <w:right w:val="single" w:sz="4" w:space="0" w:color="auto"/>
            </w:tcBorders>
          </w:tcPr>
          <w:p w14:paraId="6718953A" w14:textId="77777777" w:rsidR="00196808" w:rsidRPr="001D0ADC" w:rsidRDefault="00196808" w:rsidP="00196808">
            <w:pPr>
              <w:pStyle w:val="NoSpacing"/>
              <w:ind w:firstLine="0"/>
              <w:rPr>
                <w:color w:val="auto"/>
                <w:lang w:val="en-GB" w:eastAsia="cs-CZ"/>
              </w:rPr>
            </w:pPr>
          </w:p>
        </w:tc>
        <w:tc>
          <w:tcPr>
            <w:tcW w:w="2300" w:type="dxa"/>
            <w:vMerge/>
            <w:tcBorders>
              <w:left w:val="single" w:sz="4" w:space="0" w:color="auto"/>
              <w:bottom w:val="single" w:sz="4" w:space="0" w:color="auto"/>
              <w:right w:val="single" w:sz="4" w:space="0" w:color="auto"/>
            </w:tcBorders>
            <w:shd w:val="clear" w:color="auto" w:fill="auto"/>
            <w:vAlign w:val="bottom"/>
          </w:tcPr>
          <w:p w14:paraId="3521BDF8" w14:textId="77777777" w:rsidR="00196808" w:rsidRPr="001D0ADC" w:rsidRDefault="00196808" w:rsidP="00196808">
            <w:pPr>
              <w:pStyle w:val="NoSpacing"/>
              <w:ind w:firstLine="0"/>
              <w:rPr>
                <w:color w:val="auto"/>
                <w:lang w:val="en-GB" w:eastAsia="cs-CZ"/>
              </w:rPr>
            </w:pPr>
          </w:p>
        </w:tc>
      </w:tr>
    </w:tbl>
    <w:p w14:paraId="72446895" w14:textId="77777777" w:rsidR="00305BA7" w:rsidRPr="001D0ADC" w:rsidRDefault="00305BA7" w:rsidP="006542D6">
      <w:pPr>
        <w:rPr>
          <w:rFonts w:ascii="Times New Roman" w:hAnsi="Times New Roman" w:cs="Times New Roman"/>
          <w:lang w:val="en-GB"/>
        </w:rPr>
      </w:pPr>
    </w:p>
    <w:p w14:paraId="36C81D82" w14:textId="77777777" w:rsidR="006775CE" w:rsidRPr="001D0ADC" w:rsidRDefault="006775CE" w:rsidP="00E05B1D">
      <w:pPr>
        <w:spacing w:line="360" w:lineRule="auto"/>
        <w:rPr>
          <w:rFonts w:ascii="Times New Roman" w:hAnsi="Times New Roman" w:cs="Times New Roman"/>
          <w:b/>
          <w:sz w:val="24"/>
          <w:szCs w:val="24"/>
          <w:lang w:val="en-US"/>
        </w:rPr>
      </w:pPr>
    </w:p>
    <w:p w14:paraId="65F43F20" w14:textId="77777777" w:rsidR="00B228B0" w:rsidRPr="001D0ADC" w:rsidRDefault="00B228B0">
      <w:pPr>
        <w:rPr>
          <w:rFonts w:ascii="Times New Roman" w:hAnsi="Times New Roman" w:cs="Times New Roman"/>
          <w:b/>
          <w:sz w:val="24"/>
          <w:szCs w:val="24"/>
          <w:lang w:val="en-US"/>
        </w:rPr>
      </w:pPr>
      <w:r w:rsidRPr="001D0ADC">
        <w:rPr>
          <w:rFonts w:ascii="Times New Roman" w:hAnsi="Times New Roman" w:cs="Times New Roman"/>
          <w:b/>
          <w:sz w:val="24"/>
          <w:szCs w:val="24"/>
          <w:lang w:val="en-US"/>
        </w:rPr>
        <w:br w:type="page"/>
      </w:r>
    </w:p>
    <w:p w14:paraId="06D1025A" w14:textId="1C14D320" w:rsidR="00E05B1D" w:rsidRPr="001D0ADC" w:rsidRDefault="00E05B1D" w:rsidP="00E05B1D">
      <w:pPr>
        <w:spacing w:line="360" w:lineRule="auto"/>
        <w:rPr>
          <w:rFonts w:ascii="Times New Roman" w:eastAsia="Times New Roman" w:hAnsi="Times New Roman" w:cs="Times New Roman"/>
          <w:sz w:val="24"/>
          <w:szCs w:val="24"/>
          <w:lang w:val="en-GB"/>
        </w:rPr>
      </w:pPr>
      <w:r w:rsidRPr="001D0ADC">
        <w:rPr>
          <w:rFonts w:ascii="Times New Roman" w:hAnsi="Times New Roman" w:cs="Times New Roman"/>
          <w:b/>
          <w:sz w:val="24"/>
          <w:szCs w:val="24"/>
          <w:lang w:val="en-US"/>
        </w:rPr>
        <w:t>Supplementary Table S2</w:t>
      </w:r>
      <w:r w:rsidRPr="001D0ADC">
        <w:rPr>
          <w:rFonts w:ascii="Times New Roman" w:hAnsi="Times New Roman" w:cs="Times New Roman"/>
          <w:b/>
          <w:sz w:val="24"/>
          <w:szCs w:val="24"/>
        </w:rPr>
        <w:t>:</w:t>
      </w:r>
      <w:r w:rsidRPr="001D0ADC">
        <w:rPr>
          <w:rFonts w:ascii="Times New Roman" w:hAnsi="Times New Roman" w:cs="Times New Roman"/>
          <w:sz w:val="24"/>
          <w:szCs w:val="24"/>
          <w:lang w:val="en-US"/>
        </w:rPr>
        <w:t xml:space="preserve"> MS/MS parameters and MLOD, MLOQ of pharmaceuticals</w:t>
      </w:r>
    </w:p>
    <w:tbl>
      <w:tblPr>
        <w:tblW w:w="12900" w:type="dxa"/>
        <w:tblInd w:w="-5" w:type="dxa"/>
        <w:tblLayout w:type="fixed"/>
        <w:tblLook w:val="04A0" w:firstRow="1" w:lastRow="0" w:firstColumn="1" w:lastColumn="0" w:noHBand="0" w:noVBand="1"/>
      </w:tblPr>
      <w:tblGrid>
        <w:gridCol w:w="2268"/>
        <w:gridCol w:w="851"/>
        <w:gridCol w:w="1276"/>
        <w:gridCol w:w="1275"/>
        <w:gridCol w:w="1134"/>
        <w:gridCol w:w="1276"/>
        <w:gridCol w:w="2410"/>
        <w:gridCol w:w="1134"/>
        <w:gridCol w:w="1276"/>
      </w:tblGrid>
      <w:tr w:rsidR="001D0ADC" w:rsidRPr="001D0ADC" w14:paraId="784948CF" w14:textId="77777777" w:rsidTr="009B4490">
        <w:trPr>
          <w:trHeight w:val="925"/>
        </w:trPr>
        <w:tc>
          <w:tcPr>
            <w:tcW w:w="2268" w:type="dxa"/>
            <w:tcBorders>
              <w:top w:val="single" w:sz="4" w:space="0" w:color="auto"/>
              <w:left w:val="single" w:sz="4" w:space="0" w:color="auto"/>
              <w:bottom w:val="single" w:sz="4" w:space="0" w:color="auto"/>
              <w:right w:val="single" w:sz="4" w:space="0" w:color="auto"/>
            </w:tcBorders>
            <w:vAlign w:val="center"/>
            <w:hideMark/>
          </w:tcPr>
          <w:p w14:paraId="1B53F6D6"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Analyte</w:t>
            </w:r>
          </w:p>
        </w:tc>
        <w:tc>
          <w:tcPr>
            <w:tcW w:w="851" w:type="dxa"/>
            <w:tcBorders>
              <w:top w:val="single" w:sz="4" w:space="0" w:color="auto"/>
              <w:left w:val="single" w:sz="4" w:space="0" w:color="auto"/>
              <w:bottom w:val="single" w:sz="4" w:space="0" w:color="auto"/>
              <w:right w:val="single" w:sz="4" w:space="0" w:color="auto"/>
            </w:tcBorders>
            <w:vAlign w:val="center"/>
            <w:hideMark/>
          </w:tcPr>
          <w:p w14:paraId="7F3135CC"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Ionization mode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E9CCF2"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Precursor ion (</w:t>
            </w:r>
            <w:r w:rsidRPr="001D0ADC">
              <w:rPr>
                <w:rFonts w:ascii="Times New Roman" w:eastAsia="TimesNewRomanPSMT" w:hAnsi="Times New Roman" w:cs="Times New Roman"/>
                <w:i/>
                <w:iCs/>
                <w:kern w:val="2"/>
                <w:sz w:val="24"/>
                <w:szCs w:val="24"/>
                <w:lang w:val="en-US"/>
                <w14:ligatures w14:val="standardContextual"/>
              </w:rPr>
              <w:t>m/z</w:t>
            </w:r>
            <w:r w:rsidRPr="001D0ADC">
              <w:rPr>
                <w:rFonts w:ascii="Times New Roman" w:eastAsia="TimesNewRomanPSMT" w:hAnsi="Times New Roman" w:cs="Times New Roman"/>
                <w:kern w:val="2"/>
                <w:sz w:val="24"/>
                <w:szCs w:val="24"/>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D6820E1"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Capillary voltage (V)</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C21DBA"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Product ion(s) (</w:t>
            </w:r>
            <w:r w:rsidRPr="001D0ADC">
              <w:rPr>
                <w:rFonts w:ascii="Times New Roman" w:eastAsia="TimesNewRomanPSMT" w:hAnsi="Times New Roman" w:cs="Times New Roman"/>
                <w:i/>
                <w:iCs/>
                <w:kern w:val="2"/>
                <w:sz w:val="24"/>
                <w:szCs w:val="24"/>
                <w:lang w:val="en-US"/>
                <w14:ligatures w14:val="standardContextual"/>
              </w:rPr>
              <w:t>m/z</w:t>
            </w:r>
            <w:r w:rsidRPr="001D0ADC">
              <w:rPr>
                <w:rFonts w:ascii="Times New Roman" w:eastAsia="TimesNewRomanPSMT" w:hAnsi="Times New Roman" w:cs="Times New Roman"/>
                <w:kern w:val="2"/>
                <w:sz w:val="24"/>
                <w:szCs w:val="24"/>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FB0EB5"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Collision energy (eV)</w:t>
            </w:r>
          </w:p>
        </w:tc>
        <w:tc>
          <w:tcPr>
            <w:tcW w:w="2410" w:type="dxa"/>
            <w:tcBorders>
              <w:top w:val="single" w:sz="4" w:space="0" w:color="auto"/>
              <w:left w:val="single" w:sz="4" w:space="0" w:color="auto"/>
              <w:bottom w:val="single" w:sz="4" w:space="0" w:color="auto"/>
              <w:right w:val="single" w:sz="4" w:space="0" w:color="auto"/>
            </w:tcBorders>
            <w:hideMark/>
          </w:tcPr>
          <w:p w14:paraId="0570210E"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Internal standard</w:t>
            </w:r>
          </w:p>
        </w:tc>
        <w:tc>
          <w:tcPr>
            <w:tcW w:w="1134" w:type="dxa"/>
            <w:tcBorders>
              <w:top w:val="single" w:sz="4" w:space="0" w:color="auto"/>
              <w:left w:val="single" w:sz="4" w:space="0" w:color="auto"/>
              <w:bottom w:val="single" w:sz="4" w:space="0" w:color="auto"/>
              <w:right w:val="single" w:sz="4" w:space="0" w:color="auto"/>
            </w:tcBorders>
            <w:hideMark/>
          </w:tcPr>
          <w:p w14:paraId="39B0CDC2"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MLOD ng/mL</w:t>
            </w:r>
          </w:p>
        </w:tc>
        <w:tc>
          <w:tcPr>
            <w:tcW w:w="1276" w:type="dxa"/>
            <w:tcBorders>
              <w:top w:val="single" w:sz="4" w:space="0" w:color="auto"/>
              <w:left w:val="single" w:sz="4" w:space="0" w:color="auto"/>
              <w:bottom w:val="single" w:sz="4" w:space="0" w:color="auto"/>
              <w:right w:val="single" w:sz="4" w:space="0" w:color="auto"/>
            </w:tcBorders>
            <w:hideMark/>
          </w:tcPr>
          <w:p w14:paraId="4ED263BE"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MLOQ ng/mL</w:t>
            </w:r>
          </w:p>
        </w:tc>
      </w:tr>
      <w:tr w:rsidR="001D0ADC" w:rsidRPr="001D0ADC" w14:paraId="6DDA063D" w14:textId="77777777" w:rsidTr="009B4490">
        <w:trPr>
          <w:trHeight w:hRule="exact" w:val="397"/>
        </w:trPr>
        <w:tc>
          <w:tcPr>
            <w:tcW w:w="2268" w:type="dxa"/>
            <w:tcBorders>
              <w:top w:val="single" w:sz="4" w:space="0" w:color="auto"/>
              <w:left w:val="single" w:sz="4" w:space="0" w:color="auto"/>
              <w:bottom w:val="single" w:sz="4" w:space="0" w:color="auto"/>
              <w:right w:val="single" w:sz="4" w:space="0" w:color="auto"/>
            </w:tcBorders>
            <w:vAlign w:val="center"/>
            <w:hideMark/>
          </w:tcPr>
          <w:p w14:paraId="2E7B36C5" w14:textId="77777777" w:rsidR="00E05B1D" w:rsidRPr="001D0ADC" w:rsidRDefault="00E05B1D" w:rsidP="009B4490">
            <w:pPr>
              <w:autoSpaceDE w:val="0"/>
              <w:autoSpaceDN w:val="0"/>
              <w:adjustRightInd w:val="0"/>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Acetaminophen</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F0E9ED"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4AF215"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152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635BFF5"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11F9E9"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110. 93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AD5B0D"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15. 25</w:t>
            </w:r>
          </w:p>
        </w:tc>
        <w:tc>
          <w:tcPr>
            <w:tcW w:w="2410" w:type="dxa"/>
            <w:tcBorders>
              <w:top w:val="single" w:sz="4" w:space="0" w:color="auto"/>
              <w:left w:val="single" w:sz="4" w:space="0" w:color="auto"/>
              <w:bottom w:val="single" w:sz="4" w:space="0" w:color="auto"/>
              <w:right w:val="single" w:sz="4" w:space="0" w:color="auto"/>
            </w:tcBorders>
            <w:hideMark/>
          </w:tcPr>
          <w:p w14:paraId="108AE1C9"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d4 Acetaminophen</w:t>
            </w:r>
          </w:p>
        </w:tc>
        <w:tc>
          <w:tcPr>
            <w:tcW w:w="1134" w:type="dxa"/>
            <w:tcBorders>
              <w:top w:val="single" w:sz="4" w:space="0" w:color="auto"/>
              <w:left w:val="single" w:sz="4" w:space="0" w:color="auto"/>
              <w:bottom w:val="single" w:sz="4" w:space="0" w:color="auto"/>
              <w:right w:val="single" w:sz="4" w:space="0" w:color="auto"/>
            </w:tcBorders>
            <w:hideMark/>
          </w:tcPr>
          <w:p w14:paraId="3B048A40"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0.2</w:t>
            </w:r>
          </w:p>
        </w:tc>
        <w:tc>
          <w:tcPr>
            <w:tcW w:w="1276" w:type="dxa"/>
            <w:tcBorders>
              <w:top w:val="single" w:sz="4" w:space="0" w:color="auto"/>
              <w:left w:val="single" w:sz="4" w:space="0" w:color="auto"/>
              <w:bottom w:val="single" w:sz="4" w:space="0" w:color="auto"/>
              <w:right w:val="single" w:sz="4" w:space="0" w:color="auto"/>
            </w:tcBorders>
            <w:hideMark/>
          </w:tcPr>
          <w:p w14:paraId="383895DD"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0.5</w:t>
            </w:r>
          </w:p>
        </w:tc>
      </w:tr>
      <w:tr w:rsidR="001D0ADC" w:rsidRPr="001D0ADC" w14:paraId="4C48A751" w14:textId="77777777" w:rsidTr="009B4490">
        <w:trPr>
          <w:trHeight w:hRule="exact" w:val="505"/>
        </w:trPr>
        <w:tc>
          <w:tcPr>
            <w:tcW w:w="2268" w:type="dxa"/>
            <w:tcBorders>
              <w:top w:val="single" w:sz="4" w:space="0" w:color="auto"/>
              <w:left w:val="single" w:sz="4" w:space="0" w:color="auto"/>
              <w:bottom w:val="single" w:sz="4" w:space="0" w:color="auto"/>
              <w:right w:val="single" w:sz="4" w:space="0" w:color="auto"/>
            </w:tcBorders>
            <w:vAlign w:val="center"/>
            <w:hideMark/>
          </w:tcPr>
          <w:p w14:paraId="602E52E3" w14:textId="77777777" w:rsidR="00E05B1D" w:rsidRPr="001D0ADC" w:rsidRDefault="00E05B1D" w:rsidP="009B4490">
            <w:pP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Carbamazepine</w:t>
            </w:r>
          </w:p>
        </w:tc>
        <w:tc>
          <w:tcPr>
            <w:tcW w:w="851" w:type="dxa"/>
            <w:tcBorders>
              <w:top w:val="single" w:sz="4" w:space="0" w:color="auto"/>
              <w:left w:val="single" w:sz="4" w:space="0" w:color="auto"/>
              <w:bottom w:val="single" w:sz="4" w:space="0" w:color="auto"/>
              <w:right w:val="single" w:sz="4" w:space="0" w:color="auto"/>
            </w:tcBorders>
            <w:vAlign w:val="center"/>
            <w:hideMark/>
          </w:tcPr>
          <w:p w14:paraId="6C2EAAB3"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55785DE"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237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9B784C5"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6D3B5B"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194. 179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8AD7F7"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20. 30</w:t>
            </w:r>
          </w:p>
        </w:tc>
        <w:tc>
          <w:tcPr>
            <w:tcW w:w="2410" w:type="dxa"/>
            <w:tcBorders>
              <w:top w:val="single" w:sz="4" w:space="0" w:color="auto"/>
              <w:left w:val="single" w:sz="4" w:space="0" w:color="auto"/>
              <w:bottom w:val="single" w:sz="4" w:space="0" w:color="auto"/>
              <w:right w:val="single" w:sz="4" w:space="0" w:color="auto"/>
            </w:tcBorders>
            <w:hideMark/>
          </w:tcPr>
          <w:p w14:paraId="0E8C0AA1"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13C6 Carbamazepine</w:t>
            </w:r>
          </w:p>
        </w:tc>
        <w:tc>
          <w:tcPr>
            <w:tcW w:w="1134" w:type="dxa"/>
            <w:tcBorders>
              <w:top w:val="single" w:sz="4" w:space="0" w:color="auto"/>
              <w:left w:val="single" w:sz="4" w:space="0" w:color="auto"/>
              <w:bottom w:val="single" w:sz="4" w:space="0" w:color="auto"/>
              <w:right w:val="single" w:sz="4" w:space="0" w:color="auto"/>
            </w:tcBorders>
            <w:hideMark/>
          </w:tcPr>
          <w:p w14:paraId="2D808B8B"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0.2</w:t>
            </w:r>
          </w:p>
        </w:tc>
        <w:tc>
          <w:tcPr>
            <w:tcW w:w="1276" w:type="dxa"/>
            <w:tcBorders>
              <w:top w:val="single" w:sz="4" w:space="0" w:color="auto"/>
              <w:left w:val="single" w:sz="4" w:space="0" w:color="auto"/>
              <w:bottom w:val="single" w:sz="4" w:space="0" w:color="auto"/>
              <w:right w:val="single" w:sz="4" w:space="0" w:color="auto"/>
            </w:tcBorders>
            <w:hideMark/>
          </w:tcPr>
          <w:p w14:paraId="37763128"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0.5</w:t>
            </w:r>
          </w:p>
        </w:tc>
      </w:tr>
      <w:tr w:rsidR="001D0ADC" w:rsidRPr="001D0ADC" w14:paraId="300755F6" w14:textId="77777777" w:rsidTr="009B4490">
        <w:trPr>
          <w:trHeight w:hRule="exact" w:val="397"/>
        </w:trPr>
        <w:tc>
          <w:tcPr>
            <w:tcW w:w="2268" w:type="dxa"/>
            <w:tcBorders>
              <w:top w:val="single" w:sz="4" w:space="0" w:color="auto"/>
              <w:left w:val="single" w:sz="4" w:space="0" w:color="auto"/>
              <w:bottom w:val="single" w:sz="4" w:space="0" w:color="auto"/>
              <w:right w:val="single" w:sz="4" w:space="0" w:color="auto"/>
            </w:tcBorders>
            <w:vAlign w:val="center"/>
            <w:hideMark/>
          </w:tcPr>
          <w:p w14:paraId="1A47BBD3" w14:textId="77777777" w:rsidR="00E05B1D" w:rsidRPr="001D0ADC" w:rsidRDefault="00E05B1D" w:rsidP="009B4490">
            <w:pP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Ciprofloxacin</w:t>
            </w:r>
          </w:p>
        </w:tc>
        <w:tc>
          <w:tcPr>
            <w:tcW w:w="851" w:type="dxa"/>
            <w:tcBorders>
              <w:top w:val="single" w:sz="4" w:space="0" w:color="auto"/>
              <w:left w:val="single" w:sz="4" w:space="0" w:color="auto"/>
              <w:bottom w:val="single" w:sz="4" w:space="0" w:color="auto"/>
              <w:right w:val="single" w:sz="4" w:space="0" w:color="auto"/>
            </w:tcBorders>
            <w:hideMark/>
          </w:tcPr>
          <w:p w14:paraId="4CFD489F"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D7D3BB"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332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E269DA"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40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039D86"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314. 288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BEE28A"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18. 14</w:t>
            </w:r>
          </w:p>
        </w:tc>
        <w:tc>
          <w:tcPr>
            <w:tcW w:w="2410" w:type="dxa"/>
            <w:tcBorders>
              <w:top w:val="single" w:sz="4" w:space="0" w:color="auto"/>
              <w:left w:val="single" w:sz="4" w:space="0" w:color="auto"/>
              <w:bottom w:val="single" w:sz="4" w:space="0" w:color="auto"/>
              <w:right w:val="single" w:sz="4" w:space="0" w:color="auto"/>
            </w:tcBorders>
            <w:hideMark/>
          </w:tcPr>
          <w:p w14:paraId="0D059F34"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d4 Sulfamethoxazole</w:t>
            </w:r>
          </w:p>
        </w:tc>
        <w:tc>
          <w:tcPr>
            <w:tcW w:w="1134" w:type="dxa"/>
            <w:tcBorders>
              <w:top w:val="single" w:sz="4" w:space="0" w:color="auto"/>
              <w:left w:val="single" w:sz="4" w:space="0" w:color="auto"/>
              <w:bottom w:val="single" w:sz="4" w:space="0" w:color="auto"/>
              <w:right w:val="single" w:sz="4" w:space="0" w:color="auto"/>
            </w:tcBorders>
            <w:hideMark/>
          </w:tcPr>
          <w:p w14:paraId="2BB943EA"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0.2</w:t>
            </w:r>
          </w:p>
        </w:tc>
        <w:tc>
          <w:tcPr>
            <w:tcW w:w="1276" w:type="dxa"/>
            <w:tcBorders>
              <w:top w:val="single" w:sz="4" w:space="0" w:color="auto"/>
              <w:left w:val="single" w:sz="4" w:space="0" w:color="auto"/>
              <w:bottom w:val="single" w:sz="4" w:space="0" w:color="auto"/>
              <w:right w:val="single" w:sz="4" w:space="0" w:color="auto"/>
            </w:tcBorders>
            <w:hideMark/>
          </w:tcPr>
          <w:p w14:paraId="7D6F406B"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0.5</w:t>
            </w:r>
          </w:p>
        </w:tc>
      </w:tr>
      <w:tr w:rsidR="001D0ADC" w:rsidRPr="001D0ADC" w14:paraId="6CA0E629" w14:textId="77777777" w:rsidTr="009B4490">
        <w:trPr>
          <w:trHeight w:hRule="exact" w:val="462"/>
        </w:trPr>
        <w:tc>
          <w:tcPr>
            <w:tcW w:w="2268" w:type="dxa"/>
            <w:tcBorders>
              <w:top w:val="single" w:sz="4" w:space="0" w:color="auto"/>
              <w:left w:val="single" w:sz="4" w:space="0" w:color="auto"/>
              <w:bottom w:val="single" w:sz="4" w:space="0" w:color="auto"/>
              <w:right w:val="single" w:sz="4" w:space="0" w:color="auto"/>
            </w:tcBorders>
            <w:vAlign w:val="center"/>
            <w:hideMark/>
          </w:tcPr>
          <w:p w14:paraId="24799968" w14:textId="77777777" w:rsidR="00E05B1D" w:rsidRPr="001D0ADC" w:rsidRDefault="00E05B1D" w:rsidP="009B4490">
            <w:pP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Clofibric acid</w:t>
            </w:r>
          </w:p>
        </w:tc>
        <w:tc>
          <w:tcPr>
            <w:tcW w:w="851" w:type="dxa"/>
            <w:tcBorders>
              <w:top w:val="single" w:sz="4" w:space="0" w:color="auto"/>
              <w:left w:val="single" w:sz="4" w:space="0" w:color="auto"/>
              <w:bottom w:val="single" w:sz="4" w:space="0" w:color="auto"/>
              <w:right w:val="single" w:sz="4" w:space="0" w:color="auto"/>
            </w:tcBorders>
            <w:hideMark/>
          </w:tcPr>
          <w:p w14:paraId="67FEF8DB"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9DCDBD"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213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EA9FE2"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045ADF"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85. 127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1EF893"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10. 17</w:t>
            </w:r>
          </w:p>
        </w:tc>
        <w:tc>
          <w:tcPr>
            <w:tcW w:w="2410" w:type="dxa"/>
            <w:tcBorders>
              <w:top w:val="single" w:sz="4" w:space="0" w:color="auto"/>
              <w:left w:val="single" w:sz="4" w:space="0" w:color="auto"/>
              <w:bottom w:val="single" w:sz="4" w:space="0" w:color="auto"/>
              <w:right w:val="single" w:sz="4" w:space="0" w:color="auto"/>
            </w:tcBorders>
            <w:hideMark/>
          </w:tcPr>
          <w:p w14:paraId="0832F7E5"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d3 Ibuprofen</w:t>
            </w:r>
          </w:p>
        </w:tc>
        <w:tc>
          <w:tcPr>
            <w:tcW w:w="1134" w:type="dxa"/>
            <w:tcBorders>
              <w:top w:val="single" w:sz="4" w:space="0" w:color="auto"/>
              <w:left w:val="single" w:sz="4" w:space="0" w:color="auto"/>
              <w:bottom w:val="single" w:sz="4" w:space="0" w:color="auto"/>
              <w:right w:val="single" w:sz="4" w:space="0" w:color="auto"/>
            </w:tcBorders>
            <w:hideMark/>
          </w:tcPr>
          <w:p w14:paraId="265CD386"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0.2</w:t>
            </w:r>
          </w:p>
        </w:tc>
        <w:tc>
          <w:tcPr>
            <w:tcW w:w="1276" w:type="dxa"/>
            <w:tcBorders>
              <w:top w:val="single" w:sz="4" w:space="0" w:color="auto"/>
              <w:left w:val="single" w:sz="4" w:space="0" w:color="auto"/>
              <w:bottom w:val="single" w:sz="4" w:space="0" w:color="auto"/>
              <w:right w:val="single" w:sz="4" w:space="0" w:color="auto"/>
            </w:tcBorders>
            <w:hideMark/>
          </w:tcPr>
          <w:p w14:paraId="522B9285"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0.5</w:t>
            </w:r>
          </w:p>
        </w:tc>
      </w:tr>
      <w:tr w:rsidR="001D0ADC" w:rsidRPr="001D0ADC" w14:paraId="3636ACB4" w14:textId="77777777" w:rsidTr="009B4490">
        <w:trPr>
          <w:trHeight w:hRule="exact" w:val="397"/>
        </w:trPr>
        <w:tc>
          <w:tcPr>
            <w:tcW w:w="2268" w:type="dxa"/>
            <w:tcBorders>
              <w:top w:val="single" w:sz="4" w:space="0" w:color="auto"/>
              <w:left w:val="single" w:sz="4" w:space="0" w:color="auto"/>
              <w:bottom w:val="single" w:sz="4" w:space="0" w:color="auto"/>
              <w:right w:val="single" w:sz="4" w:space="0" w:color="auto"/>
            </w:tcBorders>
            <w:vAlign w:val="center"/>
            <w:hideMark/>
          </w:tcPr>
          <w:p w14:paraId="73AA97AC" w14:textId="77777777" w:rsidR="00E05B1D" w:rsidRPr="001D0ADC" w:rsidRDefault="00E05B1D" w:rsidP="009B4490">
            <w:pP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Diclofenac</w:t>
            </w:r>
          </w:p>
        </w:tc>
        <w:tc>
          <w:tcPr>
            <w:tcW w:w="851" w:type="dxa"/>
            <w:tcBorders>
              <w:top w:val="single" w:sz="4" w:space="0" w:color="auto"/>
              <w:left w:val="single" w:sz="4" w:space="0" w:color="auto"/>
              <w:bottom w:val="single" w:sz="4" w:space="0" w:color="auto"/>
              <w:right w:val="single" w:sz="4" w:space="0" w:color="auto"/>
            </w:tcBorders>
            <w:vAlign w:val="center"/>
            <w:hideMark/>
          </w:tcPr>
          <w:p w14:paraId="72898729"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131C78"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296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537E2B6"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014604"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E808DA"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32</w:t>
            </w:r>
          </w:p>
        </w:tc>
        <w:tc>
          <w:tcPr>
            <w:tcW w:w="2410" w:type="dxa"/>
            <w:tcBorders>
              <w:top w:val="single" w:sz="4" w:space="0" w:color="auto"/>
              <w:left w:val="single" w:sz="4" w:space="0" w:color="auto"/>
              <w:bottom w:val="single" w:sz="4" w:space="0" w:color="auto"/>
              <w:right w:val="single" w:sz="4" w:space="0" w:color="auto"/>
            </w:tcBorders>
            <w:hideMark/>
          </w:tcPr>
          <w:p w14:paraId="7BA887B5"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13C6 Carbamazepine</w:t>
            </w:r>
          </w:p>
        </w:tc>
        <w:tc>
          <w:tcPr>
            <w:tcW w:w="1134" w:type="dxa"/>
            <w:tcBorders>
              <w:top w:val="single" w:sz="4" w:space="0" w:color="auto"/>
              <w:left w:val="single" w:sz="4" w:space="0" w:color="auto"/>
              <w:bottom w:val="single" w:sz="4" w:space="0" w:color="auto"/>
              <w:right w:val="single" w:sz="4" w:space="0" w:color="auto"/>
            </w:tcBorders>
            <w:hideMark/>
          </w:tcPr>
          <w:p w14:paraId="0B6B15E8"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0.2</w:t>
            </w:r>
          </w:p>
        </w:tc>
        <w:tc>
          <w:tcPr>
            <w:tcW w:w="1276" w:type="dxa"/>
            <w:tcBorders>
              <w:top w:val="single" w:sz="4" w:space="0" w:color="auto"/>
              <w:left w:val="single" w:sz="4" w:space="0" w:color="auto"/>
              <w:bottom w:val="single" w:sz="4" w:space="0" w:color="auto"/>
              <w:right w:val="single" w:sz="4" w:space="0" w:color="auto"/>
            </w:tcBorders>
            <w:hideMark/>
          </w:tcPr>
          <w:p w14:paraId="26340F2B"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0.5</w:t>
            </w:r>
          </w:p>
        </w:tc>
      </w:tr>
      <w:tr w:rsidR="001D0ADC" w:rsidRPr="001D0ADC" w14:paraId="23AE6EAC" w14:textId="77777777" w:rsidTr="009B4490">
        <w:trPr>
          <w:trHeight w:hRule="exact" w:val="627"/>
        </w:trPr>
        <w:tc>
          <w:tcPr>
            <w:tcW w:w="2268" w:type="dxa"/>
            <w:tcBorders>
              <w:top w:val="single" w:sz="4" w:space="0" w:color="auto"/>
              <w:left w:val="single" w:sz="4" w:space="0" w:color="auto"/>
              <w:bottom w:val="single" w:sz="4" w:space="0" w:color="auto"/>
              <w:right w:val="single" w:sz="4" w:space="0" w:color="auto"/>
            </w:tcBorders>
            <w:vAlign w:val="center"/>
            <w:hideMark/>
          </w:tcPr>
          <w:p w14:paraId="6A8C4530" w14:textId="77777777" w:rsidR="00E05B1D" w:rsidRPr="001D0ADC" w:rsidRDefault="00E05B1D" w:rsidP="009B4490">
            <w:pP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Hydrochlorothiazide</w:t>
            </w:r>
          </w:p>
        </w:tc>
        <w:tc>
          <w:tcPr>
            <w:tcW w:w="851" w:type="dxa"/>
            <w:tcBorders>
              <w:top w:val="single" w:sz="4" w:space="0" w:color="auto"/>
              <w:left w:val="single" w:sz="4" w:space="0" w:color="auto"/>
              <w:bottom w:val="single" w:sz="4" w:space="0" w:color="auto"/>
              <w:right w:val="single" w:sz="4" w:space="0" w:color="auto"/>
            </w:tcBorders>
            <w:vAlign w:val="center"/>
            <w:hideMark/>
          </w:tcPr>
          <w:p w14:paraId="22472D70"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FA6E3DA"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296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7FE495"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70FF6C"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205. 269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039D29"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20. 20</w:t>
            </w:r>
          </w:p>
        </w:tc>
        <w:tc>
          <w:tcPr>
            <w:tcW w:w="2410" w:type="dxa"/>
            <w:tcBorders>
              <w:top w:val="single" w:sz="4" w:space="0" w:color="auto"/>
              <w:left w:val="single" w:sz="4" w:space="0" w:color="auto"/>
              <w:bottom w:val="single" w:sz="4" w:space="0" w:color="auto"/>
              <w:right w:val="single" w:sz="4" w:space="0" w:color="auto"/>
            </w:tcBorders>
            <w:hideMark/>
          </w:tcPr>
          <w:p w14:paraId="54B1204F"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d3 Ibuprofen</w:t>
            </w:r>
          </w:p>
        </w:tc>
        <w:tc>
          <w:tcPr>
            <w:tcW w:w="1134" w:type="dxa"/>
            <w:tcBorders>
              <w:top w:val="single" w:sz="4" w:space="0" w:color="auto"/>
              <w:left w:val="single" w:sz="4" w:space="0" w:color="auto"/>
              <w:bottom w:val="single" w:sz="4" w:space="0" w:color="auto"/>
              <w:right w:val="single" w:sz="4" w:space="0" w:color="auto"/>
            </w:tcBorders>
            <w:hideMark/>
          </w:tcPr>
          <w:p w14:paraId="2A315EA0"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0.2</w:t>
            </w:r>
          </w:p>
        </w:tc>
        <w:tc>
          <w:tcPr>
            <w:tcW w:w="1276" w:type="dxa"/>
            <w:tcBorders>
              <w:top w:val="single" w:sz="4" w:space="0" w:color="auto"/>
              <w:left w:val="single" w:sz="4" w:space="0" w:color="auto"/>
              <w:bottom w:val="single" w:sz="4" w:space="0" w:color="auto"/>
              <w:right w:val="single" w:sz="4" w:space="0" w:color="auto"/>
            </w:tcBorders>
            <w:hideMark/>
          </w:tcPr>
          <w:p w14:paraId="4307F77E"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0.5</w:t>
            </w:r>
          </w:p>
        </w:tc>
      </w:tr>
      <w:tr w:rsidR="001D0ADC" w:rsidRPr="001D0ADC" w14:paraId="51CDCA81" w14:textId="77777777" w:rsidTr="009B4490">
        <w:trPr>
          <w:trHeight w:hRule="exact" w:val="397"/>
        </w:trPr>
        <w:tc>
          <w:tcPr>
            <w:tcW w:w="2268" w:type="dxa"/>
            <w:tcBorders>
              <w:top w:val="single" w:sz="4" w:space="0" w:color="auto"/>
              <w:left w:val="single" w:sz="4" w:space="0" w:color="auto"/>
              <w:bottom w:val="single" w:sz="4" w:space="0" w:color="auto"/>
              <w:right w:val="single" w:sz="4" w:space="0" w:color="auto"/>
            </w:tcBorders>
            <w:vAlign w:val="center"/>
            <w:hideMark/>
          </w:tcPr>
          <w:p w14:paraId="75D8846A" w14:textId="77777777" w:rsidR="00E05B1D" w:rsidRPr="001D0ADC" w:rsidRDefault="00E05B1D" w:rsidP="009B4490">
            <w:pP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Ibuprofen</w:t>
            </w:r>
          </w:p>
        </w:tc>
        <w:tc>
          <w:tcPr>
            <w:tcW w:w="851" w:type="dxa"/>
            <w:tcBorders>
              <w:top w:val="single" w:sz="4" w:space="0" w:color="auto"/>
              <w:left w:val="single" w:sz="4" w:space="0" w:color="auto"/>
              <w:bottom w:val="single" w:sz="4" w:space="0" w:color="auto"/>
              <w:right w:val="single" w:sz="4" w:space="0" w:color="auto"/>
            </w:tcBorders>
            <w:vAlign w:val="center"/>
            <w:hideMark/>
          </w:tcPr>
          <w:p w14:paraId="0E5CBEBD"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0DFF40"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205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F0602A2"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9FC628"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159. 161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081ED69"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10. 8</w:t>
            </w:r>
          </w:p>
        </w:tc>
        <w:tc>
          <w:tcPr>
            <w:tcW w:w="2410" w:type="dxa"/>
            <w:tcBorders>
              <w:top w:val="single" w:sz="4" w:space="0" w:color="auto"/>
              <w:left w:val="single" w:sz="4" w:space="0" w:color="auto"/>
              <w:bottom w:val="single" w:sz="4" w:space="0" w:color="auto"/>
              <w:right w:val="single" w:sz="4" w:space="0" w:color="auto"/>
            </w:tcBorders>
            <w:hideMark/>
          </w:tcPr>
          <w:p w14:paraId="037D98CF"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d3 Ibuprofen</w:t>
            </w:r>
          </w:p>
        </w:tc>
        <w:tc>
          <w:tcPr>
            <w:tcW w:w="1134" w:type="dxa"/>
            <w:tcBorders>
              <w:top w:val="single" w:sz="4" w:space="0" w:color="auto"/>
              <w:left w:val="single" w:sz="4" w:space="0" w:color="auto"/>
              <w:bottom w:val="single" w:sz="4" w:space="0" w:color="auto"/>
              <w:right w:val="single" w:sz="4" w:space="0" w:color="auto"/>
            </w:tcBorders>
            <w:hideMark/>
          </w:tcPr>
          <w:p w14:paraId="045BF181"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0.2</w:t>
            </w:r>
          </w:p>
        </w:tc>
        <w:tc>
          <w:tcPr>
            <w:tcW w:w="1276" w:type="dxa"/>
            <w:tcBorders>
              <w:top w:val="single" w:sz="4" w:space="0" w:color="auto"/>
              <w:left w:val="single" w:sz="4" w:space="0" w:color="auto"/>
              <w:bottom w:val="single" w:sz="4" w:space="0" w:color="auto"/>
              <w:right w:val="single" w:sz="4" w:space="0" w:color="auto"/>
            </w:tcBorders>
            <w:hideMark/>
          </w:tcPr>
          <w:p w14:paraId="564C8D19"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0.5</w:t>
            </w:r>
          </w:p>
        </w:tc>
      </w:tr>
      <w:tr w:rsidR="001D0ADC" w:rsidRPr="001D0ADC" w14:paraId="7E36D464" w14:textId="77777777" w:rsidTr="009B4490">
        <w:trPr>
          <w:trHeight w:hRule="exact" w:val="681"/>
        </w:trPr>
        <w:tc>
          <w:tcPr>
            <w:tcW w:w="2268" w:type="dxa"/>
            <w:tcBorders>
              <w:top w:val="single" w:sz="4" w:space="0" w:color="auto"/>
              <w:left w:val="single" w:sz="4" w:space="0" w:color="auto"/>
              <w:bottom w:val="single" w:sz="4" w:space="0" w:color="auto"/>
              <w:right w:val="single" w:sz="4" w:space="0" w:color="auto"/>
            </w:tcBorders>
            <w:vAlign w:val="center"/>
            <w:hideMark/>
          </w:tcPr>
          <w:p w14:paraId="5EDE8935" w14:textId="77777777" w:rsidR="00E05B1D" w:rsidRPr="001D0ADC" w:rsidRDefault="00E05B1D" w:rsidP="009B4490">
            <w:pP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Sulfamethoxazole</w:t>
            </w:r>
          </w:p>
        </w:tc>
        <w:tc>
          <w:tcPr>
            <w:tcW w:w="851" w:type="dxa"/>
            <w:tcBorders>
              <w:top w:val="single" w:sz="4" w:space="0" w:color="auto"/>
              <w:left w:val="single" w:sz="4" w:space="0" w:color="auto"/>
              <w:bottom w:val="single" w:sz="4" w:space="0" w:color="auto"/>
              <w:right w:val="single" w:sz="4" w:space="0" w:color="auto"/>
            </w:tcBorders>
            <w:vAlign w:val="center"/>
            <w:hideMark/>
          </w:tcPr>
          <w:p w14:paraId="1A42A7FF"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33B124"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254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C1F5AD6"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ECBCC0"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156. 92.108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A11F913"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eastAsia="TimesNewRomanPSMT" w:hAnsi="Times New Roman" w:cs="Times New Roman"/>
                <w:kern w:val="2"/>
                <w:sz w:val="24"/>
                <w:szCs w:val="24"/>
                <w:lang w:val="en-US"/>
                <w14:ligatures w14:val="standardContextual"/>
              </w:rPr>
              <w:t>16. 26. 20</w:t>
            </w:r>
          </w:p>
        </w:tc>
        <w:tc>
          <w:tcPr>
            <w:tcW w:w="2410" w:type="dxa"/>
            <w:tcBorders>
              <w:top w:val="single" w:sz="4" w:space="0" w:color="auto"/>
              <w:left w:val="single" w:sz="4" w:space="0" w:color="auto"/>
              <w:bottom w:val="single" w:sz="4" w:space="0" w:color="auto"/>
              <w:right w:val="single" w:sz="4" w:space="0" w:color="auto"/>
            </w:tcBorders>
            <w:hideMark/>
          </w:tcPr>
          <w:p w14:paraId="4E8D3A40"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d4 Sulfamethoxazole</w:t>
            </w:r>
          </w:p>
        </w:tc>
        <w:tc>
          <w:tcPr>
            <w:tcW w:w="1134" w:type="dxa"/>
            <w:tcBorders>
              <w:top w:val="single" w:sz="4" w:space="0" w:color="auto"/>
              <w:left w:val="single" w:sz="4" w:space="0" w:color="auto"/>
              <w:bottom w:val="single" w:sz="4" w:space="0" w:color="auto"/>
              <w:right w:val="single" w:sz="4" w:space="0" w:color="auto"/>
            </w:tcBorders>
            <w:hideMark/>
          </w:tcPr>
          <w:p w14:paraId="1B0075C1"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0.2</w:t>
            </w:r>
          </w:p>
        </w:tc>
        <w:tc>
          <w:tcPr>
            <w:tcW w:w="1276" w:type="dxa"/>
            <w:tcBorders>
              <w:top w:val="single" w:sz="4" w:space="0" w:color="auto"/>
              <w:left w:val="single" w:sz="4" w:space="0" w:color="auto"/>
              <w:bottom w:val="single" w:sz="4" w:space="0" w:color="auto"/>
              <w:right w:val="single" w:sz="4" w:space="0" w:color="auto"/>
            </w:tcBorders>
            <w:hideMark/>
          </w:tcPr>
          <w:p w14:paraId="7BB2320B" w14:textId="77777777" w:rsidR="00E05B1D" w:rsidRPr="001D0ADC" w:rsidRDefault="00E05B1D" w:rsidP="009B4490">
            <w:pPr>
              <w:autoSpaceDE w:val="0"/>
              <w:autoSpaceDN w:val="0"/>
              <w:adjustRightInd w:val="0"/>
              <w:jc w:val="center"/>
              <w:rPr>
                <w:rFonts w:ascii="Times New Roman" w:hAnsi="Times New Roman" w:cs="Times New Roman"/>
                <w:kern w:val="2"/>
                <w:sz w:val="24"/>
                <w:szCs w:val="24"/>
                <w:lang w:val="en-US"/>
                <w14:ligatures w14:val="standardContextual"/>
              </w:rPr>
            </w:pPr>
            <w:r w:rsidRPr="001D0ADC">
              <w:rPr>
                <w:rFonts w:ascii="Times New Roman" w:hAnsi="Times New Roman" w:cs="Times New Roman"/>
                <w:kern w:val="2"/>
                <w:sz w:val="24"/>
                <w:szCs w:val="24"/>
                <w:lang w:val="en-US"/>
                <w14:ligatures w14:val="standardContextual"/>
              </w:rPr>
              <w:t>0.5</w:t>
            </w:r>
          </w:p>
        </w:tc>
      </w:tr>
      <w:tr w:rsidR="001D0ADC" w:rsidRPr="001D0ADC" w14:paraId="0B7B4360" w14:textId="77777777" w:rsidTr="009B4490">
        <w:trPr>
          <w:trHeight w:hRule="exact" w:val="468"/>
        </w:trPr>
        <w:tc>
          <w:tcPr>
            <w:tcW w:w="2268" w:type="dxa"/>
            <w:tcBorders>
              <w:top w:val="single" w:sz="4" w:space="0" w:color="auto"/>
              <w:left w:val="single" w:sz="4" w:space="0" w:color="auto"/>
              <w:bottom w:val="single" w:sz="4" w:space="0" w:color="auto"/>
              <w:right w:val="single" w:sz="4" w:space="0" w:color="auto"/>
            </w:tcBorders>
            <w:vAlign w:val="center"/>
          </w:tcPr>
          <w:p w14:paraId="187EFF09" w14:textId="77777777" w:rsidR="00E05B1D" w:rsidRPr="001D0ADC" w:rsidRDefault="00E05B1D" w:rsidP="009B4490">
            <w:pPr>
              <w:rPr>
                <w:rFonts w:ascii="Times New Roman" w:hAnsi="Times New Roman" w:cs="Times New Roman"/>
                <w:kern w:val="2"/>
                <w:sz w:val="24"/>
                <w:szCs w:val="24"/>
                <w:lang w:val="en-US"/>
                <w14:ligatures w14:val="standardContextual"/>
              </w:rPr>
            </w:pPr>
          </w:p>
        </w:tc>
        <w:tc>
          <w:tcPr>
            <w:tcW w:w="851" w:type="dxa"/>
            <w:tcBorders>
              <w:top w:val="single" w:sz="4" w:space="0" w:color="auto"/>
              <w:left w:val="single" w:sz="4" w:space="0" w:color="auto"/>
              <w:bottom w:val="single" w:sz="4" w:space="0" w:color="auto"/>
              <w:right w:val="single" w:sz="4" w:space="0" w:color="auto"/>
            </w:tcBorders>
          </w:tcPr>
          <w:p w14:paraId="5B0AB5BD"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p>
        </w:tc>
        <w:tc>
          <w:tcPr>
            <w:tcW w:w="1276" w:type="dxa"/>
            <w:tcBorders>
              <w:top w:val="single" w:sz="4" w:space="0" w:color="auto"/>
              <w:left w:val="single" w:sz="4" w:space="0" w:color="auto"/>
              <w:bottom w:val="single" w:sz="4" w:space="0" w:color="auto"/>
              <w:right w:val="single" w:sz="4" w:space="0" w:color="auto"/>
            </w:tcBorders>
            <w:vAlign w:val="center"/>
          </w:tcPr>
          <w:p w14:paraId="44EAF9B6"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057AA418"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tcPr>
          <w:p w14:paraId="4CF5F28D"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p>
        </w:tc>
        <w:tc>
          <w:tcPr>
            <w:tcW w:w="1276" w:type="dxa"/>
            <w:tcBorders>
              <w:top w:val="single" w:sz="4" w:space="0" w:color="auto"/>
              <w:left w:val="single" w:sz="4" w:space="0" w:color="auto"/>
              <w:bottom w:val="single" w:sz="4" w:space="0" w:color="auto"/>
              <w:right w:val="single" w:sz="4" w:space="0" w:color="auto"/>
            </w:tcBorders>
            <w:vAlign w:val="center"/>
          </w:tcPr>
          <w:p w14:paraId="1266F027"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1217D559"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37606E41"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097292ED" w14:textId="77777777" w:rsidR="00E05B1D" w:rsidRPr="001D0ADC" w:rsidRDefault="00E05B1D" w:rsidP="009B4490">
            <w:pPr>
              <w:autoSpaceDE w:val="0"/>
              <w:autoSpaceDN w:val="0"/>
              <w:adjustRightInd w:val="0"/>
              <w:jc w:val="center"/>
              <w:rPr>
                <w:rFonts w:ascii="Times New Roman" w:eastAsia="TimesNewRomanPSMT" w:hAnsi="Times New Roman" w:cs="Times New Roman"/>
                <w:kern w:val="2"/>
                <w:sz w:val="24"/>
                <w:szCs w:val="24"/>
                <w:lang w:val="en-US"/>
                <w14:ligatures w14:val="standardContextual"/>
              </w:rPr>
            </w:pPr>
          </w:p>
        </w:tc>
      </w:tr>
      <w:tr w:rsidR="001D0ADC" w:rsidRPr="001D0ADC" w14:paraId="4FC9C004" w14:textId="77777777" w:rsidTr="009B4490">
        <w:trPr>
          <w:trHeight w:hRule="exact" w:val="591"/>
        </w:trPr>
        <w:tc>
          <w:tcPr>
            <w:tcW w:w="2268" w:type="dxa"/>
            <w:tcBorders>
              <w:top w:val="single" w:sz="4" w:space="0" w:color="auto"/>
              <w:left w:val="single" w:sz="4" w:space="0" w:color="auto"/>
              <w:bottom w:val="single" w:sz="4" w:space="0" w:color="auto"/>
              <w:right w:val="single" w:sz="4" w:space="0" w:color="auto"/>
            </w:tcBorders>
            <w:vAlign w:val="center"/>
            <w:hideMark/>
          </w:tcPr>
          <w:p w14:paraId="12D472F9" w14:textId="77777777" w:rsidR="00E05B1D" w:rsidRPr="001D0ADC" w:rsidRDefault="00E05B1D" w:rsidP="009B4490">
            <w:pPr>
              <w:rPr>
                <w:rFonts w:ascii="Times New Roman" w:hAnsi="Times New Roman" w:cs="Times New Roman"/>
                <w:i/>
                <w:iCs/>
                <w:kern w:val="2"/>
                <w:sz w:val="24"/>
                <w:szCs w:val="24"/>
                <w:lang w:val="en-US"/>
                <w14:ligatures w14:val="standardContextual"/>
              </w:rPr>
            </w:pPr>
            <w:r w:rsidRPr="001D0ADC">
              <w:rPr>
                <w:rFonts w:ascii="Times New Roman" w:hAnsi="Times New Roman" w:cs="Times New Roman"/>
                <w:i/>
                <w:iCs/>
                <w:kern w:val="2"/>
                <w:sz w:val="24"/>
                <w:szCs w:val="24"/>
                <w:lang w:val="en-US"/>
                <w14:ligatures w14:val="standardContextual"/>
              </w:rPr>
              <w:t>Sulfamethoxazole d4</w:t>
            </w:r>
          </w:p>
        </w:tc>
        <w:tc>
          <w:tcPr>
            <w:tcW w:w="851" w:type="dxa"/>
            <w:tcBorders>
              <w:top w:val="single" w:sz="4" w:space="0" w:color="auto"/>
              <w:left w:val="single" w:sz="4" w:space="0" w:color="auto"/>
              <w:bottom w:val="single" w:sz="4" w:space="0" w:color="auto"/>
              <w:right w:val="single" w:sz="4" w:space="0" w:color="auto"/>
            </w:tcBorders>
            <w:hideMark/>
          </w:tcPr>
          <w:p w14:paraId="7B4B7DAA"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20E057"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258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4B2D90"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1FE3DA"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96. 112. 160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74E376"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20. 26.16</w:t>
            </w:r>
          </w:p>
        </w:tc>
        <w:tc>
          <w:tcPr>
            <w:tcW w:w="2410" w:type="dxa"/>
            <w:tcBorders>
              <w:top w:val="single" w:sz="4" w:space="0" w:color="auto"/>
              <w:left w:val="single" w:sz="4" w:space="0" w:color="auto"/>
              <w:bottom w:val="single" w:sz="4" w:space="0" w:color="auto"/>
              <w:right w:val="single" w:sz="4" w:space="0" w:color="auto"/>
            </w:tcBorders>
          </w:tcPr>
          <w:p w14:paraId="3246E15D"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644068CD"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16016D45"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r>
      <w:tr w:rsidR="001D0ADC" w:rsidRPr="001D0ADC" w14:paraId="31961CEC" w14:textId="77777777" w:rsidTr="009B4490">
        <w:trPr>
          <w:trHeight w:hRule="exact" w:val="397"/>
        </w:trPr>
        <w:tc>
          <w:tcPr>
            <w:tcW w:w="2268" w:type="dxa"/>
            <w:tcBorders>
              <w:top w:val="single" w:sz="4" w:space="0" w:color="auto"/>
              <w:left w:val="single" w:sz="4" w:space="0" w:color="auto"/>
              <w:bottom w:val="single" w:sz="4" w:space="0" w:color="auto"/>
              <w:right w:val="single" w:sz="4" w:space="0" w:color="auto"/>
            </w:tcBorders>
            <w:vAlign w:val="center"/>
            <w:hideMark/>
          </w:tcPr>
          <w:p w14:paraId="09D82C07" w14:textId="77777777" w:rsidR="00E05B1D" w:rsidRPr="001D0ADC" w:rsidRDefault="00E05B1D" w:rsidP="009B4490">
            <w:pPr>
              <w:rPr>
                <w:rFonts w:ascii="Times New Roman" w:hAnsi="Times New Roman" w:cs="Times New Roman"/>
                <w:i/>
                <w:iCs/>
                <w:kern w:val="2"/>
                <w:sz w:val="24"/>
                <w:szCs w:val="24"/>
                <w:lang w:val="en-US"/>
                <w14:ligatures w14:val="standardContextual"/>
              </w:rPr>
            </w:pPr>
            <w:r w:rsidRPr="001D0ADC">
              <w:rPr>
                <w:rFonts w:ascii="Times New Roman" w:hAnsi="Times New Roman" w:cs="Times New Roman"/>
                <w:i/>
                <w:iCs/>
                <w:kern w:val="2"/>
                <w:sz w:val="24"/>
                <w:szCs w:val="24"/>
                <w:lang w:val="en-US"/>
                <w14:ligatures w14:val="standardContextual"/>
              </w:rPr>
              <w:t>Acetaminophen d4</w:t>
            </w:r>
          </w:p>
        </w:tc>
        <w:tc>
          <w:tcPr>
            <w:tcW w:w="851" w:type="dxa"/>
            <w:tcBorders>
              <w:top w:val="single" w:sz="4" w:space="0" w:color="auto"/>
              <w:left w:val="single" w:sz="4" w:space="0" w:color="auto"/>
              <w:bottom w:val="single" w:sz="4" w:space="0" w:color="auto"/>
              <w:right w:val="single" w:sz="4" w:space="0" w:color="auto"/>
            </w:tcBorders>
            <w:hideMark/>
          </w:tcPr>
          <w:p w14:paraId="451DC276"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BA125E"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156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5F7065"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67C123"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114. 97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692BAA"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15. 25</w:t>
            </w:r>
          </w:p>
        </w:tc>
        <w:tc>
          <w:tcPr>
            <w:tcW w:w="2410" w:type="dxa"/>
            <w:tcBorders>
              <w:top w:val="single" w:sz="4" w:space="0" w:color="auto"/>
              <w:left w:val="single" w:sz="4" w:space="0" w:color="auto"/>
              <w:bottom w:val="single" w:sz="4" w:space="0" w:color="auto"/>
              <w:right w:val="single" w:sz="4" w:space="0" w:color="auto"/>
            </w:tcBorders>
          </w:tcPr>
          <w:p w14:paraId="12BCEB55"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749CD5CC"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3FC2DC9C"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r>
      <w:tr w:rsidR="001D0ADC" w:rsidRPr="001D0ADC" w14:paraId="22E5CEA7" w14:textId="77777777" w:rsidTr="009B4490">
        <w:trPr>
          <w:trHeight w:hRule="exact" w:val="646"/>
        </w:trPr>
        <w:tc>
          <w:tcPr>
            <w:tcW w:w="2268" w:type="dxa"/>
            <w:tcBorders>
              <w:top w:val="single" w:sz="4" w:space="0" w:color="auto"/>
              <w:left w:val="single" w:sz="4" w:space="0" w:color="auto"/>
              <w:bottom w:val="single" w:sz="4" w:space="0" w:color="auto"/>
              <w:right w:val="single" w:sz="4" w:space="0" w:color="auto"/>
            </w:tcBorders>
            <w:vAlign w:val="center"/>
            <w:hideMark/>
          </w:tcPr>
          <w:p w14:paraId="66E051D0" w14:textId="77777777" w:rsidR="00E05B1D" w:rsidRPr="001D0ADC" w:rsidRDefault="00E05B1D" w:rsidP="009B4490">
            <w:pPr>
              <w:rPr>
                <w:rFonts w:ascii="Times New Roman" w:hAnsi="Times New Roman" w:cs="Times New Roman"/>
                <w:i/>
                <w:iCs/>
                <w:kern w:val="2"/>
                <w:sz w:val="24"/>
                <w:szCs w:val="24"/>
                <w:lang w:val="en-US"/>
                <w14:ligatures w14:val="standardContextual"/>
              </w:rPr>
            </w:pPr>
            <w:r w:rsidRPr="001D0ADC">
              <w:rPr>
                <w:rFonts w:ascii="Times New Roman" w:hAnsi="Times New Roman" w:cs="Times New Roman"/>
                <w:i/>
                <w:iCs/>
                <w:kern w:val="2"/>
                <w:sz w:val="24"/>
                <w:szCs w:val="24"/>
                <w:lang w:val="en-US"/>
                <w14:ligatures w14:val="standardContextual"/>
              </w:rPr>
              <w:t>Carbamazepine 13C6</w:t>
            </w:r>
          </w:p>
        </w:tc>
        <w:tc>
          <w:tcPr>
            <w:tcW w:w="851" w:type="dxa"/>
            <w:tcBorders>
              <w:top w:val="single" w:sz="4" w:space="0" w:color="auto"/>
              <w:left w:val="single" w:sz="4" w:space="0" w:color="auto"/>
              <w:bottom w:val="single" w:sz="4" w:space="0" w:color="auto"/>
              <w:right w:val="single" w:sz="4" w:space="0" w:color="auto"/>
            </w:tcBorders>
            <w:hideMark/>
          </w:tcPr>
          <w:p w14:paraId="46AF8EB9"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033A34"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243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DCC56B"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8E5C42"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185. 200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762744"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35. 20</w:t>
            </w:r>
          </w:p>
        </w:tc>
        <w:tc>
          <w:tcPr>
            <w:tcW w:w="2410" w:type="dxa"/>
            <w:tcBorders>
              <w:top w:val="single" w:sz="4" w:space="0" w:color="auto"/>
              <w:left w:val="single" w:sz="4" w:space="0" w:color="auto"/>
              <w:bottom w:val="single" w:sz="4" w:space="0" w:color="auto"/>
              <w:right w:val="single" w:sz="4" w:space="0" w:color="auto"/>
            </w:tcBorders>
          </w:tcPr>
          <w:p w14:paraId="75CD4CFE"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600F9EB0"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5247ADDD"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r>
      <w:tr w:rsidR="001D0ADC" w:rsidRPr="001D0ADC" w14:paraId="532B5DF4" w14:textId="77777777" w:rsidTr="009B4490">
        <w:trPr>
          <w:trHeight w:hRule="exact" w:val="397"/>
        </w:trPr>
        <w:tc>
          <w:tcPr>
            <w:tcW w:w="2268" w:type="dxa"/>
            <w:tcBorders>
              <w:top w:val="single" w:sz="4" w:space="0" w:color="auto"/>
              <w:left w:val="single" w:sz="4" w:space="0" w:color="auto"/>
              <w:bottom w:val="single" w:sz="4" w:space="0" w:color="auto"/>
              <w:right w:val="single" w:sz="4" w:space="0" w:color="auto"/>
            </w:tcBorders>
            <w:vAlign w:val="center"/>
            <w:hideMark/>
          </w:tcPr>
          <w:p w14:paraId="6535AE90" w14:textId="77777777" w:rsidR="00E05B1D" w:rsidRPr="001D0ADC" w:rsidRDefault="00E05B1D" w:rsidP="009B4490">
            <w:pPr>
              <w:rPr>
                <w:rFonts w:ascii="Times New Roman" w:hAnsi="Times New Roman" w:cs="Times New Roman"/>
                <w:i/>
                <w:iCs/>
                <w:kern w:val="2"/>
                <w:sz w:val="24"/>
                <w:szCs w:val="24"/>
                <w:lang w:val="en-US"/>
                <w14:ligatures w14:val="standardContextual"/>
              </w:rPr>
            </w:pPr>
            <w:r w:rsidRPr="001D0ADC">
              <w:rPr>
                <w:rFonts w:ascii="Times New Roman" w:hAnsi="Times New Roman" w:cs="Times New Roman"/>
                <w:i/>
                <w:iCs/>
                <w:kern w:val="2"/>
                <w:sz w:val="24"/>
                <w:szCs w:val="24"/>
                <w:lang w:val="en-US"/>
                <w14:ligatures w14:val="standardContextual"/>
              </w:rPr>
              <w:t>Ibuprofen d3</w:t>
            </w:r>
          </w:p>
        </w:tc>
        <w:tc>
          <w:tcPr>
            <w:tcW w:w="851" w:type="dxa"/>
            <w:tcBorders>
              <w:top w:val="single" w:sz="4" w:space="0" w:color="auto"/>
              <w:left w:val="single" w:sz="4" w:space="0" w:color="auto"/>
              <w:bottom w:val="single" w:sz="4" w:space="0" w:color="auto"/>
              <w:right w:val="single" w:sz="4" w:space="0" w:color="auto"/>
            </w:tcBorders>
            <w:hideMark/>
          </w:tcPr>
          <w:p w14:paraId="5776B89B"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94FA8A"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208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E5C26A5"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436FB7"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164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21BAE4"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5</w:t>
            </w:r>
          </w:p>
        </w:tc>
        <w:tc>
          <w:tcPr>
            <w:tcW w:w="2410" w:type="dxa"/>
            <w:tcBorders>
              <w:top w:val="single" w:sz="4" w:space="0" w:color="auto"/>
              <w:left w:val="single" w:sz="4" w:space="0" w:color="auto"/>
              <w:bottom w:val="single" w:sz="4" w:space="0" w:color="auto"/>
              <w:right w:val="single" w:sz="4" w:space="0" w:color="auto"/>
            </w:tcBorders>
          </w:tcPr>
          <w:p w14:paraId="270B7686"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7DCEC745"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00BFA50C"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r>
      <w:tr w:rsidR="00E05B1D" w:rsidRPr="001D0ADC" w14:paraId="318695B4" w14:textId="77777777" w:rsidTr="009B4490">
        <w:trPr>
          <w:trHeight w:hRule="exact" w:val="397"/>
        </w:trPr>
        <w:tc>
          <w:tcPr>
            <w:tcW w:w="2268" w:type="dxa"/>
            <w:tcBorders>
              <w:top w:val="single" w:sz="4" w:space="0" w:color="auto"/>
              <w:left w:val="single" w:sz="4" w:space="0" w:color="auto"/>
              <w:bottom w:val="single" w:sz="4" w:space="0" w:color="auto"/>
              <w:right w:val="single" w:sz="4" w:space="0" w:color="auto"/>
            </w:tcBorders>
            <w:vAlign w:val="center"/>
            <w:hideMark/>
          </w:tcPr>
          <w:p w14:paraId="41C03401" w14:textId="77777777" w:rsidR="00E05B1D" w:rsidRPr="001D0ADC" w:rsidRDefault="00E05B1D" w:rsidP="009B4490">
            <w:pPr>
              <w:rPr>
                <w:rFonts w:ascii="Times New Roman" w:hAnsi="Times New Roman" w:cs="Times New Roman"/>
                <w:i/>
                <w:iCs/>
                <w:kern w:val="2"/>
                <w:sz w:val="24"/>
                <w:szCs w:val="24"/>
                <w:lang w:val="en-US"/>
                <w14:ligatures w14:val="standardContextual"/>
              </w:rPr>
            </w:pPr>
            <w:r w:rsidRPr="001D0ADC">
              <w:rPr>
                <w:rFonts w:ascii="Times New Roman" w:hAnsi="Times New Roman" w:cs="Times New Roman"/>
                <w:i/>
                <w:iCs/>
                <w:kern w:val="2"/>
                <w:sz w:val="24"/>
                <w:szCs w:val="24"/>
                <w:lang w:val="en-US"/>
                <w14:ligatures w14:val="standardContextual"/>
              </w:rPr>
              <w:t>Ciprofloxacin d8</w:t>
            </w:r>
          </w:p>
        </w:tc>
        <w:tc>
          <w:tcPr>
            <w:tcW w:w="851" w:type="dxa"/>
            <w:tcBorders>
              <w:top w:val="single" w:sz="4" w:space="0" w:color="auto"/>
              <w:left w:val="single" w:sz="4" w:space="0" w:color="auto"/>
              <w:bottom w:val="single" w:sz="4" w:space="0" w:color="auto"/>
              <w:right w:val="single" w:sz="4" w:space="0" w:color="auto"/>
            </w:tcBorders>
            <w:hideMark/>
          </w:tcPr>
          <w:p w14:paraId="0597F1EB"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ESI+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2878E6"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340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B2CFB1"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40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D6A5B8"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322. 296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A07DC1"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r w:rsidRPr="001D0ADC">
              <w:rPr>
                <w:rFonts w:ascii="Times New Roman" w:eastAsia="TimesNewRomanPSMT" w:hAnsi="Times New Roman" w:cs="Times New Roman"/>
                <w:i/>
                <w:iCs/>
                <w:kern w:val="2"/>
                <w:sz w:val="24"/>
                <w:szCs w:val="24"/>
                <w:lang w:val="en-US"/>
                <w14:ligatures w14:val="standardContextual"/>
              </w:rPr>
              <w:t>25. 18</w:t>
            </w:r>
          </w:p>
        </w:tc>
        <w:tc>
          <w:tcPr>
            <w:tcW w:w="2410" w:type="dxa"/>
            <w:tcBorders>
              <w:top w:val="single" w:sz="4" w:space="0" w:color="auto"/>
              <w:left w:val="single" w:sz="4" w:space="0" w:color="auto"/>
              <w:bottom w:val="single" w:sz="4" w:space="0" w:color="auto"/>
              <w:right w:val="single" w:sz="4" w:space="0" w:color="auto"/>
            </w:tcBorders>
          </w:tcPr>
          <w:p w14:paraId="27051CF9"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0A35375B"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369948B2" w14:textId="77777777" w:rsidR="00E05B1D" w:rsidRPr="001D0ADC" w:rsidRDefault="00E05B1D" w:rsidP="009B4490">
            <w:pPr>
              <w:autoSpaceDE w:val="0"/>
              <w:autoSpaceDN w:val="0"/>
              <w:adjustRightInd w:val="0"/>
              <w:jc w:val="center"/>
              <w:rPr>
                <w:rFonts w:ascii="Times New Roman" w:eastAsia="TimesNewRomanPSMT" w:hAnsi="Times New Roman" w:cs="Times New Roman"/>
                <w:i/>
                <w:iCs/>
                <w:kern w:val="2"/>
                <w:sz w:val="24"/>
                <w:szCs w:val="24"/>
                <w:lang w:val="en-US"/>
                <w14:ligatures w14:val="standardContextual"/>
              </w:rPr>
            </w:pPr>
          </w:p>
        </w:tc>
      </w:tr>
    </w:tbl>
    <w:p w14:paraId="1329E758" w14:textId="77777777" w:rsidR="00E05B1D" w:rsidRPr="001D0ADC" w:rsidRDefault="00E05B1D" w:rsidP="00E05B1D">
      <w:pPr>
        <w:rPr>
          <w:rFonts w:ascii="Times New Roman" w:hAnsi="Times New Roman" w:cs="Times New Roman"/>
          <w:b/>
          <w:bCs/>
          <w:sz w:val="24"/>
          <w:szCs w:val="24"/>
          <w:lang w:val="en-GB"/>
        </w:rPr>
      </w:pPr>
    </w:p>
    <w:p w14:paraId="00CDB918" w14:textId="180A0888" w:rsidR="00E05B1D" w:rsidRPr="001D0ADC" w:rsidRDefault="007C5E6B" w:rsidP="00E05B1D">
      <w:pPr>
        <w:rPr>
          <w:rFonts w:ascii="Times New Roman" w:hAnsi="Times New Roman" w:cs="Times New Roman"/>
          <w:sz w:val="24"/>
          <w:szCs w:val="24"/>
          <w:lang w:val="en-GB"/>
        </w:rPr>
      </w:pPr>
      <w:r w:rsidRPr="001D0ADC">
        <w:rPr>
          <w:rFonts w:ascii="Times New Roman" w:hAnsi="Times New Roman" w:cs="Times New Roman"/>
          <w:b/>
          <w:bCs/>
          <w:sz w:val="24"/>
          <w:szCs w:val="24"/>
          <w:lang w:val="en-GB"/>
        </w:rPr>
        <w:br w:type="page"/>
      </w:r>
      <w:r w:rsidR="0016115D" w:rsidRPr="001D0ADC">
        <w:rPr>
          <w:rFonts w:ascii="Times New Roman" w:hAnsi="Times New Roman" w:cs="Times New Roman"/>
          <w:b/>
          <w:bCs/>
          <w:sz w:val="24"/>
          <w:szCs w:val="24"/>
          <w:lang w:val="en-GB"/>
        </w:rPr>
        <w:t>Supplementary Table S3</w:t>
      </w:r>
      <w:r w:rsidR="0016115D" w:rsidRPr="001D0ADC">
        <w:rPr>
          <w:rFonts w:ascii="Times New Roman" w:hAnsi="Times New Roman" w:cs="Times New Roman"/>
          <w:sz w:val="24"/>
          <w:szCs w:val="24"/>
          <w:lang w:val="en-GB"/>
        </w:rPr>
        <w:t>:  Measured concentrations of tested substances at the beginning and the end of FET and RT Gill W1 Assay. The concentrations are stated in mg/l, while the difference between the expected and measured concentration is expressed as a percentage of the expected value. Samples were collected directly from the wells or glass vessels immediately after exposing the cells or embryos, respectively, and a second set of samples was collected 24 hours later before the cytotoxicity evaluation, or 120h at the final evaluation of FET, respectively. Samples were analysed by UPLC-MS. C1, C2 and C3 represent three concentration levels chosen for the evaluation of the stability of the substances that cover the whole exposure range tested. C1 is an exposure concentration between EC10 and EC20.  C2 represents the exposure concentration closest to EC50, C3 represents the highest tested concentration. N/A – Not Analysed – CIP, CLA, HDZ, and PCM were tested in FET only at one limit concentration, represented by C3 concentration.</w:t>
      </w:r>
    </w:p>
    <w:tbl>
      <w:tblPr>
        <w:tblW w:w="5470" w:type="pct"/>
        <w:tblInd w:w="-567" w:type="dxa"/>
        <w:tblCellMar>
          <w:left w:w="70" w:type="dxa"/>
          <w:right w:w="70" w:type="dxa"/>
        </w:tblCellMar>
        <w:tblLook w:val="04A0" w:firstRow="1" w:lastRow="0" w:firstColumn="1" w:lastColumn="0" w:noHBand="0" w:noVBand="1"/>
      </w:tblPr>
      <w:tblGrid>
        <w:gridCol w:w="369"/>
        <w:gridCol w:w="1909"/>
        <w:gridCol w:w="962"/>
        <w:gridCol w:w="1034"/>
        <w:gridCol w:w="1262"/>
        <w:gridCol w:w="962"/>
        <w:gridCol w:w="1034"/>
        <w:gridCol w:w="1262"/>
        <w:gridCol w:w="962"/>
        <w:gridCol w:w="1034"/>
        <w:gridCol w:w="1262"/>
        <w:gridCol w:w="962"/>
        <w:gridCol w:w="1034"/>
        <w:gridCol w:w="1262"/>
      </w:tblGrid>
      <w:tr w:rsidR="001D0ADC" w:rsidRPr="001D0ADC" w14:paraId="3DF08E0D" w14:textId="77777777" w:rsidTr="007C5E6B">
        <w:trPr>
          <w:trHeight w:val="300"/>
        </w:trPr>
        <w:tc>
          <w:tcPr>
            <w:tcW w:w="121" w:type="pct"/>
            <w:tcBorders>
              <w:top w:val="nil"/>
              <w:left w:val="nil"/>
              <w:bottom w:val="nil"/>
              <w:right w:val="nil"/>
            </w:tcBorders>
            <w:shd w:val="clear" w:color="auto" w:fill="auto"/>
            <w:noWrap/>
            <w:vAlign w:val="bottom"/>
            <w:hideMark/>
          </w:tcPr>
          <w:p w14:paraId="4AE50158" w14:textId="77777777" w:rsidR="00F47783" w:rsidRPr="001D0ADC" w:rsidRDefault="00F47783" w:rsidP="00F47783">
            <w:pPr>
              <w:spacing w:after="0" w:line="240" w:lineRule="auto"/>
              <w:jc w:val="center"/>
              <w:rPr>
                <w:rFonts w:ascii="Calibri" w:eastAsia="Times New Roman" w:hAnsi="Calibri" w:cs="Calibri"/>
                <w:lang w:eastAsia="cs-CZ"/>
              </w:rPr>
            </w:pPr>
          </w:p>
        </w:tc>
        <w:tc>
          <w:tcPr>
            <w:tcW w:w="623" w:type="pct"/>
            <w:tcBorders>
              <w:top w:val="nil"/>
              <w:left w:val="nil"/>
              <w:bottom w:val="nil"/>
              <w:right w:val="nil"/>
            </w:tcBorders>
            <w:shd w:val="clear" w:color="auto" w:fill="auto"/>
            <w:noWrap/>
            <w:vAlign w:val="bottom"/>
            <w:hideMark/>
          </w:tcPr>
          <w:p w14:paraId="4E715713" w14:textId="77777777" w:rsidR="00F47783" w:rsidRPr="001D0ADC" w:rsidRDefault="00F47783" w:rsidP="00F47783">
            <w:pPr>
              <w:spacing w:after="0" w:line="240" w:lineRule="auto"/>
              <w:rPr>
                <w:rFonts w:ascii="Times New Roman" w:eastAsia="Times New Roman" w:hAnsi="Times New Roman" w:cs="Times New Roman"/>
                <w:sz w:val="20"/>
                <w:szCs w:val="20"/>
                <w:lang w:eastAsia="cs-CZ"/>
              </w:rPr>
            </w:pPr>
          </w:p>
        </w:tc>
        <w:tc>
          <w:tcPr>
            <w:tcW w:w="1064" w:type="pct"/>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D264007" w14:textId="52FE42F1" w:rsidR="00F47783" w:rsidRPr="001D0ADC" w:rsidRDefault="00F47783" w:rsidP="00F47783">
            <w:pPr>
              <w:spacing w:after="0" w:line="240" w:lineRule="auto"/>
              <w:jc w:val="center"/>
              <w:rPr>
                <w:rFonts w:ascii="Calibri" w:eastAsia="Times New Roman" w:hAnsi="Calibri" w:cs="Calibri"/>
                <w:b/>
                <w:bCs/>
                <w:lang w:eastAsia="cs-CZ"/>
              </w:rPr>
            </w:pPr>
            <w:r w:rsidRPr="001D0ADC">
              <w:rPr>
                <w:rFonts w:ascii="Calibri" w:eastAsia="Times New Roman" w:hAnsi="Calibri" w:cs="Calibri"/>
                <w:b/>
                <w:bCs/>
                <w:lang w:eastAsia="cs-CZ"/>
              </w:rPr>
              <w:t>CBZ</w:t>
            </w:r>
            <w:r w:rsidR="007C5E6B" w:rsidRPr="001D0ADC">
              <w:rPr>
                <w:rFonts w:ascii="Calibri" w:eastAsia="Times New Roman" w:hAnsi="Calibri" w:cs="Calibri"/>
                <w:b/>
                <w:bCs/>
                <w:lang w:eastAsia="cs-CZ"/>
              </w:rPr>
              <w:t xml:space="preserve"> (mg/l)</w:t>
            </w:r>
          </w:p>
        </w:tc>
        <w:tc>
          <w:tcPr>
            <w:tcW w:w="1064"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6F733B5C" w14:textId="5BF3E7D4" w:rsidR="00F47783" w:rsidRPr="001D0ADC" w:rsidRDefault="00F47783" w:rsidP="00F47783">
            <w:pPr>
              <w:spacing w:after="0" w:line="240" w:lineRule="auto"/>
              <w:jc w:val="center"/>
              <w:rPr>
                <w:rFonts w:ascii="Calibri" w:eastAsia="Times New Roman" w:hAnsi="Calibri" w:cs="Calibri"/>
                <w:b/>
                <w:bCs/>
                <w:lang w:eastAsia="cs-CZ"/>
              </w:rPr>
            </w:pPr>
            <w:r w:rsidRPr="001D0ADC">
              <w:rPr>
                <w:rFonts w:ascii="Calibri" w:eastAsia="Times New Roman" w:hAnsi="Calibri" w:cs="Calibri"/>
                <w:b/>
                <w:bCs/>
                <w:lang w:eastAsia="cs-CZ"/>
              </w:rPr>
              <w:t>CIP</w:t>
            </w:r>
            <w:r w:rsidR="007C5E6B" w:rsidRPr="001D0ADC">
              <w:rPr>
                <w:rFonts w:ascii="Calibri" w:eastAsia="Times New Roman" w:hAnsi="Calibri" w:cs="Calibri"/>
                <w:b/>
                <w:bCs/>
                <w:lang w:eastAsia="cs-CZ"/>
              </w:rPr>
              <w:t xml:space="preserve"> (mg/l)</w:t>
            </w:r>
          </w:p>
        </w:tc>
        <w:tc>
          <w:tcPr>
            <w:tcW w:w="1064"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32B92B23" w14:textId="129DE8CC" w:rsidR="00F47783" w:rsidRPr="001D0ADC" w:rsidRDefault="00F47783" w:rsidP="00F47783">
            <w:pPr>
              <w:spacing w:after="0" w:line="240" w:lineRule="auto"/>
              <w:jc w:val="center"/>
              <w:rPr>
                <w:rFonts w:ascii="Calibri" w:eastAsia="Times New Roman" w:hAnsi="Calibri" w:cs="Calibri"/>
                <w:b/>
                <w:bCs/>
                <w:lang w:eastAsia="cs-CZ"/>
              </w:rPr>
            </w:pPr>
            <w:r w:rsidRPr="001D0ADC">
              <w:rPr>
                <w:rFonts w:ascii="Calibri" w:eastAsia="Times New Roman" w:hAnsi="Calibri" w:cs="Calibri"/>
                <w:b/>
                <w:bCs/>
                <w:lang w:eastAsia="cs-CZ"/>
              </w:rPr>
              <w:t>CLA</w:t>
            </w:r>
            <w:r w:rsidR="007C5E6B" w:rsidRPr="001D0ADC">
              <w:rPr>
                <w:rFonts w:ascii="Calibri" w:eastAsia="Times New Roman" w:hAnsi="Calibri" w:cs="Calibri"/>
                <w:b/>
                <w:bCs/>
                <w:lang w:eastAsia="cs-CZ"/>
              </w:rPr>
              <w:t xml:space="preserve"> (mg/l)</w:t>
            </w:r>
          </w:p>
        </w:tc>
        <w:tc>
          <w:tcPr>
            <w:tcW w:w="1064"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04B8BB28" w14:textId="3F41BC49" w:rsidR="00F47783" w:rsidRPr="001D0ADC" w:rsidRDefault="00F47783" w:rsidP="00F47783">
            <w:pPr>
              <w:spacing w:after="0" w:line="240" w:lineRule="auto"/>
              <w:jc w:val="center"/>
              <w:rPr>
                <w:rFonts w:ascii="Calibri" w:eastAsia="Times New Roman" w:hAnsi="Calibri" w:cs="Calibri"/>
                <w:b/>
                <w:bCs/>
                <w:lang w:eastAsia="cs-CZ"/>
              </w:rPr>
            </w:pPr>
            <w:r w:rsidRPr="001D0ADC">
              <w:rPr>
                <w:rFonts w:ascii="Calibri" w:eastAsia="Times New Roman" w:hAnsi="Calibri" w:cs="Calibri"/>
                <w:b/>
                <w:bCs/>
                <w:lang w:eastAsia="cs-CZ"/>
              </w:rPr>
              <w:t>DCL</w:t>
            </w:r>
            <w:r w:rsidR="007C5E6B" w:rsidRPr="001D0ADC">
              <w:rPr>
                <w:rFonts w:ascii="Calibri" w:eastAsia="Times New Roman" w:hAnsi="Calibri" w:cs="Calibri"/>
                <w:b/>
                <w:bCs/>
                <w:lang w:eastAsia="cs-CZ"/>
              </w:rPr>
              <w:t xml:space="preserve"> (mg/l)</w:t>
            </w:r>
          </w:p>
        </w:tc>
      </w:tr>
      <w:tr w:rsidR="001D0ADC" w:rsidRPr="001D0ADC" w14:paraId="48B5059C" w14:textId="77777777" w:rsidTr="007C5E6B">
        <w:trPr>
          <w:trHeight w:val="300"/>
        </w:trPr>
        <w:tc>
          <w:tcPr>
            <w:tcW w:w="121" w:type="pct"/>
            <w:tcBorders>
              <w:top w:val="nil"/>
              <w:left w:val="nil"/>
              <w:bottom w:val="nil"/>
              <w:right w:val="nil"/>
            </w:tcBorders>
            <w:shd w:val="clear" w:color="auto" w:fill="auto"/>
            <w:noWrap/>
            <w:vAlign w:val="bottom"/>
            <w:hideMark/>
          </w:tcPr>
          <w:p w14:paraId="50865C1E" w14:textId="77777777" w:rsidR="00F47783" w:rsidRPr="001D0ADC" w:rsidRDefault="00F47783" w:rsidP="00F47783">
            <w:pPr>
              <w:spacing w:after="0" w:line="240" w:lineRule="auto"/>
              <w:jc w:val="center"/>
              <w:rPr>
                <w:rFonts w:ascii="Calibri" w:eastAsia="Times New Roman" w:hAnsi="Calibri" w:cs="Calibri"/>
                <w:lang w:eastAsia="cs-CZ"/>
              </w:rPr>
            </w:pPr>
          </w:p>
        </w:tc>
        <w:tc>
          <w:tcPr>
            <w:tcW w:w="623" w:type="pct"/>
            <w:tcBorders>
              <w:top w:val="nil"/>
              <w:left w:val="nil"/>
              <w:bottom w:val="nil"/>
              <w:right w:val="nil"/>
            </w:tcBorders>
            <w:shd w:val="clear" w:color="auto" w:fill="auto"/>
            <w:noWrap/>
            <w:vAlign w:val="bottom"/>
            <w:hideMark/>
          </w:tcPr>
          <w:p w14:paraId="4D88CB1B" w14:textId="77777777" w:rsidR="00F47783" w:rsidRPr="001D0ADC" w:rsidRDefault="00F47783" w:rsidP="00F47783">
            <w:pPr>
              <w:spacing w:after="0" w:line="240" w:lineRule="auto"/>
              <w:rPr>
                <w:rFonts w:ascii="Times New Roman" w:eastAsia="Times New Roman" w:hAnsi="Times New Roman" w:cs="Times New Roman"/>
                <w:sz w:val="20"/>
                <w:szCs w:val="20"/>
                <w:lang w:eastAsia="cs-CZ"/>
              </w:rPr>
            </w:pPr>
          </w:p>
        </w:tc>
        <w:tc>
          <w:tcPr>
            <w:tcW w:w="314" w:type="pct"/>
            <w:tcBorders>
              <w:top w:val="nil"/>
              <w:left w:val="single" w:sz="8" w:space="0" w:color="auto"/>
              <w:bottom w:val="single" w:sz="8" w:space="0" w:color="auto"/>
              <w:right w:val="nil"/>
            </w:tcBorders>
            <w:shd w:val="clear" w:color="auto" w:fill="auto"/>
            <w:noWrap/>
            <w:vAlign w:val="bottom"/>
            <w:hideMark/>
          </w:tcPr>
          <w:p w14:paraId="13E4AD58"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nil"/>
              <w:left w:val="nil"/>
              <w:bottom w:val="single" w:sz="8" w:space="0" w:color="auto"/>
              <w:right w:val="single" w:sz="8" w:space="0" w:color="auto"/>
            </w:tcBorders>
            <w:shd w:val="clear" w:color="auto" w:fill="auto"/>
            <w:noWrap/>
            <w:vAlign w:val="bottom"/>
            <w:hideMark/>
          </w:tcPr>
          <w:p w14:paraId="46DAB6FA"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nil"/>
              <w:left w:val="nil"/>
              <w:bottom w:val="single" w:sz="8" w:space="0" w:color="auto"/>
              <w:right w:val="single" w:sz="8" w:space="0" w:color="auto"/>
            </w:tcBorders>
            <w:shd w:val="clear" w:color="auto" w:fill="auto"/>
            <w:noWrap/>
            <w:vAlign w:val="bottom"/>
            <w:hideMark/>
          </w:tcPr>
          <w:p w14:paraId="4FAA5C87"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difference %</w:t>
            </w:r>
          </w:p>
        </w:tc>
        <w:tc>
          <w:tcPr>
            <w:tcW w:w="314" w:type="pct"/>
            <w:tcBorders>
              <w:top w:val="nil"/>
              <w:left w:val="nil"/>
              <w:bottom w:val="single" w:sz="8" w:space="0" w:color="auto"/>
              <w:right w:val="nil"/>
            </w:tcBorders>
            <w:shd w:val="clear" w:color="auto" w:fill="auto"/>
            <w:noWrap/>
            <w:vAlign w:val="bottom"/>
            <w:hideMark/>
          </w:tcPr>
          <w:p w14:paraId="55AC7A5D"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nil"/>
              <w:left w:val="nil"/>
              <w:bottom w:val="single" w:sz="8" w:space="0" w:color="auto"/>
              <w:right w:val="single" w:sz="8" w:space="0" w:color="auto"/>
            </w:tcBorders>
            <w:shd w:val="clear" w:color="auto" w:fill="auto"/>
            <w:noWrap/>
            <w:vAlign w:val="bottom"/>
            <w:hideMark/>
          </w:tcPr>
          <w:p w14:paraId="54DF1B06"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nil"/>
              <w:left w:val="nil"/>
              <w:bottom w:val="single" w:sz="8" w:space="0" w:color="auto"/>
              <w:right w:val="single" w:sz="8" w:space="0" w:color="auto"/>
            </w:tcBorders>
            <w:shd w:val="clear" w:color="auto" w:fill="auto"/>
            <w:noWrap/>
            <w:vAlign w:val="bottom"/>
            <w:hideMark/>
          </w:tcPr>
          <w:p w14:paraId="0E1C9BD6"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difference %</w:t>
            </w:r>
          </w:p>
        </w:tc>
        <w:tc>
          <w:tcPr>
            <w:tcW w:w="314" w:type="pct"/>
            <w:tcBorders>
              <w:top w:val="nil"/>
              <w:left w:val="nil"/>
              <w:bottom w:val="single" w:sz="8" w:space="0" w:color="auto"/>
              <w:right w:val="nil"/>
            </w:tcBorders>
            <w:shd w:val="clear" w:color="auto" w:fill="auto"/>
            <w:noWrap/>
            <w:vAlign w:val="bottom"/>
            <w:hideMark/>
          </w:tcPr>
          <w:p w14:paraId="7A930E5F"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nil"/>
              <w:left w:val="nil"/>
              <w:bottom w:val="single" w:sz="8" w:space="0" w:color="auto"/>
              <w:right w:val="single" w:sz="8" w:space="0" w:color="auto"/>
            </w:tcBorders>
            <w:shd w:val="clear" w:color="auto" w:fill="auto"/>
            <w:noWrap/>
            <w:vAlign w:val="bottom"/>
            <w:hideMark/>
          </w:tcPr>
          <w:p w14:paraId="769B441A"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nil"/>
              <w:left w:val="nil"/>
              <w:bottom w:val="single" w:sz="8" w:space="0" w:color="auto"/>
              <w:right w:val="single" w:sz="8" w:space="0" w:color="auto"/>
            </w:tcBorders>
            <w:shd w:val="clear" w:color="auto" w:fill="auto"/>
            <w:noWrap/>
            <w:vAlign w:val="bottom"/>
            <w:hideMark/>
          </w:tcPr>
          <w:p w14:paraId="3D90815F"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difference %</w:t>
            </w:r>
          </w:p>
        </w:tc>
        <w:tc>
          <w:tcPr>
            <w:tcW w:w="314" w:type="pct"/>
            <w:tcBorders>
              <w:top w:val="nil"/>
              <w:left w:val="nil"/>
              <w:bottom w:val="single" w:sz="8" w:space="0" w:color="auto"/>
              <w:right w:val="nil"/>
            </w:tcBorders>
            <w:shd w:val="clear" w:color="auto" w:fill="auto"/>
            <w:noWrap/>
            <w:vAlign w:val="bottom"/>
            <w:hideMark/>
          </w:tcPr>
          <w:p w14:paraId="6BBFF0F3"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nil"/>
              <w:left w:val="nil"/>
              <w:bottom w:val="single" w:sz="8" w:space="0" w:color="auto"/>
              <w:right w:val="single" w:sz="8" w:space="0" w:color="auto"/>
            </w:tcBorders>
            <w:shd w:val="clear" w:color="auto" w:fill="auto"/>
            <w:noWrap/>
            <w:vAlign w:val="bottom"/>
            <w:hideMark/>
          </w:tcPr>
          <w:p w14:paraId="3D8B9982"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nil"/>
              <w:left w:val="nil"/>
              <w:bottom w:val="single" w:sz="8" w:space="0" w:color="auto"/>
              <w:right w:val="single" w:sz="8" w:space="0" w:color="auto"/>
            </w:tcBorders>
            <w:shd w:val="clear" w:color="auto" w:fill="auto"/>
            <w:noWrap/>
            <w:vAlign w:val="bottom"/>
            <w:hideMark/>
          </w:tcPr>
          <w:p w14:paraId="2F8CD430"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difference %</w:t>
            </w:r>
          </w:p>
        </w:tc>
      </w:tr>
      <w:tr w:rsidR="001D0ADC" w:rsidRPr="001D0ADC" w14:paraId="49A9C11C" w14:textId="77777777" w:rsidTr="007C5E6B">
        <w:trPr>
          <w:trHeight w:val="288"/>
        </w:trPr>
        <w:tc>
          <w:tcPr>
            <w:tcW w:w="12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5192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C1</w:t>
            </w:r>
          </w:p>
        </w:tc>
        <w:tc>
          <w:tcPr>
            <w:tcW w:w="623" w:type="pct"/>
            <w:tcBorders>
              <w:top w:val="single" w:sz="4" w:space="0" w:color="auto"/>
              <w:left w:val="nil"/>
              <w:bottom w:val="single" w:sz="4" w:space="0" w:color="auto"/>
              <w:right w:val="nil"/>
            </w:tcBorders>
            <w:shd w:val="clear" w:color="auto" w:fill="auto"/>
            <w:noWrap/>
            <w:vAlign w:val="bottom"/>
            <w:hideMark/>
          </w:tcPr>
          <w:p w14:paraId="4FC29AB9"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start</w:t>
            </w:r>
          </w:p>
        </w:tc>
        <w:tc>
          <w:tcPr>
            <w:tcW w:w="314" w:type="pct"/>
            <w:tcBorders>
              <w:top w:val="nil"/>
              <w:left w:val="single" w:sz="8" w:space="0" w:color="auto"/>
              <w:bottom w:val="nil"/>
              <w:right w:val="nil"/>
            </w:tcBorders>
            <w:shd w:val="clear" w:color="auto" w:fill="auto"/>
            <w:noWrap/>
            <w:vAlign w:val="bottom"/>
            <w:hideMark/>
          </w:tcPr>
          <w:p w14:paraId="77B695D4" w14:textId="4F237D78"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5</w:t>
            </w:r>
          </w:p>
        </w:tc>
        <w:tc>
          <w:tcPr>
            <w:tcW w:w="338" w:type="pct"/>
            <w:tcBorders>
              <w:top w:val="nil"/>
              <w:left w:val="nil"/>
              <w:bottom w:val="nil"/>
              <w:right w:val="single" w:sz="8" w:space="0" w:color="auto"/>
            </w:tcBorders>
            <w:shd w:val="clear" w:color="auto" w:fill="auto"/>
            <w:noWrap/>
            <w:vAlign w:val="bottom"/>
            <w:hideMark/>
          </w:tcPr>
          <w:p w14:paraId="329ED210" w14:textId="2D4B886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3.</w:t>
            </w:r>
            <w:r w:rsidRPr="001D0ADC">
              <w:rPr>
                <w:rFonts w:ascii="Calibri" w:eastAsia="Times New Roman" w:hAnsi="Calibri" w:cs="Calibri"/>
                <w:lang w:eastAsia="cs-CZ"/>
              </w:rPr>
              <w:t>2</w:t>
            </w:r>
          </w:p>
        </w:tc>
        <w:tc>
          <w:tcPr>
            <w:tcW w:w="412" w:type="pct"/>
            <w:tcBorders>
              <w:top w:val="nil"/>
              <w:left w:val="nil"/>
              <w:bottom w:val="nil"/>
              <w:right w:val="single" w:sz="8" w:space="0" w:color="auto"/>
            </w:tcBorders>
            <w:shd w:val="clear" w:color="auto" w:fill="auto"/>
            <w:noWrap/>
            <w:vAlign w:val="bottom"/>
            <w:hideMark/>
          </w:tcPr>
          <w:p w14:paraId="11ED86F5" w14:textId="7EB14BB6"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F47783" w:rsidRPr="001D0ADC">
              <w:rPr>
                <w:rFonts w:ascii="Calibri" w:eastAsia="Times New Roman" w:hAnsi="Calibri" w:cs="Calibri"/>
                <w:lang w:eastAsia="cs-CZ"/>
              </w:rPr>
              <w:t>68</w:t>
            </w:r>
          </w:p>
        </w:tc>
        <w:tc>
          <w:tcPr>
            <w:tcW w:w="314" w:type="pct"/>
            <w:tcBorders>
              <w:top w:val="nil"/>
              <w:left w:val="nil"/>
              <w:bottom w:val="nil"/>
              <w:right w:val="nil"/>
            </w:tcBorders>
            <w:shd w:val="clear" w:color="auto" w:fill="auto"/>
            <w:noWrap/>
            <w:vAlign w:val="bottom"/>
            <w:hideMark/>
          </w:tcPr>
          <w:p w14:paraId="605F21F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3CA807E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15451C9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176597C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2F7B9FF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34B523F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2432AFE0" w14:textId="1E6A8232"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0.</w:t>
            </w:r>
            <w:r w:rsidR="00F47783" w:rsidRPr="001D0ADC">
              <w:rPr>
                <w:rFonts w:ascii="Calibri" w:eastAsia="Times New Roman" w:hAnsi="Calibri" w:cs="Calibri"/>
                <w:lang w:eastAsia="cs-CZ"/>
              </w:rPr>
              <w:t>4</w:t>
            </w:r>
          </w:p>
        </w:tc>
        <w:tc>
          <w:tcPr>
            <w:tcW w:w="338" w:type="pct"/>
            <w:tcBorders>
              <w:top w:val="nil"/>
              <w:left w:val="nil"/>
              <w:bottom w:val="nil"/>
              <w:right w:val="single" w:sz="8" w:space="0" w:color="auto"/>
            </w:tcBorders>
            <w:shd w:val="clear" w:color="auto" w:fill="auto"/>
            <w:noWrap/>
            <w:vAlign w:val="bottom"/>
            <w:hideMark/>
          </w:tcPr>
          <w:p w14:paraId="4791EDBB" w14:textId="76C7D14B"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0.</w:t>
            </w:r>
            <w:r w:rsidR="00F47783" w:rsidRPr="001D0ADC">
              <w:rPr>
                <w:rFonts w:ascii="Calibri" w:eastAsia="Times New Roman" w:hAnsi="Calibri" w:cs="Calibri"/>
                <w:lang w:eastAsia="cs-CZ"/>
              </w:rPr>
              <w:t>40145</w:t>
            </w:r>
          </w:p>
        </w:tc>
        <w:tc>
          <w:tcPr>
            <w:tcW w:w="412" w:type="pct"/>
            <w:tcBorders>
              <w:top w:val="nil"/>
              <w:left w:val="nil"/>
              <w:bottom w:val="nil"/>
              <w:right w:val="single" w:sz="8" w:space="0" w:color="auto"/>
            </w:tcBorders>
            <w:shd w:val="clear" w:color="auto" w:fill="auto"/>
            <w:noWrap/>
            <w:vAlign w:val="bottom"/>
            <w:hideMark/>
          </w:tcPr>
          <w:p w14:paraId="4459F21B" w14:textId="413BE5C5"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0.</w:t>
            </w:r>
            <w:r w:rsidR="00F47783" w:rsidRPr="001D0ADC">
              <w:rPr>
                <w:rFonts w:ascii="Calibri" w:eastAsia="Times New Roman" w:hAnsi="Calibri" w:cs="Calibri"/>
                <w:lang w:eastAsia="cs-CZ"/>
              </w:rPr>
              <w:t>36</w:t>
            </w:r>
          </w:p>
        </w:tc>
      </w:tr>
      <w:tr w:rsidR="001D0ADC" w:rsidRPr="001D0ADC" w14:paraId="5920DEDF" w14:textId="77777777" w:rsidTr="007C5E6B">
        <w:trPr>
          <w:trHeight w:val="288"/>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10623E12"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23F3E56C"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end (120h)</w:t>
            </w:r>
          </w:p>
        </w:tc>
        <w:tc>
          <w:tcPr>
            <w:tcW w:w="314" w:type="pct"/>
            <w:tcBorders>
              <w:top w:val="nil"/>
              <w:left w:val="single" w:sz="8" w:space="0" w:color="auto"/>
              <w:bottom w:val="nil"/>
              <w:right w:val="nil"/>
            </w:tcBorders>
            <w:shd w:val="clear" w:color="auto" w:fill="auto"/>
            <w:noWrap/>
            <w:vAlign w:val="bottom"/>
            <w:hideMark/>
          </w:tcPr>
          <w:p w14:paraId="5EB53281" w14:textId="23FAC424"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5</w:t>
            </w:r>
          </w:p>
        </w:tc>
        <w:tc>
          <w:tcPr>
            <w:tcW w:w="338" w:type="pct"/>
            <w:tcBorders>
              <w:top w:val="nil"/>
              <w:left w:val="nil"/>
              <w:bottom w:val="nil"/>
              <w:right w:val="single" w:sz="8" w:space="0" w:color="auto"/>
            </w:tcBorders>
            <w:shd w:val="clear" w:color="auto" w:fill="auto"/>
            <w:noWrap/>
            <w:vAlign w:val="bottom"/>
            <w:hideMark/>
          </w:tcPr>
          <w:p w14:paraId="685F69A2" w14:textId="6F11EEE0"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3.</w:t>
            </w:r>
            <w:r w:rsidRPr="001D0ADC">
              <w:rPr>
                <w:rFonts w:ascii="Calibri" w:eastAsia="Times New Roman" w:hAnsi="Calibri" w:cs="Calibri"/>
                <w:lang w:eastAsia="cs-CZ"/>
              </w:rPr>
              <w:t>3</w:t>
            </w:r>
          </w:p>
        </w:tc>
        <w:tc>
          <w:tcPr>
            <w:tcW w:w="412" w:type="pct"/>
            <w:tcBorders>
              <w:top w:val="nil"/>
              <w:left w:val="nil"/>
              <w:bottom w:val="nil"/>
              <w:right w:val="single" w:sz="8" w:space="0" w:color="auto"/>
            </w:tcBorders>
            <w:shd w:val="clear" w:color="auto" w:fill="auto"/>
            <w:noWrap/>
            <w:vAlign w:val="bottom"/>
            <w:hideMark/>
          </w:tcPr>
          <w:p w14:paraId="2F6465D6" w14:textId="1B1B9A95"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F47783" w:rsidRPr="001D0ADC">
              <w:rPr>
                <w:rFonts w:ascii="Calibri" w:eastAsia="Times New Roman" w:hAnsi="Calibri" w:cs="Calibri"/>
                <w:lang w:eastAsia="cs-CZ"/>
              </w:rPr>
              <w:t>18</w:t>
            </w:r>
          </w:p>
        </w:tc>
        <w:tc>
          <w:tcPr>
            <w:tcW w:w="314" w:type="pct"/>
            <w:tcBorders>
              <w:top w:val="nil"/>
              <w:left w:val="nil"/>
              <w:bottom w:val="nil"/>
              <w:right w:val="nil"/>
            </w:tcBorders>
            <w:shd w:val="clear" w:color="auto" w:fill="auto"/>
            <w:noWrap/>
            <w:vAlign w:val="bottom"/>
            <w:hideMark/>
          </w:tcPr>
          <w:p w14:paraId="39A3917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531164F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5D5A470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6B64548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030A94B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47F8A8D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29732BD0" w14:textId="0CAA6EDD"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0.</w:t>
            </w:r>
            <w:r w:rsidR="00F47783" w:rsidRPr="001D0ADC">
              <w:rPr>
                <w:rFonts w:ascii="Calibri" w:eastAsia="Times New Roman" w:hAnsi="Calibri" w:cs="Calibri"/>
                <w:lang w:eastAsia="cs-CZ"/>
              </w:rPr>
              <w:t>4</w:t>
            </w:r>
          </w:p>
        </w:tc>
        <w:tc>
          <w:tcPr>
            <w:tcW w:w="338" w:type="pct"/>
            <w:tcBorders>
              <w:top w:val="nil"/>
              <w:left w:val="nil"/>
              <w:bottom w:val="nil"/>
              <w:right w:val="single" w:sz="8" w:space="0" w:color="auto"/>
            </w:tcBorders>
            <w:shd w:val="clear" w:color="auto" w:fill="auto"/>
            <w:noWrap/>
            <w:vAlign w:val="bottom"/>
            <w:hideMark/>
          </w:tcPr>
          <w:p w14:paraId="426488E7" w14:textId="215698EF"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0.</w:t>
            </w:r>
            <w:r w:rsidR="00F47783" w:rsidRPr="001D0ADC">
              <w:rPr>
                <w:rFonts w:ascii="Calibri" w:eastAsia="Times New Roman" w:hAnsi="Calibri" w:cs="Calibri"/>
                <w:lang w:eastAsia="cs-CZ"/>
              </w:rPr>
              <w:t>39475</w:t>
            </w:r>
          </w:p>
        </w:tc>
        <w:tc>
          <w:tcPr>
            <w:tcW w:w="412" w:type="pct"/>
            <w:tcBorders>
              <w:top w:val="nil"/>
              <w:left w:val="nil"/>
              <w:bottom w:val="nil"/>
              <w:right w:val="single" w:sz="8" w:space="0" w:color="auto"/>
            </w:tcBorders>
            <w:shd w:val="clear" w:color="auto" w:fill="auto"/>
            <w:noWrap/>
            <w:vAlign w:val="bottom"/>
            <w:hideMark/>
          </w:tcPr>
          <w:p w14:paraId="25E4E48E" w14:textId="01A3A50A"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31</w:t>
            </w:r>
          </w:p>
        </w:tc>
      </w:tr>
      <w:tr w:rsidR="001D0ADC" w:rsidRPr="001D0ADC" w14:paraId="4695EE9E" w14:textId="77777777" w:rsidTr="007C5E6B">
        <w:trPr>
          <w:trHeight w:val="288"/>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5D12EF32"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3A6F375E"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start</w:t>
            </w:r>
          </w:p>
        </w:tc>
        <w:tc>
          <w:tcPr>
            <w:tcW w:w="314" w:type="pct"/>
            <w:tcBorders>
              <w:top w:val="nil"/>
              <w:left w:val="single" w:sz="8" w:space="0" w:color="auto"/>
              <w:bottom w:val="nil"/>
              <w:right w:val="nil"/>
            </w:tcBorders>
            <w:shd w:val="clear" w:color="auto" w:fill="auto"/>
            <w:noWrap/>
            <w:vAlign w:val="bottom"/>
            <w:hideMark/>
          </w:tcPr>
          <w:p w14:paraId="57ABE1B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w:t>
            </w:r>
          </w:p>
        </w:tc>
        <w:tc>
          <w:tcPr>
            <w:tcW w:w="338" w:type="pct"/>
            <w:tcBorders>
              <w:top w:val="nil"/>
              <w:left w:val="nil"/>
              <w:bottom w:val="nil"/>
              <w:right w:val="single" w:sz="8" w:space="0" w:color="auto"/>
            </w:tcBorders>
            <w:shd w:val="clear" w:color="auto" w:fill="auto"/>
            <w:noWrap/>
            <w:vAlign w:val="bottom"/>
            <w:hideMark/>
          </w:tcPr>
          <w:p w14:paraId="77FE4D9E" w14:textId="33F2C2B9"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0.</w:t>
            </w:r>
            <w:r w:rsidRPr="001D0ADC">
              <w:rPr>
                <w:rFonts w:ascii="Calibri" w:eastAsia="Times New Roman" w:hAnsi="Calibri" w:cs="Calibri"/>
                <w:lang w:eastAsia="cs-CZ"/>
              </w:rPr>
              <w:t>7</w:t>
            </w:r>
          </w:p>
        </w:tc>
        <w:tc>
          <w:tcPr>
            <w:tcW w:w="412" w:type="pct"/>
            <w:tcBorders>
              <w:top w:val="nil"/>
              <w:left w:val="nil"/>
              <w:bottom w:val="nil"/>
              <w:right w:val="single" w:sz="8" w:space="0" w:color="auto"/>
            </w:tcBorders>
            <w:shd w:val="clear" w:color="auto" w:fill="auto"/>
            <w:noWrap/>
            <w:vAlign w:val="bottom"/>
            <w:hideMark/>
          </w:tcPr>
          <w:p w14:paraId="71F48C13" w14:textId="6782A616"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F47783" w:rsidRPr="001D0ADC">
              <w:rPr>
                <w:rFonts w:ascii="Calibri" w:eastAsia="Times New Roman" w:hAnsi="Calibri" w:cs="Calibri"/>
                <w:lang w:eastAsia="cs-CZ"/>
              </w:rPr>
              <w:t>26</w:t>
            </w:r>
          </w:p>
        </w:tc>
        <w:tc>
          <w:tcPr>
            <w:tcW w:w="314" w:type="pct"/>
            <w:tcBorders>
              <w:top w:val="nil"/>
              <w:left w:val="nil"/>
              <w:bottom w:val="nil"/>
              <w:right w:val="nil"/>
            </w:tcBorders>
            <w:shd w:val="clear" w:color="auto" w:fill="auto"/>
            <w:noWrap/>
            <w:vAlign w:val="bottom"/>
            <w:hideMark/>
          </w:tcPr>
          <w:p w14:paraId="4DAEA17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w:t>
            </w:r>
          </w:p>
        </w:tc>
        <w:tc>
          <w:tcPr>
            <w:tcW w:w="338" w:type="pct"/>
            <w:tcBorders>
              <w:top w:val="nil"/>
              <w:left w:val="nil"/>
              <w:bottom w:val="nil"/>
              <w:right w:val="single" w:sz="8" w:space="0" w:color="auto"/>
            </w:tcBorders>
            <w:shd w:val="clear" w:color="auto" w:fill="auto"/>
            <w:noWrap/>
            <w:vAlign w:val="bottom"/>
            <w:hideMark/>
          </w:tcPr>
          <w:p w14:paraId="3F758070" w14:textId="4EF5184D"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w:t>
            </w:r>
            <w:r w:rsidR="00F47783" w:rsidRPr="001D0ADC">
              <w:rPr>
                <w:rFonts w:ascii="Calibri" w:eastAsia="Times New Roman" w:hAnsi="Calibri" w:cs="Calibri"/>
                <w:lang w:eastAsia="cs-CZ"/>
              </w:rPr>
              <w:t>97</w:t>
            </w:r>
          </w:p>
        </w:tc>
        <w:tc>
          <w:tcPr>
            <w:tcW w:w="412" w:type="pct"/>
            <w:tcBorders>
              <w:top w:val="nil"/>
              <w:left w:val="nil"/>
              <w:bottom w:val="nil"/>
              <w:right w:val="single" w:sz="8" w:space="0" w:color="auto"/>
            </w:tcBorders>
            <w:shd w:val="clear" w:color="auto" w:fill="auto"/>
            <w:noWrap/>
            <w:vAlign w:val="bottom"/>
            <w:hideMark/>
          </w:tcPr>
          <w:p w14:paraId="19CD2E98" w14:textId="3DE15913"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0.</w:t>
            </w:r>
            <w:r w:rsidRPr="001D0ADC">
              <w:rPr>
                <w:rFonts w:ascii="Calibri" w:eastAsia="Times New Roman" w:hAnsi="Calibri" w:cs="Calibri"/>
                <w:lang w:eastAsia="cs-CZ"/>
              </w:rPr>
              <w:t>33</w:t>
            </w:r>
          </w:p>
        </w:tc>
        <w:tc>
          <w:tcPr>
            <w:tcW w:w="314" w:type="pct"/>
            <w:tcBorders>
              <w:top w:val="nil"/>
              <w:left w:val="nil"/>
              <w:bottom w:val="nil"/>
              <w:right w:val="nil"/>
            </w:tcBorders>
            <w:shd w:val="clear" w:color="auto" w:fill="auto"/>
            <w:noWrap/>
            <w:vAlign w:val="bottom"/>
            <w:hideMark/>
          </w:tcPr>
          <w:p w14:paraId="6F8131E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w:t>
            </w:r>
          </w:p>
        </w:tc>
        <w:tc>
          <w:tcPr>
            <w:tcW w:w="338" w:type="pct"/>
            <w:tcBorders>
              <w:top w:val="nil"/>
              <w:left w:val="nil"/>
              <w:bottom w:val="nil"/>
              <w:right w:val="single" w:sz="8" w:space="0" w:color="auto"/>
            </w:tcBorders>
            <w:shd w:val="clear" w:color="auto" w:fill="auto"/>
            <w:noWrap/>
            <w:vAlign w:val="bottom"/>
            <w:hideMark/>
          </w:tcPr>
          <w:p w14:paraId="4A63EC44" w14:textId="66CB1C9E"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A13570" w:rsidRPr="001D0ADC">
              <w:rPr>
                <w:rFonts w:ascii="Calibri" w:eastAsia="Times New Roman" w:hAnsi="Calibri" w:cs="Calibri"/>
                <w:lang w:eastAsia="cs-CZ"/>
              </w:rPr>
              <w:t>3.</w:t>
            </w:r>
            <w:r w:rsidRPr="001D0ADC">
              <w:rPr>
                <w:rFonts w:ascii="Calibri" w:eastAsia="Times New Roman" w:hAnsi="Calibri" w:cs="Calibri"/>
                <w:lang w:eastAsia="cs-CZ"/>
              </w:rPr>
              <w:t>6</w:t>
            </w:r>
          </w:p>
        </w:tc>
        <w:tc>
          <w:tcPr>
            <w:tcW w:w="412" w:type="pct"/>
            <w:tcBorders>
              <w:top w:val="nil"/>
              <w:left w:val="nil"/>
              <w:bottom w:val="nil"/>
              <w:right w:val="single" w:sz="8" w:space="0" w:color="auto"/>
            </w:tcBorders>
            <w:shd w:val="clear" w:color="auto" w:fill="auto"/>
            <w:noWrap/>
            <w:vAlign w:val="bottom"/>
            <w:hideMark/>
          </w:tcPr>
          <w:p w14:paraId="766BD107" w14:textId="6E9E2B04"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F47783" w:rsidRPr="001D0ADC">
              <w:rPr>
                <w:rFonts w:ascii="Calibri" w:eastAsia="Times New Roman" w:hAnsi="Calibri" w:cs="Calibri"/>
                <w:lang w:eastAsia="cs-CZ"/>
              </w:rPr>
              <w:t>20</w:t>
            </w:r>
          </w:p>
        </w:tc>
        <w:tc>
          <w:tcPr>
            <w:tcW w:w="314" w:type="pct"/>
            <w:tcBorders>
              <w:top w:val="nil"/>
              <w:left w:val="nil"/>
              <w:bottom w:val="nil"/>
              <w:right w:val="nil"/>
            </w:tcBorders>
            <w:shd w:val="clear" w:color="auto" w:fill="auto"/>
            <w:noWrap/>
            <w:vAlign w:val="bottom"/>
            <w:hideMark/>
          </w:tcPr>
          <w:p w14:paraId="213F021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w:t>
            </w:r>
          </w:p>
        </w:tc>
        <w:tc>
          <w:tcPr>
            <w:tcW w:w="338" w:type="pct"/>
            <w:tcBorders>
              <w:top w:val="nil"/>
              <w:left w:val="nil"/>
              <w:bottom w:val="nil"/>
              <w:right w:val="single" w:sz="8" w:space="0" w:color="auto"/>
            </w:tcBorders>
            <w:shd w:val="clear" w:color="auto" w:fill="auto"/>
            <w:noWrap/>
            <w:vAlign w:val="bottom"/>
            <w:hideMark/>
          </w:tcPr>
          <w:p w14:paraId="093EF7DB" w14:textId="1CE63F84"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0.</w:t>
            </w:r>
            <w:r w:rsidRPr="001D0ADC">
              <w:rPr>
                <w:rFonts w:ascii="Calibri" w:eastAsia="Times New Roman" w:hAnsi="Calibri" w:cs="Calibri"/>
                <w:lang w:eastAsia="cs-CZ"/>
              </w:rPr>
              <w:t>5</w:t>
            </w:r>
          </w:p>
        </w:tc>
        <w:tc>
          <w:tcPr>
            <w:tcW w:w="412" w:type="pct"/>
            <w:tcBorders>
              <w:top w:val="nil"/>
              <w:left w:val="nil"/>
              <w:bottom w:val="nil"/>
              <w:right w:val="single" w:sz="8" w:space="0" w:color="auto"/>
            </w:tcBorders>
            <w:shd w:val="clear" w:color="auto" w:fill="auto"/>
            <w:noWrap/>
            <w:vAlign w:val="bottom"/>
            <w:hideMark/>
          </w:tcPr>
          <w:p w14:paraId="4FB75071" w14:textId="46160816"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F47783" w:rsidRPr="001D0ADC">
              <w:rPr>
                <w:rFonts w:ascii="Calibri" w:eastAsia="Times New Roman" w:hAnsi="Calibri" w:cs="Calibri"/>
                <w:lang w:eastAsia="cs-CZ"/>
              </w:rPr>
              <w:t>26</w:t>
            </w:r>
          </w:p>
        </w:tc>
      </w:tr>
      <w:tr w:rsidR="001D0ADC" w:rsidRPr="001D0ADC" w14:paraId="4DB620D4" w14:textId="77777777" w:rsidTr="007C5E6B">
        <w:trPr>
          <w:trHeight w:val="300"/>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00F00F00"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147C202F"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end (24h)</w:t>
            </w:r>
          </w:p>
        </w:tc>
        <w:tc>
          <w:tcPr>
            <w:tcW w:w="314" w:type="pct"/>
            <w:tcBorders>
              <w:top w:val="nil"/>
              <w:left w:val="single" w:sz="8" w:space="0" w:color="auto"/>
              <w:bottom w:val="nil"/>
              <w:right w:val="nil"/>
            </w:tcBorders>
            <w:shd w:val="clear" w:color="auto" w:fill="auto"/>
            <w:noWrap/>
            <w:vAlign w:val="bottom"/>
            <w:hideMark/>
          </w:tcPr>
          <w:p w14:paraId="78EB72D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w:t>
            </w:r>
          </w:p>
        </w:tc>
        <w:tc>
          <w:tcPr>
            <w:tcW w:w="338" w:type="pct"/>
            <w:tcBorders>
              <w:top w:val="nil"/>
              <w:left w:val="nil"/>
              <w:bottom w:val="nil"/>
              <w:right w:val="single" w:sz="8" w:space="0" w:color="auto"/>
            </w:tcBorders>
            <w:shd w:val="clear" w:color="auto" w:fill="auto"/>
            <w:noWrap/>
            <w:vAlign w:val="bottom"/>
            <w:hideMark/>
          </w:tcPr>
          <w:p w14:paraId="7BA22158" w14:textId="3DE5B131"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3</w:t>
            </w:r>
          </w:p>
        </w:tc>
        <w:tc>
          <w:tcPr>
            <w:tcW w:w="412" w:type="pct"/>
            <w:tcBorders>
              <w:top w:val="nil"/>
              <w:left w:val="nil"/>
              <w:bottom w:val="nil"/>
              <w:right w:val="single" w:sz="8" w:space="0" w:color="auto"/>
            </w:tcBorders>
            <w:shd w:val="clear" w:color="auto" w:fill="auto"/>
            <w:noWrap/>
            <w:vAlign w:val="bottom"/>
            <w:hideMark/>
          </w:tcPr>
          <w:p w14:paraId="15E63737" w14:textId="71BD8EFE"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3.</w:t>
            </w:r>
            <w:r w:rsidRPr="001D0ADC">
              <w:rPr>
                <w:rFonts w:ascii="Calibri" w:eastAsia="Times New Roman" w:hAnsi="Calibri" w:cs="Calibri"/>
                <w:lang w:eastAsia="cs-CZ"/>
              </w:rPr>
              <w:t>5</w:t>
            </w:r>
          </w:p>
        </w:tc>
        <w:tc>
          <w:tcPr>
            <w:tcW w:w="314" w:type="pct"/>
            <w:tcBorders>
              <w:top w:val="nil"/>
              <w:left w:val="nil"/>
              <w:bottom w:val="nil"/>
              <w:right w:val="nil"/>
            </w:tcBorders>
            <w:shd w:val="clear" w:color="auto" w:fill="auto"/>
            <w:noWrap/>
            <w:vAlign w:val="bottom"/>
            <w:hideMark/>
          </w:tcPr>
          <w:p w14:paraId="3BE0F16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w:t>
            </w:r>
          </w:p>
        </w:tc>
        <w:tc>
          <w:tcPr>
            <w:tcW w:w="338" w:type="pct"/>
            <w:tcBorders>
              <w:top w:val="nil"/>
              <w:left w:val="nil"/>
              <w:bottom w:val="nil"/>
              <w:right w:val="single" w:sz="8" w:space="0" w:color="auto"/>
            </w:tcBorders>
            <w:shd w:val="clear" w:color="auto" w:fill="auto"/>
            <w:noWrap/>
            <w:vAlign w:val="bottom"/>
            <w:hideMark/>
          </w:tcPr>
          <w:p w14:paraId="3F99CDA4" w14:textId="79FA2B2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0.</w:t>
            </w:r>
            <w:r w:rsidRPr="001D0ADC">
              <w:rPr>
                <w:rFonts w:ascii="Calibri" w:eastAsia="Times New Roman" w:hAnsi="Calibri" w:cs="Calibri"/>
                <w:lang w:eastAsia="cs-CZ"/>
              </w:rPr>
              <w:t>6</w:t>
            </w:r>
          </w:p>
        </w:tc>
        <w:tc>
          <w:tcPr>
            <w:tcW w:w="412" w:type="pct"/>
            <w:tcBorders>
              <w:top w:val="nil"/>
              <w:left w:val="nil"/>
              <w:bottom w:val="nil"/>
              <w:right w:val="single" w:sz="8" w:space="0" w:color="auto"/>
            </w:tcBorders>
            <w:shd w:val="clear" w:color="auto" w:fill="auto"/>
            <w:noWrap/>
            <w:vAlign w:val="bottom"/>
            <w:hideMark/>
          </w:tcPr>
          <w:p w14:paraId="0A72E286" w14:textId="3B56692F"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F47783" w:rsidRPr="001D0ADC">
              <w:rPr>
                <w:rFonts w:ascii="Calibri" w:eastAsia="Times New Roman" w:hAnsi="Calibri" w:cs="Calibri"/>
                <w:lang w:eastAsia="cs-CZ"/>
              </w:rPr>
              <w:t>17</w:t>
            </w:r>
          </w:p>
        </w:tc>
        <w:tc>
          <w:tcPr>
            <w:tcW w:w="314" w:type="pct"/>
            <w:tcBorders>
              <w:top w:val="nil"/>
              <w:left w:val="nil"/>
              <w:bottom w:val="nil"/>
              <w:right w:val="nil"/>
            </w:tcBorders>
            <w:shd w:val="clear" w:color="auto" w:fill="auto"/>
            <w:noWrap/>
            <w:vAlign w:val="bottom"/>
            <w:hideMark/>
          </w:tcPr>
          <w:p w14:paraId="7468EF4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w:t>
            </w:r>
          </w:p>
        </w:tc>
        <w:tc>
          <w:tcPr>
            <w:tcW w:w="338" w:type="pct"/>
            <w:tcBorders>
              <w:top w:val="nil"/>
              <w:left w:val="nil"/>
              <w:bottom w:val="nil"/>
              <w:right w:val="single" w:sz="8" w:space="0" w:color="auto"/>
            </w:tcBorders>
            <w:shd w:val="clear" w:color="auto" w:fill="auto"/>
            <w:noWrap/>
            <w:vAlign w:val="bottom"/>
            <w:hideMark/>
          </w:tcPr>
          <w:p w14:paraId="78AFF391" w14:textId="166690F4"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A13570" w:rsidRPr="001D0ADC">
              <w:rPr>
                <w:rFonts w:ascii="Calibri" w:eastAsia="Times New Roman" w:hAnsi="Calibri" w:cs="Calibri"/>
                <w:lang w:eastAsia="cs-CZ"/>
              </w:rPr>
              <w:t>5.</w:t>
            </w:r>
            <w:r w:rsidRPr="001D0ADC">
              <w:rPr>
                <w:rFonts w:ascii="Calibri" w:eastAsia="Times New Roman" w:hAnsi="Calibri" w:cs="Calibri"/>
                <w:lang w:eastAsia="cs-CZ"/>
              </w:rPr>
              <w:t>6</w:t>
            </w:r>
          </w:p>
        </w:tc>
        <w:tc>
          <w:tcPr>
            <w:tcW w:w="412" w:type="pct"/>
            <w:tcBorders>
              <w:top w:val="nil"/>
              <w:left w:val="nil"/>
              <w:bottom w:val="nil"/>
              <w:right w:val="single" w:sz="8" w:space="0" w:color="auto"/>
            </w:tcBorders>
            <w:shd w:val="clear" w:color="auto" w:fill="auto"/>
            <w:noWrap/>
            <w:vAlign w:val="bottom"/>
            <w:hideMark/>
          </w:tcPr>
          <w:p w14:paraId="11200939" w14:textId="2EC0147D"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3</w:t>
            </w:r>
          </w:p>
        </w:tc>
        <w:tc>
          <w:tcPr>
            <w:tcW w:w="314" w:type="pct"/>
            <w:tcBorders>
              <w:top w:val="nil"/>
              <w:left w:val="nil"/>
              <w:bottom w:val="nil"/>
              <w:right w:val="nil"/>
            </w:tcBorders>
            <w:shd w:val="clear" w:color="auto" w:fill="auto"/>
            <w:noWrap/>
            <w:vAlign w:val="bottom"/>
            <w:hideMark/>
          </w:tcPr>
          <w:p w14:paraId="150E99D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w:t>
            </w:r>
          </w:p>
        </w:tc>
        <w:tc>
          <w:tcPr>
            <w:tcW w:w="338" w:type="pct"/>
            <w:tcBorders>
              <w:top w:val="nil"/>
              <w:left w:val="nil"/>
              <w:bottom w:val="nil"/>
              <w:right w:val="single" w:sz="8" w:space="0" w:color="auto"/>
            </w:tcBorders>
            <w:shd w:val="clear" w:color="auto" w:fill="auto"/>
            <w:noWrap/>
            <w:vAlign w:val="bottom"/>
            <w:hideMark/>
          </w:tcPr>
          <w:p w14:paraId="6C2F8CB0" w14:textId="017AE2BB"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8.</w:t>
            </w:r>
            <w:r w:rsidR="00F47783" w:rsidRPr="001D0ADC">
              <w:rPr>
                <w:rFonts w:ascii="Calibri" w:eastAsia="Times New Roman" w:hAnsi="Calibri" w:cs="Calibri"/>
                <w:lang w:eastAsia="cs-CZ"/>
              </w:rPr>
              <w:t>65</w:t>
            </w:r>
          </w:p>
        </w:tc>
        <w:tc>
          <w:tcPr>
            <w:tcW w:w="412" w:type="pct"/>
            <w:tcBorders>
              <w:top w:val="nil"/>
              <w:left w:val="nil"/>
              <w:bottom w:val="nil"/>
              <w:right w:val="single" w:sz="8" w:space="0" w:color="auto"/>
            </w:tcBorders>
            <w:shd w:val="clear" w:color="auto" w:fill="auto"/>
            <w:noWrap/>
            <w:vAlign w:val="bottom"/>
            <w:hideMark/>
          </w:tcPr>
          <w:p w14:paraId="77352AC1" w14:textId="3FCDE97D"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3.</w:t>
            </w:r>
            <w:r w:rsidRPr="001D0ADC">
              <w:rPr>
                <w:rFonts w:ascii="Calibri" w:eastAsia="Times New Roman" w:hAnsi="Calibri" w:cs="Calibri"/>
                <w:lang w:eastAsia="cs-CZ"/>
              </w:rPr>
              <w:t>5</w:t>
            </w:r>
          </w:p>
        </w:tc>
      </w:tr>
      <w:tr w:rsidR="001D0ADC" w:rsidRPr="001D0ADC" w14:paraId="782E7DBD" w14:textId="77777777" w:rsidTr="007C5E6B">
        <w:trPr>
          <w:trHeight w:val="300"/>
        </w:trPr>
        <w:tc>
          <w:tcPr>
            <w:tcW w:w="744" w:type="pct"/>
            <w:gridSpan w:val="2"/>
            <w:tcBorders>
              <w:top w:val="single" w:sz="4" w:space="0" w:color="auto"/>
              <w:left w:val="nil"/>
              <w:bottom w:val="single" w:sz="4" w:space="0" w:color="auto"/>
              <w:right w:val="nil"/>
            </w:tcBorders>
            <w:shd w:val="clear" w:color="auto" w:fill="auto"/>
            <w:noWrap/>
            <w:vAlign w:val="center"/>
            <w:hideMark/>
          </w:tcPr>
          <w:p w14:paraId="5F16427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single" w:sz="8" w:space="0" w:color="auto"/>
              <w:bottom w:val="single" w:sz="8" w:space="0" w:color="auto"/>
              <w:right w:val="nil"/>
            </w:tcBorders>
            <w:shd w:val="clear" w:color="auto" w:fill="auto"/>
            <w:noWrap/>
            <w:vAlign w:val="bottom"/>
            <w:hideMark/>
          </w:tcPr>
          <w:p w14:paraId="7400230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444C709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438797A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43D2FE1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1069EF2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4B08734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1E3A2E0D"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39056D5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20412496"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7E2550E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789C9F0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2B8DC0E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r>
      <w:tr w:rsidR="001D0ADC" w:rsidRPr="001D0ADC" w14:paraId="0C9ADFB2" w14:textId="77777777" w:rsidTr="007C5E6B">
        <w:trPr>
          <w:trHeight w:val="288"/>
        </w:trPr>
        <w:tc>
          <w:tcPr>
            <w:tcW w:w="1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9AA65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C2</w:t>
            </w:r>
          </w:p>
        </w:tc>
        <w:tc>
          <w:tcPr>
            <w:tcW w:w="623" w:type="pct"/>
            <w:tcBorders>
              <w:top w:val="nil"/>
              <w:left w:val="nil"/>
              <w:bottom w:val="single" w:sz="4" w:space="0" w:color="auto"/>
              <w:right w:val="nil"/>
            </w:tcBorders>
            <w:shd w:val="clear" w:color="auto" w:fill="auto"/>
            <w:noWrap/>
            <w:vAlign w:val="bottom"/>
            <w:hideMark/>
          </w:tcPr>
          <w:p w14:paraId="09ECE414"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start</w:t>
            </w:r>
          </w:p>
        </w:tc>
        <w:tc>
          <w:tcPr>
            <w:tcW w:w="314" w:type="pct"/>
            <w:tcBorders>
              <w:top w:val="nil"/>
              <w:left w:val="single" w:sz="8" w:space="0" w:color="auto"/>
              <w:bottom w:val="nil"/>
              <w:right w:val="nil"/>
            </w:tcBorders>
            <w:shd w:val="clear" w:color="auto" w:fill="auto"/>
            <w:noWrap/>
            <w:vAlign w:val="bottom"/>
            <w:hideMark/>
          </w:tcPr>
          <w:p w14:paraId="5FF67FC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75</w:t>
            </w:r>
          </w:p>
        </w:tc>
        <w:tc>
          <w:tcPr>
            <w:tcW w:w="338" w:type="pct"/>
            <w:tcBorders>
              <w:top w:val="nil"/>
              <w:left w:val="nil"/>
              <w:bottom w:val="nil"/>
              <w:right w:val="single" w:sz="8" w:space="0" w:color="auto"/>
            </w:tcBorders>
            <w:shd w:val="clear" w:color="auto" w:fill="auto"/>
            <w:noWrap/>
            <w:vAlign w:val="bottom"/>
            <w:hideMark/>
          </w:tcPr>
          <w:p w14:paraId="0E90A4BA" w14:textId="1947A778"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A13570" w:rsidRPr="001D0ADC">
              <w:rPr>
                <w:rFonts w:ascii="Calibri" w:eastAsia="Times New Roman" w:hAnsi="Calibri" w:cs="Calibri"/>
                <w:lang w:eastAsia="cs-CZ"/>
              </w:rPr>
              <w:t>3.</w:t>
            </w:r>
            <w:r w:rsidRPr="001D0ADC">
              <w:rPr>
                <w:rFonts w:ascii="Calibri" w:eastAsia="Times New Roman" w:hAnsi="Calibri" w:cs="Calibri"/>
                <w:lang w:eastAsia="cs-CZ"/>
              </w:rPr>
              <w:t>6</w:t>
            </w:r>
          </w:p>
        </w:tc>
        <w:tc>
          <w:tcPr>
            <w:tcW w:w="412" w:type="pct"/>
            <w:tcBorders>
              <w:top w:val="nil"/>
              <w:left w:val="nil"/>
              <w:bottom w:val="nil"/>
              <w:right w:val="single" w:sz="8" w:space="0" w:color="auto"/>
            </w:tcBorders>
            <w:shd w:val="clear" w:color="auto" w:fill="auto"/>
            <w:noWrap/>
            <w:vAlign w:val="bottom"/>
            <w:hideMark/>
          </w:tcPr>
          <w:p w14:paraId="5E0C2638" w14:textId="15B9F87E"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92</w:t>
            </w:r>
          </w:p>
        </w:tc>
        <w:tc>
          <w:tcPr>
            <w:tcW w:w="314" w:type="pct"/>
            <w:tcBorders>
              <w:top w:val="nil"/>
              <w:left w:val="nil"/>
              <w:bottom w:val="nil"/>
              <w:right w:val="nil"/>
            </w:tcBorders>
            <w:shd w:val="clear" w:color="auto" w:fill="auto"/>
            <w:noWrap/>
            <w:vAlign w:val="bottom"/>
            <w:hideMark/>
          </w:tcPr>
          <w:p w14:paraId="13232A7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4720848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4587EC9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0A8CC27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550C0B2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4A1456B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094FA73D" w14:textId="5E14FB2E"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3.</w:t>
            </w:r>
            <w:r w:rsidR="00F47783" w:rsidRPr="001D0ADC">
              <w:rPr>
                <w:rFonts w:ascii="Calibri" w:eastAsia="Times New Roman" w:hAnsi="Calibri" w:cs="Calibri"/>
                <w:lang w:eastAsia="cs-CZ"/>
              </w:rPr>
              <w:t>6</w:t>
            </w:r>
          </w:p>
        </w:tc>
        <w:tc>
          <w:tcPr>
            <w:tcW w:w="338" w:type="pct"/>
            <w:tcBorders>
              <w:top w:val="nil"/>
              <w:left w:val="nil"/>
              <w:bottom w:val="nil"/>
              <w:right w:val="single" w:sz="8" w:space="0" w:color="auto"/>
            </w:tcBorders>
            <w:shd w:val="clear" w:color="auto" w:fill="auto"/>
            <w:noWrap/>
            <w:vAlign w:val="bottom"/>
            <w:hideMark/>
          </w:tcPr>
          <w:p w14:paraId="4FCF9332" w14:textId="03636834"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3.</w:t>
            </w:r>
            <w:r w:rsidR="00F47783" w:rsidRPr="001D0ADC">
              <w:rPr>
                <w:rFonts w:ascii="Calibri" w:eastAsia="Times New Roman" w:hAnsi="Calibri" w:cs="Calibri"/>
                <w:lang w:eastAsia="cs-CZ"/>
              </w:rPr>
              <w:t>46</w:t>
            </w:r>
          </w:p>
        </w:tc>
        <w:tc>
          <w:tcPr>
            <w:tcW w:w="412" w:type="pct"/>
            <w:tcBorders>
              <w:top w:val="nil"/>
              <w:left w:val="nil"/>
              <w:bottom w:val="nil"/>
              <w:right w:val="single" w:sz="8" w:space="0" w:color="auto"/>
            </w:tcBorders>
            <w:shd w:val="clear" w:color="auto" w:fill="auto"/>
            <w:noWrap/>
            <w:vAlign w:val="bottom"/>
            <w:hideMark/>
          </w:tcPr>
          <w:p w14:paraId="694EBC4E" w14:textId="23097F52"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3.</w:t>
            </w:r>
            <w:r w:rsidRPr="001D0ADC">
              <w:rPr>
                <w:rFonts w:ascii="Calibri" w:eastAsia="Times New Roman" w:hAnsi="Calibri" w:cs="Calibri"/>
                <w:lang w:eastAsia="cs-CZ"/>
              </w:rPr>
              <w:t>98</w:t>
            </w:r>
          </w:p>
        </w:tc>
      </w:tr>
      <w:tr w:rsidR="001D0ADC" w:rsidRPr="001D0ADC" w14:paraId="62C427A9" w14:textId="77777777" w:rsidTr="007C5E6B">
        <w:trPr>
          <w:trHeight w:val="288"/>
        </w:trPr>
        <w:tc>
          <w:tcPr>
            <w:tcW w:w="121" w:type="pct"/>
            <w:vMerge/>
            <w:tcBorders>
              <w:top w:val="nil"/>
              <w:left w:val="single" w:sz="4" w:space="0" w:color="auto"/>
              <w:bottom w:val="single" w:sz="4" w:space="0" w:color="auto"/>
              <w:right w:val="single" w:sz="4" w:space="0" w:color="auto"/>
            </w:tcBorders>
            <w:vAlign w:val="center"/>
            <w:hideMark/>
          </w:tcPr>
          <w:p w14:paraId="2C845D99"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6D077751"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end (120h)</w:t>
            </w:r>
          </w:p>
        </w:tc>
        <w:tc>
          <w:tcPr>
            <w:tcW w:w="314" w:type="pct"/>
            <w:tcBorders>
              <w:top w:val="nil"/>
              <w:left w:val="single" w:sz="8" w:space="0" w:color="auto"/>
              <w:bottom w:val="nil"/>
              <w:right w:val="nil"/>
            </w:tcBorders>
            <w:shd w:val="clear" w:color="auto" w:fill="auto"/>
            <w:noWrap/>
            <w:vAlign w:val="bottom"/>
            <w:hideMark/>
          </w:tcPr>
          <w:p w14:paraId="52795C3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75</w:t>
            </w:r>
          </w:p>
        </w:tc>
        <w:tc>
          <w:tcPr>
            <w:tcW w:w="338" w:type="pct"/>
            <w:tcBorders>
              <w:top w:val="nil"/>
              <w:left w:val="nil"/>
              <w:bottom w:val="nil"/>
              <w:right w:val="single" w:sz="8" w:space="0" w:color="auto"/>
            </w:tcBorders>
            <w:shd w:val="clear" w:color="auto" w:fill="auto"/>
            <w:noWrap/>
            <w:vAlign w:val="bottom"/>
            <w:hideMark/>
          </w:tcPr>
          <w:p w14:paraId="14D41C60" w14:textId="70A58EB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A13570" w:rsidRPr="001D0ADC">
              <w:rPr>
                <w:rFonts w:ascii="Calibri" w:eastAsia="Times New Roman" w:hAnsi="Calibri" w:cs="Calibri"/>
                <w:lang w:eastAsia="cs-CZ"/>
              </w:rPr>
              <w:t>3.</w:t>
            </w:r>
            <w:r w:rsidRPr="001D0ADC">
              <w:rPr>
                <w:rFonts w:ascii="Calibri" w:eastAsia="Times New Roman" w:hAnsi="Calibri" w:cs="Calibri"/>
                <w:lang w:eastAsia="cs-CZ"/>
              </w:rPr>
              <w:t>0</w:t>
            </w:r>
          </w:p>
        </w:tc>
        <w:tc>
          <w:tcPr>
            <w:tcW w:w="412" w:type="pct"/>
            <w:tcBorders>
              <w:top w:val="nil"/>
              <w:left w:val="nil"/>
              <w:bottom w:val="nil"/>
              <w:right w:val="single" w:sz="8" w:space="0" w:color="auto"/>
            </w:tcBorders>
            <w:shd w:val="clear" w:color="auto" w:fill="auto"/>
            <w:noWrap/>
            <w:vAlign w:val="bottom"/>
            <w:hideMark/>
          </w:tcPr>
          <w:p w14:paraId="285159A8" w14:textId="43A81E09"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63</w:t>
            </w:r>
          </w:p>
        </w:tc>
        <w:tc>
          <w:tcPr>
            <w:tcW w:w="314" w:type="pct"/>
            <w:tcBorders>
              <w:top w:val="nil"/>
              <w:left w:val="nil"/>
              <w:bottom w:val="nil"/>
              <w:right w:val="nil"/>
            </w:tcBorders>
            <w:shd w:val="clear" w:color="auto" w:fill="auto"/>
            <w:noWrap/>
            <w:vAlign w:val="bottom"/>
            <w:hideMark/>
          </w:tcPr>
          <w:p w14:paraId="53E9402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364EBB8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057D466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320353E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44B7C23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58A3131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031F77E1" w14:textId="14BC9BD4"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3.</w:t>
            </w:r>
            <w:r w:rsidR="00F47783" w:rsidRPr="001D0ADC">
              <w:rPr>
                <w:rFonts w:ascii="Calibri" w:eastAsia="Times New Roman" w:hAnsi="Calibri" w:cs="Calibri"/>
                <w:lang w:eastAsia="cs-CZ"/>
              </w:rPr>
              <w:t>6</w:t>
            </w:r>
          </w:p>
        </w:tc>
        <w:tc>
          <w:tcPr>
            <w:tcW w:w="338" w:type="pct"/>
            <w:tcBorders>
              <w:top w:val="nil"/>
              <w:left w:val="nil"/>
              <w:bottom w:val="nil"/>
              <w:right w:val="single" w:sz="8" w:space="0" w:color="auto"/>
            </w:tcBorders>
            <w:shd w:val="clear" w:color="auto" w:fill="auto"/>
            <w:noWrap/>
            <w:vAlign w:val="bottom"/>
            <w:hideMark/>
          </w:tcPr>
          <w:p w14:paraId="69469A26" w14:textId="3ECFE7A1"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3.</w:t>
            </w:r>
            <w:r w:rsidR="00F47783" w:rsidRPr="001D0ADC">
              <w:rPr>
                <w:rFonts w:ascii="Calibri" w:eastAsia="Times New Roman" w:hAnsi="Calibri" w:cs="Calibri"/>
                <w:lang w:eastAsia="cs-CZ"/>
              </w:rPr>
              <w:t>77</w:t>
            </w:r>
          </w:p>
        </w:tc>
        <w:tc>
          <w:tcPr>
            <w:tcW w:w="412" w:type="pct"/>
            <w:tcBorders>
              <w:top w:val="nil"/>
              <w:left w:val="nil"/>
              <w:bottom w:val="nil"/>
              <w:right w:val="single" w:sz="8" w:space="0" w:color="auto"/>
            </w:tcBorders>
            <w:shd w:val="clear" w:color="auto" w:fill="auto"/>
            <w:noWrap/>
            <w:vAlign w:val="bottom"/>
            <w:hideMark/>
          </w:tcPr>
          <w:p w14:paraId="5494927A" w14:textId="1EC33613"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w:t>
            </w:r>
            <w:r w:rsidR="00F47783" w:rsidRPr="001D0ADC">
              <w:rPr>
                <w:rFonts w:ascii="Calibri" w:eastAsia="Times New Roman" w:hAnsi="Calibri" w:cs="Calibri"/>
                <w:lang w:eastAsia="cs-CZ"/>
              </w:rPr>
              <w:t>64</w:t>
            </w:r>
          </w:p>
        </w:tc>
      </w:tr>
      <w:tr w:rsidR="001D0ADC" w:rsidRPr="001D0ADC" w14:paraId="3CE7D9C1" w14:textId="77777777" w:rsidTr="007C5E6B">
        <w:trPr>
          <w:trHeight w:val="288"/>
        </w:trPr>
        <w:tc>
          <w:tcPr>
            <w:tcW w:w="121" w:type="pct"/>
            <w:vMerge/>
            <w:tcBorders>
              <w:top w:val="nil"/>
              <w:left w:val="single" w:sz="4" w:space="0" w:color="auto"/>
              <w:bottom w:val="single" w:sz="4" w:space="0" w:color="auto"/>
              <w:right w:val="single" w:sz="4" w:space="0" w:color="auto"/>
            </w:tcBorders>
            <w:vAlign w:val="center"/>
            <w:hideMark/>
          </w:tcPr>
          <w:p w14:paraId="1A327A54"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1D8BACA1"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start</w:t>
            </w:r>
          </w:p>
        </w:tc>
        <w:tc>
          <w:tcPr>
            <w:tcW w:w="314" w:type="pct"/>
            <w:tcBorders>
              <w:top w:val="nil"/>
              <w:left w:val="single" w:sz="8" w:space="0" w:color="auto"/>
              <w:bottom w:val="nil"/>
              <w:right w:val="nil"/>
            </w:tcBorders>
            <w:shd w:val="clear" w:color="auto" w:fill="auto"/>
            <w:noWrap/>
            <w:vAlign w:val="bottom"/>
            <w:hideMark/>
          </w:tcPr>
          <w:p w14:paraId="126A543D"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142E6109" w14:textId="0CCEBE9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w:t>
            </w:r>
            <w:r w:rsidR="00A13570" w:rsidRPr="001D0ADC">
              <w:rPr>
                <w:rFonts w:ascii="Calibri" w:eastAsia="Times New Roman" w:hAnsi="Calibri" w:cs="Calibri"/>
                <w:lang w:eastAsia="cs-CZ"/>
              </w:rPr>
              <w:t>5.</w:t>
            </w:r>
            <w:r w:rsidRPr="001D0ADC">
              <w:rPr>
                <w:rFonts w:ascii="Calibri" w:eastAsia="Times New Roman" w:hAnsi="Calibri" w:cs="Calibri"/>
                <w:lang w:eastAsia="cs-CZ"/>
              </w:rPr>
              <w:t>1</w:t>
            </w:r>
          </w:p>
        </w:tc>
        <w:tc>
          <w:tcPr>
            <w:tcW w:w="412" w:type="pct"/>
            <w:tcBorders>
              <w:top w:val="nil"/>
              <w:left w:val="nil"/>
              <w:bottom w:val="nil"/>
              <w:right w:val="single" w:sz="8" w:space="0" w:color="auto"/>
            </w:tcBorders>
            <w:shd w:val="clear" w:color="auto" w:fill="auto"/>
            <w:noWrap/>
            <w:vAlign w:val="bottom"/>
            <w:hideMark/>
          </w:tcPr>
          <w:p w14:paraId="524D4493" w14:textId="266DD2A9"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F47783" w:rsidRPr="001D0ADC">
              <w:rPr>
                <w:rFonts w:ascii="Calibri" w:eastAsia="Times New Roman" w:hAnsi="Calibri" w:cs="Calibri"/>
                <w:lang w:eastAsia="cs-CZ"/>
              </w:rPr>
              <w:t>09</w:t>
            </w:r>
          </w:p>
        </w:tc>
        <w:tc>
          <w:tcPr>
            <w:tcW w:w="314" w:type="pct"/>
            <w:tcBorders>
              <w:top w:val="nil"/>
              <w:left w:val="nil"/>
              <w:bottom w:val="nil"/>
              <w:right w:val="nil"/>
            </w:tcBorders>
            <w:shd w:val="clear" w:color="auto" w:fill="auto"/>
            <w:noWrap/>
            <w:vAlign w:val="bottom"/>
            <w:hideMark/>
          </w:tcPr>
          <w:p w14:paraId="794C9EF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w:t>
            </w:r>
          </w:p>
        </w:tc>
        <w:tc>
          <w:tcPr>
            <w:tcW w:w="338" w:type="pct"/>
            <w:tcBorders>
              <w:top w:val="nil"/>
              <w:left w:val="nil"/>
              <w:bottom w:val="nil"/>
              <w:right w:val="single" w:sz="8" w:space="0" w:color="auto"/>
            </w:tcBorders>
            <w:shd w:val="clear" w:color="auto" w:fill="auto"/>
            <w:noWrap/>
            <w:vAlign w:val="bottom"/>
            <w:hideMark/>
          </w:tcPr>
          <w:p w14:paraId="0B7BEC63" w14:textId="4588135D"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A13570" w:rsidRPr="001D0ADC">
              <w:rPr>
                <w:rFonts w:ascii="Calibri" w:eastAsia="Times New Roman" w:hAnsi="Calibri" w:cs="Calibri"/>
                <w:lang w:eastAsia="cs-CZ"/>
              </w:rPr>
              <w:t>0.</w:t>
            </w:r>
            <w:r w:rsidRPr="001D0ADC">
              <w:rPr>
                <w:rFonts w:ascii="Calibri" w:eastAsia="Times New Roman" w:hAnsi="Calibri" w:cs="Calibri"/>
                <w:lang w:eastAsia="cs-CZ"/>
              </w:rPr>
              <w:t>1</w:t>
            </w:r>
          </w:p>
        </w:tc>
        <w:tc>
          <w:tcPr>
            <w:tcW w:w="412" w:type="pct"/>
            <w:tcBorders>
              <w:top w:val="nil"/>
              <w:left w:val="nil"/>
              <w:bottom w:val="nil"/>
              <w:right w:val="single" w:sz="8" w:space="0" w:color="auto"/>
            </w:tcBorders>
            <w:shd w:val="clear" w:color="auto" w:fill="auto"/>
            <w:noWrap/>
            <w:vAlign w:val="bottom"/>
            <w:hideMark/>
          </w:tcPr>
          <w:p w14:paraId="2C284657" w14:textId="2A17CA57"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0.</w:t>
            </w:r>
            <w:r w:rsidR="00F47783" w:rsidRPr="001D0ADC">
              <w:rPr>
                <w:rFonts w:ascii="Calibri" w:eastAsia="Times New Roman" w:hAnsi="Calibri" w:cs="Calibri"/>
                <w:lang w:eastAsia="cs-CZ"/>
              </w:rPr>
              <w:t>27</w:t>
            </w:r>
          </w:p>
        </w:tc>
        <w:tc>
          <w:tcPr>
            <w:tcW w:w="314" w:type="pct"/>
            <w:tcBorders>
              <w:top w:val="nil"/>
              <w:left w:val="nil"/>
              <w:bottom w:val="nil"/>
              <w:right w:val="nil"/>
            </w:tcBorders>
            <w:shd w:val="clear" w:color="auto" w:fill="auto"/>
            <w:noWrap/>
            <w:vAlign w:val="bottom"/>
            <w:hideMark/>
          </w:tcPr>
          <w:p w14:paraId="201F502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200</w:t>
            </w:r>
          </w:p>
        </w:tc>
        <w:tc>
          <w:tcPr>
            <w:tcW w:w="338" w:type="pct"/>
            <w:tcBorders>
              <w:top w:val="nil"/>
              <w:left w:val="nil"/>
              <w:bottom w:val="nil"/>
              <w:right w:val="single" w:sz="8" w:space="0" w:color="auto"/>
            </w:tcBorders>
            <w:shd w:val="clear" w:color="auto" w:fill="auto"/>
            <w:noWrap/>
            <w:vAlign w:val="bottom"/>
            <w:hideMark/>
          </w:tcPr>
          <w:p w14:paraId="6C53764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221</w:t>
            </w:r>
          </w:p>
        </w:tc>
        <w:tc>
          <w:tcPr>
            <w:tcW w:w="412" w:type="pct"/>
            <w:tcBorders>
              <w:top w:val="nil"/>
              <w:left w:val="nil"/>
              <w:bottom w:val="nil"/>
              <w:right w:val="single" w:sz="8" w:space="0" w:color="auto"/>
            </w:tcBorders>
            <w:shd w:val="clear" w:color="auto" w:fill="auto"/>
            <w:noWrap/>
            <w:vAlign w:val="bottom"/>
            <w:hideMark/>
          </w:tcPr>
          <w:p w14:paraId="58EDA13D" w14:textId="1B12FA1A"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0.</w:t>
            </w:r>
            <w:r w:rsidRPr="001D0ADC">
              <w:rPr>
                <w:rFonts w:ascii="Calibri" w:eastAsia="Times New Roman" w:hAnsi="Calibri" w:cs="Calibri"/>
                <w:lang w:eastAsia="cs-CZ"/>
              </w:rPr>
              <w:t>5</w:t>
            </w:r>
          </w:p>
        </w:tc>
        <w:tc>
          <w:tcPr>
            <w:tcW w:w="314" w:type="pct"/>
            <w:tcBorders>
              <w:top w:val="nil"/>
              <w:left w:val="nil"/>
              <w:bottom w:val="nil"/>
              <w:right w:val="nil"/>
            </w:tcBorders>
            <w:shd w:val="clear" w:color="auto" w:fill="auto"/>
            <w:noWrap/>
            <w:vAlign w:val="bottom"/>
            <w:hideMark/>
          </w:tcPr>
          <w:p w14:paraId="2F4F8F6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w:t>
            </w:r>
          </w:p>
        </w:tc>
        <w:tc>
          <w:tcPr>
            <w:tcW w:w="338" w:type="pct"/>
            <w:tcBorders>
              <w:top w:val="nil"/>
              <w:left w:val="nil"/>
              <w:bottom w:val="nil"/>
              <w:right w:val="single" w:sz="8" w:space="0" w:color="auto"/>
            </w:tcBorders>
            <w:shd w:val="clear" w:color="auto" w:fill="auto"/>
            <w:noWrap/>
            <w:vAlign w:val="bottom"/>
            <w:hideMark/>
          </w:tcPr>
          <w:p w14:paraId="1A3C5D7F" w14:textId="1A3552AB"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A13570" w:rsidRPr="001D0ADC">
              <w:rPr>
                <w:rFonts w:ascii="Calibri" w:eastAsia="Times New Roman" w:hAnsi="Calibri" w:cs="Calibri"/>
                <w:lang w:eastAsia="cs-CZ"/>
              </w:rPr>
              <w:t>3.</w:t>
            </w:r>
            <w:r w:rsidRPr="001D0ADC">
              <w:rPr>
                <w:rFonts w:ascii="Calibri" w:eastAsia="Times New Roman" w:hAnsi="Calibri" w:cs="Calibri"/>
                <w:lang w:eastAsia="cs-CZ"/>
              </w:rPr>
              <w:t>8</w:t>
            </w:r>
          </w:p>
        </w:tc>
        <w:tc>
          <w:tcPr>
            <w:tcW w:w="412" w:type="pct"/>
            <w:tcBorders>
              <w:top w:val="nil"/>
              <w:left w:val="nil"/>
              <w:bottom w:val="nil"/>
              <w:right w:val="single" w:sz="8" w:space="0" w:color="auto"/>
            </w:tcBorders>
            <w:shd w:val="clear" w:color="auto" w:fill="auto"/>
            <w:noWrap/>
            <w:vAlign w:val="bottom"/>
            <w:hideMark/>
          </w:tcPr>
          <w:p w14:paraId="18DBA223" w14:textId="26851055"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F47783" w:rsidRPr="001D0ADC">
              <w:rPr>
                <w:rFonts w:ascii="Calibri" w:eastAsia="Times New Roman" w:hAnsi="Calibri" w:cs="Calibri"/>
                <w:lang w:eastAsia="cs-CZ"/>
              </w:rPr>
              <w:t>58</w:t>
            </w:r>
          </w:p>
        </w:tc>
      </w:tr>
      <w:tr w:rsidR="001D0ADC" w:rsidRPr="001D0ADC" w14:paraId="2D050767" w14:textId="77777777" w:rsidTr="007C5E6B">
        <w:trPr>
          <w:trHeight w:val="300"/>
        </w:trPr>
        <w:tc>
          <w:tcPr>
            <w:tcW w:w="121" w:type="pct"/>
            <w:vMerge/>
            <w:tcBorders>
              <w:top w:val="nil"/>
              <w:left w:val="single" w:sz="4" w:space="0" w:color="auto"/>
              <w:bottom w:val="single" w:sz="4" w:space="0" w:color="auto"/>
              <w:right w:val="single" w:sz="4" w:space="0" w:color="auto"/>
            </w:tcBorders>
            <w:vAlign w:val="center"/>
            <w:hideMark/>
          </w:tcPr>
          <w:p w14:paraId="25998E11"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0EEBEA8F"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end (24h)</w:t>
            </w:r>
          </w:p>
        </w:tc>
        <w:tc>
          <w:tcPr>
            <w:tcW w:w="314" w:type="pct"/>
            <w:tcBorders>
              <w:top w:val="nil"/>
              <w:left w:val="single" w:sz="8" w:space="0" w:color="auto"/>
              <w:bottom w:val="nil"/>
              <w:right w:val="nil"/>
            </w:tcBorders>
            <w:shd w:val="clear" w:color="auto" w:fill="auto"/>
            <w:noWrap/>
            <w:vAlign w:val="bottom"/>
            <w:hideMark/>
          </w:tcPr>
          <w:p w14:paraId="0B92354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0311FF7E" w14:textId="2AA070F5"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w:t>
            </w:r>
            <w:r w:rsidR="00A13570" w:rsidRPr="001D0ADC">
              <w:rPr>
                <w:rFonts w:ascii="Calibri" w:eastAsia="Times New Roman" w:hAnsi="Calibri" w:cs="Calibri"/>
                <w:lang w:eastAsia="cs-CZ"/>
              </w:rPr>
              <w:t>1.</w:t>
            </w:r>
            <w:r w:rsidRPr="001D0ADC">
              <w:rPr>
                <w:rFonts w:ascii="Calibri" w:eastAsia="Times New Roman" w:hAnsi="Calibri" w:cs="Calibri"/>
                <w:lang w:eastAsia="cs-CZ"/>
              </w:rPr>
              <w:t>8</w:t>
            </w:r>
          </w:p>
        </w:tc>
        <w:tc>
          <w:tcPr>
            <w:tcW w:w="412" w:type="pct"/>
            <w:tcBorders>
              <w:top w:val="nil"/>
              <w:left w:val="nil"/>
              <w:bottom w:val="nil"/>
              <w:right w:val="single" w:sz="8" w:space="0" w:color="auto"/>
            </w:tcBorders>
            <w:shd w:val="clear" w:color="auto" w:fill="auto"/>
            <w:noWrap/>
            <w:vAlign w:val="bottom"/>
            <w:hideMark/>
          </w:tcPr>
          <w:p w14:paraId="6483486F" w14:textId="4EF7B584"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8</w:t>
            </w:r>
          </w:p>
        </w:tc>
        <w:tc>
          <w:tcPr>
            <w:tcW w:w="314" w:type="pct"/>
            <w:tcBorders>
              <w:top w:val="nil"/>
              <w:left w:val="nil"/>
              <w:bottom w:val="nil"/>
              <w:right w:val="nil"/>
            </w:tcBorders>
            <w:shd w:val="clear" w:color="auto" w:fill="auto"/>
            <w:noWrap/>
            <w:vAlign w:val="bottom"/>
            <w:hideMark/>
          </w:tcPr>
          <w:p w14:paraId="1B7EA4F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w:t>
            </w:r>
          </w:p>
        </w:tc>
        <w:tc>
          <w:tcPr>
            <w:tcW w:w="338" w:type="pct"/>
            <w:tcBorders>
              <w:top w:val="nil"/>
              <w:left w:val="nil"/>
              <w:bottom w:val="nil"/>
              <w:right w:val="single" w:sz="8" w:space="0" w:color="auto"/>
            </w:tcBorders>
            <w:shd w:val="clear" w:color="auto" w:fill="auto"/>
            <w:noWrap/>
            <w:vAlign w:val="bottom"/>
            <w:hideMark/>
          </w:tcPr>
          <w:p w14:paraId="648C6682" w14:textId="6D51902B"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w:t>
            </w:r>
            <w:r w:rsidR="00A13570" w:rsidRPr="001D0ADC">
              <w:rPr>
                <w:rFonts w:ascii="Calibri" w:eastAsia="Times New Roman" w:hAnsi="Calibri" w:cs="Calibri"/>
                <w:lang w:eastAsia="cs-CZ"/>
              </w:rPr>
              <w:t>9.</w:t>
            </w:r>
            <w:r w:rsidRPr="001D0ADC">
              <w:rPr>
                <w:rFonts w:ascii="Calibri" w:eastAsia="Times New Roman" w:hAnsi="Calibri" w:cs="Calibri"/>
                <w:lang w:eastAsia="cs-CZ"/>
              </w:rPr>
              <w:t>2</w:t>
            </w:r>
          </w:p>
        </w:tc>
        <w:tc>
          <w:tcPr>
            <w:tcW w:w="412" w:type="pct"/>
            <w:tcBorders>
              <w:top w:val="nil"/>
              <w:left w:val="nil"/>
              <w:bottom w:val="nil"/>
              <w:right w:val="single" w:sz="8" w:space="0" w:color="auto"/>
            </w:tcBorders>
            <w:shd w:val="clear" w:color="auto" w:fill="auto"/>
            <w:noWrap/>
            <w:vAlign w:val="bottom"/>
            <w:hideMark/>
          </w:tcPr>
          <w:p w14:paraId="794578F1" w14:textId="0B86A25F"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60</w:t>
            </w:r>
          </w:p>
        </w:tc>
        <w:tc>
          <w:tcPr>
            <w:tcW w:w="314" w:type="pct"/>
            <w:tcBorders>
              <w:top w:val="nil"/>
              <w:left w:val="nil"/>
              <w:bottom w:val="nil"/>
              <w:right w:val="nil"/>
            </w:tcBorders>
            <w:shd w:val="clear" w:color="auto" w:fill="auto"/>
            <w:noWrap/>
            <w:vAlign w:val="bottom"/>
            <w:hideMark/>
          </w:tcPr>
          <w:p w14:paraId="793DAF1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200</w:t>
            </w:r>
          </w:p>
        </w:tc>
        <w:tc>
          <w:tcPr>
            <w:tcW w:w="338" w:type="pct"/>
            <w:tcBorders>
              <w:top w:val="nil"/>
              <w:left w:val="nil"/>
              <w:bottom w:val="nil"/>
              <w:right w:val="single" w:sz="8" w:space="0" w:color="auto"/>
            </w:tcBorders>
            <w:shd w:val="clear" w:color="auto" w:fill="auto"/>
            <w:noWrap/>
            <w:vAlign w:val="bottom"/>
            <w:hideMark/>
          </w:tcPr>
          <w:p w14:paraId="4E72AA7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209</w:t>
            </w:r>
          </w:p>
        </w:tc>
        <w:tc>
          <w:tcPr>
            <w:tcW w:w="412" w:type="pct"/>
            <w:tcBorders>
              <w:top w:val="nil"/>
              <w:left w:val="nil"/>
              <w:bottom w:val="nil"/>
              <w:right w:val="single" w:sz="8" w:space="0" w:color="auto"/>
            </w:tcBorders>
            <w:shd w:val="clear" w:color="auto" w:fill="auto"/>
            <w:noWrap/>
            <w:vAlign w:val="bottom"/>
            <w:hideMark/>
          </w:tcPr>
          <w:p w14:paraId="2001ADF5" w14:textId="4F6A5460"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w:t>
            </w:r>
            <w:r w:rsidR="00F47783" w:rsidRPr="001D0ADC">
              <w:rPr>
                <w:rFonts w:ascii="Calibri" w:eastAsia="Times New Roman" w:hAnsi="Calibri" w:cs="Calibri"/>
                <w:lang w:eastAsia="cs-CZ"/>
              </w:rPr>
              <w:t>65</w:t>
            </w:r>
          </w:p>
        </w:tc>
        <w:tc>
          <w:tcPr>
            <w:tcW w:w="314" w:type="pct"/>
            <w:tcBorders>
              <w:top w:val="nil"/>
              <w:left w:val="nil"/>
              <w:bottom w:val="nil"/>
              <w:right w:val="nil"/>
            </w:tcBorders>
            <w:shd w:val="clear" w:color="auto" w:fill="auto"/>
            <w:noWrap/>
            <w:vAlign w:val="bottom"/>
            <w:hideMark/>
          </w:tcPr>
          <w:p w14:paraId="7B7B61F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w:t>
            </w:r>
          </w:p>
        </w:tc>
        <w:tc>
          <w:tcPr>
            <w:tcW w:w="338" w:type="pct"/>
            <w:tcBorders>
              <w:top w:val="nil"/>
              <w:left w:val="nil"/>
              <w:bottom w:val="nil"/>
              <w:right w:val="single" w:sz="8" w:space="0" w:color="auto"/>
            </w:tcBorders>
            <w:shd w:val="clear" w:color="auto" w:fill="auto"/>
            <w:noWrap/>
            <w:vAlign w:val="bottom"/>
            <w:hideMark/>
          </w:tcPr>
          <w:p w14:paraId="476A82B8" w14:textId="2835B2B8"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w:t>
            </w:r>
            <w:r w:rsidR="00A13570" w:rsidRPr="001D0ADC">
              <w:rPr>
                <w:rFonts w:ascii="Calibri" w:eastAsia="Times New Roman" w:hAnsi="Calibri" w:cs="Calibri"/>
                <w:lang w:eastAsia="cs-CZ"/>
              </w:rPr>
              <w:t>7.</w:t>
            </w:r>
            <w:r w:rsidRPr="001D0ADC">
              <w:rPr>
                <w:rFonts w:ascii="Calibri" w:eastAsia="Times New Roman" w:hAnsi="Calibri" w:cs="Calibri"/>
                <w:lang w:eastAsia="cs-CZ"/>
              </w:rPr>
              <w:t>3</w:t>
            </w:r>
          </w:p>
        </w:tc>
        <w:tc>
          <w:tcPr>
            <w:tcW w:w="412" w:type="pct"/>
            <w:tcBorders>
              <w:top w:val="nil"/>
              <w:left w:val="nil"/>
              <w:bottom w:val="nil"/>
              <w:right w:val="single" w:sz="8" w:space="0" w:color="auto"/>
            </w:tcBorders>
            <w:shd w:val="clear" w:color="auto" w:fill="auto"/>
            <w:noWrap/>
            <w:vAlign w:val="bottom"/>
            <w:hideMark/>
          </w:tcPr>
          <w:p w14:paraId="5C25B105" w14:textId="0B544A9E"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5.</w:t>
            </w:r>
            <w:r w:rsidRPr="001D0ADC">
              <w:rPr>
                <w:rFonts w:ascii="Calibri" w:eastAsia="Times New Roman" w:hAnsi="Calibri" w:cs="Calibri"/>
                <w:lang w:eastAsia="cs-CZ"/>
              </w:rPr>
              <w:t>32</w:t>
            </w:r>
          </w:p>
        </w:tc>
      </w:tr>
      <w:tr w:rsidR="001D0ADC" w:rsidRPr="001D0ADC" w14:paraId="1D1128DE" w14:textId="77777777" w:rsidTr="007C5E6B">
        <w:trPr>
          <w:trHeight w:val="300"/>
        </w:trPr>
        <w:tc>
          <w:tcPr>
            <w:tcW w:w="744" w:type="pct"/>
            <w:gridSpan w:val="2"/>
            <w:tcBorders>
              <w:top w:val="single" w:sz="4" w:space="0" w:color="auto"/>
              <w:left w:val="nil"/>
              <w:bottom w:val="single" w:sz="4" w:space="0" w:color="auto"/>
              <w:right w:val="nil"/>
            </w:tcBorders>
            <w:shd w:val="clear" w:color="auto" w:fill="auto"/>
            <w:noWrap/>
            <w:vAlign w:val="center"/>
            <w:hideMark/>
          </w:tcPr>
          <w:p w14:paraId="34F9B43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single" w:sz="8" w:space="0" w:color="auto"/>
              <w:bottom w:val="single" w:sz="8" w:space="0" w:color="auto"/>
              <w:right w:val="nil"/>
            </w:tcBorders>
            <w:shd w:val="clear" w:color="auto" w:fill="auto"/>
            <w:noWrap/>
            <w:vAlign w:val="bottom"/>
            <w:hideMark/>
          </w:tcPr>
          <w:p w14:paraId="6A8270F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2935E57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13B1DA1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290914A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5C6A1226"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6C47209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7FB9D9B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17E2C07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70FE4D8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66F01126"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22CEBD2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703ADBD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r>
      <w:tr w:rsidR="001D0ADC" w:rsidRPr="001D0ADC" w14:paraId="3A1171F8" w14:textId="77777777" w:rsidTr="007C5E6B">
        <w:trPr>
          <w:trHeight w:val="288"/>
        </w:trPr>
        <w:tc>
          <w:tcPr>
            <w:tcW w:w="1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598B1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C3</w:t>
            </w:r>
          </w:p>
        </w:tc>
        <w:tc>
          <w:tcPr>
            <w:tcW w:w="623" w:type="pct"/>
            <w:tcBorders>
              <w:top w:val="nil"/>
              <w:left w:val="nil"/>
              <w:bottom w:val="single" w:sz="4" w:space="0" w:color="auto"/>
              <w:right w:val="nil"/>
            </w:tcBorders>
            <w:shd w:val="clear" w:color="auto" w:fill="auto"/>
            <w:noWrap/>
            <w:vAlign w:val="bottom"/>
            <w:hideMark/>
          </w:tcPr>
          <w:p w14:paraId="2438CA6B"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start</w:t>
            </w:r>
          </w:p>
        </w:tc>
        <w:tc>
          <w:tcPr>
            <w:tcW w:w="314" w:type="pct"/>
            <w:tcBorders>
              <w:top w:val="nil"/>
              <w:left w:val="single" w:sz="8" w:space="0" w:color="auto"/>
              <w:bottom w:val="nil"/>
              <w:right w:val="nil"/>
            </w:tcBorders>
            <w:shd w:val="clear" w:color="auto" w:fill="auto"/>
            <w:noWrap/>
            <w:vAlign w:val="bottom"/>
            <w:hideMark/>
          </w:tcPr>
          <w:p w14:paraId="31BA2A0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4DEB79D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119</w:t>
            </w:r>
          </w:p>
        </w:tc>
        <w:tc>
          <w:tcPr>
            <w:tcW w:w="412" w:type="pct"/>
            <w:tcBorders>
              <w:top w:val="nil"/>
              <w:left w:val="nil"/>
              <w:bottom w:val="nil"/>
              <w:right w:val="single" w:sz="8" w:space="0" w:color="auto"/>
            </w:tcBorders>
            <w:shd w:val="clear" w:color="auto" w:fill="auto"/>
            <w:noWrap/>
            <w:vAlign w:val="bottom"/>
            <w:hideMark/>
          </w:tcPr>
          <w:p w14:paraId="5DAD9CB2" w14:textId="4E8242D0"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9.</w:t>
            </w:r>
            <w:r w:rsidRPr="001D0ADC">
              <w:rPr>
                <w:rFonts w:ascii="Calibri" w:eastAsia="Times New Roman" w:hAnsi="Calibri" w:cs="Calibri"/>
                <w:lang w:eastAsia="cs-CZ"/>
              </w:rPr>
              <w:t>4</w:t>
            </w:r>
          </w:p>
        </w:tc>
        <w:tc>
          <w:tcPr>
            <w:tcW w:w="314" w:type="pct"/>
            <w:tcBorders>
              <w:top w:val="nil"/>
              <w:left w:val="nil"/>
              <w:bottom w:val="nil"/>
              <w:right w:val="nil"/>
            </w:tcBorders>
            <w:shd w:val="clear" w:color="auto" w:fill="auto"/>
            <w:noWrap/>
            <w:vAlign w:val="bottom"/>
            <w:hideMark/>
          </w:tcPr>
          <w:p w14:paraId="68613AF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752021E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113</w:t>
            </w:r>
          </w:p>
        </w:tc>
        <w:tc>
          <w:tcPr>
            <w:tcW w:w="412" w:type="pct"/>
            <w:tcBorders>
              <w:top w:val="nil"/>
              <w:left w:val="nil"/>
              <w:bottom w:val="nil"/>
              <w:right w:val="single" w:sz="8" w:space="0" w:color="auto"/>
            </w:tcBorders>
            <w:shd w:val="clear" w:color="auto" w:fill="auto"/>
            <w:noWrap/>
            <w:vAlign w:val="bottom"/>
            <w:hideMark/>
          </w:tcPr>
          <w:p w14:paraId="6CC22ECD" w14:textId="3A3AB538"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62</w:t>
            </w:r>
          </w:p>
        </w:tc>
        <w:tc>
          <w:tcPr>
            <w:tcW w:w="314" w:type="pct"/>
            <w:tcBorders>
              <w:top w:val="nil"/>
              <w:left w:val="nil"/>
              <w:bottom w:val="nil"/>
              <w:right w:val="nil"/>
            </w:tcBorders>
            <w:shd w:val="clear" w:color="auto" w:fill="auto"/>
            <w:noWrap/>
            <w:vAlign w:val="bottom"/>
            <w:hideMark/>
          </w:tcPr>
          <w:p w14:paraId="708A672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08A5418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111</w:t>
            </w:r>
          </w:p>
        </w:tc>
        <w:tc>
          <w:tcPr>
            <w:tcW w:w="412" w:type="pct"/>
            <w:tcBorders>
              <w:top w:val="nil"/>
              <w:left w:val="nil"/>
              <w:bottom w:val="nil"/>
              <w:right w:val="single" w:sz="8" w:space="0" w:color="auto"/>
            </w:tcBorders>
            <w:shd w:val="clear" w:color="auto" w:fill="auto"/>
            <w:noWrap/>
            <w:vAlign w:val="bottom"/>
            <w:hideMark/>
          </w:tcPr>
          <w:p w14:paraId="46CFAE96"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2869827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w:t>
            </w:r>
          </w:p>
        </w:tc>
        <w:tc>
          <w:tcPr>
            <w:tcW w:w="338" w:type="pct"/>
            <w:tcBorders>
              <w:top w:val="nil"/>
              <w:left w:val="nil"/>
              <w:bottom w:val="nil"/>
              <w:right w:val="single" w:sz="8" w:space="0" w:color="auto"/>
            </w:tcBorders>
            <w:shd w:val="clear" w:color="auto" w:fill="auto"/>
            <w:noWrap/>
            <w:vAlign w:val="bottom"/>
            <w:hideMark/>
          </w:tcPr>
          <w:p w14:paraId="72BEDE21" w14:textId="34A71503"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3</w:t>
            </w:r>
          </w:p>
        </w:tc>
        <w:tc>
          <w:tcPr>
            <w:tcW w:w="412" w:type="pct"/>
            <w:tcBorders>
              <w:top w:val="nil"/>
              <w:left w:val="nil"/>
              <w:bottom w:val="nil"/>
              <w:right w:val="single" w:sz="8" w:space="0" w:color="auto"/>
            </w:tcBorders>
            <w:shd w:val="clear" w:color="auto" w:fill="auto"/>
            <w:noWrap/>
            <w:vAlign w:val="bottom"/>
            <w:hideMark/>
          </w:tcPr>
          <w:p w14:paraId="1F5C7C18" w14:textId="456AD038"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3</w:t>
            </w:r>
          </w:p>
        </w:tc>
      </w:tr>
      <w:tr w:rsidR="001D0ADC" w:rsidRPr="001D0ADC" w14:paraId="1ED73665" w14:textId="77777777" w:rsidTr="007C5E6B">
        <w:trPr>
          <w:trHeight w:val="288"/>
        </w:trPr>
        <w:tc>
          <w:tcPr>
            <w:tcW w:w="121" w:type="pct"/>
            <w:vMerge/>
            <w:tcBorders>
              <w:top w:val="nil"/>
              <w:left w:val="single" w:sz="4" w:space="0" w:color="auto"/>
              <w:bottom w:val="single" w:sz="4" w:space="0" w:color="auto"/>
              <w:right w:val="single" w:sz="4" w:space="0" w:color="auto"/>
            </w:tcBorders>
            <w:vAlign w:val="center"/>
            <w:hideMark/>
          </w:tcPr>
          <w:p w14:paraId="4A4E1B59"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317C0085"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end (120h)</w:t>
            </w:r>
          </w:p>
        </w:tc>
        <w:tc>
          <w:tcPr>
            <w:tcW w:w="314" w:type="pct"/>
            <w:tcBorders>
              <w:top w:val="nil"/>
              <w:left w:val="single" w:sz="8" w:space="0" w:color="auto"/>
              <w:bottom w:val="nil"/>
              <w:right w:val="nil"/>
            </w:tcBorders>
            <w:shd w:val="clear" w:color="auto" w:fill="auto"/>
            <w:noWrap/>
            <w:vAlign w:val="bottom"/>
            <w:hideMark/>
          </w:tcPr>
          <w:p w14:paraId="7D2CCA5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3A5AD474" w14:textId="104ADEEC"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w:t>
            </w:r>
            <w:r w:rsidR="00A13570" w:rsidRPr="001D0ADC">
              <w:rPr>
                <w:rFonts w:ascii="Calibri" w:eastAsia="Times New Roman" w:hAnsi="Calibri" w:cs="Calibri"/>
                <w:lang w:eastAsia="cs-CZ"/>
              </w:rPr>
              <w:t>9.</w:t>
            </w:r>
            <w:r w:rsidRPr="001D0ADC">
              <w:rPr>
                <w:rFonts w:ascii="Calibri" w:eastAsia="Times New Roman" w:hAnsi="Calibri" w:cs="Calibri"/>
                <w:lang w:eastAsia="cs-CZ"/>
              </w:rPr>
              <w:t>8</w:t>
            </w:r>
          </w:p>
        </w:tc>
        <w:tc>
          <w:tcPr>
            <w:tcW w:w="412" w:type="pct"/>
            <w:tcBorders>
              <w:top w:val="nil"/>
              <w:left w:val="nil"/>
              <w:bottom w:val="nil"/>
              <w:right w:val="single" w:sz="8" w:space="0" w:color="auto"/>
            </w:tcBorders>
            <w:shd w:val="clear" w:color="auto" w:fill="auto"/>
            <w:noWrap/>
            <w:vAlign w:val="bottom"/>
            <w:hideMark/>
          </w:tcPr>
          <w:p w14:paraId="49953B2F" w14:textId="4EFEF8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9.</w:t>
            </w:r>
            <w:r w:rsidRPr="001D0ADC">
              <w:rPr>
                <w:rFonts w:ascii="Calibri" w:eastAsia="Times New Roman" w:hAnsi="Calibri" w:cs="Calibri"/>
                <w:lang w:eastAsia="cs-CZ"/>
              </w:rPr>
              <w:t>8</w:t>
            </w:r>
          </w:p>
        </w:tc>
        <w:tc>
          <w:tcPr>
            <w:tcW w:w="314" w:type="pct"/>
            <w:tcBorders>
              <w:top w:val="nil"/>
              <w:left w:val="nil"/>
              <w:bottom w:val="nil"/>
              <w:right w:val="nil"/>
            </w:tcBorders>
            <w:shd w:val="clear" w:color="auto" w:fill="auto"/>
            <w:noWrap/>
            <w:vAlign w:val="bottom"/>
            <w:hideMark/>
          </w:tcPr>
          <w:p w14:paraId="7D0C5A2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5DEA9EF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108</w:t>
            </w:r>
          </w:p>
        </w:tc>
        <w:tc>
          <w:tcPr>
            <w:tcW w:w="412" w:type="pct"/>
            <w:tcBorders>
              <w:top w:val="nil"/>
              <w:left w:val="nil"/>
              <w:bottom w:val="nil"/>
              <w:right w:val="single" w:sz="8" w:space="0" w:color="auto"/>
            </w:tcBorders>
            <w:shd w:val="clear" w:color="auto" w:fill="auto"/>
            <w:noWrap/>
            <w:vAlign w:val="bottom"/>
            <w:hideMark/>
          </w:tcPr>
          <w:p w14:paraId="0CE0869B" w14:textId="05FAE614"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8.</w:t>
            </w:r>
            <w:r w:rsidR="00F47783" w:rsidRPr="001D0ADC">
              <w:rPr>
                <w:rFonts w:ascii="Calibri" w:eastAsia="Times New Roman" w:hAnsi="Calibri" w:cs="Calibri"/>
                <w:lang w:eastAsia="cs-CZ"/>
              </w:rPr>
              <w:t>40</w:t>
            </w:r>
          </w:p>
        </w:tc>
        <w:tc>
          <w:tcPr>
            <w:tcW w:w="314" w:type="pct"/>
            <w:tcBorders>
              <w:top w:val="nil"/>
              <w:left w:val="nil"/>
              <w:bottom w:val="nil"/>
              <w:right w:val="nil"/>
            </w:tcBorders>
            <w:shd w:val="clear" w:color="auto" w:fill="auto"/>
            <w:noWrap/>
            <w:vAlign w:val="bottom"/>
            <w:hideMark/>
          </w:tcPr>
          <w:p w14:paraId="1C988FE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23D4344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118</w:t>
            </w:r>
          </w:p>
        </w:tc>
        <w:tc>
          <w:tcPr>
            <w:tcW w:w="412" w:type="pct"/>
            <w:tcBorders>
              <w:top w:val="nil"/>
              <w:left w:val="nil"/>
              <w:bottom w:val="nil"/>
              <w:right w:val="single" w:sz="8" w:space="0" w:color="auto"/>
            </w:tcBorders>
            <w:shd w:val="clear" w:color="auto" w:fill="auto"/>
            <w:noWrap/>
            <w:vAlign w:val="bottom"/>
            <w:hideMark/>
          </w:tcPr>
          <w:p w14:paraId="1EE57E1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65227E4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w:t>
            </w:r>
          </w:p>
        </w:tc>
        <w:tc>
          <w:tcPr>
            <w:tcW w:w="338" w:type="pct"/>
            <w:tcBorders>
              <w:top w:val="nil"/>
              <w:left w:val="nil"/>
              <w:bottom w:val="nil"/>
              <w:right w:val="single" w:sz="8" w:space="0" w:color="auto"/>
            </w:tcBorders>
            <w:shd w:val="clear" w:color="auto" w:fill="auto"/>
            <w:noWrap/>
            <w:vAlign w:val="bottom"/>
            <w:hideMark/>
          </w:tcPr>
          <w:p w14:paraId="7753991F" w14:textId="427D0F53"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2</w:t>
            </w:r>
          </w:p>
        </w:tc>
        <w:tc>
          <w:tcPr>
            <w:tcW w:w="412" w:type="pct"/>
            <w:tcBorders>
              <w:top w:val="nil"/>
              <w:left w:val="nil"/>
              <w:bottom w:val="nil"/>
              <w:right w:val="single" w:sz="8" w:space="0" w:color="auto"/>
            </w:tcBorders>
            <w:shd w:val="clear" w:color="auto" w:fill="auto"/>
            <w:noWrap/>
            <w:vAlign w:val="bottom"/>
            <w:hideMark/>
          </w:tcPr>
          <w:p w14:paraId="5D263BF6" w14:textId="6ED51E6C"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F47783" w:rsidRPr="001D0ADC">
              <w:rPr>
                <w:rFonts w:ascii="Calibri" w:eastAsia="Times New Roman" w:hAnsi="Calibri" w:cs="Calibri"/>
                <w:lang w:eastAsia="cs-CZ"/>
              </w:rPr>
              <w:t>98</w:t>
            </w:r>
          </w:p>
        </w:tc>
      </w:tr>
      <w:tr w:rsidR="001D0ADC" w:rsidRPr="001D0ADC" w14:paraId="7A254069" w14:textId="77777777" w:rsidTr="007C5E6B">
        <w:trPr>
          <w:trHeight w:val="288"/>
        </w:trPr>
        <w:tc>
          <w:tcPr>
            <w:tcW w:w="121" w:type="pct"/>
            <w:vMerge/>
            <w:tcBorders>
              <w:top w:val="nil"/>
              <w:left w:val="single" w:sz="4" w:space="0" w:color="auto"/>
              <w:bottom w:val="single" w:sz="4" w:space="0" w:color="auto"/>
              <w:right w:val="single" w:sz="4" w:space="0" w:color="auto"/>
            </w:tcBorders>
            <w:vAlign w:val="center"/>
            <w:hideMark/>
          </w:tcPr>
          <w:p w14:paraId="414E74FE"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79EB05DE"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start</w:t>
            </w:r>
          </w:p>
        </w:tc>
        <w:tc>
          <w:tcPr>
            <w:tcW w:w="314" w:type="pct"/>
            <w:tcBorders>
              <w:top w:val="nil"/>
              <w:left w:val="single" w:sz="8" w:space="0" w:color="auto"/>
              <w:bottom w:val="nil"/>
              <w:right w:val="nil"/>
            </w:tcBorders>
            <w:shd w:val="clear" w:color="auto" w:fill="auto"/>
            <w:noWrap/>
            <w:vAlign w:val="bottom"/>
            <w:hideMark/>
          </w:tcPr>
          <w:p w14:paraId="484D0E6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250</w:t>
            </w:r>
          </w:p>
        </w:tc>
        <w:tc>
          <w:tcPr>
            <w:tcW w:w="338" w:type="pct"/>
            <w:tcBorders>
              <w:top w:val="nil"/>
              <w:left w:val="nil"/>
              <w:bottom w:val="nil"/>
              <w:right w:val="single" w:sz="8" w:space="0" w:color="auto"/>
            </w:tcBorders>
            <w:shd w:val="clear" w:color="auto" w:fill="auto"/>
            <w:noWrap/>
            <w:vAlign w:val="bottom"/>
            <w:hideMark/>
          </w:tcPr>
          <w:p w14:paraId="4F2F8AA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257</w:t>
            </w:r>
          </w:p>
        </w:tc>
        <w:tc>
          <w:tcPr>
            <w:tcW w:w="412" w:type="pct"/>
            <w:tcBorders>
              <w:top w:val="nil"/>
              <w:left w:val="nil"/>
              <w:bottom w:val="nil"/>
              <w:right w:val="single" w:sz="8" w:space="0" w:color="auto"/>
            </w:tcBorders>
            <w:shd w:val="clear" w:color="auto" w:fill="auto"/>
            <w:noWrap/>
            <w:vAlign w:val="bottom"/>
            <w:hideMark/>
          </w:tcPr>
          <w:p w14:paraId="6DE7B3DC" w14:textId="24E2B8F5"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F47783" w:rsidRPr="001D0ADC">
              <w:rPr>
                <w:rFonts w:ascii="Calibri" w:eastAsia="Times New Roman" w:hAnsi="Calibri" w:cs="Calibri"/>
                <w:lang w:eastAsia="cs-CZ"/>
              </w:rPr>
              <w:t>89</w:t>
            </w:r>
          </w:p>
        </w:tc>
        <w:tc>
          <w:tcPr>
            <w:tcW w:w="314" w:type="pct"/>
            <w:tcBorders>
              <w:top w:val="nil"/>
              <w:left w:val="nil"/>
              <w:bottom w:val="nil"/>
              <w:right w:val="nil"/>
            </w:tcBorders>
            <w:shd w:val="clear" w:color="auto" w:fill="auto"/>
            <w:noWrap/>
            <w:vAlign w:val="bottom"/>
            <w:hideMark/>
          </w:tcPr>
          <w:p w14:paraId="6CEBF4C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331A923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105</w:t>
            </w:r>
          </w:p>
        </w:tc>
        <w:tc>
          <w:tcPr>
            <w:tcW w:w="412" w:type="pct"/>
            <w:tcBorders>
              <w:top w:val="nil"/>
              <w:left w:val="nil"/>
              <w:bottom w:val="nil"/>
              <w:right w:val="single" w:sz="8" w:space="0" w:color="auto"/>
            </w:tcBorders>
            <w:shd w:val="clear" w:color="auto" w:fill="auto"/>
            <w:noWrap/>
            <w:vAlign w:val="bottom"/>
            <w:hideMark/>
          </w:tcPr>
          <w:p w14:paraId="1D684809" w14:textId="04DF84E2"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w:t>
            </w:r>
            <w:r w:rsidR="00F47783" w:rsidRPr="001D0ADC">
              <w:rPr>
                <w:rFonts w:ascii="Calibri" w:eastAsia="Times New Roman" w:hAnsi="Calibri" w:cs="Calibri"/>
                <w:lang w:eastAsia="cs-CZ"/>
              </w:rPr>
              <w:t>83</w:t>
            </w:r>
          </w:p>
        </w:tc>
        <w:tc>
          <w:tcPr>
            <w:tcW w:w="314" w:type="pct"/>
            <w:tcBorders>
              <w:top w:val="nil"/>
              <w:left w:val="nil"/>
              <w:bottom w:val="nil"/>
              <w:right w:val="nil"/>
            </w:tcBorders>
            <w:shd w:val="clear" w:color="auto" w:fill="auto"/>
            <w:noWrap/>
            <w:vAlign w:val="bottom"/>
            <w:hideMark/>
          </w:tcPr>
          <w:p w14:paraId="44A0450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400</w:t>
            </w:r>
          </w:p>
        </w:tc>
        <w:tc>
          <w:tcPr>
            <w:tcW w:w="338" w:type="pct"/>
            <w:tcBorders>
              <w:top w:val="nil"/>
              <w:left w:val="nil"/>
              <w:bottom w:val="nil"/>
              <w:right w:val="single" w:sz="8" w:space="0" w:color="auto"/>
            </w:tcBorders>
            <w:shd w:val="clear" w:color="auto" w:fill="auto"/>
            <w:noWrap/>
            <w:vAlign w:val="bottom"/>
            <w:hideMark/>
          </w:tcPr>
          <w:p w14:paraId="538418F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428</w:t>
            </w:r>
          </w:p>
        </w:tc>
        <w:tc>
          <w:tcPr>
            <w:tcW w:w="412" w:type="pct"/>
            <w:tcBorders>
              <w:top w:val="nil"/>
              <w:left w:val="nil"/>
              <w:bottom w:val="nil"/>
              <w:right w:val="single" w:sz="8" w:space="0" w:color="auto"/>
            </w:tcBorders>
            <w:shd w:val="clear" w:color="auto" w:fill="auto"/>
            <w:noWrap/>
            <w:vAlign w:val="bottom"/>
            <w:hideMark/>
          </w:tcPr>
          <w:p w14:paraId="0DBFBC1E" w14:textId="1FE6D8F0"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F47783" w:rsidRPr="001D0ADC">
              <w:rPr>
                <w:rFonts w:ascii="Calibri" w:eastAsia="Times New Roman" w:hAnsi="Calibri" w:cs="Calibri"/>
                <w:lang w:eastAsia="cs-CZ"/>
              </w:rPr>
              <w:t>90</w:t>
            </w:r>
          </w:p>
        </w:tc>
        <w:tc>
          <w:tcPr>
            <w:tcW w:w="314" w:type="pct"/>
            <w:tcBorders>
              <w:top w:val="nil"/>
              <w:left w:val="nil"/>
              <w:bottom w:val="nil"/>
              <w:right w:val="nil"/>
            </w:tcBorders>
            <w:shd w:val="clear" w:color="auto" w:fill="auto"/>
            <w:noWrap/>
            <w:vAlign w:val="bottom"/>
            <w:hideMark/>
          </w:tcPr>
          <w:p w14:paraId="0FA07756"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150</w:t>
            </w:r>
          </w:p>
        </w:tc>
        <w:tc>
          <w:tcPr>
            <w:tcW w:w="338" w:type="pct"/>
            <w:tcBorders>
              <w:top w:val="nil"/>
              <w:left w:val="nil"/>
              <w:bottom w:val="nil"/>
              <w:right w:val="single" w:sz="8" w:space="0" w:color="auto"/>
            </w:tcBorders>
            <w:shd w:val="clear" w:color="auto" w:fill="auto"/>
            <w:noWrap/>
            <w:vAlign w:val="bottom"/>
            <w:hideMark/>
          </w:tcPr>
          <w:p w14:paraId="1A0EC6B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138</w:t>
            </w:r>
          </w:p>
        </w:tc>
        <w:tc>
          <w:tcPr>
            <w:tcW w:w="412" w:type="pct"/>
            <w:tcBorders>
              <w:top w:val="nil"/>
              <w:left w:val="nil"/>
              <w:bottom w:val="nil"/>
              <w:right w:val="single" w:sz="8" w:space="0" w:color="auto"/>
            </w:tcBorders>
            <w:shd w:val="clear" w:color="auto" w:fill="auto"/>
            <w:noWrap/>
            <w:vAlign w:val="bottom"/>
            <w:hideMark/>
          </w:tcPr>
          <w:p w14:paraId="43E9C487" w14:textId="7BECFAB4"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7.</w:t>
            </w:r>
            <w:r w:rsidRPr="001D0ADC">
              <w:rPr>
                <w:rFonts w:ascii="Calibri" w:eastAsia="Times New Roman" w:hAnsi="Calibri" w:cs="Calibri"/>
                <w:lang w:eastAsia="cs-CZ"/>
              </w:rPr>
              <w:t>81</w:t>
            </w:r>
          </w:p>
        </w:tc>
      </w:tr>
      <w:tr w:rsidR="001D0ADC" w:rsidRPr="001D0ADC" w14:paraId="34E11805" w14:textId="77777777" w:rsidTr="007C5E6B">
        <w:trPr>
          <w:trHeight w:val="300"/>
        </w:trPr>
        <w:tc>
          <w:tcPr>
            <w:tcW w:w="121" w:type="pct"/>
            <w:vMerge/>
            <w:tcBorders>
              <w:top w:val="nil"/>
              <w:left w:val="single" w:sz="4" w:space="0" w:color="auto"/>
              <w:bottom w:val="single" w:sz="4" w:space="0" w:color="auto"/>
              <w:right w:val="single" w:sz="4" w:space="0" w:color="auto"/>
            </w:tcBorders>
            <w:vAlign w:val="center"/>
            <w:hideMark/>
          </w:tcPr>
          <w:p w14:paraId="02250664"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6172E2BF"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end (24h)</w:t>
            </w:r>
          </w:p>
        </w:tc>
        <w:tc>
          <w:tcPr>
            <w:tcW w:w="314" w:type="pct"/>
            <w:tcBorders>
              <w:top w:val="nil"/>
              <w:left w:val="single" w:sz="8" w:space="0" w:color="auto"/>
              <w:bottom w:val="single" w:sz="8" w:space="0" w:color="auto"/>
              <w:right w:val="nil"/>
            </w:tcBorders>
            <w:shd w:val="clear" w:color="auto" w:fill="auto"/>
            <w:noWrap/>
            <w:vAlign w:val="bottom"/>
            <w:hideMark/>
          </w:tcPr>
          <w:p w14:paraId="0F71B0F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250</w:t>
            </w:r>
          </w:p>
        </w:tc>
        <w:tc>
          <w:tcPr>
            <w:tcW w:w="338" w:type="pct"/>
            <w:tcBorders>
              <w:top w:val="nil"/>
              <w:left w:val="nil"/>
              <w:bottom w:val="single" w:sz="8" w:space="0" w:color="auto"/>
              <w:right w:val="single" w:sz="8" w:space="0" w:color="auto"/>
            </w:tcBorders>
            <w:shd w:val="clear" w:color="auto" w:fill="auto"/>
            <w:noWrap/>
            <w:vAlign w:val="bottom"/>
            <w:hideMark/>
          </w:tcPr>
          <w:p w14:paraId="179F2D6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247</w:t>
            </w:r>
          </w:p>
        </w:tc>
        <w:tc>
          <w:tcPr>
            <w:tcW w:w="412" w:type="pct"/>
            <w:tcBorders>
              <w:top w:val="nil"/>
              <w:left w:val="nil"/>
              <w:bottom w:val="single" w:sz="8" w:space="0" w:color="auto"/>
              <w:right w:val="single" w:sz="8" w:space="0" w:color="auto"/>
            </w:tcBorders>
            <w:shd w:val="clear" w:color="auto" w:fill="auto"/>
            <w:noWrap/>
            <w:vAlign w:val="bottom"/>
            <w:hideMark/>
          </w:tcPr>
          <w:p w14:paraId="509DA64D" w14:textId="08BBF4F9"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40</w:t>
            </w:r>
          </w:p>
        </w:tc>
        <w:tc>
          <w:tcPr>
            <w:tcW w:w="314" w:type="pct"/>
            <w:tcBorders>
              <w:top w:val="nil"/>
              <w:left w:val="nil"/>
              <w:bottom w:val="single" w:sz="8" w:space="0" w:color="auto"/>
              <w:right w:val="nil"/>
            </w:tcBorders>
            <w:shd w:val="clear" w:color="auto" w:fill="auto"/>
            <w:noWrap/>
            <w:vAlign w:val="bottom"/>
            <w:hideMark/>
          </w:tcPr>
          <w:p w14:paraId="4B01C8A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single" w:sz="8" w:space="0" w:color="auto"/>
              <w:right w:val="single" w:sz="8" w:space="0" w:color="auto"/>
            </w:tcBorders>
            <w:shd w:val="clear" w:color="auto" w:fill="auto"/>
            <w:noWrap/>
            <w:vAlign w:val="bottom"/>
            <w:hideMark/>
          </w:tcPr>
          <w:p w14:paraId="1E7C02CB" w14:textId="727DF0C8"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w:t>
            </w:r>
            <w:r w:rsidR="00A13570" w:rsidRPr="001D0ADC">
              <w:rPr>
                <w:rFonts w:ascii="Calibri" w:eastAsia="Times New Roman" w:hAnsi="Calibri" w:cs="Calibri"/>
                <w:lang w:eastAsia="cs-CZ"/>
              </w:rPr>
              <w:t>1.</w:t>
            </w:r>
            <w:r w:rsidRPr="001D0ADC">
              <w:rPr>
                <w:rFonts w:ascii="Calibri" w:eastAsia="Times New Roman" w:hAnsi="Calibri" w:cs="Calibri"/>
                <w:lang w:eastAsia="cs-CZ"/>
              </w:rPr>
              <w:t>1</w:t>
            </w:r>
          </w:p>
        </w:tc>
        <w:tc>
          <w:tcPr>
            <w:tcW w:w="412" w:type="pct"/>
            <w:tcBorders>
              <w:top w:val="nil"/>
              <w:left w:val="nil"/>
              <w:bottom w:val="single" w:sz="8" w:space="0" w:color="auto"/>
              <w:right w:val="single" w:sz="8" w:space="0" w:color="auto"/>
            </w:tcBorders>
            <w:shd w:val="clear" w:color="auto" w:fill="auto"/>
            <w:noWrap/>
            <w:vAlign w:val="bottom"/>
            <w:hideMark/>
          </w:tcPr>
          <w:p w14:paraId="1683E1D7" w14:textId="2C5319CC"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7.</w:t>
            </w:r>
            <w:r w:rsidRPr="001D0ADC">
              <w:rPr>
                <w:rFonts w:ascii="Calibri" w:eastAsia="Times New Roman" w:hAnsi="Calibri" w:cs="Calibri"/>
                <w:lang w:eastAsia="cs-CZ"/>
              </w:rPr>
              <w:t>94</w:t>
            </w:r>
          </w:p>
        </w:tc>
        <w:tc>
          <w:tcPr>
            <w:tcW w:w="314" w:type="pct"/>
            <w:tcBorders>
              <w:top w:val="nil"/>
              <w:left w:val="nil"/>
              <w:bottom w:val="single" w:sz="8" w:space="0" w:color="auto"/>
              <w:right w:val="nil"/>
            </w:tcBorders>
            <w:shd w:val="clear" w:color="auto" w:fill="auto"/>
            <w:noWrap/>
            <w:vAlign w:val="bottom"/>
            <w:hideMark/>
          </w:tcPr>
          <w:p w14:paraId="5C7BC28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400</w:t>
            </w:r>
          </w:p>
        </w:tc>
        <w:tc>
          <w:tcPr>
            <w:tcW w:w="338" w:type="pct"/>
            <w:tcBorders>
              <w:top w:val="nil"/>
              <w:left w:val="nil"/>
              <w:bottom w:val="single" w:sz="8" w:space="0" w:color="auto"/>
              <w:right w:val="single" w:sz="8" w:space="0" w:color="auto"/>
            </w:tcBorders>
            <w:shd w:val="clear" w:color="auto" w:fill="auto"/>
            <w:noWrap/>
            <w:vAlign w:val="bottom"/>
            <w:hideMark/>
          </w:tcPr>
          <w:p w14:paraId="12E1C10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397</w:t>
            </w:r>
          </w:p>
        </w:tc>
        <w:tc>
          <w:tcPr>
            <w:tcW w:w="412" w:type="pct"/>
            <w:tcBorders>
              <w:top w:val="nil"/>
              <w:left w:val="nil"/>
              <w:bottom w:val="single" w:sz="8" w:space="0" w:color="auto"/>
              <w:right w:val="single" w:sz="8" w:space="0" w:color="auto"/>
            </w:tcBorders>
            <w:shd w:val="clear" w:color="auto" w:fill="auto"/>
            <w:noWrap/>
            <w:vAlign w:val="bottom"/>
            <w:hideMark/>
          </w:tcPr>
          <w:p w14:paraId="79B80907" w14:textId="32A4215F"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0.</w:t>
            </w:r>
            <w:r w:rsidRPr="001D0ADC">
              <w:rPr>
                <w:rFonts w:ascii="Calibri" w:eastAsia="Times New Roman" w:hAnsi="Calibri" w:cs="Calibri"/>
                <w:lang w:eastAsia="cs-CZ"/>
              </w:rPr>
              <w:t>77</w:t>
            </w:r>
          </w:p>
        </w:tc>
        <w:tc>
          <w:tcPr>
            <w:tcW w:w="314" w:type="pct"/>
            <w:tcBorders>
              <w:top w:val="nil"/>
              <w:left w:val="nil"/>
              <w:bottom w:val="single" w:sz="8" w:space="0" w:color="auto"/>
              <w:right w:val="nil"/>
            </w:tcBorders>
            <w:shd w:val="clear" w:color="auto" w:fill="auto"/>
            <w:noWrap/>
            <w:vAlign w:val="bottom"/>
            <w:hideMark/>
          </w:tcPr>
          <w:p w14:paraId="243F54A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150</w:t>
            </w:r>
          </w:p>
        </w:tc>
        <w:tc>
          <w:tcPr>
            <w:tcW w:w="338" w:type="pct"/>
            <w:tcBorders>
              <w:top w:val="nil"/>
              <w:left w:val="nil"/>
              <w:bottom w:val="single" w:sz="8" w:space="0" w:color="auto"/>
              <w:right w:val="single" w:sz="8" w:space="0" w:color="auto"/>
            </w:tcBorders>
            <w:shd w:val="clear" w:color="auto" w:fill="auto"/>
            <w:noWrap/>
            <w:vAlign w:val="bottom"/>
            <w:hideMark/>
          </w:tcPr>
          <w:p w14:paraId="2C9FF92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139</w:t>
            </w:r>
          </w:p>
        </w:tc>
        <w:tc>
          <w:tcPr>
            <w:tcW w:w="412" w:type="pct"/>
            <w:tcBorders>
              <w:top w:val="nil"/>
              <w:left w:val="nil"/>
              <w:bottom w:val="single" w:sz="8" w:space="0" w:color="auto"/>
              <w:right w:val="single" w:sz="8" w:space="0" w:color="auto"/>
            </w:tcBorders>
            <w:shd w:val="clear" w:color="auto" w:fill="auto"/>
            <w:noWrap/>
            <w:vAlign w:val="bottom"/>
            <w:hideMark/>
          </w:tcPr>
          <w:p w14:paraId="1026A052" w14:textId="3609046E"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7.</w:t>
            </w:r>
            <w:r w:rsidRPr="001D0ADC">
              <w:rPr>
                <w:rFonts w:ascii="Calibri" w:eastAsia="Times New Roman" w:hAnsi="Calibri" w:cs="Calibri"/>
                <w:lang w:eastAsia="cs-CZ"/>
              </w:rPr>
              <w:t>20</w:t>
            </w:r>
          </w:p>
        </w:tc>
      </w:tr>
      <w:tr w:rsidR="001D0ADC" w:rsidRPr="001D0ADC" w14:paraId="0FAAC6EC" w14:textId="77777777" w:rsidTr="007C5E6B">
        <w:trPr>
          <w:trHeight w:val="144"/>
        </w:trPr>
        <w:tc>
          <w:tcPr>
            <w:tcW w:w="5000" w:type="pct"/>
            <w:gridSpan w:val="14"/>
            <w:tcBorders>
              <w:top w:val="nil"/>
              <w:left w:val="nil"/>
              <w:bottom w:val="nil"/>
              <w:right w:val="nil"/>
            </w:tcBorders>
            <w:shd w:val="clear" w:color="auto" w:fill="auto"/>
            <w:noWrap/>
            <w:vAlign w:val="bottom"/>
            <w:hideMark/>
          </w:tcPr>
          <w:p w14:paraId="3A63546E" w14:textId="77777777" w:rsidR="00F47783" w:rsidRPr="001D0ADC" w:rsidRDefault="00F47783" w:rsidP="00F47783">
            <w:pPr>
              <w:spacing w:after="0" w:line="240" w:lineRule="auto"/>
              <w:jc w:val="center"/>
              <w:rPr>
                <w:rFonts w:ascii="Calibri" w:eastAsia="Times New Roman" w:hAnsi="Calibri" w:cs="Calibri"/>
                <w:lang w:eastAsia="cs-CZ"/>
              </w:rPr>
            </w:pPr>
          </w:p>
        </w:tc>
      </w:tr>
      <w:tr w:rsidR="001D0ADC" w:rsidRPr="001D0ADC" w14:paraId="3BA3AC17" w14:textId="77777777" w:rsidTr="007C5E6B">
        <w:trPr>
          <w:trHeight w:val="300"/>
        </w:trPr>
        <w:tc>
          <w:tcPr>
            <w:tcW w:w="121" w:type="pct"/>
            <w:tcBorders>
              <w:top w:val="nil"/>
              <w:left w:val="nil"/>
              <w:bottom w:val="nil"/>
              <w:right w:val="nil"/>
            </w:tcBorders>
            <w:shd w:val="clear" w:color="auto" w:fill="auto"/>
            <w:noWrap/>
            <w:vAlign w:val="bottom"/>
            <w:hideMark/>
          </w:tcPr>
          <w:p w14:paraId="28264772" w14:textId="77777777" w:rsidR="00F47783" w:rsidRPr="001D0ADC" w:rsidRDefault="00F47783" w:rsidP="00F47783">
            <w:pPr>
              <w:spacing w:after="0" w:line="240" w:lineRule="auto"/>
              <w:jc w:val="center"/>
              <w:rPr>
                <w:rFonts w:ascii="Calibri" w:eastAsia="Times New Roman" w:hAnsi="Calibri" w:cs="Calibri"/>
                <w:lang w:eastAsia="cs-CZ"/>
              </w:rPr>
            </w:pPr>
          </w:p>
        </w:tc>
        <w:tc>
          <w:tcPr>
            <w:tcW w:w="623" w:type="pct"/>
            <w:tcBorders>
              <w:top w:val="nil"/>
              <w:left w:val="nil"/>
              <w:bottom w:val="nil"/>
              <w:right w:val="nil"/>
            </w:tcBorders>
            <w:shd w:val="clear" w:color="auto" w:fill="auto"/>
            <w:noWrap/>
            <w:vAlign w:val="bottom"/>
            <w:hideMark/>
          </w:tcPr>
          <w:p w14:paraId="5F8F9649" w14:textId="77777777" w:rsidR="00F47783" w:rsidRPr="001D0ADC" w:rsidRDefault="00F47783" w:rsidP="00F47783">
            <w:pPr>
              <w:spacing w:after="0" w:line="240" w:lineRule="auto"/>
              <w:rPr>
                <w:rFonts w:ascii="Times New Roman" w:eastAsia="Times New Roman" w:hAnsi="Times New Roman" w:cs="Times New Roman"/>
                <w:sz w:val="20"/>
                <w:szCs w:val="20"/>
                <w:lang w:eastAsia="cs-CZ"/>
              </w:rPr>
            </w:pPr>
          </w:p>
        </w:tc>
        <w:tc>
          <w:tcPr>
            <w:tcW w:w="1064" w:type="pct"/>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2855F5D" w14:textId="5231CA79" w:rsidR="00F47783" w:rsidRPr="001D0ADC" w:rsidRDefault="00F47783" w:rsidP="00F47783">
            <w:pPr>
              <w:spacing w:after="0" w:line="240" w:lineRule="auto"/>
              <w:jc w:val="center"/>
              <w:rPr>
                <w:rFonts w:ascii="Calibri" w:eastAsia="Times New Roman" w:hAnsi="Calibri" w:cs="Calibri"/>
                <w:b/>
                <w:bCs/>
                <w:lang w:eastAsia="cs-CZ"/>
              </w:rPr>
            </w:pPr>
            <w:r w:rsidRPr="001D0ADC">
              <w:rPr>
                <w:rFonts w:ascii="Calibri" w:eastAsia="Times New Roman" w:hAnsi="Calibri" w:cs="Calibri"/>
                <w:b/>
                <w:bCs/>
                <w:lang w:eastAsia="cs-CZ"/>
              </w:rPr>
              <w:t>HDZ</w:t>
            </w:r>
            <w:r w:rsidR="007C5E6B" w:rsidRPr="001D0ADC">
              <w:rPr>
                <w:rFonts w:ascii="Calibri" w:eastAsia="Times New Roman" w:hAnsi="Calibri" w:cs="Calibri"/>
                <w:b/>
                <w:bCs/>
                <w:lang w:eastAsia="cs-CZ"/>
              </w:rPr>
              <w:t xml:space="preserve"> (mg/l)</w:t>
            </w:r>
          </w:p>
        </w:tc>
        <w:tc>
          <w:tcPr>
            <w:tcW w:w="1064"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71A83B63" w14:textId="4F843CB2" w:rsidR="00F47783" w:rsidRPr="001D0ADC" w:rsidRDefault="00F47783" w:rsidP="00F47783">
            <w:pPr>
              <w:spacing w:after="0" w:line="240" w:lineRule="auto"/>
              <w:jc w:val="center"/>
              <w:rPr>
                <w:rFonts w:ascii="Calibri" w:eastAsia="Times New Roman" w:hAnsi="Calibri" w:cs="Calibri"/>
                <w:b/>
                <w:bCs/>
                <w:lang w:eastAsia="cs-CZ"/>
              </w:rPr>
            </w:pPr>
            <w:r w:rsidRPr="001D0ADC">
              <w:rPr>
                <w:rFonts w:ascii="Calibri" w:eastAsia="Times New Roman" w:hAnsi="Calibri" w:cs="Calibri"/>
                <w:b/>
                <w:bCs/>
                <w:lang w:eastAsia="cs-CZ"/>
              </w:rPr>
              <w:t>IBU</w:t>
            </w:r>
            <w:r w:rsidR="007C5E6B" w:rsidRPr="001D0ADC">
              <w:rPr>
                <w:rFonts w:ascii="Calibri" w:eastAsia="Times New Roman" w:hAnsi="Calibri" w:cs="Calibri"/>
                <w:b/>
                <w:bCs/>
                <w:lang w:eastAsia="cs-CZ"/>
              </w:rPr>
              <w:t xml:space="preserve"> (mg/l)</w:t>
            </w:r>
          </w:p>
        </w:tc>
        <w:tc>
          <w:tcPr>
            <w:tcW w:w="1064"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5DFB458A" w14:textId="4A4282A9" w:rsidR="00F47783" w:rsidRPr="001D0ADC" w:rsidRDefault="00F47783" w:rsidP="00F47783">
            <w:pPr>
              <w:spacing w:after="0" w:line="240" w:lineRule="auto"/>
              <w:jc w:val="center"/>
              <w:rPr>
                <w:rFonts w:ascii="Calibri" w:eastAsia="Times New Roman" w:hAnsi="Calibri" w:cs="Calibri"/>
                <w:b/>
                <w:bCs/>
                <w:lang w:eastAsia="cs-CZ"/>
              </w:rPr>
            </w:pPr>
            <w:r w:rsidRPr="001D0ADC">
              <w:rPr>
                <w:rFonts w:ascii="Calibri" w:eastAsia="Times New Roman" w:hAnsi="Calibri" w:cs="Calibri"/>
                <w:b/>
                <w:bCs/>
                <w:lang w:eastAsia="cs-CZ"/>
              </w:rPr>
              <w:t>PCM</w:t>
            </w:r>
            <w:r w:rsidR="007C5E6B" w:rsidRPr="001D0ADC">
              <w:rPr>
                <w:rFonts w:ascii="Calibri" w:eastAsia="Times New Roman" w:hAnsi="Calibri" w:cs="Calibri"/>
                <w:b/>
                <w:bCs/>
                <w:lang w:eastAsia="cs-CZ"/>
              </w:rPr>
              <w:t xml:space="preserve"> (mg/l)</w:t>
            </w:r>
          </w:p>
        </w:tc>
        <w:tc>
          <w:tcPr>
            <w:tcW w:w="1064"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0BA7B3A6" w14:textId="06D93108" w:rsidR="00F47783" w:rsidRPr="001D0ADC" w:rsidRDefault="00F47783" w:rsidP="00F47783">
            <w:pPr>
              <w:spacing w:after="0" w:line="240" w:lineRule="auto"/>
              <w:jc w:val="center"/>
              <w:rPr>
                <w:rFonts w:ascii="Calibri" w:eastAsia="Times New Roman" w:hAnsi="Calibri" w:cs="Calibri"/>
                <w:b/>
                <w:bCs/>
                <w:lang w:eastAsia="cs-CZ"/>
              </w:rPr>
            </w:pPr>
            <w:r w:rsidRPr="001D0ADC">
              <w:rPr>
                <w:rFonts w:ascii="Calibri" w:eastAsia="Times New Roman" w:hAnsi="Calibri" w:cs="Calibri"/>
                <w:b/>
                <w:bCs/>
                <w:lang w:eastAsia="cs-CZ"/>
              </w:rPr>
              <w:t>SMX</w:t>
            </w:r>
            <w:r w:rsidR="007C5E6B" w:rsidRPr="001D0ADC">
              <w:rPr>
                <w:rFonts w:ascii="Calibri" w:eastAsia="Times New Roman" w:hAnsi="Calibri" w:cs="Calibri"/>
                <w:b/>
                <w:bCs/>
                <w:lang w:eastAsia="cs-CZ"/>
              </w:rPr>
              <w:t xml:space="preserve"> (mg/l)</w:t>
            </w:r>
          </w:p>
        </w:tc>
      </w:tr>
      <w:tr w:rsidR="001D0ADC" w:rsidRPr="001D0ADC" w14:paraId="47ED1EA8" w14:textId="77777777" w:rsidTr="007C5E6B">
        <w:trPr>
          <w:trHeight w:val="300"/>
        </w:trPr>
        <w:tc>
          <w:tcPr>
            <w:tcW w:w="121" w:type="pct"/>
            <w:tcBorders>
              <w:top w:val="nil"/>
              <w:left w:val="nil"/>
              <w:bottom w:val="nil"/>
              <w:right w:val="nil"/>
            </w:tcBorders>
            <w:shd w:val="clear" w:color="auto" w:fill="auto"/>
            <w:noWrap/>
            <w:vAlign w:val="bottom"/>
            <w:hideMark/>
          </w:tcPr>
          <w:p w14:paraId="110DBE75" w14:textId="77777777" w:rsidR="00F47783" w:rsidRPr="001D0ADC" w:rsidRDefault="00F47783" w:rsidP="00F47783">
            <w:pPr>
              <w:spacing w:after="0" w:line="240" w:lineRule="auto"/>
              <w:jc w:val="center"/>
              <w:rPr>
                <w:rFonts w:ascii="Calibri" w:eastAsia="Times New Roman" w:hAnsi="Calibri" w:cs="Calibri"/>
                <w:lang w:eastAsia="cs-CZ"/>
              </w:rPr>
            </w:pPr>
          </w:p>
        </w:tc>
        <w:tc>
          <w:tcPr>
            <w:tcW w:w="623" w:type="pct"/>
            <w:tcBorders>
              <w:top w:val="nil"/>
              <w:left w:val="nil"/>
              <w:bottom w:val="nil"/>
              <w:right w:val="nil"/>
            </w:tcBorders>
            <w:shd w:val="clear" w:color="auto" w:fill="auto"/>
            <w:noWrap/>
            <w:vAlign w:val="bottom"/>
            <w:hideMark/>
          </w:tcPr>
          <w:p w14:paraId="575048A6" w14:textId="77777777" w:rsidR="00F47783" w:rsidRPr="001D0ADC" w:rsidRDefault="00F47783" w:rsidP="00F47783">
            <w:pPr>
              <w:spacing w:after="0" w:line="240" w:lineRule="auto"/>
              <w:rPr>
                <w:rFonts w:ascii="Times New Roman" w:eastAsia="Times New Roman" w:hAnsi="Times New Roman" w:cs="Times New Roman"/>
                <w:sz w:val="20"/>
                <w:szCs w:val="20"/>
                <w:lang w:eastAsia="cs-CZ"/>
              </w:rPr>
            </w:pPr>
          </w:p>
        </w:tc>
        <w:tc>
          <w:tcPr>
            <w:tcW w:w="314" w:type="pct"/>
            <w:tcBorders>
              <w:top w:val="nil"/>
              <w:left w:val="single" w:sz="8" w:space="0" w:color="auto"/>
              <w:bottom w:val="single" w:sz="8" w:space="0" w:color="auto"/>
              <w:right w:val="nil"/>
            </w:tcBorders>
            <w:shd w:val="clear" w:color="auto" w:fill="auto"/>
            <w:noWrap/>
            <w:vAlign w:val="bottom"/>
            <w:hideMark/>
          </w:tcPr>
          <w:p w14:paraId="3DFFE059"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nil"/>
              <w:left w:val="nil"/>
              <w:bottom w:val="single" w:sz="8" w:space="0" w:color="auto"/>
              <w:right w:val="single" w:sz="8" w:space="0" w:color="auto"/>
            </w:tcBorders>
            <w:shd w:val="clear" w:color="auto" w:fill="auto"/>
            <w:noWrap/>
            <w:vAlign w:val="bottom"/>
            <w:hideMark/>
          </w:tcPr>
          <w:p w14:paraId="1C4E7A38"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nil"/>
              <w:left w:val="nil"/>
              <w:bottom w:val="single" w:sz="8" w:space="0" w:color="auto"/>
              <w:right w:val="single" w:sz="8" w:space="0" w:color="auto"/>
            </w:tcBorders>
            <w:shd w:val="clear" w:color="auto" w:fill="auto"/>
            <w:noWrap/>
            <w:vAlign w:val="bottom"/>
            <w:hideMark/>
          </w:tcPr>
          <w:p w14:paraId="09B37F8D"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difference %</w:t>
            </w:r>
          </w:p>
        </w:tc>
        <w:tc>
          <w:tcPr>
            <w:tcW w:w="314" w:type="pct"/>
            <w:tcBorders>
              <w:top w:val="nil"/>
              <w:left w:val="nil"/>
              <w:bottom w:val="nil"/>
              <w:right w:val="nil"/>
            </w:tcBorders>
            <w:shd w:val="clear" w:color="auto" w:fill="auto"/>
            <w:noWrap/>
            <w:vAlign w:val="bottom"/>
            <w:hideMark/>
          </w:tcPr>
          <w:p w14:paraId="46310975"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nil"/>
              <w:left w:val="nil"/>
              <w:bottom w:val="nil"/>
              <w:right w:val="single" w:sz="8" w:space="0" w:color="auto"/>
            </w:tcBorders>
            <w:shd w:val="clear" w:color="auto" w:fill="auto"/>
            <w:noWrap/>
            <w:vAlign w:val="bottom"/>
            <w:hideMark/>
          </w:tcPr>
          <w:p w14:paraId="6244A10C"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nil"/>
              <w:left w:val="nil"/>
              <w:bottom w:val="single" w:sz="8" w:space="0" w:color="auto"/>
              <w:right w:val="single" w:sz="8" w:space="0" w:color="auto"/>
            </w:tcBorders>
            <w:shd w:val="clear" w:color="auto" w:fill="auto"/>
            <w:noWrap/>
            <w:vAlign w:val="bottom"/>
            <w:hideMark/>
          </w:tcPr>
          <w:p w14:paraId="7DE33780"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difference %</w:t>
            </w:r>
          </w:p>
        </w:tc>
        <w:tc>
          <w:tcPr>
            <w:tcW w:w="314" w:type="pct"/>
            <w:tcBorders>
              <w:top w:val="nil"/>
              <w:left w:val="nil"/>
              <w:bottom w:val="single" w:sz="8" w:space="0" w:color="auto"/>
              <w:right w:val="nil"/>
            </w:tcBorders>
            <w:shd w:val="clear" w:color="auto" w:fill="auto"/>
            <w:noWrap/>
            <w:vAlign w:val="bottom"/>
            <w:hideMark/>
          </w:tcPr>
          <w:p w14:paraId="10D52A28"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nil"/>
              <w:left w:val="nil"/>
              <w:bottom w:val="single" w:sz="8" w:space="0" w:color="auto"/>
              <w:right w:val="single" w:sz="8" w:space="0" w:color="auto"/>
            </w:tcBorders>
            <w:shd w:val="clear" w:color="auto" w:fill="auto"/>
            <w:noWrap/>
            <w:vAlign w:val="bottom"/>
            <w:hideMark/>
          </w:tcPr>
          <w:p w14:paraId="5CBEEF5C"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nil"/>
              <w:left w:val="nil"/>
              <w:bottom w:val="single" w:sz="8" w:space="0" w:color="auto"/>
              <w:right w:val="single" w:sz="8" w:space="0" w:color="auto"/>
            </w:tcBorders>
            <w:shd w:val="clear" w:color="auto" w:fill="auto"/>
            <w:noWrap/>
            <w:vAlign w:val="bottom"/>
            <w:hideMark/>
          </w:tcPr>
          <w:p w14:paraId="23F18A6B"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difference %</w:t>
            </w:r>
          </w:p>
        </w:tc>
        <w:tc>
          <w:tcPr>
            <w:tcW w:w="314" w:type="pct"/>
            <w:tcBorders>
              <w:top w:val="nil"/>
              <w:left w:val="nil"/>
              <w:bottom w:val="single" w:sz="8" w:space="0" w:color="auto"/>
              <w:right w:val="nil"/>
            </w:tcBorders>
            <w:shd w:val="clear" w:color="auto" w:fill="auto"/>
            <w:noWrap/>
            <w:vAlign w:val="bottom"/>
            <w:hideMark/>
          </w:tcPr>
          <w:p w14:paraId="0457F73A"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nil"/>
              <w:left w:val="nil"/>
              <w:bottom w:val="single" w:sz="8" w:space="0" w:color="auto"/>
              <w:right w:val="single" w:sz="8" w:space="0" w:color="auto"/>
            </w:tcBorders>
            <w:shd w:val="clear" w:color="auto" w:fill="auto"/>
            <w:noWrap/>
            <w:vAlign w:val="bottom"/>
            <w:hideMark/>
          </w:tcPr>
          <w:p w14:paraId="3DB42311"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nil"/>
              <w:left w:val="nil"/>
              <w:bottom w:val="single" w:sz="8" w:space="0" w:color="auto"/>
              <w:right w:val="single" w:sz="8" w:space="0" w:color="auto"/>
            </w:tcBorders>
            <w:shd w:val="clear" w:color="auto" w:fill="auto"/>
            <w:noWrap/>
            <w:vAlign w:val="bottom"/>
            <w:hideMark/>
          </w:tcPr>
          <w:p w14:paraId="42B22974" w14:textId="77777777" w:rsidR="00F47783" w:rsidRPr="001D0ADC" w:rsidRDefault="00F47783" w:rsidP="00F47783">
            <w:pPr>
              <w:spacing w:after="0" w:line="240" w:lineRule="auto"/>
              <w:rPr>
                <w:rFonts w:ascii="Calibri" w:eastAsia="Times New Roman" w:hAnsi="Calibri" w:cs="Calibri"/>
                <w:lang w:eastAsia="cs-CZ"/>
              </w:rPr>
            </w:pPr>
            <w:r w:rsidRPr="001D0ADC">
              <w:rPr>
                <w:rFonts w:ascii="Calibri" w:eastAsia="Times New Roman" w:hAnsi="Calibri" w:cs="Calibri"/>
                <w:lang w:eastAsia="cs-CZ"/>
              </w:rPr>
              <w:t>difference %</w:t>
            </w:r>
          </w:p>
        </w:tc>
      </w:tr>
      <w:tr w:rsidR="001D0ADC" w:rsidRPr="001D0ADC" w14:paraId="02B5A139" w14:textId="77777777" w:rsidTr="007C5E6B">
        <w:trPr>
          <w:trHeight w:val="288"/>
        </w:trPr>
        <w:tc>
          <w:tcPr>
            <w:tcW w:w="12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DF2DD"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C1</w:t>
            </w:r>
          </w:p>
        </w:tc>
        <w:tc>
          <w:tcPr>
            <w:tcW w:w="623" w:type="pct"/>
            <w:tcBorders>
              <w:top w:val="single" w:sz="4" w:space="0" w:color="auto"/>
              <w:left w:val="nil"/>
              <w:bottom w:val="single" w:sz="4" w:space="0" w:color="auto"/>
              <w:right w:val="nil"/>
            </w:tcBorders>
            <w:shd w:val="clear" w:color="auto" w:fill="auto"/>
            <w:noWrap/>
            <w:vAlign w:val="bottom"/>
            <w:hideMark/>
          </w:tcPr>
          <w:p w14:paraId="081AEE57"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start</w:t>
            </w:r>
          </w:p>
        </w:tc>
        <w:tc>
          <w:tcPr>
            <w:tcW w:w="314" w:type="pct"/>
            <w:tcBorders>
              <w:top w:val="nil"/>
              <w:left w:val="single" w:sz="8" w:space="0" w:color="auto"/>
              <w:bottom w:val="nil"/>
              <w:right w:val="nil"/>
            </w:tcBorders>
            <w:shd w:val="clear" w:color="auto" w:fill="auto"/>
            <w:noWrap/>
            <w:vAlign w:val="bottom"/>
            <w:hideMark/>
          </w:tcPr>
          <w:p w14:paraId="0C36425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189CE3E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nil"/>
            </w:tcBorders>
            <w:shd w:val="clear" w:color="auto" w:fill="auto"/>
            <w:noWrap/>
            <w:vAlign w:val="bottom"/>
            <w:hideMark/>
          </w:tcPr>
          <w:p w14:paraId="55E08B0E" w14:textId="77777777" w:rsidR="00F47783" w:rsidRPr="001D0ADC" w:rsidRDefault="00F47783" w:rsidP="00F47783">
            <w:pPr>
              <w:spacing w:after="0" w:line="240" w:lineRule="auto"/>
              <w:jc w:val="center"/>
              <w:rPr>
                <w:rFonts w:ascii="Calibri" w:eastAsia="Times New Roman" w:hAnsi="Calibri" w:cs="Calibri"/>
                <w:lang w:eastAsia="cs-CZ"/>
              </w:rPr>
            </w:pPr>
          </w:p>
        </w:tc>
        <w:tc>
          <w:tcPr>
            <w:tcW w:w="314" w:type="pct"/>
            <w:tcBorders>
              <w:top w:val="single" w:sz="8" w:space="0" w:color="auto"/>
              <w:left w:val="single" w:sz="8" w:space="0" w:color="auto"/>
              <w:bottom w:val="nil"/>
              <w:right w:val="nil"/>
            </w:tcBorders>
            <w:shd w:val="clear" w:color="auto" w:fill="auto"/>
            <w:noWrap/>
            <w:vAlign w:val="bottom"/>
            <w:hideMark/>
          </w:tcPr>
          <w:p w14:paraId="22438C60" w14:textId="5B0BF449"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F47783" w:rsidRPr="001D0ADC">
              <w:rPr>
                <w:rFonts w:ascii="Calibri" w:eastAsia="Times New Roman" w:hAnsi="Calibri" w:cs="Calibri"/>
                <w:lang w:eastAsia="cs-CZ"/>
              </w:rPr>
              <w:t>25</w:t>
            </w:r>
          </w:p>
        </w:tc>
        <w:tc>
          <w:tcPr>
            <w:tcW w:w="338" w:type="pct"/>
            <w:tcBorders>
              <w:top w:val="single" w:sz="8" w:space="0" w:color="auto"/>
              <w:left w:val="nil"/>
              <w:bottom w:val="nil"/>
              <w:right w:val="single" w:sz="8" w:space="0" w:color="auto"/>
            </w:tcBorders>
            <w:shd w:val="clear" w:color="auto" w:fill="auto"/>
            <w:noWrap/>
            <w:vAlign w:val="bottom"/>
            <w:hideMark/>
          </w:tcPr>
          <w:p w14:paraId="146D151F" w14:textId="573E85B6"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F47783" w:rsidRPr="001D0ADC">
              <w:rPr>
                <w:rFonts w:ascii="Calibri" w:eastAsia="Times New Roman" w:hAnsi="Calibri" w:cs="Calibri"/>
                <w:lang w:eastAsia="cs-CZ"/>
              </w:rPr>
              <w:t>3</w:t>
            </w:r>
          </w:p>
        </w:tc>
        <w:tc>
          <w:tcPr>
            <w:tcW w:w="412" w:type="pct"/>
            <w:tcBorders>
              <w:top w:val="nil"/>
              <w:left w:val="nil"/>
              <w:bottom w:val="nil"/>
              <w:right w:val="single" w:sz="8" w:space="0" w:color="auto"/>
            </w:tcBorders>
            <w:shd w:val="clear" w:color="auto" w:fill="auto"/>
            <w:noWrap/>
            <w:vAlign w:val="bottom"/>
            <w:hideMark/>
          </w:tcPr>
          <w:p w14:paraId="37CFFC5C" w14:textId="125C4652"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F47783" w:rsidRPr="001D0ADC">
              <w:rPr>
                <w:rFonts w:ascii="Calibri" w:eastAsia="Times New Roman" w:hAnsi="Calibri" w:cs="Calibri"/>
                <w:lang w:eastAsia="cs-CZ"/>
              </w:rPr>
              <w:t>12</w:t>
            </w:r>
          </w:p>
        </w:tc>
        <w:tc>
          <w:tcPr>
            <w:tcW w:w="314" w:type="pct"/>
            <w:tcBorders>
              <w:top w:val="nil"/>
              <w:left w:val="nil"/>
              <w:bottom w:val="nil"/>
              <w:right w:val="nil"/>
            </w:tcBorders>
            <w:shd w:val="clear" w:color="auto" w:fill="auto"/>
            <w:noWrap/>
            <w:vAlign w:val="bottom"/>
            <w:hideMark/>
          </w:tcPr>
          <w:p w14:paraId="411134C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4C23A57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0E8EBB6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14B7AEEB" w14:textId="49E4CF15"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5</w:t>
            </w:r>
          </w:p>
        </w:tc>
        <w:tc>
          <w:tcPr>
            <w:tcW w:w="338" w:type="pct"/>
            <w:tcBorders>
              <w:top w:val="nil"/>
              <w:left w:val="nil"/>
              <w:bottom w:val="nil"/>
              <w:right w:val="single" w:sz="8" w:space="0" w:color="auto"/>
            </w:tcBorders>
            <w:shd w:val="clear" w:color="auto" w:fill="auto"/>
            <w:noWrap/>
            <w:vAlign w:val="bottom"/>
            <w:hideMark/>
          </w:tcPr>
          <w:p w14:paraId="65BE1AB3" w14:textId="6F597499"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3</w:t>
            </w:r>
          </w:p>
        </w:tc>
        <w:tc>
          <w:tcPr>
            <w:tcW w:w="412" w:type="pct"/>
            <w:tcBorders>
              <w:top w:val="nil"/>
              <w:left w:val="nil"/>
              <w:bottom w:val="nil"/>
              <w:right w:val="single" w:sz="8" w:space="0" w:color="auto"/>
            </w:tcBorders>
            <w:shd w:val="clear" w:color="auto" w:fill="auto"/>
            <w:noWrap/>
            <w:vAlign w:val="bottom"/>
            <w:hideMark/>
          </w:tcPr>
          <w:p w14:paraId="4913411C" w14:textId="4D022006"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9.</w:t>
            </w:r>
            <w:r w:rsidRPr="001D0ADC">
              <w:rPr>
                <w:rFonts w:ascii="Calibri" w:eastAsia="Times New Roman" w:hAnsi="Calibri" w:cs="Calibri"/>
                <w:lang w:eastAsia="cs-CZ"/>
              </w:rPr>
              <w:t>87</w:t>
            </w:r>
          </w:p>
        </w:tc>
      </w:tr>
      <w:tr w:rsidR="001D0ADC" w:rsidRPr="001D0ADC" w14:paraId="1325D0B7" w14:textId="77777777" w:rsidTr="007C5E6B">
        <w:trPr>
          <w:trHeight w:val="288"/>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0CF6B737"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6FDF729A"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end (120h)</w:t>
            </w:r>
          </w:p>
        </w:tc>
        <w:tc>
          <w:tcPr>
            <w:tcW w:w="314" w:type="pct"/>
            <w:tcBorders>
              <w:top w:val="nil"/>
              <w:left w:val="single" w:sz="8" w:space="0" w:color="auto"/>
              <w:bottom w:val="nil"/>
              <w:right w:val="nil"/>
            </w:tcBorders>
            <w:shd w:val="clear" w:color="auto" w:fill="auto"/>
            <w:noWrap/>
            <w:vAlign w:val="bottom"/>
            <w:hideMark/>
          </w:tcPr>
          <w:p w14:paraId="6A3C629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299E1D2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nil"/>
            </w:tcBorders>
            <w:shd w:val="clear" w:color="auto" w:fill="auto"/>
            <w:noWrap/>
            <w:vAlign w:val="bottom"/>
            <w:hideMark/>
          </w:tcPr>
          <w:p w14:paraId="31D06DA1" w14:textId="77777777" w:rsidR="00F47783" w:rsidRPr="001D0ADC" w:rsidRDefault="00F47783" w:rsidP="00F47783">
            <w:pPr>
              <w:spacing w:after="0" w:line="240" w:lineRule="auto"/>
              <w:jc w:val="center"/>
              <w:rPr>
                <w:rFonts w:ascii="Calibri" w:eastAsia="Times New Roman" w:hAnsi="Calibri" w:cs="Calibri"/>
                <w:lang w:eastAsia="cs-CZ"/>
              </w:rPr>
            </w:pPr>
          </w:p>
        </w:tc>
        <w:tc>
          <w:tcPr>
            <w:tcW w:w="314" w:type="pct"/>
            <w:tcBorders>
              <w:top w:val="nil"/>
              <w:left w:val="single" w:sz="8" w:space="0" w:color="auto"/>
              <w:bottom w:val="nil"/>
              <w:right w:val="nil"/>
            </w:tcBorders>
            <w:shd w:val="clear" w:color="auto" w:fill="auto"/>
            <w:noWrap/>
            <w:vAlign w:val="bottom"/>
            <w:hideMark/>
          </w:tcPr>
          <w:p w14:paraId="240A8FE2" w14:textId="53BF94FB"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F47783" w:rsidRPr="001D0ADC">
              <w:rPr>
                <w:rFonts w:ascii="Calibri" w:eastAsia="Times New Roman" w:hAnsi="Calibri" w:cs="Calibri"/>
                <w:lang w:eastAsia="cs-CZ"/>
              </w:rPr>
              <w:t>25</w:t>
            </w:r>
          </w:p>
        </w:tc>
        <w:tc>
          <w:tcPr>
            <w:tcW w:w="338" w:type="pct"/>
            <w:tcBorders>
              <w:top w:val="nil"/>
              <w:left w:val="nil"/>
              <w:bottom w:val="nil"/>
              <w:right w:val="single" w:sz="8" w:space="0" w:color="auto"/>
            </w:tcBorders>
            <w:shd w:val="clear" w:color="auto" w:fill="auto"/>
            <w:noWrap/>
            <w:vAlign w:val="bottom"/>
            <w:hideMark/>
          </w:tcPr>
          <w:p w14:paraId="443E9523" w14:textId="19B0505A"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F47783" w:rsidRPr="001D0ADC">
              <w:rPr>
                <w:rFonts w:ascii="Calibri" w:eastAsia="Times New Roman" w:hAnsi="Calibri" w:cs="Calibri"/>
                <w:lang w:eastAsia="cs-CZ"/>
              </w:rPr>
              <w:t>3</w:t>
            </w:r>
          </w:p>
        </w:tc>
        <w:tc>
          <w:tcPr>
            <w:tcW w:w="412" w:type="pct"/>
            <w:tcBorders>
              <w:top w:val="nil"/>
              <w:left w:val="nil"/>
              <w:bottom w:val="nil"/>
              <w:right w:val="single" w:sz="8" w:space="0" w:color="auto"/>
            </w:tcBorders>
            <w:shd w:val="clear" w:color="auto" w:fill="auto"/>
            <w:noWrap/>
            <w:vAlign w:val="bottom"/>
            <w:hideMark/>
          </w:tcPr>
          <w:p w14:paraId="2FEC36DC" w14:textId="4DEA78ED"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F47783" w:rsidRPr="001D0ADC">
              <w:rPr>
                <w:rFonts w:ascii="Calibri" w:eastAsia="Times New Roman" w:hAnsi="Calibri" w:cs="Calibri"/>
                <w:lang w:eastAsia="cs-CZ"/>
              </w:rPr>
              <w:t>44</w:t>
            </w:r>
          </w:p>
        </w:tc>
        <w:tc>
          <w:tcPr>
            <w:tcW w:w="314" w:type="pct"/>
            <w:tcBorders>
              <w:top w:val="nil"/>
              <w:left w:val="nil"/>
              <w:bottom w:val="nil"/>
              <w:right w:val="nil"/>
            </w:tcBorders>
            <w:shd w:val="clear" w:color="auto" w:fill="auto"/>
            <w:noWrap/>
            <w:vAlign w:val="bottom"/>
            <w:hideMark/>
          </w:tcPr>
          <w:p w14:paraId="140152E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11D6AF4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7410041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25792458" w14:textId="326195D8"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5</w:t>
            </w:r>
          </w:p>
        </w:tc>
        <w:tc>
          <w:tcPr>
            <w:tcW w:w="338" w:type="pct"/>
            <w:tcBorders>
              <w:top w:val="nil"/>
              <w:left w:val="nil"/>
              <w:bottom w:val="nil"/>
              <w:right w:val="single" w:sz="8" w:space="0" w:color="auto"/>
            </w:tcBorders>
            <w:shd w:val="clear" w:color="auto" w:fill="auto"/>
            <w:noWrap/>
            <w:vAlign w:val="bottom"/>
            <w:hideMark/>
          </w:tcPr>
          <w:p w14:paraId="33741CE9" w14:textId="05878B5B"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0.</w:t>
            </w:r>
            <w:r w:rsidRPr="001D0ADC">
              <w:rPr>
                <w:rFonts w:ascii="Calibri" w:eastAsia="Times New Roman" w:hAnsi="Calibri" w:cs="Calibri"/>
                <w:lang w:eastAsia="cs-CZ"/>
              </w:rPr>
              <w:t>7</w:t>
            </w:r>
          </w:p>
        </w:tc>
        <w:tc>
          <w:tcPr>
            <w:tcW w:w="412" w:type="pct"/>
            <w:tcBorders>
              <w:top w:val="nil"/>
              <w:left w:val="nil"/>
              <w:bottom w:val="nil"/>
              <w:right w:val="single" w:sz="8" w:space="0" w:color="auto"/>
            </w:tcBorders>
            <w:shd w:val="clear" w:color="auto" w:fill="auto"/>
            <w:noWrap/>
            <w:vAlign w:val="bottom"/>
            <w:hideMark/>
          </w:tcPr>
          <w:p w14:paraId="0885E16D" w14:textId="3613ACA2"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4.</w:t>
            </w:r>
            <w:r w:rsidRPr="001D0ADC">
              <w:rPr>
                <w:rFonts w:ascii="Calibri" w:eastAsia="Times New Roman" w:hAnsi="Calibri" w:cs="Calibri"/>
                <w:lang w:eastAsia="cs-CZ"/>
              </w:rPr>
              <w:t>4</w:t>
            </w:r>
          </w:p>
        </w:tc>
      </w:tr>
      <w:tr w:rsidR="001D0ADC" w:rsidRPr="001D0ADC" w14:paraId="1E0AB762" w14:textId="77777777" w:rsidTr="007C5E6B">
        <w:trPr>
          <w:trHeight w:val="288"/>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2CC4C636"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13F4D545"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start</w:t>
            </w:r>
          </w:p>
        </w:tc>
        <w:tc>
          <w:tcPr>
            <w:tcW w:w="314" w:type="pct"/>
            <w:tcBorders>
              <w:top w:val="nil"/>
              <w:left w:val="single" w:sz="8" w:space="0" w:color="auto"/>
              <w:bottom w:val="nil"/>
              <w:right w:val="nil"/>
            </w:tcBorders>
            <w:shd w:val="clear" w:color="auto" w:fill="auto"/>
            <w:noWrap/>
            <w:vAlign w:val="bottom"/>
            <w:hideMark/>
          </w:tcPr>
          <w:p w14:paraId="32A66EC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w:t>
            </w:r>
          </w:p>
        </w:tc>
        <w:tc>
          <w:tcPr>
            <w:tcW w:w="338" w:type="pct"/>
            <w:tcBorders>
              <w:top w:val="nil"/>
              <w:left w:val="nil"/>
              <w:bottom w:val="nil"/>
              <w:right w:val="single" w:sz="8" w:space="0" w:color="auto"/>
            </w:tcBorders>
            <w:shd w:val="clear" w:color="auto" w:fill="auto"/>
            <w:noWrap/>
            <w:vAlign w:val="bottom"/>
            <w:hideMark/>
          </w:tcPr>
          <w:p w14:paraId="35F41F9C" w14:textId="35020B33"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A13570" w:rsidRPr="001D0ADC">
              <w:rPr>
                <w:rFonts w:ascii="Calibri" w:eastAsia="Times New Roman" w:hAnsi="Calibri" w:cs="Calibri"/>
                <w:lang w:eastAsia="cs-CZ"/>
              </w:rPr>
              <w:t>5.</w:t>
            </w:r>
            <w:r w:rsidRPr="001D0ADC">
              <w:rPr>
                <w:rFonts w:ascii="Calibri" w:eastAsia="Times New Roman" w:hAnsi="Calibri" w:cs="Calibri"/>
                <w:lang w:eastAsia="cs-CZ"/>
              </w:rPr>
              <w:t>7</w:t>
            </w:r>
          </w:p>
        </w:tc>
        <w:tc>
          <w:tcPr>
            <w:tcW w:w="412" w:type="pct"/>
            <w:tcBorders>
              <w:top w:val="nil"/>
              <w:left w:val="nil"/>
              <w:bottom w:val="nil"/>
              <w:right w:val="nil"/>
            </w:tcBorders>
            <w:shd w:val="clear" w:color="auto" w:fill="auto"/>
            <w:noWrap/>
            <w:vAlign w:val="bottom"/>
            <w:hideMark/>
          </w:tcPr>
          <w:p w14:paraId="716D654E" w14:textId="77B13BD5"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4</w:t>
            </w:r>
          </w:p>
        </w:tc>
        <w:tc>
          <w:tcPr>
            <w:tcW w:w="314" w:type="pct"/>
            <w:tcBorders>
              <w:top w:val="nil"/>
              <w:left w:val="single" w:sz="8" w:space="0" w:color="auto"/>
              <w:bottom w:val="nil"/>
              <w:right w:val="nil"/>
            </w:tcBorders>
            <w:shd w:val="clear" w:color="auto" w:fill="auto"/>
            <w:noWrap/>
            <w:vAlign w:val="bottom"/>
            <w:hideMark/>
          </w:tcPr>
          <w:p w14:paraId="0CD4660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20</w:t>
            </w:r>
          </w:p>
        </w:tc>
        <w:tc>
          <w:tcPr>
            <w:tcW w:w="338" w:type="pct"/>
            <w:tcBorders>
              <w:top w:val="nil"/>
              <w:left w:val="nil"/>
              <w:bottom w:val="nil"/>
              <w:right w:val="single" w:sz="8" w:space="0" w:color="auto"/>
            </w:tcBorders>
            <w:shd w:val="clear" w:color="auto" w:fill="auto"/>
            <w:noWrap/>
            <w:vAlign w:val="bottom"/>
            <w:hideMark/>
          </w:tcPr>
          <w:p w14:paraId="4B5B351F" w14:textId="5E3D88E1"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7.</w:t>
            </w:r>
            <w:r w:rsidRPr="001D0ADC">
              <w:rPr>
                <w:rFonts w:ascii="Calibri" w:eastAsia="Times New Roman" w:hAnsi="Calibri" w:cs="Calibri"/>
                <w:lang w:eastAsia="cs-CZ"/>
              </w:rPr>
              <w:t>6</w:t>
            </w:r>
          </w:p>
        </w:tc>
        <w:tc>
          <w:tcPr>
            <w:tcW w:w="412" w:type="pct"/>
            <w:tcBorders>
              <w:top w:val="nil"/>
              <w:left w:val="nil"/>
              <w:bottom w:val="nil"/>
              <w:right w:val="single" w:sz="8" w:space="0" w:color="auto"/>
            </w:tcBorders>
            <w:shd w:val="clear" w:color="auto" w:fill="auto"/>
            <w:noWrap/>
            <w:vAlign w:val="bottom"/>
            <w:hideMark/>
          </w:tcPr>
          <w:p w14:paraId="0511B58A" w14:textId="74586A2C"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0</w:t>
            </w:r>
          </w:p>
        </w:tc>
        <w:tc>
          <w:tcPr>
            <w:tcW w:w="314" w:type="pct"/>
            <w:tcBorders>
              <w:top w:val="nil"/>
              <w:left w:val="nil"/>
              <w:bottom w:val="nil"/>
              <w:right w:val="nil"/>
            </w:tcBorders>
            <w:shd w:val="clear" w:color="auto" w:fill="auto"/>
            <w:noWrap/>
            <w:vAlign w:val="bottom"/>
            <w:hideMark/>
          </w:tcPr>
          <w:p w14:paraId="136E295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250</w:t>
            </w:r>
          </w:p>
        </w:tc>
        <w:tc>
          <w:tcPr>
            <w:tcW w:w="338" w:type="pct"/>
            <w:tcBorders>
              <w:top w:val="nil"/>
              <w:left w:val="nil"/>
              <w:bottom w:val="nil"/>
              <w:right w:val="single" w:sz="8" w:space="0" w:color="auto"/>
            </w:tcBorders>
            <w:shd w:val="clear" w:color="auto" w:fill="auto"/>
            <w:noWrap/>
            <w:vAlign w:val="bottom"/>
            <w:hideMark/>
          </w:tcPr>
          <w:p w14:paraId="043540B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235</w:t>
            </w:r>
          </w:p>
        </w:tc>
        <w:tc>
          <w:tcPr>
            <w:tcW w:w="412" w:type="pct"/>
            <w:tcBorders>
              <w:top w:val="nil"/>
              <w:left w:val="nil"/>
              <w:bottom w:val="nil"/>
              <w:right w:val="single" w:sz="8" w:space="0" w:color="auto"/>
            </w:tcBorders>
            <w:shd w:val="clear" w:color="auto" w:fill="auto"/>
            <w:noWrap/>
            <w:vAlign w:val="bottom"/>
            <w:hideMark/>
          </w:tcPr>
          <w:p w14:paraId="0A001F86" w14:textId="5EEA95FF"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6.</w:t>
            </w:r>
            <w:r w:rsidRPr="001D0ADC">
              <w:rPr>
                <w:rFonts w:ascii="Calibri" w:eastAsia="Times New Roman" w:hAnsi="Calibri" w:cs="Calibri"/>
                <w:lang w:eastAsia="cs-CZ"/>
              </w:rPr>
              <w:t>17</w:t>
            </w:r>
          </w:p>
        </w:tc>
        <w:tc>
          <w:tcPr>
            <w:tcW w:w="314" w:type="pct"/>
            <w:tcBorders>
              <w:top w:val="nil"/>
              <w:left w:val="nil"/>
              <w:bottom w:val="nil"/>
              <w:right w:val="nil"/>
            </w:tcBorders>
            <w:shd w:val="clear" w:color="auto" w:fill="auto"/>
            <w:noWrap/>
            <w:vAlign w:val="bottom"/>
            <w:hideMark/>
          </w:tcPr>
          <w:p w14:paraId="41C5FAE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500</w:t>
            </w:r>
          </w:p>
        </w:tc>
        <w:tc>
          <w:tcPr>
            <w:tcW w:w="338" w:type="pct"/>
            <w:tcBorders>
              <w:top w:val="nil"/>
              <w:left w:val="nil"/>
              <w:bottom w:val="nil"/>
              <w:right w:val="single" w:sz="8" w:space="0" w:color="auto"/>
            </w:tcBorders>
            <w:shd w:val="clear" w:color="auto" w:fill="auto"/>
            <w:noWrap/>
            <w:vAlign w:val="bottom"/>
            <w:hideMark/>
          </w:tcPr>
          <w:p w14:paraId="63370B4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476</w:t>
            </w:r>
          </w:p>
        </w:tc>
        <w:tc>
          <w:tcPr>
            <w:tcW w:w="412" w:type="pct"/>
            <w:tcBorders>
              <w:top w:val="nil"/>
              <w:left w:val="nil"/>
              <w:bottom w:val="nil"/>
              <w:right w:val="single" w:sz="8" w:space="0" w:color="auto"/>
            </w:tcBorders>
            <w:shd w:val="clear" w:color="auto" w:fill="auto"/>
            <w:noWrap/>
            <w:vAlign w:val="bottom"/>
            <w:hideMark/>
          </w:tcPr>
          <w:p w14:paraId="51B81501" w14:textId="46682B4A"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4.</w:t>
            </w:r>
            <w:r w:rsidRPr="001D0ADC">
              <w:rPr>
                <w:rFonts w:ascii="Calibri" w:eastAsia="Times New Roman" w:hAnsi="Calibri" w:cs="Calibri"/>
                <w:lang w:eastAsia="cs-CZ"/>
              </w:rPr>
              <w:t>83</w:t>
            </w:r>
          </w:p>
        </w:tc>
      </w:tr>
      <w:tr w:rsidR="001D0ADC" w:rsidRPr="001D0ADC" w14:paraId="30A1E89F" w14:textId="77777777" w:rsidTr="007C5E6B">
        <w:trPr>
          <w:trHeight w:val="300"/>
        </w:trPr>
        <w:tc>
          <w:tcPr>
            <w:tcW w:w="121" w:type="pct"/>
            <w:vMerge/>
            <w:tcBorders>
              <w:top w:val="single" w:sz="4" w:space="0" w:color="auto"/>
              <w:left w:val="single" w:sz="4" w:space="0" w:color="auto"/>
              <w:bottom w:val="single" w:sz="4" w:space="0" w:color="auto"/>
              <w:right w:val="single" w:sz="4" w:space="0" w:color="auto"/>
            </w:tcBorders>
            <w:vAlign w:val="center"/>
            <w:hideMark/>
          </w:tcPr>
          <w:p w14:paraId="1C29F349"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1066F257"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end (24h)</w:t>
            </w:r>
          </w:p>
        </w:tc>
        <w:tc>
          <w:tcPr>
            <w:tcW w:w="314" w:type="pct"/>
            <w:tcBorders>
              <w:top w:val="nil"/>
              <w:left w:val="single" w:sz="8" w:space="0" w:color="auto"/>
              <w:bottom w:val="nil"/>
              <w:right w:val="nil"/>
            </w:tcBorders>
            <w:shd w:val="clear" w:color="auto" w:fill="auto"/>
            <w:noWrap/>
            <w:vAlign w:val="bottom"/>
            <w:hideMark/>
          </w:tcPr>
          <w:p w14:paraId="586BBDA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w:t>
            </w:r>
          </w:p>
        </w:tc>
        <w:tc>
          <w:tcPr>
            <w:tcW w:w="338" w:type="pct"/>
            <w:tcBorders>
              <w:top w:val="nil"/>
              <w:left w:val="nil"/>
              <w:bottom w:val="nil"/>
              <w:right w:val="single" w:sz="8" w:space="0" w:color="auto"/>
            </w:tcBorders>
            <w:shd w:val="clear" w:color="auto" w:fill="auto"/>
            <w:noWrap/>
            <w:vAlign w:val="bottom"/>
            <w:hideMark/>
          </w:tcPr>
          <w:p w14:paraId="3856DB60" w14:textId="76077B4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w:t>
            </w:r>
            <w:r w:rsidR="00A13570" w:rsidRPr="001D0ADC">
              <w:rPr>
                <w:rFonts w:ascii="Calibri" w:eastAsia="Times New Roman" w:hAnsi="Calibri" w:cs="Calibri"/>
                <w:lang w:eastAsia="cs-CZ"/>
              </w:rPr>
              <w:t>6.</w:t>
            </w:r>
            <w:r w:rsidRPr="001D0ADC">
              <w:rPr>
                <w:rFonts w:ascii="Calibri" w:eastAsia="Times New Roman" w:hAnsi="Calibri" w:cs="Calibri"/>
                <w:lang w:eastAsia="cs-CZ"/>
              </w:rPr>
              <w:t>6</w:t>
            </w:r>
          </w:p>
        </w:tc>
        <w:tc>
          <w:tcPr>
            <w:tcW w:w="412" w:type="pct"/>
            <w:tcBorders>
              <w:top w:val="nil"/>
              <w:left w:val="nil"/>
              <w:bottom w:val="nil"/>
              <w:right w:val="nil"/>
            </w:tcBorders>
            <w:shd w:val="clear" w:color="auto" w:fill="auto"/>
            <w:noWrap/>
            <w:vAlign w:val="bottom"/>
            <w:hideMark/>
          </w:tcPr>
          <w:p w14:paraId="772ABE73" w14:textId="48A69E4C"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3.</w:t>
            </w:r>
            <w:r w:rsidRPr="001D0ADC">
              <w:rPr>
                <w:rFonts w:ascii="Calibri" w:eastAsia="Times New Roman" w:hAnsi="Calibri" w:cs="Calibri"/>
                <w:lang w:eastAsia="cs-CZ"/>
              </w:rPr>
              <w:t>2</w:t>
            </w:r>
          </w:p>
        </w:tc>
        <w:tc>
          <w:tcPr>
            <w:tcW w:w="314" w:type="pct"/>
            <w:tcBorders>
              <w:top w:val="nil"/>
              <w:left w:val="single" w:sz="8" w:space="0" w:color="auto"/>
              <w:bottom w:val="nil"/>
              <w:right w:val="nil"/>
            </w:tcBorders>
            <w:shd w:val="clear" w:color="auto" w:fill="auto"/>
            <w:noWrap/>
            <w:vAlign w:val="bottom"/>
            <w:hideMark/>
          </w:tcPr>
          <w:p w14:paraId="3DD9340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20</w:t>
            </w:r>
          </w:p>
        </w:tc>
        <w:tc>
          <w:tcPr>
            <w:tcW w:w="338" w:type="pct"/>
            <w:tcBorders>
              <w:top w:val="nil"/>
              <w:left w:val="nil"/>
              <w:bottom w:val="nil"/>
              <w:right w:val="single" w:sz="8" w:space="0" w:color="auto"/>
            </w:tcBorders>
            <w:shd w:val="clear" w:color="auto" w:fill="auto"/>
            <w:noWrap/>
            <w:vAlign w:val="bottom"/>
            <w:hideMark/>
          </w:tcPr>
          <w:p w14:paraId="50AE63FC" w14:textId="4C51E7FB"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8.</w:t>
            </w:r>
            <w:r w:rsidRPr="001D0ADC">
              <w:rPr>
                <w:rFonts w:ascii="Calibri" w:eastAsia="Times New Roman" w:hAnsi="Calibri" w:cs="Calibri"/>
                <w:lang w:eastAsia="cs-CZ"/>
              </w:rPr>
              <w:t>4</w:t>
            </w:r>
          </w:p>
        </w:tc>
        <w:tc>
          <w:tcPr>
            <w:tcW w:w="412" w:type="pct"/>
            <w:tcBorders>
              <w:top w:val="nil"/>
              <w:left w:val="nil"/>
              <w:bottom w:val="nil"/>
              <w:right w:val="single" w:sz="8" w:space="0" w:color="auto"/>
            </w:tcBorders>
            <w:shd w:val="clear" w:color="auto" w:fill="auto"/>
            <w:noWrap/>
            <w:vAlign w:val="bottom"/>
            <w:hideMark/>
          </w:tcPr>
          <w:p w14:paraId="4D3E9A28" w14:textId="355C8392"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8.</w:t>
            </w:r>
            <w:r w:rsidRPr="001D0ADC">
              <w:rPr>
                <w:rFonts w:ascii="Calibri" w:eastAsia="Times New Roman" w:hAnsi="Calibri" w:cs="Calibri"/>
                <w:lang w:eastAsia="cs-CZ"/>
              </w:rPr>
              <w:t>00</w:t>
            </w:r>
          </w:p>
        </w:tc>
        <w:tc>
          <w:tcPr>
            <w:tcW w:w="314" w:type="pct"/>
            <w:tcBorders>
              <w:top w:val="nil"/>
              <w:left w:val="nil"/>
              <w:bottom w:val="nil"/>
              <w:right w:val="nil"/>
            </w:tcBorders>
            <w:shd w:val="clear" w:color="auto" w:fill="auto"/>
            <w:noWrap/>
            <w:vAlign w:val="bottom"/>
            <w:hideMark/>
          </w:tcPr>
          <w:p w14:paraId="75ACC1AD"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250</w:t>
            </w:r>
          </w:p>
        </w:tc>
        <w:tc>
          <w:tcPr>
            <w:tcW w:w="338" w:type="pct"/>
            <w:tcBorders>
              <w:top w:val="nil"/>
              <w:left w:val="nil"/>
              <w:bottom w:val="nil"/>
              <w:right w:val="single" w:sz="8" w:space="0" w:color="auto"/>
            </w:tcBorders>
            <w:shd w:val="clear" w:color="auto" w:fill="auto"/>
            <w:noWrap/>
            <w:vAlign w:val="bottom"/>
            <w:hideMark/>
          </w:tcPr>
          <w:p w14:paraId="7F8EFF2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235</w:t>
            </w:r>
          </w:p>
        </w:tc>
        <w:tc>
          <w:tcPr>
            <w:tcW w:w="412" w:type="pct"/>
            <w:tcBorders>
              <w:top w:val="nil"/>
              <w:left w:val="nil"/>
              <w:bottom w:val="nil"/>
              <w:right w:val="single" w:sz="8" w:space="0" w:color="auto"/>
            </w:tcBorders>
            <w:shd w:val="clear" w:color="auto" w:fill="auto"/>
            <w:noWrap/>
            <w:vAlign w:val="bottom"/>
            <w:hideMark/>
          </w:tcPr>
          <w:p w14:paraId="2BE0994C" w14:textId="52EBC5F5"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5.</w:t>
            </w:r>
            <w:r w:rsidRPr="001D0ADC">
              <w:rPr>
                <w:rFonts w:ascii="Calibri" w:eastAsia="Times New Roman" w:hAnsi="Calibri" w:cs="Calibri"/>
                <w:lang w:eastAsia="cs-CZ"/>
              </w:rPr>
              <w:t>82</w:t>
            </w:r>
          </w:p>
        </w:tc>
        <w:tc>
          <w:tcPr>
            <w:tcW w:w="314" w:type="pct"/>
            <w:tcBorders>
              <w:top w:val="nil"/>
              <w:left w:val="nil"/>
              <w:bottom w:val="nil"/>
              <w:right w:val="nil"/>
            </w:tcBorders>
            <w:shd w:val="clear" w:color="auto" w:fill="auto"/>
            <w:noWrap/>
            <w:vAlign w:val="bottom"/>
            <w:hideMark/>
          </w:tcPr>
          <w:p w14:paraId="6265CFC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500</w:t>
            </w:r>
          </w:p>
        </w:tc>
        <w:tc>
          <w:tcPr>
            <w:tcW w:w="338" w:type="pct"/>
            <w:tcBorders>
              <w:top w:val="nil"/>
              <w:left w:val="nil"/>
              <w:bottom w:val="nil"/>
              <w:right w:val="single" w:sz="8" w:space="0" w:color="auto"/>
            </w:tcBorders>
            <w:shd w:val="clear" w:color="auto" w:fill="auto"/>
            <w:noWrap/>
            <w:vAlign w:val="bottom"/>
            <w:hideMark/>
          </w:tcPr>
          <w:p w14:paraId="76DFDC1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458</w:t>
            </w:r>
          </w:p>
        </w:tc>
        <w:tc>
          <w:tcPr>
            <w:tcW w:w="412" w:type="pct"/>
            <w:tcBorders>
              <w:top w:val="nil"/>
              <w:left w:val="nil"/>
              <w:bottom w:val="nil"/>
              <w:right w:val="single" w:sz="8" w:space="0" w:color="auto"/>
            </w:tcBorders>
            <w:shd w:val="clear" w:color="auto" w:fill="auto"/>
            <w:noWrap/>
            <w:vAlign w:val="bottom"/>
            <w:hideMark/>
          </w:tcPr>
          <w:p w14:paraId="050BCC1B" w14:textId="0C12C9D0"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8.</w:t>
            </w:r>
            <w:r w:rsidRPr="001D0ADC">
              <w:rPr>
                <w:rFonts w:ascii="Calibri" w:eastAsia="Times New Roman" w:hAnsi="Calibri" w:cs="Calibri"/>
                <w:lang w:eastAsia="cs-CZ"/>
              </w:rPr>
              <w:t>32</w:t>
            </w:r>
          </w:p>
        </w:tc>
      </w:tr>
      <w:tr w:rsidR="001D0ADC" w:rsidRPr="001D0ADC" w14:paraId="08EFCE48" w14:textId="77777777" w:rsidTr="007C5E6B">
        <w:trPr>
          <w:trHeight w:val="300"/>
        </w:trPr>
        <w:tc>
          <w:tcPr>
            <w:tcW w:w="744" w:type="pct"/>
            <w:gridSpan w:val="2"/>
            <w:tcBorders>
              <w:top w:val="single" w:sz="4" w:space="0" w:color="auto"/>
              <w:left w:val="nil"/>
              <w:bottom w:val="single" w:sz="4" w:space="0" w:color="auto"/>
              <w:right w:val="nil"/>
            </w:tcBorders>
            <w:shd w:val="clear" w:color="auto" w:fill="auto"/>
            <w:noWrap/>
            <w:vAlign w:val="center"/>
            <w:hideMark/>
          </w:tcPr>
          <w:p w14:paraId="4E65FA2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single" w:sz="8" w:space="0" w:color="auto"/>
              <w:bottom w:val="single" w:sz="8" w:space="0" w:color="auto"/>
              <w:right w:val="nil"/>
            </w:tcBorders>
            <w:shd w:val="clear" w:color="auto" w:fill="auto"/>
            <w:noWrap/>
            <w:vAlign w:val="bottom"/>
            <w:hideMark/>
          </w:tcPr>
          <w:p w14:paraId="393B3EB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30E2501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nil"/>
            </w:tcBorders>
            <w:shd w:val="clear" w:color="auto" w:fill="auto"/>
            <w:noWrap/>
            <w:vAlign w:val="bottom"/>
            <w:hideMark/>
          </w:tcPr>
          <w:p w14:paraId="752873F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single" w:sz="8" w:space="0" w:color="auto"/>
              <w:bottom w:val="single" w:sz="8" w:space="0" w:color="auto"/>
              <w:right w:val="nil"/>
            </w:tcBorders>
            <w:shd w:val="clear" w:color="auto" w:fill="auto"/>
            <w:noWrap/>
            <w:vAlign w:val="bottom"/>
            <w:hideMark/>
          </w:tcPr>
          <w:p w14:paraId="2BF618E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1B275DD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5048EDB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18D40D5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1A10EBF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163869E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0D426A6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47F7C0F6"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06B2804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r>
      <w:tr w:rsidR="001D0ADC" w:rsidRPr="001D0ADC" w14:paraId="700A45B0" w14:textId="77777777" w:rsidTr="007C5E6B">
        <w:trPr>
          <w:trHeight w:val="288"/>
        </w:trPr>
        <w:tc>
          <w:tcPr>
            <w:tcW w:w="1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C9534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C2</w:t>
            </w:r>
          </w:p>
        </w:tc>
        <w:tc>
          <w:tcPr>
            <w:tcW w:w="623" w:type="pct"/>
            <w:tcBorders>
              <w:top w:val="nil"/>
              <w:left w:val="nil"/>
              <w:bottom w:val="single" w:sz="4" w:space="0" w:color="auto"/>
              <w:right w:val="nil"/>
            </w:tcBorders>
            <w:shd w:val="clear" w:color="auto" w:fill="auto"/>
            <w:noWrap/>
            <w:vAlign w:val="bottom"/>
            <w:hideMark/>
          </w:tcPr>
          <w:p w14:paraId="308BE02C"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start</w:t>
            </w:r>
          </w:p>
        </w:tc>
        <w:tc>
          <w:tcPr>
            <w:tcW w:w="314" w:type="pct"/>
            <w:tcBorders>
              <w:top w:val="nil"/>
              <w:left w:val="single" w:sz="8" w:space="0" w:color="auto"/>
              <w:bottom w:val="nil"/>
              <w:right w:val="nil"/>
            </w:tcBorders>
            <w:shd w:val="clear" w:color="auto" w:fill="auto"/>
            <w:noWrap/>
            <w:vAlign w:val="bottom"/>
            <w:hideMark/>
          </w:tcPr>
          <w:p w14:paraId="0123BFB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537DBC9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nil"/>
            </w:tcBorders>
            <w:shd w:val="clear" w:color="auto" w:fill="auto"/>
            <w:noWrap/>
            <w:vAlign w:val="bottom"/>
            <w:hideMark/>
          </w:tcPr>
          <w:p w14:paraId="19B9F901" w14:textId="77777777" w:rsidR="00F47783" w:rsidRPr="001D0ADC" w:rsidRDefault="00F47783" w:rsidP="00F47783">
            <w:pPr>
              <w:spacing w:after="0" w:line="240" w:lineRule="auto"/>
              <w:jc w:val="center"/>
              <w:rPr>
                <w:rFonts w:ascii="Calibri" w:eastAsia="Times New Roman" w:hAnsi="Calibri" w:cs="Calibri"/>
                <w:lang w:eastAsia="cs-CZ"/>
              </w:rPr>
            </w:pPr>
          </w:p>
        </w:tc>
        <w:tc>
          <w:tcPr>
            <w:tcW w:w="314" w:type="pct"/>
            <w:tcBorders>
              <w:top w:val="nil"/>
              <w:left w:val="single" w:sz="8" w:space="0" w:color="auto"/>
              <w:bottom w:val="nil"/>
              <w:right w:val="nil"/>
            </w:tcBorders>
            <w:shd w:val="clear" w:color="auto" w:fill="auto"/>
            <w:noWrap/>
            <w:vAlign w:val="bottom"/>
            <w:hideMark/>
          </w:tcPr>
          <w:p w14:paraId="0E92671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w:t>
            </w:r>
          </w:p>
        </w:tc>
        <w:tc>
          <w:tcPr>
            <w:tcW w:w="338" w:type="pct"/>
            <w:tcBorders>
              <w:top w:val="nil"/>
              <w:left w:val="nil"/>
              <w:bottom w:val="nil"/>
              <w:right w:val="single" w:sz="8" w:space="0" w:color="auto"/>
            </w:tcBorders>
            <w:shd w:val="clear" w:color="auto" w:fill="auto"/>
            <w:noWrap/>
            <w:vAlign w:val="bottom"/>
            <w:hideMark/>
          </w:tcPr>
          <w:p w14:paraId="218AB5E1" w14:textId="7DE96F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w:t>
            </w:r>
            <w:r w:rsidR="00A13570" w:rsidRPr="001D0ADC">
              <w:rPr>
                <w:rFonts w:ascii="Calibri" w:eastAsia="Times New Roman" w:hAnsi="Calibri" w:cs="Calibri"/>
                <w:lang w:eastAsia="cs-CZ"/>
              </w:rPr>
              <w:t>5.</w:t>
            </w:r>
            <w:r w:rsidRPr="001D0ADC">
              <w:rPr>
                <w:rFonts w:ascii="Calibri" w:eastAsia="Times New Roman" w:hAnsi="Calibri" w:cs="Calibri"/>
                <w:lang w:eastAsia="cs-CZ"/>
              </w:rPr>
              <w:t>9</w:t>
            </w:r>
          </w:p>
        </w:tc>
        <w:tc>
          <w:tcPr>
            <w:tcW w:w="412" w:type="pct"/>
            <w:tcBorders>
              <w:top w:val="nil"/>
              <w:left w:val="nil"/>
              <w:bottom w:val="nil"/>
              <w:right w:val="single" w:sz="8" w:space="0" w:color="auto"/>
            </w:tcBorders>
            <w:shd w:val="clear" w:color="auto" w:fill="auto"/>
            <w:noWrap/>
            <w:vAlign w:val="bottom"/>
            <w:hideMark/>
          </w:tcPr>
          <w:p w14:paraId="61703341" w14:textId="79D17733"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3.</w:t>
            </w:r>
            <w:r w:rsidR="00F47783" w:rsidRPr="001D0ADC">
              <w:rPr>
                <w:rFonts w:ascii="Calibri" w:eastAsia="Times New Roman" w:hAnsi="Calibri" w:cs="Calibri"/>
                <w:lang w:eastAsia="cs-CZ"/>
              </w:rPr>
              <w:t>60</w:t>
            </w:r>
          </w:p>
        </w:tc>
        <w:tc>
          <w:tcPr>
            <w:tcW w:w="314" w:type="pct"/>
            <w:tcBorders>
              <w:top w:val="nil"/>
              <w:left w:val="nil"/>
              <w:bottom w:val="nil"/>
              <w:right w:val="nil"/>
            </w:tcBorders>
            <w:shd w:val="clear" w:color="auto" w:fill="auto"/>
            <w:noWrap/>
            <w:vAlign w:val="bottom"/>
            <w:hideMark/>
          </w:tcPr>
          <w:p w14:paraId="286B3F7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356FC0C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1B4383BD"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08219D4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75</w:t>
            </w:r>
          </w:p>
        </w:tc>
        <w:tc>
          <w:tcPr>
            <w:tcW w:w="338" w:type="pct"/>
            <w:tcBorders>
              <w:top w:val="nil"/>
              <w:left w:val="nil"/>
              <w:bottom w:val="nil"/>
              <w:right w:val="single" w:sz="8" w:space="0" w:color="auto"/>
            </w:tcBorders>
            <w:shd w:val="clear" w:color="auto" w:fill="auto"/>
            <w:noWrap/>
            <w:vAlign w:val="bottom"/>
            <w:hideMark/>
          </w:tcPr>
          <w:p w14:paraId="0C9BD922" w14:textId="7BF1A9E2"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A13570" w:rsidRPr="001D0ADC">
              <w:rPr>
                <w:rFonts w:ascii="Calibri" w:eastAsia="Times New Roman" w:hAnsi="Calibri" w:cs="Calibri"/>
                <w:lang w:eastAsia="cs-CZ"/>
              </w:rPr>
              <w:t>0.</w:t>
            </w:r>
            <w:r w:rsidRPr="001D0ADC">
              <w:rPr>
                <w:rFonts w:ascii="Calibri" w:eastAsia="Times New Roman" w:hAnsi="Calibri" w:cs="Calibri"/>
                <w:lang w:eastAsia="cs-CZ"/>
              </w:rPr>
              <w:t>8</w:t>
            </w:r>
          </w:p>
        </w:tc>
        <w:tc>
          <w:tcPr>
            <w:tcW w:w="412" w:type="pct"/>
            <w:tcBorders>
              <w:top w:val="nil"/>
              <w:left w:val="nil"/>
              <w:bottom w:val="nil"/>
              <w:right w:val="single" w:sz="8" w:space="0" w:color="auto"/>
            </w:tcBorders>
            <w:shd w:val="clear" w:color="auto" w:fill="auto"/>
            <w:noWrap/>
            <w:vAlign w:val="bottom"/>
            <w:hideMark/>
          </w:tcPr>
          <w:p w14:paraId="51E59823" w14:textId="4DD29E94"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8.</w:t>
            </w:r>
            <w:r w:rsidRPr="001D0ADC">
              <w:rPr>
                <w:rFonts w:ascii="Calibri" w:eastAsia="Times New Roman" w:hAnsi="Calibri" w:cs="Calibri"/>
                <w:lang w:eastAsia="cs-CZ"/>
              </w:rPr>
              <w:t>9</w:t>
            </w:r>
          </w:p>
        </w:tc>
      </w:tr>
      <w:tr w:rsidR="001D0ADC" w:rsidRPr="001D0ADC" w14:paraId="466F5EB6" w14:textId="77777777" w:rsidTr="007C5E6B">
        <w:trPr>
          <w:trHeight w:val="288"/>
        </w:trPr>
        <w:tc>
          <w:tcPr>
            <w:tcW w:w="121" w:type="pct"/>
            <w:vMerge/>
            <w:tcBorders>
              <w:top w:val="nil"/>
              <w:left w:val="single" w:sz="4" w:space="0" w:color="auto"/>
              <w:bottom w:val="single" w:sz="4" w:space="0" w:color="auto"/>
              <w:right w:val="single" w:sz="4" w:space="0" w:color="auto"/>
            </w:tcBorders>
            <w:vAlign w:val="center"/>
            <w:hideMark/>
          </w:tcPr>
          <w:p w14:paraId="55205C02"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5576A84B"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end (120h)</w:t>
            </w:r>
          </w:p>
        </w:tc>
        <w:tc>
          <w:tcPr>
            <w:tcW w:w="314" w:type="pct"/>
            <w:tcBorders>
              <w:top w:val="nil"/>
              <w:left w:val="single" w:sz="8" w:space="0" w:color="auto"/>
              <w:bottom w:val="nil"/>
              <w:right w:val="nil"/>
            </w:tcBorders>
            <w:shd w:val="clear" w:color="auto" w:fill="auto"/>
            <w:noWrap/>
            <w:vAlign w:val="bottom"/>
            <w:hideMark/>
          </w:tcPr>
          <w:p w14:paraId="442330D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1515A20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nil"/>
            </w:tcBorders>
            <w:shd w:val="clear" w:color="auto" w:fill="auto"/>
            <w:noWrap/>
            <w:vAlign w:val="bottom"/>
            <w:hideMark/>
          </w:tcPr>
          <w:p w14:paraId="79F53B3B" w14:textId="77777777" w:rsidR="00F47783" w:rsidRPr="001D0ADC" w:rsidRDefault="00F47783" w:rsidP="00F47783">
            <w:pPr>
              <w:spacing w:after="0" w:line="240" w:lineRule="auto"/>
              <w:jc w:val="center"/>
              <w:rPr>
                <w:rFonts w:ascii="Calibri" w:eastAsia="Times New Roman" w:hAnsi="Calibri" w:cs="Calibri"/>
                <w:lang w:eastAsia="cs-CZ"/>
              </w:rPr>
            </w:pPr>
          </w:p>
        </w:tc>
        <w:tc>
          <w:tcPr>
            <w:tcW w:w="314" w:type="pct"/>
            <w:tcBorders>
              <w:top w:val="nil"/>
              <w:left w:val="single" w:sz="8" w:space="0" w:color="auto"/>
              <w:bottom w:val="nil"/>
              <w:right w:val="nil"/>
            </w:tcBorders>
            <w:shd w:val="clear" w:color="auto" w:fill="auto"/>
            <w:noWrap/>
            <w:vAlign w:val="bottom"/>
            <w:hideMark/>
          </w:tcPr>
          <w:p w14:paraId="4FEE4716"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w:t>
            </w:r>
          </w:p>
        </w:tc>
        <w:tc>
          <w:tcPr>
            <w:tcW w:w="338" w:type="pct"/>
            <w:tcBorders>
              <w:top w:val="nil"/>
              <w:left w:val="nil"/>
              <w:bottom w:val="nil"/>
              <w:right w:val="single" w:sz="8" w:space="0" w:color="auto"/>
            </w:tcBorders>
            <w:shd w:val="clear" w:color="auto" w:fill="auto"/>
            <w:noWrap/>
            <w:vAlign w:val="bottom"/>
            <w:hideMark/>
          </w:tcPr>
          <w:p w14:paraId="0329EC31" w14:textId="42F8556B"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w:t>
            </w:r>
            <w:r w:rsidR="00A13570" w:rsidRPr="001D0ADC">
              <w:rPr>
                <w:rFonts w:ascii="Calibri" w:eastAsia="Times New Roman" w:hAnsi="Calibri" w:cs="Calibri"/>
                <w:lang w:eastAsia="cs-CZ"/>
              </w:rPr>
              <w:t>4.</w:t>
            </w:r>
            <w:r w:rsidRPr="001D0ADC">
              <w:rPr>
                <w:rFonts w:ascii="Calibri" w:eastAsia="Times New Roman" w:hAnsi="Calibri" w:cs="Calibri"/>
                <w:lang w:eastAsia="cs-CZ"/>
              </w:rPr>
              <w:t>1</w:t>
            </w:r>
          </w:p>
        </w:tc>
        <w:tc>
          <w:tcPr>
            <w:tcW w:w="412" w:type="pct"/>
            <w:tcBorders>
              <w:top w:val="nil"/>
              <w:left w:val="nil"/>
              <w:bottom w:val="nil"/>
              <w:right w:val="single" w:sz="8" w:space="0" w:color="auto"/>
            </w:tcBorders>
            <w:shd w:val="clear" w:color="auto" w:fill="auto"/>
            <w:noWrap/>
            <w:vAlign w:val="bottom"/>
            <w:hideMark/>
          </w:tcPr>
          <w:p w14:paraId="7A56B511" w14:textId="12D0D773"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3.</w:t>
            </w:r>
            <w:r w:rsidRPr="001D0ADC">
              <w:rPr>
                <w:rFonts w:ascii="Calibri" w:eastAsia="Times New Roman" w:hAnsi="Calibri" w:cs="Calibri"/>
                <w:lang w:eastAsia="cs-CZ"/>
              </w:rPr>
              <w:t>60</w:t>
            </w:r>
          </w:p>
        </w:tc>
        <w:tc>
          <w:tcPr>
            <w:tcW w:w="314" w:type="pct"/>
            <w:tcBorders>
              <w:top w:val="nil"/>
              <w:left w:val="nil"/>
              <w:bottom w:val="nil"/>
              <w:right w:val="nil"/>
            </w:tcBorders>
            <w:shd w:val="clear" w:color="auto" w:fill="auto"/>
            <w:noWrap/>
            <w:vAlign w:val="bottom"/>
            <w:hideMark/>
          </w:tcPr>
          <w:p w14:paraId="6B6D3FE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338" w:type="pct"/>
            <w:tcBorders>
              <w:top w:val="nil"/>
              <w:left w:val="nil"/>
              <w:bottom w:val="nil"/>
              <w:right w:val="single" w:sz="8" w:space="0" w:color="auto"/>
            </w:tcBorders>
            <w:shd w:val="clear" w:color="auto" w:fill="auto"/>
            <w:noWrap/>
            <w:vAlign w:val="bottom"/>
            <w:hideMark/>
          </w:tcPr>
          <w:p w14:paraId="5939023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N/A</w:t>
            </w:r>
          </w:p>
        </w:tc>
        <w:tc>
          <w:tcPr>
            <w:tcW w:w="412" w:type="pct"/>
            <w:tcBorders>
              <w:top w:val="nil"/>
              <w:left w:val="nil"/>
              <w:bottom w:val="nil"/>
              <w:right w:val="single" w:sz="8" w:space="0" w:color="auto"/>
            </w:tcBorders>
            <w:shd w:val="clear" w:color="auto" w:fill="auto"/>
            <w:noWrap/>
            <w:vAlign w:val="bottom"/>
            <w:hideMark/>
          </w:tcPr>
          <w:p w14:paraId="7B15EF1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nil"/>
              <w:left w:val="nil"/>
              <w:bottom w:val="nil"/>
              <w:right w:val="nil"/>
            </w:tcBorders>
            <w:shd w:val="clear" w:color="auto" w:fill="auto"/>
            <w:noWrap/>
            <w:vAlign w:val="bottom"/>
            <w:hideMark/>
          </w:tcPr>
          <w:p w14:paraId="1381FE4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75</w:t>
            </w:r>
          </w:p>
        </w:tc>
        <w:tc>
          <w:tcPr>
            <w:tcW w:w="338" w:type="pct"/>
            <w:tcBorders>
              <w:top w:val="nil"/>
              <w:left w:val="nil"/>
              <w:bottom w:val="nil"/>
              <w:right w:val="single" w:sz="8" w:space="0" w:color="auto"/>
            </w:tcBorders>
            <w:shd w:val="clear" w:color="auto" w:fill="auto"/>
            <w:noWrap/>
            <w:vAlign w:val="bottom"/>
            <w:hideMark/>
          </w:tcPr>
          <w:p w14:paraId="7D05AB9B" w14:textId="42F4894E"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w:t>
            </w:r>
            <w:r w:rsidR="00A13570" w:rsidRPr="001D0ADC">
              <w:rPr>
                <w:rFonts w:ascii="Calibri" w:eastAsia="Times New Roman" w:hAnsi="Calibri" w:cs="Calibri"/>
                <w:lang w:eastAsia="cs-CZ"/>
              </w:rPr>
              <w:t>0.</w:t>
            </w:r>
            <w:r w:rsidRPr="001D0ADC">
              <w:rPr>
                <w:rFonts w:ascii="Calibri" w:eastAsia="Times New Roman" w:hAnsi="Calibri" w:cs="Calibri"/>
                <w:lang w:eastAsia="cs-CZ"/>
              </w:rPr>
              <w:t>1</w:t>
            </w:r>
          </w:p>
        </w:tc>
        <w:tc>
          <w:tcPr>
            <w:tcW w:w="412" w:type="pct"/>
            <w:tcBorders>
              <w:top w:val="nil"/>
              <w:left w:val="nil"/>
              <w:bottom w:val="nil"/>
              <w:right w:val="single" w:sz="8" w:space="0" w:color="auto"/>
            </w:tcBorders>
            <w:shd w:val="clear" w:color="auto" w:fill="auto"/>
            <w:noWrap/>
            <w:vAlign w:val="bottom"/>
            <w:hideMark/>
          </w:tcPr>
          <w:p w14:paraId="5D955F21" w14:textId="6192749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9.</w:t>
            </w:r>
            <w:r w:rsidRPr="001D0ADC">
              <w:rPr>
                <w:rFonts w:ascii="Calibri" w:eastAsia="Times New Roman" w:hAnsi="Calibri" w:cs="Calibri"/>
                <w:lang w:eastAsia="cs-CZ"/>
              </w:rPr>
              <w:t>9</w:t>
            </w:r>
          </w:p>
        </w:tc>
      </w:tr>
      <w:tr w:rsidR="001D0ADC" w:rsidRPr="001D0ADC" w14:paraId="175F7B01" w14:textId="77777777" w:rsidTr="007C5E6B">
        <w:trPr>
          <w:trHeight w:val="288"/>
        </w:trPr>
        <w:tc>
          <w:tcPr>
            <w:tcW w:w="121" w:type="pct"/>
            <w:vMerge/>
            <w:tcBorders>
              <w:top w:val="nil"/>
              <w:left w:val="single" w:sz="4" w:space="0" w:color="auto"/>
              <w:bottom w:val="single" w:sz="4" w:space="0" w:color="auto"/>
              <w:right w:val="single" w:sz="4" w:space="0" w:color="auto"/>
            </w:tcBorders>
            <w:vAlign w:val="center"/>
            <w:hideMark/>
          </w:tcPr>
          <w:p w14:paraId="39915145"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16E7A626"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start</w:t>
            </w:r>
          </w:p>
        </w:tc>
        <w:tc>
          <w:tcPr>
            <w:tcW w:w="314" w:type="pct"/>
            <w:tcBorders>
              <w:top w:val="nil"/>
              <w:left w:val="single" w:sz="8" w:space="0" w:color="auto"/>
              <w:bottom w:val="nil"/>
              <w:right w:val="nil"/>
            </w:tcBorders>
            <w:shd w:val="clear" w:color="auto" w:fill="auto"/>
            <w:noWrap/>
            <w:vAlign w:val="bottom"/>
            <w:hideMark/>
          </w:tcPr>
          <w:p w14:paraId="4FDDD0B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500</w:t>
            </w:r>
          </w:p>
        </w:tc>
        <w:tc>
          <w:tcPr>
            <w:tcW w:w="338" w:type="pct"/>
            <w:tcBorders>
              <w:top w:val="nil"/>
              <w:left w:val="nil"/>
              <w:bottom w:val="nil"/>
              <w:right w:val="single" w:sz="8" w:space="0" w:color="auto"/>
            </w:tcBorders>
            <w:shd w:val="clear" w:color="auto" w:fill="auto"/>
            <w:noWrap/>
            <w:vAlign w:val="bottom"/>
            <w:hideMark/>
          </w:tcPr>
          <w:p w14:paraId="0B9D500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572</w:t>
            </w:r>
          </w:p>
        </w:tc>
        <w:tc>
          <w:tcPr>
            <w:tcW w:w="412" w:type="pct"/>
            <w:tcBorders>
              <w:top w:val="nil"/>
              <w:left w:val="nil"/>
              <w:bottom w:val="nil"/>
              <w:right w:val="nil"/>
            </w:tcBorders>
            <w:shd w:val="clear" w:color="auto" w:fill="auto"/>
            <w:noWrap/>
            <w:vAlign w:val="bottom"/>
            <w:hideMark/>
          </w:tcPr>
          <w:p w14:paraId="2D130770" w14:textId="12478D50"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4.</w:t>
            </w:r>
            <w:r w:rsidRPr="001D0ADC">
              <w:rPr>
                <w:rFonts w:ascii="Calibri" w:eastAsia="Times New Roman" w:hAnsi="Calibri" w:cs="Calibri"/>
                <w:lang w:eastAsia="cs-CZ"/>
              </w:rPr>
              <w:t>4</w:t>
            </w:r>
          </w:p>
        </w:tc>
        <w:tc>
          <w:tcPr>
            <w:tcW w:w="314" w:type="pct"/>
            <w:tcBorders>
              <w:top w:val="nil"/>
              <w:left w:val="single" w:sz="8" w:space="0" w:color="auto"/>
              <w:bottom w:val="nil"/>
              <w:right w:val="nil"/>
            </w:tcBorders>
            <w:shd w:val="clear" w:color="auto" w:fill="auto"/>
            <w:noWrap/>
            <w:vAlign w:val="bottom"/>
            <w:hideMark/>
          </w:tcPr>
          <w:p w14:paraId="4E111BB1"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80</w:t>
            </w:r>
          </w:p>
        </w:tc>
        <w:tc>
          <w:tcPr>
            <w:tcW w:w="338" w:type="pct"/>
            <w:tcBorders>
              <w:top w:val="nil"/>
              <w:left w:val="nil"/>
              <w:bottom w:val="nil"/>
              <w:right w:val="single" w:sz="8" w:space="0" w:color="auto"/>
            </w:tcBorders>
            <w:shd w:val="clear" w:color="auto" w:fill="auto"/>
            <w:noWrap/>
            <w:vAlign w:val="bottom"/>
            <w:hideMark/>
          </w:tcPr>
          <w:p w14:paraId="01604480" w14:textId="0CB7013F"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A13570" w:rsidRPr="001D0ADC">
              <w:rPr>
                <w:rFonts w:ascii="Calibri" w:eastAsia="Times New Roman" w:hAnsi="Calibri" w:cs="Calibri"/>
                <w:lang w:eastAsia="cs-CZ"/>
              </w:rPr>
              <w:t>5.</w:t>
            </w:r>
            <w:r w:rsidRPr="001D0ADC">
              <w:rPr>
                <w:rFonts w:ascii="Calibri" w:eastAsia="Times New Roman" w:hAnsi="Calibri" w:cs="Calibri"/>
                <w:lang w:eastAsia="cs-CZ"/>
              </w:rPr>
              <w:t>2</w:t>
            </w:r>
          </w:p>
        </w:tc>
        <w:tc>
          <w:tcPr>
            <w:tcW w:w="412" w:type="pct"/>
            <w:tcBorders>
              <w:top w:val="nil"/>
              <w:left w:val="nil"/>
              <w:bottom w:val="nil"/>
              <w:right w:val="single" w:sz="8" w:space="0" w:color="auto"/>
            </w:tcBorders>
            <w:shd w:val="clear" w:color="auto" w:fill="auto"/>
            <w:noWrap/>
            <w:vAlign w:val="bottom"/>
            <w:hideMark/>
          </w:tcPr>
          <w:p w14:paraId="653084E4" w14:textId="69D2679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6.</w:t>
            </w:r>
            <w:r w:rsidRPr="001D0ADC">
              <w:rPr>
                <w:rFonts w:ascii="Calibri" w:eastAsia="Times New Roman" w:hAnsi="Calibri" w:cs="Calibri"/>
                <w:lang w:eastAsia="cs-CZ"/>
              </w:rPr>
              <w:t>00</w:t>
            </w:r>
          </w:p>
        </w:tc>
        <w:tc>
          <w:tcPr>
            <w:tcW w:w="314" w:type="pct"/>
            <w:tcBorders>
              <w:top w:val="nil"/>
              <w:left w:val="nil"/>
              <w:bottom w:val="nil"/>
              <w:right w:val="nil"/>
            </w:tcBorders>
            <w:shd w:val="clear" w:color="auto" w:fill="auto"/>
            <w:noWrap/>
            <w:vAlign w:val="bottom"/>
            <w:hideMark/>
          </w:tcPr>
          <w:p w14:paraId="116706F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1000</w:t>
            </w:r>
          </w:p>
        </w:tc>
        <w:tc>
          <w:tcPr>
            <w:tcW w:w="338" w:type="pct"/>
            <w:tcBorders>
              <w:top w:val="nil"/>
              <w:left w:val="nil"/>
              <w:bottom w:val="nil"/>
              <w:right w:val="single" w:sz="8" w:space="0" w:color="auto"/>
            </w:tcBorders>
            <w:shd w:val="clear" w:color="auto" w:fill="auto"/>
            <w:noWrap/>
            <w:vAlign w:val="bottom"/>
            <w:hideMark/>
          </w:tcPr>
          <w:p w14:paraId="38839C8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953</w:t>
            </w:r>
          </w:p>
        </w:tc>
        <w:tc>
          <w:tcPr>
            <w:tcW w:w="412" w:type="pct"/>
            <w:tcBorders>
              <w:top w:val="nil"/>
              <w:left w:val="nil"/>
              <w:bottom w:val="nil"/>
              <w:right w:val="single" w:sz="8" w:space="0" w:color="auto"/>
            </w:tcBorders>
            <w:shd w:val="clear" w:color="auto" w:fill="auto"/>
            <w:noWrap/>
            <w:vAlign w:val="bottom"/>
            <w:hideMark/>
          </w:tcPr>
          <w:p w14:paraId="2C19D778" w14:textId="7F744E4C"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4.</w:t>
            </w:r>
            <w:r w:rsidRPr="001D0ADC">
              <w:rPr>
                <w:rFonts w:ascii="Calibri" w:eastAsia="Times New Roman" w:hAnsi="Calibri" w:cs="Calibri"/>
                <w:lang w:eastAsia="cs-CZ"/>
              </w:rPr>
              <w:t>67</w:t>
            </w:r>
          </w:p>
        </w:tc>
        <w:tc>
          <w:tcPr>
            <w:tcW w:w="314" w:type="pct"/>
            <w:tcBorders>
              <w:top w:val="nil"/>
              <w:left w:val="nil"/>
              <w:bottom w:val="nil"/>
              <w:right w:val="nil"/>
            </w:tcBorders>
            <w:shd w:val="clear" w:color="auto" w:fill="auto"/>
            <w:noWrap/>
            <w:vAlign w:val="bottom"/>
            <w:hideMark/>
          </w:tcPr>
          <w:p w14:paraId="766BCEF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700</w:t>
            </w:r>
          </w:p>
        </w:tc>
        <w:tc>
          <w:tcPr>
            <w:tcW w:w="338" w:type="pct"/>
            <w:tcBorders>
              <w:top w:val="nil"/>
              <w:left w:val="nil"/>
              <w:bottom w:val="nil"/>
              <w:right w:val="single" w:sz="8" w:space="0" w:color="auto"/>
            </w:tcBorders>
            <w:shd w:val="clear" w:color="auto" w:fill="auto"/>
            <w:noWrap/>
            <w:vAlign w:val="bottom"/>
            <w:hideMark/>
          </w:tcPr>
          <w:p w14:paraId="20EEBDC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659</w:t>
            </w:r>
          </w:p>
        </w:tc>
        <w:tc>
          <w:tcPr>
            <w:tcW w:w="412" w:type="pct"/>
            <w:tcBorders>
              <w:top w:val="nil"/>
              <w:left w:val="nil"/>
              <w:bottom w:val="nil"/>
              <w:right w:val="single" w:sz="8" w:space="0" w:color="auto"/>
            </w:tcBorders>
            <w:shd w:val="clear" w:color="auto" w:fill="auto"/>
            <w:noWrap/>
            <w:vAlign w:val="bottom"/>
            <w:hideMark/>
          </w:tcPr>
          <w:p w14:paraId="01F461FB" w14:textId="149C7F6C"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5.</w:t>
            </w:r>
            <w:r w:rsidRPr="001D0ADC">
              <w:rPr>
                <w:rFonts w:ascii="Calibri" w:eastAsia="Times New Roman" w:hAnsi="Calibri" w:cs="Calibri"/>
                <w:lang w:eastAsia="cs-CZ"/>
              </w:rPr>
              <w:t>84</w:t>
            </w:r>
          </w:p>
        </w:tc>
      </w:tr>
      <w:tr w:rsidR="001D0ADC" w:rsidRPr="001D0ADC" w14:paraId="3F0B7FCF" w14:textId="77777777" w:rsidTr="007C5E6B">
        <w:trPr>
          <w:trHeight w:val="300"/>
        </w:trPr>
        <w:tc>
          <w:tcPr>
            <w:tcW w:w="121" w:type="pct"/>
            <w:vMerge/>
            <w:tcBorders>
              <w:top w:val="nil"/>
              <w:left w:val="single" w:sz="4" w:space="0" w:color="auto"/>
              <w:bottom w:val="single" w:sz="4" w:space="0" w:color="auto"/>
              <w:right w:val="single" w:sz="4" w:space="0" w:color="auto"/>
            </w:tcBorders>
            <w:vAlign w:val="center"/>
            <w:hideMark/>
          </w:tcPr>
          <w:p w14:paraId="44FE9E45"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770AA3CA"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end (24h)</w:t>
            </w:r>
          </w:p>
        </w:tc>
        <w:tc>
          <w:tcPr>
            <w:tcW w:w="314" w:type="pct"/>
            <w:tcBorders>
              <w:top w:val="nil"/>
              <w:left w:val="single" w:sz="8" w:space="0" w:color="auto"/>
              <w:bottom w:val="nil"/>
              <w:right w:val="nil"/>
            </w:tcBorders>
            <w:shd w:val="clear" w:color="auto" w:fill="auto"/>
            <w:noWrap/>
            <w:vAlign w:val="bottom"/>
            <w:hideMark/>
          </w:tcPr>
          <w:p w14:paraId="6E3A7DB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500</w:t>
            </w:r>
          </w:p>
        </w:tc>
        <w:tc>
          <w:tcPr>
            <w:tcW w:w="338" w:type="pct"/>
            <w:tcBorders>
              <w:top w:val="nil"/>
              <w:left w:val="nil"/>
              <w:bottom w:val="nil"/>
              <w:right w:val="single" w:sz="8" w:space="0" w:color="auto"/>
            </w:tcBorders>
            <w:shd w:val="clear" w:color="auto" w:fill="auto"/>
            <w:noWrap/>
            <w:vAlign w:val="bottom"/>
            <w:hideMark/>
          </w:tcPr>
          <w:p w14:paraId="54F5766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587</w:t>
            </w:r>
          </w:p>
        </w:tc>
        <w:tc>
          <w:tcPr>
            <w:tcW w:w="412" w:type="pct"/>
            <w:tcBorders>
              <w:top w:val="nil"/>
              <w:left w:val="nil"/>
              <w:bottom w:val="nil"/>
              <w:right w:val="nil"/>
            </w:tcBorders>
            <w:shd w:val="clear" w:color="auto" w:fill="auto"/>
            <w:noWrap/>
            <w:vAlign w:val="bottom"/>
            <w:hideMark/>
          </w:tcPr>
          <w:p w14:paraId="67CB10D2" w14:textId="4A64FC41"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7.</w:t>
            </w:r>
            <w:r w:rsidRPr="001D0ADC">
              <w:rPr>
                <w:rFonts w:ascii="Calibri" w:eastAsia="Times New Roman" w:hAnsi="Calibri" w:cs="Calibri"/>
                <w:lang w:eastAsia="cs-CZ"/>
              </w:rPr>
              <w:t>4</w:t>
            </w:r>
          </w:p>
        </w:tc>
        <w:tc>
          <w:tcPr>
            <w:tcW w:w="314" w:type="pct"/>
            <w:tcBorders>
              <w:top w:val="nil"/>
              <w:left w:val="single" w:sz="8" w:space="0" w:color="auto"/>
              <w:bottom w:val="nil"/>
              <w:right w:val="nil"/>
            </w:tcBorders>
            <w:shd w:val="clear" w:color="auto" w:fill="auto"/>
            <w:noWrap/>
            <w:vAlign w:val="bottom"/>
            <w:hideMark/>
          </w:tcPr>
          <w:p w14:paraId="7451413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80</w:t>
            </w:r>
          </w:p>
        </w:tc>
        <w:tc>
          <w:tcPr>
            <w:tcW w:w="338" w:type="pct"/>
            <w:tcBorders>
              <w:top w:val="nil"/>
              <w:left w:val="nil"/>
              <w:bottom w:val="nil"/>
              <w:right w:val="single" w:sz="8" w:space="0" w:color="auto"/>
            </w:tcBorders>
            <w:shd w:val="clear" w:color="auto" w:fill="auto"/>
            <w:noWrap/>
            <w:vAlign w:val="bottom"/>
            <w:hideMark/>
          </w:tcPr>
          <w:p w14:paraId="6C4007FD" w14:textId="43D3B4E8"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A13570" w:rsidRPr="001D0ADC">
              <w:rPr>
                <w:rFonts w:ascii="Calibri" w:eastAsia="Times New Roman" w:hAnsi="Calibri" w:cs="Calibri"/>
                <w:lang w:eastAsia="cs-CZ"/>
              </w:rPr>
              <w:t>3.</w:t>
            </w:r>
            <w:r w:rsidRPr="001D0ADC">
              <w:rPr>
                <w:rFonts w:ascii="Calibri" w:eastAsia="Times New Roman" w:hAnsi="Calibri" w:cs="Calibri"/>
                <w:lang w:eastAsia="cs-CZ"/>
              </w:rPr>
              <w:t>9</w:t>
            </w:r>
          </w:p>
        </w:tc>
        <w:tc>
          <w:tcPr>
            <w:tcW w:w="412" w:type="pct"/>
            <w:tcBorders>
              <w:top w:val="nil"/>
              <w:left w:val="nil"/>
              <w:bottom w:val="nil"/>
              <w:right w:val="single" w:sz="8" w:space="0" w:color="auto"/>
            </w:tcBorders>
            <w:shd w:val="clear" w:color="auto" w:fill="auto"/>
            <w:noWrap/>
            <w:vAlign w:val="bottom"/>
            <w:hideMark/>
          </w:tcPr>
          <w:p w14:paraId="6F7F5E7B" w14:textId="4783314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7.</w:t>
            </w:r>
            <w:r w:rsidRPr="001D0ADC">
              <w:rPr>
                <w:rFonts w:ascii="Calibri" w:eastAsia="Times New Roman" w:hAnsi="Calibri" w:cs="Calibri"/>
                <w:lang w:eastAsia="cs-CZ"/>
              </w:rPr>
              <w:t>62</w:t>
            </w:r>
          </w:p>
        </w:tc>
        <w:tc>
          <w:tcPr>
            <w:tcW w:w="314" w:type="pct"/>
            <w:tcBorders>
              <w:top w:val="nil"/>
              <w:left w:val="nil"/>
              <w:bottom w:val="nil"/>
              <w:right w:val="nil"/>
            </w:tcBorders>
            <w:shd w:val="clear" w:color="auto" w:fill="auto"/>
            <w:noWrap/>
            <w:vAlign w:val="bottom"/>
            <w:hideMark/>
          </w:tcPr>
          <w:p w14:paraId="0458925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1000</w:t>
            </w:r>
          </w:p>
        </w:tc>
        <w:tc>
          <w:tcPr>
            <w:tcW w:w="338" w:type="pct"/>
            <w:tcBorders>
              <w:top w:val="nil"/>
              <w:left w:val="nil"/>
              <w:bottom w:val="nil"/>
              <w:right w:val="single" w:sz="8" w:space="0" w:color="auto"/>
            </w:tcBorders>
            <w:shd w:val="clear" w:color="auto" w:fill="auto"/>
            <w:noWrap/>
            <w:vAlign w:val="bottom"/>
            <w:hideMark/>
          </w:tcPr>
          <w:p w14:paraId="54F2DE9C"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952</w:t>
            </w:r>
          </w:p>
        </w:tc>
        <w:tc>
          <w:tcPr>
            <w:tcW w:w="412" w:type="pct"/>
            <w:tcBorders>
              <w:top w:val="nil"/>
              <w:left w:val="nil"/>
              <w:bottom w:val="nil"/>
              <w:right w:val="single" w:sz="8" w:space="0" w:color="auto"/>
            </w:tcBorders>
            <w:shd w:val="clear" w:color="auto" w:fill="auto"/>
            <w:noWrap/>
            <w:vAlign w:val="bottom"/>
            <w:hideMark/>
          </w:tcPr>
          <w:p w14:paraId="0452D9B2" w14:textId="35561EA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4.</w:t>
            </w:r>
            <w:r w:rsidRPr="001D0ADC">
              <w:rPr>
                <w:rFonts w:ascii="Calibri" w:eastAsia="Times New Roman" w:hAnsi="Calibri" w:cs="Calibri"/>
                <w:lang w:eastAsia="cs-CZ"/>
              </w:rPr>
              <w:t>80</w:t>
            </w:r>
          </w:p>
        </w:tc>
        <w:tc>
          <w:tcPr>
            <w:tcW w:w="314" w:type="pct"/>
            <w:tcBorders>
              <w:top w:val="nil"/>
              <w:left w:val="nil"/>
              <w:bottom w:val="nil"/>
              <w:right w:val="nil"/>
            </w:tcBorders>
            <w:shd w:val="clear" w:color="auto" w:fill="auto"/>
            <w:noWrap/>
            <w:vAlign w:val="bottom"/>
            <w:hideMark/>
          </w:tcPr>
          <w:p w14:paraId="79763F0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700</w:t>
            </w:r>
          </w:p>
        </w:tc>
        <w:tc>
          <w:tcPr>
            <w:tcW w:w="338" w:type="pct"/>
            <w:tcBorders>
              <w:top w:val="nil"/>
              <w:left w:val="nil"/>
              <w:bottom w:val="nil"/>
              <w:right w:val="single" w:sz="8" w:space="0" w:color="auto"/>
            </w:tcBorders>
            <w:shd w:val="clear" w:color="auto" w:fill="auto"/>
            <w:noWrap/>
            <w:vAlign w:val="bottom"/>
            <w:hideMark/>
          </w:tcPr>
          <w:p w14:paraId="485CE6A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727</w:t>
            </w:r>
          </w:p>
        </w:tc>
        <w:tc>
          <w:tcPr>
            <w:tcW w:w="412" w:type="pct"/>
            <w:tcBorders>
              <w:top w:val="nil"/>
              <w:left w:val="nil"/>
              <w:bottom w:val="nil"/>
              <w:right w:val="single" w:sz="8" w:space="0" w:color="auto"/>
            </w:tcBorders>
            <w:shd w:val="clear" w:color="auto" w:fill="auto"/>
            <w:noWrap/>
            <w:vAlign w:val="bottom"/>
            <w:hideMark/>
          </w:tcPr>
          <w:p w14:paraId="2F0A73DC" w14:textId="65EE30EE"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3.</w:t>
            </w:r>
            <w:r w:rsidR="00F47783" w:rsidRPr="001D0ADC">
              <w:rPr>
                <w:rFonts w:ascii="Calibri" w:eastAsia="Times New Roman" w:hAnsi="Calibri" w:cs="Calibri"/>
                <w:lang w:eastAsia="cs-CZ"/>
              </w:rPr>
              <w:t>80</w:t>
            </w:r>
          </w:p>
        </w:tc>
      </w:tr>
      <w:tr w:rsidR="001D0ADC" w:rsidRPr="001D0ADC" w14:paraId="7F16D975" w14:textId="77777777" w:rsidTr="007C5E6B">
        <w:trPr>
          <w:trHeight w:val="300"/>
        </w:trPr>
        <w:tc>
          <w:tcPr>
            <w:tcW w:w="744" w:type="pct"/>
            <w:gridSpan w:val="2"/>
            <w:tcBorders>
              <w:top w:val="single" w:sz="4" w:space="0" w:color="auto"/>
              <w:left w:val="nil"/>
              <w:bottom w:val="single" w:sz="4" w:space="0" w:color="auto"/>
              <w:right w:val="nil"/>
            </w:tcBorders>
            <w:shd w:val="clear" w:color="auto" w:fill="auto"/>
            <w:noWrap/>
            <w:vAlign w:val="center"/>
            <w:hideMark/>
          </w:tcPr>
          <w:p w14:paraId="37330D9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single" w:sz="8" w:space="0" w:color="auto"/>
              <w:bottom w:val="single" w:sz="8" w:space="0" w:color="auto"/>
              <w:right w:val="nil"/>
            </w:tcBorders>
            <w:shd w:val="clear" w:color="auto" w:fill="auto"/>
            <w:noWrap/>
            <w:vAlign w:val="bottom"/>
            <w:hideMark/>
          </w:tcPr>
          <w:p w14:paraId="3C9CB76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63343BE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nil"/>
            </w:tcBorders>
            <w:shd w:val="clear" w:color="auto" w:fill="auto"/>
            <w:noWrap/>
            <w:vAlign w:val="bottom"/>
            <w:hideMark/>
          </w:tcPr>
          <w:p w14:paraId="65EA550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single" w:sz="8" w:space="0" w:color="auto"/>
              <w:bottom w:val="single" w:sz="8" w:space="0" w:color="auto"/>
              <w:right w:val="nil"/>
            </w:tcBorders>
            <w:shd w:val="clear" w:color="auto" w:fill="auto"/>
            <w:noWrap/>
            <w:vAlign w:val="bottom"/>
            <w:hideMark/>
          </w:tcPr>
          <w:p w14:paraId="69CC8DA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67646FD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1323F30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652E746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4233B99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556344C5"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c>
          <w:tcPr>
            <w:tcW w:w="314" w:type="pct"/>
            <w:tcBorders>
              <w:top w:val="single" w:sz="8" w:space="0" w:color="auto"/>
              <w:left w:val="nil"/>
              <w:bottom w:val="single" w:sz="8" w:space="0" w:color="auto"/>
              <w:right w:val="nil"/>
            </w:tcBorders>
            <w:shd w:val="clear" w:color="auto" w:fill="auto"/>
            <w:noWrap/>
            <w:vAlign w:val="bottom"/>
            <w:hideMark/>
          </w:tcPr>
          <w:p w14:paraId="5C5229E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expected</w:t>
            </w:r>
          </w:p>
        </w:tc>
        <w:tc>
          <w:tcPr>
            <w:tcW w:w="338" w:type="pct"/>
            <w:tcBorders>
              <w:top w:val="single" w:sz="8" w:space="0" w:color="auto"/>
              <w:left w:val="nil"/>
              <w:bottom w:val="single" w:sz="8" w:space="0" w:color="auto"/>
              <w:right w:val="single" w:sz="8" w:space="0" w:color="auto"/>
            </w:tcBorders>
            <w:shd w:val="clear" w:color="auto" w:fill="auto"/>
            <w:noWrap/>
            <w:vAlign w:val="bottom"/>
            <w:hideMark/>
          </w:tcPr>
          <w:p w14:paraId="571DA7A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measured</w:t>
            </w:r>
          </w:p>
        </w:tc>
        <w:tc>
          <w:tcPr>
            <w:tcW w:w="412" w:type="pct"/>
            <w:tcBorders>
              <w:top w:val="single" w:sz="8" w:space="0" w:color="auto"/>
              <w:left w:val="nil"/>
              <w:bottom w:val="single" w:sz="8" w:space="0" w:color="auto"/>
              <w:right w:val="single" w:sz="8" w:space="0" w:color="auto"/>
            </w:tcBorders>
            <w:shd w:val="clear" w:color="auto" w:fill="auto"/>
            <w:noWrap/>
            <w:vAlign w:val="bottom"/>
            <w:hideMark/>
          </w:tcPr>
          <w:p w14:paraId="27B5A8B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 </w:t>
            </w:r>
          </w:p>
        </w:tc>
      </w:tr>
      <w:tr w:rsidR="001D0ADC" w:rsidRPr="001D0ADC" w14:paraId="63C54DEB" w14:textId="77777777" w:rsidTr="007C5E6B">
        <w:trPr>
          <w:trHeight w:val="288"/>
        </w:trPr>
        <w:tc>
          <w:tcPr>
            <w:tcW w:w="12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A1614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C3</w:t>
            </w:r>
          </w:p>
        </w:tc>
        <w:tc>
          <w:tcPr>
            <w:tcW w:w="623" w:type="pct"/>
            <w:tcBorders>
              <w:top w:val="nil"/>
              <w:left w:val="nil"/>
              <w:bottom w:val="single" w:sz="4" w:space="0" w:color="auto"/>
              <w:right w:val="nil"/>
            </w:tcBorders>
            <w:shd w:val="clear" w:color="auto" w:fill="auto"/>
            <w:noWrap/>
            <w:vAlign w:val="bottom"/>
            <w:hideMark/>
          </w:tcPr>
          <w:p w14:paraId="0C1EB44C"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start</w:t>
            </w:r>
          </w:p>
        </w:tc>
        <w:tc>
          <w:tcPr>
            <w:tcW w:w="314" w:type="pct"/>
            <w:tcBorders>
              <w:top w:val="nil"/>
              <w:left w:val="single" w:sz="8" w:space="0" w:color="auto"/>
              <w:bottom w:val="nil"/>
              <w:right w:val="nil"/>
            </w:tcBorders>
            <w:shd w:val="clear" w:color="auto" w:fill="auto"/>
            <w:noWrap/>
            <w:vAlign w:val="bottom"/>
            <w:hideMark/>
          </w:tcPr>
          <w:p w14:paraId="10F77B9D"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014DEBC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112</w:t>
            </w:r>
          </w:p>
        </w:tc>
        <w:tc>
          <w:tcPr>
            <w:tcW w:w="412" w:type="pct"/>
            <w:tcBorders>
              <w:top w:val="nil"/>
              <w:left w:val="nil"/>
              <w:bottom w:val="nil"/>
              <w:right w:val="nil"/>
            </w:tcBorders>
            <w:shd w:val="clear" w:color="auto" w:fill="auto"/>
            <w:noWrap/>
            <w:vAlign w:val="bottom"/>
            <w:hideMark/>
          </w:tcPr>
          <w:p w14:paraId="255A5462" w14:textId="77777777" w:rsidR="00F47783" w:rsidRPr="001D0ADC" w:rsidRDefault="00F47783" w:rsidP="00F47783">
            <w:pPr>
              <w:spacing w:after="0" w:line="240" w:lineRule="auto"/>
              <w:jc w:val="center"/>
              <w:rPr>
                <w:rFonts w:ascii="Calibri" w:eastAsia="Times New Roman" w:hAnsi="Calibri" w:cs="Calibri"/>
                <w:lang w:eastAsia="cs-CZ"/>
              </w:rPr>
            </w:pPr>
          </w:p>
        </w:tc>
        <w:tc>
          <w:tcPr>
            <w:tcW w:w="314" w:type="pct"/>
            <w:tcBorders>
              <w:top w:val="nil"/>
              <w:left w:val="single" w:sz="8" w:space="0" w:color="auto"/>
              <w:bottom w:val="nil"/>
              <w:right w:val="nil"/>
            </w:tcBorders>
            <w:shd w:val="clear" w:color="auto" w:fill="auto"/>
            <w:noWrap/>
            <w:vAlign w:val="bottom"/>
            <w:hideMark/>
          </w:tcPr>
          <w:p w14:paraId="1564047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75</w:t>
            </w:r>
          </w:p>
        </w:tc>
        <w:tc>
          <w:tcPr>
            <w:tcW w:w="338" w:type="pct"/>
            <w:tcBorders>
              <w:top w:val="nil"/>
              <w:left w:val="nil"/>
              <w:bottom w:val="nil"/>
              <w:right w:val="single" w:sz="8" w:space="0" w:color="auto"/>
            </w:tcBorders>
            <w:shd w:val="clear" w:color="auto" w:fill="auto"/>
            <w:noWrap/>
            <w:vAlign w:val="bottom"/>
            <w:hideMark/>
          </w:tcPr>
          <w:p w14:paraId="390B94BE" w14:textId="66727E34"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A13570" w:rsidRPr="001D0ADC">
              <w:rPr>
                <w:rFonts w:ascii="Calibri" w:eastAsia="Times New Roman" w:hAnsi="Calibri" w:cs="Calibri"/>
                <w:lang w:eastAsia="cs-CZ"/>
              </w:rPr>
              <w:t>3.</w:t>
            </w:r>
            <w:r w:rsidRPr="001D0ADC">
              <w:rPr>
                <w:rFonts w:ascii="Calibri" w:eastAsia="Times New Roman" w:hAnsi="Calibri" w:cs="Calibri"/>
                <w:lang w:eastAsia="cs-CZ"/>
              </w:rPr>
              <w:t>8</w:t>
            </w:r>
          </w:p>
        </w:tc>
        <w:tc>
          <w:tcPr>
            <w:tcW w:w="412" w:type="pct"/>
            <w:tcBorders>
              <w:top w:val="nil"/>
              <w:left w:val="nil"/>
              <w:bottom w:val="nil"/>
              <w:right w:val="single" w:sz="8" w:space="0" w:color="auto"/>
            </w:tcBorders>
            <w:shd w:val="clear" w:color="auto" w:fill="auto"/>
            <w:noWrap/>
            <w:vAlign w:val="bottom"/>
            <w:hideMark/>
          </w:tcPr>
          <w:p w14:paraId="0C5620DE" w14:textId="7C96FD40"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60</w:t>
            </w:r>
          </w:p>
        </w:tc>
        <w:tc>
          <w:tcPr>
            <w:tcW w:w="314" w:type="pct"/>
            <w:tcBorders>
              <w:top w:val="nil"/>
              <w:left w:val="nil"/>
              <w:bottom w:val="nil"/>
              <w:right w:val="nil"/>
            </w:tcBorders>
            <w:shd w:val="clear" w:color="auto" w:fill="auto"/>
            <w:noWrap/>
            <w:vAlign w:val="bottom"/>
            <w:hideMark/>
          </w:tcPr>
          <w:p w14:paraId="5F37ACB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75EA51BB" w14:textId="273BCA5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w:t>
            </w:r>
            <w:r w:rsidR="00A13570" w:rsidRPr="001D0ADC">
              <w:rPr>
                <w:rFonts w:ascii="Calibri" w:eastAsia="Times New Roman" w:hAnsi="Calibri" w:cs="Calibri"/>
                <w:lang w:eastAsia="cs-CZ"/>
              </w:rPr>
              <w:t>8.</w:t>
            </w:r>
            <w:r w:rsidRPr="001D0ADC">
              <w:rPr>
                <w:rFonts w:ascii="Calibri" w:eastAsia="Times New Roman" w:hAnsi="Calibri" w:cs="Calibri"/>
                <w:lang w:eastAsia="cs-CZ"/>
              </w:rPr>
              <w:t>8</w:t>
            </w:r>
          </w:p>
        </w:tc>
        <w:tc>
          <w:tcPr>
            <w:tcW w:w="412" w:type="pct"/>
            <w:tcBorders>
              <w:top w:val="nil"/>
              <w:left w:val="nil"/>
              <w:bottom w:val="nil"/>
              <w:right w:val="single" w:sz="8" w:space="0" w:color="auto"/>
            </w:tcBorders>
            <w:shd w:val="clear" w:color="auto" w:fill="auto"/>
            <w:noWrap/>
            <w:vAlign w:val="bottom"/>
            <w:hideMark/>
          </w:tcPr>
          <w:p w14:paraId="394E5DEF" w14:textId="59AB6420"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23</w:t>
            </w:r>
          </w:p>
        </w:tc>
        <w:tc>
          <w:tcPr>
            <w:tcW w:w="314" w:type="pct"/>
            <w:tcBorders>
              <w:top w:val="nil"/>
              <w:left w:val="nil"/>
              <w:bottom w:val="nil"/>
              <w:right w:val="nil"/>
            </w:tcBorders>
            <w:shd w:val="clear" w:color="auto" w:fill="auto"/>
            <w:noWrap/>
            <w:vAlign w:val="bottom"/>
            <w:hideMark/>
          </w:tcPr>
          <w:p w14:paraId="0E765BFD"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6DB3BB4B" w14:textId="7E8EAFB3"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8</w:t>
            </w:r>
            <w:r w:rsidR="00A13570" w:rsidRPr="001D0ADC">
              <w:rPr>
                <w:rFonts w:ascii="Calibri" w:eastAsia="Times New Roman" w:hAnsi="Calibri" w:cs="Calibri"/>
                <w:lang w:eastAsia="cs-CZ"/>
              </w:rPr>
              <w:t>3.</w:t>
            </w:r>
            <w:r w:rsidRPr="001D0ADC">
              <w:rPr>
                <w:rFonts w:ascii="Calibri" w:eastAsia="Times New Roman" w:hAnsi="Calibri" w:cs="Calibri"/>
                <w:lang w:eastAsia="cs-CZ"/>
              </w:rPr>
              <w:t>3</w:t>
            </w:r>
          </w:p>
        </w:tc>
        <w:tc>
          <w:tcPr>
            <w:tcW w:w="412" w:type="pct"/>
            <w:tcBorders>
              <w:top w:val="nil"/>
              <w:left w:val="nil"/>
              <w:bottom w:val="nil"/>
              <w:right w:val="single" w:sz="8" w:space="0" w:color="auto"/>
            </w:tcBorders>
            <w:shd w:val="clear" w:color="auto" w:fill="auto"/>
            <w:noWrap/>
            <w:vAlign w:val="bottom"/>
            <w:hideMark/>
          </w:tcPr>
          <w:p w14:paraId="232529E7" w14:textId="04EB1B39"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6.</w:t>
            </w:r>
            <w:r w:rsidRPr="001D0ADC">
              <w:rPr>
                <w:rFonts w:ascii="Calibri" w:eastAsia="Times New Roman" w:hAnsi="Calibri" w:cs="Calibri"/>
                <w:lang w:eastAsia="cs-CZ"/>
              </w:rPr>
              <w:t>7</w:t>
            </w:r>
          </w:p>
        </w:tc>
      </w:tr>
      <w:tr w:rsidR="001D0ADC" w:rsidRPr="001D0ADC" w14:paraId="405CC6B5" w14:textId="77777777" w:rsidTr="007C5E6B">
        <w:trPr>
          <w:trHeight w:val="288"/>
        </w:trPr>
        <w:tc>
          <w:tcPr>
            <w:tcW w:w="121" w:type="pct"/>
            <w:vMerge/>
            <w:tcBorders>
              <w:top w:val="nil"/>
              <w:left w:val="single" w:sz="4" w:space="0" w:color="auto"/>
              <w:bottom w:val="single" w:sz="4" w:space="0" w:color="auto"/>
              <w:right w:val="single" w:sz="4" w:space="0" w:color="auto"/>
            </w:tcBorders>
            <w:vAlign w:val="center"/>
            <w:hideMark/>
          </w:tcPr>
          <w:p w14:paraId="234B29C2"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158DB4D9"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FET end (120h)</w:t>
            </w:r>
          </w:p>
        </w:tc>
        <w:tc>
          <w:tcPr>
            <w:tcW w:w="314" w:type="pct"/>
            <w:tcBorders>
              <w:top w:val="nil"/>
              <w:left w:val="single" w:sz="8" w:space="0" w:color="auto"/>
              <w:bottom w:val="nil"/>
              <w:right w:val="nil"/>
            </w:tcBorders>
            <w:shd w:val="clear" w:color="auto" w:fill="auto"/>
            <w:noWrap/>
            <w:vAlign w:val="bottom"/>
            <w:hideMark/>
          </w:tcPr>
          <w:p w14:paraId="785F933D"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05A08406" w14:textId="1FE6084E"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w:t>
            </w:r>
            <w:r w:rsidR="00A13570" w:rsidRPr="001D0ADC">
              <w:rPr>
                <w:rFonts w:ascii="Calibri" w:eastAsia="Times New Roman" w:hAnsi="Calibri" w:cs="Calibri"/>
                <w:lang w:eastAsia="cs-CZ"/>
              </w:rPr>
              <w:t>1.</w:t>
            </w:r>
            <w:r w:rsidRPr="001D0ADC">
              <w:rPr>
                <w:rFonts w:ascii="Calibri" w:eastAsia="Times New Roman" w:hAnsi="Calibri" w:cs="Calibri"/>
                <w:lang w:eastAsia="cs-CZ"/>
              </w:rPr>
              <w:t>1</w:t>
            </w:r>
          </w:p>
        </w:tc>
        <w:tc>
          <w:tcPr>
            <w:tcW w:w="412" w:type="pct"/>
            <w:tcBorders>
              <w:top w:val="nil"/>
              <w:left w:val="nil"/>
              <w:bottom w:val="nil"/>
              <w:right w:val="nil"/>
            </w:tcBorders>
            <w:shd w:val="clear" w:color="auto" w:fill="auto"/>
            <w:noWrap/>
            <w:vAlign w:val="bottom"/>
            <w:hideMark/>
          </w:tcPr>
          <w:p w14:paraId="79F58D34" w14:textId="77777777" w:rsidR="00F47783" w:rsidRPr="001D0ADC" w:rsidRDefault="00F47783" w:rsidP="00F47783">
            <w:pPr>
              <w:spacing w:after="0" w:line="240" w:lineRule="auto"/>
              <w:jc w:val="center"/>
              <w:rPr>
                <w:rFonts w:ascii="Calibri" w:eastAsia="Times New Roman" w:hAnsi="Calibri" w:cs="Calibri"/>
                <w:lang w:eastAsia="cs-CZ"/>
              </w:rPr>
            </w:pPr>
          </w:p>
        </w:tc>
        <w:tc>
          <w:tcPr>
            <w:tcW w:w="314" w:type="pct"/>
            <w:tcBorders>
              <w:top w:val="nil"/>
              <w:left w:val="single" w:sz="8" w:space="0" w:color="auto"/>
              <w:bottom w:val="nil"/>
              <w:right w:val="nil"/>
            </w:tcBorders>
            <w:shd w:val="clear" w:color="auto" w:fill="auto"/>
            <w:noWrap/>
            <w:vAlign w:val="bottom"/>
            <w:hideMark/>
          </w:tcPr>
          <w:p w14:paraId="5C36F87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75</w:t>
            </w:r>
          </w:p>
        </w:tc>
        <w:tc>
          <w:tcPr>
            <w:tcW w:w="338" w:type="pct"/>
            <w:tcBorders>
              <w:top w:val="nil"/>
              <w:left w:val="nil"/>
              <w:bottom w:val="nil"/>
              <w:right w:val="single" w:sz="8" w:space="0" w:color="auto"/>
            </w:tcBorders>
            <w:shd w:val="clear" w:color="auto" w:fill="auto"/>
            <w:noWrap/>
            <w:vAlign w:val="bottom"/>
            <w:hideMark/>
          </w:tcPr>
          <w:p w14:paraId="43E75270" w14:textId="39059B15"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7</w:t>
            </w:r>
            <w:r w:rsidR="00A13570" w:rsidRPr="001D0ADC">
              <w:rPr>
                <w:rFonts w:ascii="Calibri" w:eastAsia="Times New Roman" w:hAnsi="Calibri" w:cs="Calibri"/>
                <w:lang w:eastAsia="cs-CZ"/>
              </w:rPr>
              <w:t>5.</w:t>
            </w:r>
            <w:r w:rsidRPr="001D0ADC">
              <w:rPr>
                <w:rFonts w:ascii="Calibri" w:eastAsia="Times New Roman" w:hAnsi="Calibri" w:cs="Calibri"/>
                <w:lang w:eastAsia="cs-CZ"/>
              </w:rPr>
              <w:t>4</w:t>
            </w:r>
          </w:p>
        </w:tc>
        <w:tc>
          <w:tcPr>
            <w:tcW w:w="412" w:type="pct"/>
            <w:tcBorders>
              <w:top w:val="nil"/>
              <w:left w:val="nil"/>
              <w:bottom w:val="nil"/>
              <w:right w:val="single" w:sz="8" w:space="0" w:color="auto"/>
            </w:tcBorders>
            <w:shd w:val="clear" w:color="auto" w:fill="auto"/>
            <w:noWrap/>
            <w:vAlign w:val="bottom"/>
            <w:hideMark/>
          </w:tcPr>
          <w:p w14:paraId="1C525EAB" w14:textId="69FD2A37"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0.</w:t>
            </w:r>
            <w:r w:rsidR="00F47783" w:rsidRPr="001D0ADC">
              <w:rPr>
                <w:rFonts w:ascii="Calibri" w:eastAsia="Times New Roman" w:hAnsi="Calibri" w:cs="Calibri"/>
                <w:lang w:eastAsia="cs-CZ"/>
              </w:rPr>
              <w:t>53</w:t>
            </w:r>
          </w:p>
        </w:tc>
        <w:tc>
          <w:tcPr>
            <w:tcW w:w="314" w:type="pct"/>
            <w:tcBorders>
              <w:top w:val="nil"/>
              <w:left w:val="nil"/>
              <w:bottom w:val="nil"/>
              <w:right w:val="nil"/>
            </w:tcBorders>
            <w:shd w:val="clear" w:color="auto" w:fill="auto"/>
            <w:noWrap/>
            <w:vAlign w:val="bottom"/>
            <w:hideMark/>
          </w:tcPr>
          <w:p w14:paraId="1F0680A4"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5781E819" w14:textId="5B53BDA6"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w:t>
            </w:r>
            <w:r w:rsidR="00A13570" w:rsidRPr="001D0ADC">
              <w:rPr>
                <w:rFonts w:ascii="Calibri" w:eastAsia="Times New Roman" w:hAnsi="Calibri" w:cs="Calibri"/>
                <w:lang w:eastAsia="cs-CZ"/>
              </w:rPr>
              <w:t>5.</w:t>
            </w:r>
            <w:r w:rsidRPr="001D0ADC">
              <w:rPr>
                <w:rFonts w:ascii="Calibri" w:eastAsia="Times New Roman" w:hAnsi="Calibri" w:cs="Calibri"/>
                <w:lang w:eastAsia="cs-CZ"/>
              </w:rPr>
              <w:t>4</w:t>
            </w:r>
          </w:p>
        </w:tc>
        <w:tc>
          <w:tcPr>
            <w:tcW w:w="412" w:type="pct"/>
            <w:tcBorders>
              <w:top w:val="nil"/>
              <w:left w:val="nil"/>
              <w:bottom w:val="nil"/>
              <w:right w:val="single" w:sz="8" w:space="0" w:color="auto"/>
            </w:tcBorders>
            <w:shd w:val="clear" w:color="auto" w:fill="auto"/>
            <w:noWrap/>
            <w:vAlign w:val="bottom"/>
            <w:hideMark/>
          </w:tcPr>
          <w:p w14:paraId="2DB1DCBA" w14:textId="6CFD655F"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4.</w:t>
            </w:r>
            <w:r w:rsidRPr="001D0ADC">
              <w:rPr>
                <w:rFonts w:ascii="Calibri" w:eastAsia="Times New Roman" w:hAnsi="Calibri" w:cs="Calibri"/>
                <w:lang w:eastAsia="cs-CZ"/>
              </w:rPr>
              <w:t>58</w:t>
            </w:r>
          </w:p>
        </w:tc>
        <w:tc>
          <w:tcPr>
            <w:tcW w:w="314" w:type="pct"/>
            <w:tcBorders>
              <w:top w:val="nil"/>
              <w:left w:val="nil"/>
              <w:bottom w:val="nil"/>
              <w:right w:val="nil"/>
            </w:tcBorders>
            <w:shd w:val="clear" w:color="auto" w:fill="auto"/>
            <w:noWrap/>
            <w:vAlign w:val="bottom"/>
            <w:hideMark/>
          </w:tcPr>
          <w:p w14:paraId="1B6D96A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w:t>
            </w:r>
          </w:p>
        </w:tc>
        <w:tc>
          <w:tcPr>
            <w:tcW w:w="338" w:type="pct"/>
            <w:tcBorders>
              <w:top w:val="nil"/>
              <w:left w:val="nil"/>
              <w:bottom w:val="nil"/>
              <w:right w:val="single" w:sz="8" w:space="0" w:color="auto"/>
            </w:tcBorders>
            <w:shd w:val="clear" w:color="auto" w:fill="auto"/>
            <w:noWrap/>
            <w:vAlign w:val="bottom"/>
            <w:hideMark/>
          </w:tcPr>
          <w:p w14:paraId="5639384B" w14:textId="727C0165"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8</w:t>
            </w:r>
            <w:r w:rsidR="00A13570" w:rsidRPr="001D0ADC">
              <w:rPr>
                <w:rFonts w:ascii="Calibri" w:eastAsia="Times New Roman" w:hAnsi="Calibri" w:cs="Calibri"/>
                <w:lang w:eastAsia="cs-CZ"/>
              </w:rPr>
              <w:t>8.</w:t>
            </w:r>
            <w:r w:rsidRPr="001D0ADC">
              <w:rPr>
                <w:rFonts w:ascii="Calibri" w:eastAsia="Times New Roman" w:hAnsi="Calibri" w:cs="Calibri"/>
                <w:lang w:eastAsia="cs-CZ"/>
              </w:rPr>
              <w:t>0</w:t>
            </w:r>
          </w:p>
        </w:tc>
        <w:tc>
          <w:tcPr>
            <w:tcW w:w="412" w:type="pct"/>
            <w:tcBorders>
              <w:top w:val="nil"/>
              <w:left w:val="nil"/>
              <w:bottom w:val="nil"/>
              <w:right w:val="single" w:sz="8" w:space="0" w:color="auto"/>
            </w:tcBorders>
            <w:shd w:val="clear" w:color="auto" w:fill="auto"/>
            <w:noWrap/>
            <w:vAlign w:val="bottom"/>
            <w:hideMark/>
          </w:tcPr>
          <w:p w14:paraId="6C3174DA" w14:textId="0D44AE39"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0</w:t>
            </w:r>
          </w:p>
        </w:tc>
      </w:tr>
      <w:tr w:rsidR="001D0ADC" w:rsidRPr="001D0ADC" w14:paraId="60172E30" w14:textId="77777777" w:rsidTr="007C5E6B">
        <w:trPr>
          <w:trHeight w:val="288"/>
        </w:trPr>
        <w:tc>
          <w:tcPr>
            <w:tcW w:w="121" w:type="pct"/>
            <w:vMerge/>
            <w:tcBorders>
              <w:top w:val="nil"/>
              <w:left w:val="single" w:sz="4" w:space="0" w:color="auto"/>
              <w:bottom w:val="single" w:sz="4" w:space="0" w:color="auto"/>
              <w:right w:val="single" w:sz="4" w:space="0" w:color="auto"/>
            </w:tcBorders>
            <w:vAlign w:val="center"/>
            <w:hideMark/>
          </w:tcPr>
          <w:p w14:paraId="423FDCCE"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27069684"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start</w:t>
            </w:r>
          </w:p>
        </w:tc>
        <w:tc>
          <w:tcPr>
            <w:tcW w:w="314" w:type="pct"/>
            <w:tcBorders>
              <w:top w:val="nil"/>
              <w:left w:val="single" w:sz="8" w:space="0" w:color="auto"/>
              <w:bottom w:val="nil"/>
              <w:right w:val="nil"/>
            </w:tcBorders>
            <w:shd w:val="clear" w:color="auto" w:fill="auto"/>
            <w:noWrap/>
            <w:vAlign w:val="bottom"/>
            <w:hideMark/>
          </w:tcPr>
          <w:p w14:paraId="42C90AF6"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2500</w:t>
            </w:r>
          </w:p>
        </w:tc>
        <w:tc>
          <w:tcPr>
            <w:tcW w:w="338" w:type="pct"/>
            <w:tcBorders>
              <w:top w:val="nil"/>
              <w:left w:val="nil"/>
              <w:bottom w:val="nil"/>
              <w:right w:val="single" w:sz="8" w:space="0" w:color="auto"/>
            </w:tcBorders>
            <w:shd w:val="clear" w:color="auto" w:fill="auto"/>
            <w:noWrap/>
            <w:vAlign w:val="bottom"/>
            <w:hideMark/>
          </w:tcPr>
          <w:p w14:paraId="35B6645F"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2549</w:t>
            </w:r>
          </w:p>
        </w:tc>
        <w:tc>
          <w:tcPr>
            <w:tcW w:w="412" w:type="pct"/>
            <w:tcBorders>
              <w:top w:val="nil"/>
              <w:left w:val="nil"/>
              <w:bottom w:val="nil"/>
              <w:right w:val="nil"/>
            </w:tcBorders>
            <w:shd w:val="clear" w:color="auto" w:fill="auto"/>
            <w:noWrap/>
            <w:vAlign w:val="bottom"/>
            <w:hideMark/>
          </w:tcPr>
          <w:p w14:paraId="313564A8" w14:textId="69F913D3" w:rsidR="00F47783" w:rsidRPr="001D0ADC" w:rsidRDefault="00A13570"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F47783" w:rsidRPr="001D0ADC">
              <w:rPr>
                <w:rFonts w:ascii="Calibri" w:eastAsia="Times New Roman" w:hAnsi="Calibri" w:cs="Calibri"/>
                <w:lang w:eastAsia="cs-CZ"/>
              </w:rPr>
              <w:t>9</w:t>
            </w:r>
          </w:p>
        </w:tc>
        <w:tc>
          <w:tcPr>
            <w:tcW w:w="314" w:type="pct"/>
            <w:tcBorders>
              <w:top w:val="nil"/>
              <w:left w:val="single" w:sz="8" w:space="0" w:color="auto"/>
              <w:bottom w:val="nil"/>
              <w:right w:val="nil"/>
            </w:tcBorders>
            <w:shd w:val="clear" w:color="auto" w:fill="auto"/>
            <w:noWrap/>
            <w:vAlign w:val="bottom"/>
            <w:hideMark/>
          </w:tcPr>
          <w:p w14:paraId="68635A3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150</w:t>
            </w:r>
          </w:p>
        </w:tc>
        <w:tc>
          <w:tcPr>
            <w:tcW w:w="338" w:type="pct"/>
            <w:tcBorders>
              <w:top w:val="nil"/>
              <w:left w:val="nil"/>
              <w:bottom w:val="nil"/>
              <w:right w:val="single" w:sz="8" w:space="0" w:color="auto"/>
            </w:tcBorders>
            <w:shd w:val="clear" w:color="auto" w:fill="auto"/>
            <w:noWrap/>
            <w:vAlign w:val="bottom"/>
            <w:hideMark/>
          </w:tcPr>
          <w:p w14:paraId="46880FD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146</w:t>
            </w:r>
          </w:p>
        </w:tc>
        <w:tc>
          <w:tcPr>
            <w:tcW w:w="412" w:type="pct"/>
            <w:tcBorders>
              <w:top w:val="nil"/>
              <w:left w:val="nil"/>
              <w:bottom w:val="nil"/>
              <w:right w:val="single" w:sz="8" w:space="0" w:color="auto"/>
            </w:tcBorders>
            <w:shd w:val="clear" w:color="auto" w:fill="auto"/>
            <w:noWrap/>
            <w:vAlign w:val="bottom"/>
            <w:hideMark/>
          </w:tcPr>
          <w:p w14:paraId="6CD4CFF2" w14:textId="0AE07B0F"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93</w:t>
            </w:r>
          </w:p>
        </w:tc>
        <w:tc>
          <w:tcPr>
            <w:tcW w:w="314" w:type="pct"/>
            <w:tcBorders>
              <w:top w:val="nil"/>
              <w:left w:val="nil"/>
              <w:bottom w:val="nil"/>
              <w:right w:val="nil"/>
            </w:tcBorders>
            <w:shd w:val="clear" w:color="auto" w:fill="auto"/>
            <w:noWrap/>
            <w:vAlign w:val="bottom"/>
            <w:hideMark/>
          </w:tcPr>
          <w:p w14:paraId="3B3A6822"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2500</w:t>
            </w:r>
          </w:p>
        </w:tc>
        <w:tc>
          <w:tcPr>
            <w:tcW w:w="338" w:type="pct"/>
            <w:tcBorders>
              <w:top w:val="nil"/>
              <w:left w:val="nil"/>
              <w:bottom w:val="nil"/>
              <w:right w:val="single" w:sz="8" w:space="0" w:color="auto"/>
            </w:tcBorders>
            <w:shd w:val="clear" w:color="auto" w:fill="auto"/>
            <w:noWrap/>
            <w:vAlign w:val="bottom"/>
            <w:hideMark/>
          </w:tcPr>
          <w:p w14:paraId="4AB9A58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2468</w:t>
            </w:r>
          </w:p>
        </w:tc>
        <w:tc>
          <w:tcPr>
            <w:tcW w:w="412" w:type="pct"/>
            <w:tcBorders>
              <w:top w:val="nil"/>
              <w:left w:val="nil"/>
              <w:bottom w:val="nil"/>
              <w:right w:val="single" w:sz="8" w:space="0" w:color="auto"/>
            </w:tcBorders>
            <w:shd w:val="clear" w:color="auto" w:fill="auto"/>
            <w:noWrap/>
            <w:vAlign w:val="bottom"/>
            <w:hideMark/>
          </w:tcPr>
          <w:p w14:paraId="4F0F5F2A" w14:textId="5E7693D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1.</w:t>
            </w:r>
            <w:r w:rsidRPr="001D0ADC">
              <w:rPr>
                <w:rFonts w:ascii="Calibri" w:eastAsia="Times New Roman" w:hAnsi="Calibri" w:cs="Calibri"/>
                <w:lang w:eastAsia="cs-CZ"/>
              </w:rPr>
              <w:t>29</w:t>
            </w:r>
          </w:p>
        </w:tc>
        <w:tc>
          <w:tcPr>
            <w:tcW w:w="314" w:type="pct"/>
            <w:tcBorders>
              <w:top w:val="nil"/>
              <w:left w:val="nil"/>
              <w:bottom w:val="nil"/>
              <w:right w:val="nil"/>
            </w:tcBorders>
            <w:shd w:val="clear" w:color="auto" w:fill="auto"/>
            <w:noWrap/>
            <w:vAlign w:val="bottom"/>
            <w:hideMark/>
          </w:tcPr>
          <w:p w14:paraId="1BC2C087"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1000</w:t>
            </w:r>
          </w:p>
        </w:tc>
        <w:tc>
          <w:tcPr>
            <w:tcW w:w="338" w:type="pct"/>
            <w:tcBorders>
              <w:top w:val="nil"/>
              <w:left w:val="nil"/>
              <w:bottom w:val="nil"/>
              <w:right w:val="single" w:sz="8" w:space="0" w:color="auto"/>
            </w:tcBorders>
            <w:shd w:val="clear" w:color="auto" w:fill="auto"/>
            <w:noWrap/>
            <w:vAlign w:val="bottom"/>
            <w:hideMark/>
          </w:tcPr>
          <w:p w14:paraId="1960AE99"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965</w:t>
            </w:r>
          </w:p>
        </w:tc>
        <w:tc>
          <w:tcPr>
            <w:tcW w:w="412" w:type="pct"/>
            <w:tcBorders>
              <w:top w:val="nil"/>
              <w:left w:val="nil"/>
              <w:bottom w:val="nil"/>
              <w:right w:val="single" w:sz="8" w:space="0" w:color="auto"/>
            </w:tcBorders>
            <w:shd w:val="clear" w:color="auto" w:fill="auto"/>
            <w:noWrap/>
            <w:vAlign w:val="bottom"/>
            <w:hideMark/>
          </w:tcPr>
          <w:p w14:paraId="2D16D5DC" w14:textId="2927EB0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3.</w:t>
            </w:r>
            <w:r w:rsidRPr="001D0ADC">
              <w:rPr>
                <w:rFonts w:ascii="Calibri" w:eastAsia="Times New Roman" w:hAnsi="Calibri" w:cs="Calibri"/>
                <w:lang w:eastAsia="cs-CZ"/>
              </w:rPr>
              <w:t>50</w:t>
            </w:r>
          </w:p>
        </w:tc>
      </w:tr>
      <w:tr w:rsidR="001D0ADC" w:rsidRPr="001D0ADC" w14:paraId="7C67AECB" w14:textId="77777777" w:rsidTr="007C5E6B">
        <w:trPr>
          <w:trHeight w:val="300"/>
        </w:trPr>
        <w:tc>
          <w:tcPr>
            <w:tcW w:w="121" w:type="pct"/>
            <w:vMerge/>
            <w:tcBorders>
              <w:top w:val="nil"/>
              <w:left w:val="single" w:sz="4" w:space="0" w:color="auto"/>
              <w:bottom w:val="single" w:sz="4" w:space="0" w:color="auto"/>
              <w:right w:val="single" w:sz="4" w:space="0" w:color="auto"/>
            </w:tcBorders>
            <w:vAlign w:val="center"/>
            <w:hideMark/>
          </w:tcPr>
          <w:p w14:paraId="7453DC66" w14:textId="77777777" w:rsidR="00F47783" w:rsidRPr="001D0ADC" w:rsidRDefault="00F47783" w:rsidP="00F47783">
            <w:pPr>
              <w:spacing w:after="0" w:line="240" w:lineRule="auto"/>
              <w:rPr>
                <w:rFonts w:ascii="Calibri" w:eastAsia="Times New Roman" w:hAnsi="Calibri" w:cs="Calibri"/>
                <w:lang w:eastAsia="cs-CZ"/>
              </w:rPr>
            </w:pPr>
          </w:p>
        </w:tc>
        <w:tc>
          <w:tcPr>
            <w:tcW w:w="623" w:type="pct"/>
            <w:tcBorders>
              <w:top w:val="nil"/>
              <w:left w:val="nil"/>
              <w:bottom w:val="single" w:sz="4" w:space="0" w:color="auto"/>
              <w:right w:val="nil"/>
            </w:tcBorders>
            <w:shd w:val="clear" w:color="auto" w:fill="auto"/>
            <w:noWrap/>
            <w:vAlign w:val="bottom"/>
            <w:hideMark/>
          </w:tcPr>
          <w:p w14:paraId="503B23A6" w14:textId="77777777" w:rsidR="00F47783" w:rsidRPr="001D0ADC" w:rsidRDefault="00F47783" w:rsidP="00F47783">
            <w:pPr>
              <w:spacing w:after="0" w:line="240" w:lineRule="auto"/>
              <w:jc w:val="right"/>
              <w:rPr>
                <w:rFonts w:ascii="Calibri" w:eastAsia="Times New Roman" w:hAnsi="Calibri" w:cs="Calibri"/>
                <w:lang w:eastAsia="cs-CZ"/>
              </w:rPr>
            </w:pPr>
            <w:r w:rsidRPr="001D0ADC">
              <w:rPr>
                <w:rFonts w:ascii="Calibri" w:eastAsia="Times New Roman" w:hAnsi="Calibri" w:cs="Calibri"/>
                <w:lang w:eastAsia="cs-CZ"/>
              </w:rPr>
              <w:t>RTgill-W1 end (24h)</w:t>
            </w:r>
          </w:p>
        </w:tc>
        <w:tc>
          <w:tcPr>
            <w:tcW w:w="314" w:type="pct"/>
            <w:tcBorders>
              <w:top w:val="nil"/>
              <w:left w:val="single" w:sz="8" w:space="0" w:color="auto"/>
              <w:bottom w:val="single" w:sz="8" w:space="0" w:color="auto"/>
              <w:right w:val="nil"/>
            </w:tcBorders>
            <w:shd w:val="clear" w:color="auto" w:fill="auto"/>
            <w:noWrap/>
            <w:vAlign w:val="bottom"/>
            <w:hideMark/>
          </w:tcPr>
          <w:p w14:paraId="07D3750B"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2500</w:t>
            </w:r>
          </w:p>
        </w:tc>
        <w:tc>
          <w:tcPr>
            <w:tcW w:w="338" w:type="pct"/>
            <w:tcBorders>
              <w:top w:val="nil"/>
              <w:left w:val="nil"/>
              <w:bottom w:val="single" w:sz="8" w:space="0" w:color="auto"/>
              <w:right w:val="single" w:sz="8" w:space="0" w:color="auto"/>
            </w:tcBorders>
            <w:shd w:val="clear" w:color="auto" w:fill="auto"/>
            <w:noWrap/>
            <w:vAlign w:val="bottom"/>
            <w:hideMark/>
          </w:tcPr>
          <w:p w14:paraId="563DE36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2184</w:t>
            </w:r>
          </w:p>
        </w:tc>
        <w:tc>
          <w:tcPr>
            <w:tcW w:w="412" w:type="pct"/>
            <w:tcBorders>
              <w:top w:val="nil"/>
              <w:left w:val="nil"/>
              <w:bottom w:val="single" w:sz="8" w:space="0" w:color="auto"/>
              <w:right w:val="nil"/>
            </w:tcBorders>
            <w:shd w:val="clear" w:color="auto" w:fill="auto"/>
            <w:noWrap/>
            <w:vAlign w:val="bottom"/>
            <w:hideMark/>
          </w:tcPr>
          <w:p w14:paraId="1F49363E" w14:textId="331B0171"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w:t>
            </w:r>
            <w:r w:rsidR="00A13570" w:rsidRPr="001D0ADC">
              <w:rPr>
                <w:rFonts w:ascii="Calibri" w:eastAsia="Times New Roman" w:hAnsi="Calibri" w:cs="Calibri"/>
                <w:lang w:eastAsia="cs-CZ"/>
              </w:rPr>
              <w:t>1.</w:t>
            </w:r>
            <w:r w:rsidRPr="001D0ADC">
              <w:rPr>
                <w:rFonts w:ascii="Calibri" w:eastAsia="Times New Roman" w:hAnsi="Calibri" w:cs="Calibri"/>
                <w:lang w:eastAsia="cs-CZ"/>
              </w:rPr>
              <w:t>6</w:t>
            </w:r>
          </w:p>
        </w:tc>
        <w:tc>
          <w:tcPr>
            <w:tcW w:w="314" w:type="pct"/>
            <w:tcBorders>
              <w:top w:val="nil"/>
              <w:left w:val="single" w:sz="8" w:space="0" w:color="auto"/>
              <w:bottom w:val="single" w:sz="8" w:space="0" w:color="auto"/>
              <w:right w:val="nil"/>
            </w:tcBorders>
            <w:shd w:val="clear" w:color="auto" w:fill="auto"/>
            <w:noWrap/>
            <w:vAlign w:val="bottom"/>
            <w:hideMark/>
          </w:tcPr>
          <w:p w14:paraId="56B2A3DE"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150</w:t>
            </w:r>
          </w:p>
        </w:tc>
        <w:tc>
          <w:tcPr>
            <w:tcW w:w="338" w:type="pct"/>
            <w:tcBorders>
              <w:top w:val="nil"/>
              <w:left w:val="nil"/>
              <w:bottom w:val="single" w:sz="8" w:space="0" w:color="auto"/>
              <w:right w:val="single" w:sz="8" w:space="0" w:color="auto"/>
            </w:tcBorders>
            <w:shd w:val="clear" w:color="auto" w:fill="auto"/>
            <w:noWrap/>
            <w:vAlign w:val="bottom"/>
            <w:hideMark/>
          </w:tcPr>
          <w:p w14:paraId="1E455018"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140</w:t>
            </w:r>
          </w:p>
        </w:tc>
        <w:tc>
          <w:tcPr>
            <w:tcW w:w="412" w:type="pct"/>
            <w:tcBorders>
              <w:top w:val="nil"/>
              <w:left w:val="nil"/>
              <w:bottom w:val="single" w:sz="8" w:space="0" w:color="auto"/>
              <w:right w:val="single" w:sz="8" w:space="0" w:color="auto"/>
            </w:tcBorders>
            <w:shd w:val="clear" w:color="auto" w:fill="auto"/>
            <w:noWrap/>
            <w:vAlign w:val="bottom"/>
            <w:hideMark/>
          </w:tcPr>
          <w:p w14:paraId="641E7764" w14:textId="2BC909CB"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6.</w:t>
            </w:r>
            <w:r w:rsidRPr="001D0ADC">
              <w:rPr>
                <w:rFonts w:ascii="Calibri" w:eastAsia="Times New Roman" w:hAnsi="Calibri" w:cs="Calibri"/>
                <w:lang w:eastAsia="cs-CZ"/>
              </w:rPr>
              <w:t>67</w:t>
            </w:r>
          </w:p>
        </w:tc>
        <w:tc>
          <w:tcPr>
            <w:tcW w:w="314" w:type="pct"/>
            <w:tcBorders>
              <w:top w:val="nil"/>
              <w:left w:val="nil"/>
              <w:bottom w:val="single" w:sz="8" w:space="0" w:color="auto"/>
              <w:right w:val="nil"/>
            </w:tcBorders>
            <w:shd w:val="clear" w:color="auto" w:fill="auto"/>
            <w:noWrap/>
            <w:vAlign w:val="bottom"/>
            <w:hideMark/>
          </w:tcPr>
          <w:p w14:paraId="7FD72CE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2500</w:t>
            </w:r>
          </w:p>
        </w:tc>
        <w:tc>
          <w:tcPr>
            <w:tcW w:w="338" w:type="pct"/>
            <w:tcBorders>
              <w:top w:val="nil"/>
              <w:left w:val="nil"/>
              <w:bottom w:val="single" w:sz="8" w:space="0" w:color="auto"/>
              <w:right w:val="single" w:sz="8" w:space="0" w:color="auto"/>
            </w:tcBorders>
            <w:shd w:val="clear" w:color="auto" w:fill="auto"/>
            <w:noWrap/>
            <w:vAlign w:val="bottom"/>
            <w:hideMark/>
          </w:tcPr>
          <w:p w14:paraId="7CE20070"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2423</w:t>
            </w:r>
          </w:p>
        </w:tc>
        <w:tc>
          <w:tcPr>
            <w:tcW w:w="412" w:type="pct"/>
            <w:tcBorders>
              <w:top w:val="nil"/>
              <w:left w:val="nil"/>
              <w:bottom w:val="single" w:sz="8" w:space="0" w:color="auto"/>
              <w:right w:val="single" w:sz="8" w:space="0" w:color="auto"/>
            </w:tcBorders>
            <w:shd w:val="clear" w:color="auto" w:fill="auto"/>
            <w:noWrap/>
            <w:vAlign w:val="bottom"/>
            <w:hideMark/>
          </w:tcPr>
          <w:p w14:paraId="0537D22F" w14:textId="17CD2FB5"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3.</w:t>
            </w:r>
            <w:r w:rsidRPr="001D0ADC">
              <w:rPr>
                <w:rFonts w:ascii="Calibri" w:eastAsia="Times New Roman" w:hAnsi="Calibri" w:cs="Calibri"/>
                <w:lang w:eastAsia="cs-CZ"/>
              </w:rPr>
              <w:t>10</w:t>
            </w:r>
          </w:p>
        </w:tc>
        <w:tc>
          <w:tcPr>
            <w:tcW w:w="314" w:type="pct"/>
            <w:tcBorders>
              <w:top w:val="nil"/>
              <w:left w:val="nil"/>
              <w:bottom w:val="single" w:sz="8" w:space="0" w:color="auto"/>
              <w:right w:val="nil"/>
            </w:tcBorders>
            <w:shd w:val="clear" w:color="auto" w:fill="auto"/>
            <w:noWrap/>
            <w:vAlign w:val="bottom"/>
            <w:hideMark/>
          </w:tcPr>
          <w:p w14:paraId="4987148A"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1000</w:t>
            </w:r>
          </w:p>
        </w:tc>
        <w:tc>
          <w:tcPr>
            <w:tcW w:w="338" w:type="pct"/>
            <w:tcBorders>
              <w:top w:val="nil"/>
              <w:left w:val="nil"/>
              <w:bottom w:val="single" w:sz="8" w:space="0" w:color="auto"/>
              <w:right w:val="single" w:sz="8" w:space="0" w:color="auto"/>
            </w:tcBorders>
            <w:shd w:val="clear" w:color="auto" w:fill="auto"/>
            <w:noWrap/>
            <w:vAlign w:val="bottom"/>
            <w:hideMark/>
          </w:tcPr>
          <w:p w14:paraId="5E2BC633" w14:textId="77777777"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905</w:t>
            </w:r>
          </w:p>
        </w:tc>
        <w:tc>
          <w:tcPr>
            <w:tcW w:w="412" w:type="pct"/>
            <w:tcBorders>
              <w:top w:val="nil"/>
              <w:left w:val="nil"/>
              <w:bottom w:val="single" w:sz="8" w:space="0" w:color="auto"/>
              <w:right w:val="single" w:sz="8" w:space="0" w:color="auto"/>
            </w:tcBorders>
            <w:shd w:val="clear" w:color="auto" w:fill="auto"/>
            <w:noWrap/>
            <w:vAlign w:val="bottom"/>
            <w:hideMark/>
          </w:tcPr>
          <w:p w14:paraId="505F8B16" w14:textId="06097ED6" w:rsidR="00F47783" w:rsidRPr="001D0ADC" w:rsidRDefault="00F47783" w:rsidP="00F47783">
            <w:pPr>
              <w:spacing w:after="0" w:line="240" w:lineRule="auto"/>
              <w:jc w:val="center"/>
              <w:rPr>
                <w:rFonts w:ascii="Calibri" w:eastAsia="Times New Roman" w:hAnsi="Calibri" w:cs="Calibri"/>
                <w:lang w:eastAsia="cs-CZ"/>
              </w:rPr>
            </w:pPr>
            <w:r w:rsidRPr="001D0ADC">
              <w:rPr>
                <w:rFonts w:ascii="Calibri" w:eastAsia="Times New Roman" w:hAnsi="Calibri" w:cs="Calibri"/>
                <w:lang w:eastAsia="cs-CZ"/>
              </w:rPr>
              <w:t>-</w:t>
            </w:r>
            <w:r w:rsidR="00A13570" w:rsidRPr="001D0ADC">
              <w:rPr>
                <w:rFonts w:ascii="Calibri" w:eastAsia="Times New Roman" w:hAnsi="Calibri" w:cs="Calibri"/>
                <w:lang w:eastAsia="cs-CZ"/>
              </w:rPr>
              <w:t>9.</w:t>
            </w:r>
            <w:r w:rsidRPr="001D0ADC">
              <w:rPr>
                <w:rFonts w:ascii="Calibri" w:eastAsia="Times New Roman" w:hAnsi="Calibri" w:cs="Calibri"/>
                <w:lang w:eastAsia="cs-CZ"/>
              </w:rPr>
              <w:t>45</w:t>
            </w:r>
          </w:p>
        </w:tc>
      </w:tr>
    </w:tbl>
    <w:p w14:paraId="25C5E16E" w14:textId="77777777" w:rsidR="00F47783" w:rsidRPr="001D0ADC" w:rsidRDefault="00F47783" w:rsidP="00E05B1D">
      <w:pPr>
        <w:rPr>
          <w:rFonts w:ascii="Times New Roman" w:hAnsi="Times New Roman" w:cs="Times New Roman"/>
          <w:sz w:val="24"/>
          <w:szCs w:val="24"/>
          <w:lang w:val="en-GB"/>
        </w:rPr>
      </w:pPr>
    </w:p>
    <w:p w14:paraId="6980A1ED" w14:textId="77777777" w:rsidR="00E05B1D" w:rsidRPr="001D0ADC" w:rsidRDefault="00E05B1D" w:rsidP="006542D6">
      <w:pPr>
        <w:rPr>
          <w:rFonts w:ascii="Times New Roman" w:hAnsi="Times New Roman" w:cs="Times New Roman"/>
          <w:lang w:val="en-GB"/>
        </w:rPr>
      </w:pPr>
    </w:p>
    <w:p w14:paraId="559C1581" w14:textId="5AF328B4" w:rsidR="00E05B1D" w:rsidRPr="001D0ADC" w:rsidRDefault="00E05B1D" w:rsidP="00E05B1D">
      <w:pPr>
        <w:rPr>
          <w:rFonts w:ascii="Times New Roman" w:hAnsi="Times New Roman" w:cs="Times New Roman"/>
          <w:sz w:val="24"/>
          <w:szCs w:val="24"/>
          <w:lang w:val="en-GB"/>
        </w:rPr>
      </w:pPr>
      <w:r w:rsidRPr="001D0ADC">
        <w:rPr>
          <w:rFonts w:ascii="Times New Roman" w:hAnsi="Times New Roman" w:cs="Times New Roman"/>
          <w:b/>
          <w:bCs/>
          <w:sz w:val="24"/>
          <w:szCs w:val="24"/>
          <w:lang w:val="en-GB"/>
        </w:rPr>
        <w:t>Supplementary Table S4:</w:t>
      </w:r>
      <w:r w:rsidRPr="001D0ADC">
        <w:rPr>
          <w:rFonts w:ascii="Times New Roman" w:hAnsi="Times New Roman" w:cs="Times New Roman"/>
          <w:sz w:val="24"/>
          <w:szCs w:val="24"/>
          <w:lang w:val="en-GB"/>
        </w:rPr>
        <w:t xml:space="preserve"> Results of Fish Embryo Toxicity (FET) test, including LC50 for mortality and lethal endpoints, EC50 for sublethal malformations, and EC50 for all effects including heart rate, length, and spontaneous movement. Each of </w:t>
      </w:r>
      <w:r w:rsidR="006775CE" w:rsidRPr="001D0ADC">
        <w:rPr>
          <w:rFonts w:ascii="Times New Roman" w:hAnsi="Times New Roman" w:cs="Times New Roman"/>
          <w:sz w:val="24"/>
          <w:szCs w:val="24"/>
          <w:lang w:val="en-GB"/>
        </w:rPr>
        <w:t xml:space="preserve">the </w:t>
      </w:r>
      <w:r w:rsidRPr="001D0ADC">
        <w:rPr>
          <w:rFonts w:ascii="Times New Roman" w:hAnsi="Times New Roman" w:cs="Times New Roman"/>
          <w:sz w:val="24"/>
          <w:szCs w:val="24"/>
          <w:lang w:val="en-GB"/>
        </w:rPr>
        <w:t xml:space="preserve">ECs is expressed in mg/l including </w:t>
      </w:r>
      <w:r w:rsidR="006775CE" w:rsidRPr="001D0ADC">
        <w:rPr>
          <w:rFonts w:ascii="Times New Roman" w:hAnsi="Times New Roman" w:cs="Times New Roman"/>
          <w:sz w:val="24"/>
          <w:szCs w:val="24"/>
          <w:lang w:val="en-GB"/>
        </w:rPr>
        <w:t xml:space="preserve">a </w:t>
      </w:r>
      <w:r w:rsidRPr="001D0ADC">
        <w:rPr>
          <w:rFonts w:ascii="Times New Roman" w:hAnsi="Times New Roman" w:cs="Times New Roman"/>
          <w:sz w:val="24"/>
          <w:szCs w:val="24"/>
          <w:lang w:val="en-GB"/>
        </w:rPr>
        <w:t>95% confidence interval (</w:t>
      </w:r>
      <w:r w:rsidRPr="001D0ADC">
        <w:rPr>
          <w:rFonts w:ascii="Times New Roman" w:hAnsi="Times New Roman" w:cs="Times New Roman"/>
          <w:sz w:val="24"/>
          <w:szCs w:val="24"/>
          <w:vertAlign w:val="superscript"/>
          <w:lang w:val="en-GB"/>
        </w:rPr>
        <w:t>a</w:t>
      </w:r>
      <w:r w:rsidRPr="001D0ADC">
        <w:rPr>
          <w:rFonts w:ascii="Times New Roman" w:hAnsi="Times New Roman" w:cs="Times New Roman"/>
          <w:sz w:val="24"/>
          <w:szCs w:val="24"/>
          <w:lang w:val="en-GB"/>
        </w:rPr>
        <w:t xml:space="preserve"> the confidence interval could not be calculated due to an incomplete dose-response curv</w:t>
      </w:r>
      <w:r w:rsidR="00BF5FA7" w:rsidRPr="001D0ADC">
        <w:rPr>
          <w:rFonts w:ascii="Times New Roman" w:hAnsi="Times New Roman" w:cs="Times New Roman"/>
          <w:sz w:val="24"/>
          <w:szCs w:val="24"/>
          <w:lang w:val="en-GB"/>
        </w:rPr>
        <w:t xml:space="preserve">e; </w:t>
      </w:r>
      <w:r w:rsidR="00F11AE3" w:rsidRPr="001D0ADC">
        <w:rPr>
          <w:rFonts w:ascii="Times New Roman" w:hAnsi="Times New Roman" w:cs="Times New Roman"/>
          <w:sz w:val="24"/>
          <w:szCs w:val="24"/>
          <w:vertAlign w:val="superscript"/>
          <w:lang w:val="en-GB"/>
        </w:rPr>
        <w:t xml:space="preserve">b </w:t>
      </w:r>
      <w:r w:rsidR="001E5DB4" w:rsidRPr="001D0ADC">
        <w:rPr>
          <w:rFonts w:ascii="Times New Roman" w:hAnsi="Times New Roman" w:cs="Times New Roman"/>
          <w:sz w:val="24"/>
          <w:szCs w:val="24"/>
          <w:lang w:val="en-GB"/>
        </w:rPr>
        <w:t xml:space="preserve">FET results are also in Table </w:t>
      </w:r>
      <w:r w:rsidR="00DC476C" w:rsidRPr="001D0ADC">
        <w:rPr>
          <w:rFonts w:ascii="Times New Roman" w:hAnsi="Times New Roman" w:cs="Times New Roman"/>
          <w:sz w:val="24"/>
          <w:szCs w:val="24"/>
          <w:lang w:val="en-GB"/>
        </w:rPr>
        <w:t xml:space="preserve">1 of the main text body, here </w:t>
      </w:r>
      <w:r w:rsidR="00A475F7" w:rsidRPr="001D0ADC">
        <w:rPr>
          <w:rFonts w:ascii="Times New Roman" w:hAnsi="Times New Roman" w:cs="Times New Roman"/>
          <w:sz w:val="24"/>
          <w:szCs w:val="24"/>
          <w:lang w:val="en-GB"/>
        </w:rPr>
        <w:t>p</w:t>
      </w:r>
      <w:r w:rsidR="00DC476C" w:rsidRPr="001D0ADC">
        <w:rPr>
          <w:rFonts w:ascii="Times New Roman" w:hAnsi="Times New Roman" w:cs="Times New Roman"/>
          <w:sz w:val="24"/>
          <w:szCs w:val="24"/>
          <w:lang w:val="en-GB"/>
        </w:rPr>
        <w:t>resented for comparison</w:t>
      </w:r>
      <w:r w:rsidRPr="001D0ADC">
        <w:rPr>
          <w:rFonts w:ascii="Times New Roman" w:hAnsi="Times New Roman" w:cs="Times New Roman"/>
          <w:sz w:val="24"/>
          <w:szCs w:val="24"/>
          <w:lang w:val="en-GB"/>
        </w:rPr>
        <w:t xml:space="preserve">). </w:t>
      </w:r>
    </w:p>
    <w:tbl>
      <w:tblPr>
        <w:tblW w:w="0" w:type="auto"/>
        <w:tblBorders>
          <w:top w:val="nil"/>
          <w:left w:val="nil"/>
          <w:bottom w:val="single" w:sz="8" w:space="0" w:color="00000A"/>
          <w:right w:val="nil"/>
          <w:insideH w:val="single" w:sz="8" w:space="0" w:color="00000A"/>
          <w:insideV w:val="nil"/>
        </w:tblBorders>
        <w:tblCellMar>
          <w:left w:w="70" w:type="dxa"/>
          <w:right w:w="70" w:type="dxa"/>
        </w:tblCellMar>
        <w:tblLook w:val="04A0" w:firstRow="1" w:lastRow="0" w:firstColumn="1" w:lastColumn="0" w:noHBand="0" w:noVBand="1"/>
      </w:tblPr>
      <w:tblGrid>
        <w:gridCol w:w="1647"/>
        <w:gridCol w:w="1925"/>
        <w:gridCol w:w="2410"/>
        <w:gridCol w:w="2268"/>
      </w:tblGrid>
      <w:tr w:rsidR="001D0ADC" w:rsidRPr="001D0ADC" w14:paraId="15A949E6" w14:textId="77777777" w:rsidTr="009B4490">
        <w:trPr>
          <w:trHeight w:val="915"/>
        </w:trPr>
        <w:tc>
          <w:tcPr>
            <w:tcW w:w="1619" w:type="dxa"/>
            <w:tcBorders>
              <w:top w:val="nil"/>
              <w:left w:val="nil"/>
              <w:bottom w:val="single" w:sz="8" w:space="0" w:color="00000A"/>
              <w:right w:val="nil"/>
            </w:tcBorders>
            <w:shd w:val="clear" w:color="auto" w:fill="FFFFFF"/>
            <w:vAlign w:val="bottom"/>
          </w:tcPr>
          <w:p w14:paraId="5FF1E8BA" w14:textId="77777777" w:rsidR="00E05B1D" w:rsidRPr="001D0ADC" w:rsidRDefault="00E05B1D" w:rsidP="009B4490">
            <w:pPr>
              <w:rPr>
                <w:rFonts w:ascii="Times New Roman" w:hAnsi="Times New Roman" w:cs="Times New Roman"/>
                <w:b/>
                <w:bCs/>
                <w:sz w:val="24"/>
                <w:szCs w:val="24"/>
                <w:lang w:val="en-GB" w:eastAsia="cs-CZ"/>
              </w:rPr>
            </w:pPr>
            <w:r w:rsidRPr="001D0ADC">
              <w:rPr>
                <w:rFonts w:ascii="Times New Roman" w:hAnsi="Times New Roman" w:cs="Times New Roman"/>
                <w:b/>
                <w:bCs/>
                <w:sz w:val="24"/>
                <w:szCs w:val="24"/>
                <w:lang w:val="en-GB" w:eastAsia="cs-CZ"/>
              </w:rPr>
              <w:t>effective concentrations (mg/l)</w:t>
            </w:r>
          </w:p>
        </w:tc>
        <w:tc>
          <w:tcPr>
            <w:tcW w:w="1925" w:type="dxa"/>
            <w:tcBorders>
              <w:top w:val="single" w:sz="4" w:space="0" w:color="00000A"/>
              <w:left w:val="single" w:sz="4" w:space="0" w:color="00000A"/>
              <w:bottom w:val="single" w:sz="8" w:space="0" w:color="00000A"/>
              <w:right w:val="single" w:sz="4" w:space="0" w:color="00000A"/>
            </w:tcBorders>
            <w:shd w:val="clear" w:color="auto" w:fill="DBEEF3"/>
            <w:tcMar>
              <w:left w:w="45" w:type="dxa"/>
            </w:tcMar>
            <w:vAlign w:val="center"/>
          </w:tcPr>
          <w:p w14:paraId="5E7A12DE" w14:textId="77777777" w:rsidR="00E05B1D" w:rsidRPr="001D0ADC" w:rsidRDefault="00E05B1D" w:rsidP="009B4490">
            <w:pPr>
              <w:rPr>
                <w:rFonts w:ascii="Times New Roman" w:hAnsi="Times New Roman" w:cs="Times New Roman"/>
                <w:b/>
                <w:bCs/>
                <w:sz w:val="24"/>
                <w:szCs w:val="24"/>
                <w:lang w:val="en-GB" w:eastAsia="cs-CZ"/>
              </w:rPr>
            </w:pPr>
            <w:r w:rsidRPr="001D0ADC">
              <w:rPr>
                <w:rFonts w:ascii="Times New Roman" w:hAnsi="Times New Roman" w:cs="Times New Roman"/>
                <w:b/>
                <w:bCs/>
                <w:sz w:val="24"/>
                <w:szCs w:val="24"/>
                <w:lang w:val="en-GB" w:eastAsia="cs-CZ"/>
              </w:rPr>
              <w:t>FET mortality LC50 (CI 95%)</w:t>
            </w:r>
          </w:p>
        </w:tc>
        <w:tc>
          <w:tcPr>
            <w:tcW w:w="2410" w:type="dxa"/>
            <w:tcBorders>
              <w:top w:val="single" w:sz="4" w:space="0" w:color="00000A"/>
              <w:left w:val="nil"/>
              <w:bottom w:val="single" w:sz="8" w:space="0" w:color="00000A"/>
              <w:right w:val="single" w:sz="4" w:space="0" w:color="00000A"/>
            </w:tcBorders>
            <w:shd w:val="clear" w:color="auto" w:fill="DBEEF3"/>
            <w:vAlign w:val="center"/>
          </w:tcPr>
          <w:p w14:paraId="0C32ACB0" w14:textId="77777777" w:rsidR="00E05B1D" w:rsidRPr="001D0ADC" w:rsidRDefault="00E05B1D" w:rsidP="009B4490">
            <w:pPr>
              <w:rPr>
                <w:rFonts w:ascii="Times New Roman" w:hAnsi="Times New Roman" w:cs="Times New Roman"/>
                <w:b/>
                <w:bCs/>
                <w:sz w:val="24"/>
                <w:szCs w:val="24"/>
                <w:lang w:val="en-GB" w:eastAsia="cs-CZ"/>
              </w:rPr>
            </w:pPr>
            <w:r w:rsidRPr="001D0ADC">
              <w:rPr>
                <w:rFonts w:ascii="Times New Roman" w:hAnsi="Times New Roman" w:cs="Times New Roman"/>
                <w:b/>
                <w:bCs/>
                <w:sz w:val="24"/>
                <w:szCs w:val="24"/>
                <w:lang w:val="en-GB" w:eastAsia="cs-CZ"/>
              </w:rPr>
              <w:t>FET sublethal malformations EC50 (CI 95%)</w:t>
            </w:r>
          </w:p>
        </w:tc>
        <w:tc>
          <w:tcPr>
            <w:tcW w:w="2268" w:type="dxa"/>
            <w:tcBorders>
              <w:top w:val="single" w:sz="4" w:space="0" w:color="00000A"/>
              <w:left w:val="nil"/>
              <w:bottom w:val="single" w:sz="8" w:space="0" w:color="00000A"/>
              <w:right w:val="single" w:sz="4" w:space="0" w:color="00000A"/>
            </w:tcBorders>
            <w:shd w:val="clear" w:color="auto" w:fill="DBEEF3"/>
            <w:vAlign w:val="center"/>
          </w:tcPr>
          <w:p w14:paraId="0F178DD8" w14:textId="483D7700" w:rsidR="00E05B1D" w:rsidRPr="001D0ADC" w:rsidRDefault="00E05B1D" w:rsidP="009B4490">
            <w:pPr>
              <w:rPr>
                <w:rFonts w:ascii="Times New Roman" w:hAnsi="Times New Roman" w:cs="Times New Roman"/>
                <w:b/>
                <w:bCs/>
                <w:sz w:val="24"/>
                <w:szCs w:val="24"/>
                <w:lang w:eastAsia="cs-CZ"/>
              </w:rPr>
            </w:pPr>
            <w:r w:rsidRPr="001D0ADC">
              <w:rPr>
                <w:rFonts w:ascii="Times New Roman" w:hAnsi="Times New Roman" w:cs="Times New Roman"/>
                <w:b/>
                <w:bCs/>
                <w:sz w:val="24"/>
                <w:szCs w:val="24"/>
                <w:lang w:val="en-GB" w:eastAsia="cs-CZ"/>
              </w:rPr>
              <w:t>FET all effects EC50 (CI 95%)</w:t>
            </w:r>
            <w:r w:rsidR="00BF5FA7" w:rsidRPr="001D0ADC">
              <w:rPr>
                <w:rFonts w:ascii="Times New Roman" w:hAnsi="Times New Roman" w:cs="Times New Roman"/>
                <w:b/>
                <w:bCs/>
                <w:sz w:val="24"/>
                <w:szCs w:val="24"/>
                <w:vertAlign w:val="superscript"/>
                <w:lang w:val="en-GB"/>
              </w:rPr>
              <w:t xml:space="preserve"> b</w:t>
            </w:r>
          </w:p>
        </w:tc>
      </w:tr>
      <w:tr w:rsidR="001D0ADC" w:rsidRPr="001D0ADC" w14:paraId="2B0A262C" w14:textId="77777777" w:rsidTr="009B4490">
        <w:trPr>
          <w:trHeight w:val="300"/>
        </w:trPr>
        <w:tc>
          <w:tcPr>
            <w:tcW w:w="1619" w:type="dxa"/>
            <w:tcBorders>
              <w:top w:val="nil"/>
              <w:left w:val="single" w:sz="4" w:space="0" w:color="00000A"/>
              <w:bottom w:val="single" w:sz="4" w:space="0" w:color="00000A"/>
              <w:right w:val="single" w:sz="4" w:space="0" w:color="00000A"/>
            </w:tcBorders>
            <w:shd w:val="clear" w:color="auto" w:fill="FFFFFF"/>
            <w:tcMar>
              <w:left w:w="45" w:type="dxa"/>
            </w:tcMar>
            <w:vAlign w:val="bottom"/>
          </w:tcPr>
          <w:p w14:paraId="1A84B966" w14:textId="77777777" w:rsidR="00E05B1D" w:rsidRPr="001D0ADC" w:rsidRDefault="00E05B1D" w:rsidP="009B4490">
            <w:pPr>
              <w:pStyle w:val="NoSpacing"/>
              <w:ind w:firstLine="0"/>
              <w:rPr>
                <w:rFonts w:cs="Times New Roman"/>
                <w:color w:val="auto"/>
                <w:szCs w:val="24"/>
                <w:lang w:val="en-GB" w:eastAsia="cs-CZ"/>
              </w:rPr>
            </w:pPr>
            <w:r w:rsidRPr="001D0ADC">
              <w:rPr>
                <w:rFonts w:cs="Times New Roman"/>
                <w:color w:val="auto"/>
                <w:szCs w:val="24"/>
                <w:lang w:val="en-GB" w:eastAsia="cs-CZ"/>
              </w:rPr>
              <w:t>CBZ</w:t>
            </w:r>
          </w:p>
        </w:tc>
        <w:tc>
          <w:tcPr>
            <w:tcW w:w="1925" w:type="dxa"/>
            <w:tcBorders>
              <w:top w:val="nil"/>
              <w:left w:val="nil"/>
              <w:bottom w:val="single" w:sz="4" w:space="0" w:color="00000A"/>
              <w:right w:val="single" w:sz="4" w:space="0" w:color="00000A"/>
            </w:tcBorders>
            <w:shd w:val="clear" w:color="auto" w:fill="FFFFFF"/>
            <w:vAlign w:val="bottom"/>
          </w:tcPr>
          <w:p w14:paraId="70C94469"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410" w:type="dxa"/>
            <w:tcBorders>
              <w:top w:val="nil"/>
              <w:left w:val="nil"/>
              <w:bottom w:val="single" w:sz="4" w:space="0" w:color="00000A"/>
              <w:right w:val="single" w:sz="4" w:space="0" w:color="00000A"/>
            </w:tcBorders>
            <w:shd w:val="clear" w:color="auto" w:fill="FFFFFF"/>
            <w:vAlign w:val="bottom"/>
          </w:tcPr>
          <w:p w14:paraId="74525F7C"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52.2</w:t>
            </w:r>
            <w:r w:rsidRPr="001D0ADC">
              <w:rPr>
                <w:color w:val="auto"/>
                <w:vertAlign w:val="superscript"/>
                <w:lang w:val="en-GB"/>
              </w:rPr>
              <w:t xml:space="preserve"> a</w:t>
            </w:r>
          </w:p>
        </w:tc>
        <w:tc>
          <w:tcPr>
            <w:tcW w:w="2268" w:type="dxa"/>
            <w:tcBorders>
              <w:top w:val="nil"/>
              <w:left w:val="nil"/>
              <w:bottom w:val="single" w:sz="4" w:space="0" w:color="00000A"/>
              <w:right w:val="single" w:sz="4" w:space="0" w:color="00000A"/>
            </w:tcBorders>
            <w:shd w:val="clear" w:color="auto" w:fill="FFFFFF"/>
            <w:vAlign w:val="bottom"/>
          </w:tcPr>
          <w:p w14:paraId="17261541"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51.9</w:t>
            </w:r>
            <w:r w:rsidRPr="001D0ADC">
              <w:rPr>
                <w:color w:val="auto"/>
                <w:vertAlign w:val="superscript"/>
                <w:lang w:val="en-GB"/>
              </w:rPr>
              <w:t xml:space="preserve"> a</w:t>
            </w:r>
          </w:p>
        </w:tc>
      </w:tr>
      <w:tr w:rsidR="001D0ADC" w:rsidRPr="001D0ADC" w14:paraId="08A7A34D" w14:textId="77777777" w:rsidTr="009B4490">
        <w:trPr>
          <w:trHeight w:val="300"/>
        </w:trPr>
        <w:tc>
          <w:tcPr>
            <w:tcW w:w="1619" w:type="dxa"/>
            <w:tcBorders>
              <w:top w:val="nil"/>
              <w:left w:val="single" w:sz="4" w:space="0" w:color="00000A"/>
              <w:bottom w:val="single" w:sz="4" w:space="0" w:color="00000A"/>
              <w:right w:val="single" w:sz="4" w:space="0" w:color="00000A"/>
            </w:tcBorders>
            <w:shd w:val="clear" w:color="auto" w:fill="FFFFFF"/>
            <w:tcMar>
              <w:left w:w="45" w:type="dxa"/>
            </w:tcMar>
            <w:vAlign w:val="bottom"/>
          </w:tcPr>
          <w:p w14:paraId="3F672B5E" w14:textId="77777777" w:rsidR="00E05B1D" w:rsidRPr="001D0ADC" w:rsidRDefault="00E05B1D" w:rsidP="009B4490">
            <w:pPr>
              <w:pStyle w:val="NoSpacing"/>
              <w:ind w:firstLine="0"/>
              <w:rPr>
                <w:rFonts w:cs="Times New Roman"/>
                <w:color w:val="auto"/>
                <w:szCs w:val="24"/>
                <w:lang w:val="en-GB" w:eastAsia="cs-CZ"/>
              </w:rPr>
            </w:pPr>
            <w:r w:rsidRPr="001D0ADC">
              <w:rPr>
                <w:rFonts w:cs="Times New Roman"/>
                <w:color w:val="auto"/>
                <w:szCs w:val="24"/>
                <w:lang w:val="en-GB" w:eastAsia="cs-CZ"/>
              </w:rPr>
              <w:t>CIP</w:t>
            </w:r>
          </w:p>
        </w:tc>
        <w:tc>
          <w:tcPr>
            <w:tcW w:w="1925" w:type="dxa"/>
            <w:tcBorders>
              <w:top w:val="nil"/>
              <w:left w:val="nil"/>
              <w:bottom w:val="single" w:sz="4" w:space="0" w:color="00000A"/>
              <w:right w:val="single" w:sz="4" w:space="0" w:color="00000A"/>
            </w:tcBorders>
            <w:shd w:val="clear" w:color="auto" w:fill="FFFFFF"/>
            <w:vAlign w:val="bottom"/>
          </w:tcPr>
          <w:p w14:paraId="73F796A1"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410" w:type="dxa"/>
            <w:tcBorders>
              <w:top w:val="nil"/>
              <w:left w:val="nil"/>
              <w:bottom w:val="single" w:sz="4" w:space="0" w:color="00000A"/>
              <w:right w:val="single" w:sz="4" w:space="0" w:color="00000A"/>
            </w:tcBorders>
            <w:shd w:val="clear" w:color="auto" w:fill="FFFFFF"/>
            <w:vAlign w:val="bottom"/>
          </w:tcPr>
          <w:p w14:paraId="7C5A8463"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268" w:type="dxa"/>
            <w:tcBorders>
              <w:top w:val="nil"/>
              <w:left w:val="nil"/>
              <w:bottom w:val="single" w:sz="4" w:space="0" w:color="00000A"/>
              <w:right w:val="single" w:sz="4" w:space="0" w:color="00000A"/>
            </w:tcBorders>
            <w:shd w:val="clear" w:color="auto" w:fill="FFFFFF"/>
            <w:vAlign w:val="bottom"/>
          </w:tcPr>
          <w:p w14:paraId="3795CB5E"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r>
      <w:tr w:rsidR="001D0ADC" w:rsidRPr="001D0ADC" w14:paraId="13BFFBD3" w14:textId="77777777" w:rsidTr="009B4490">
        <w:trPr>
          <w:trHeight w:val="300"/>
        </w:trPr>
        <w:tc>
          <w:tcPr>
            <w:tcW w:w="1619" w:type="dxa"/>
            <w:tcBorders>
              <w:top w:val="nil"/>
              <w:left w:val="single" w:sz="4" w:space="0" w:color="00000A"/>
              <w:bottom w:val="single" w:sz="4" w:space="0" w:color="00000A"/>
              <w:right w:val="single" w:sz="4" w:space="0" w:color="00000A"/>
            </w:tcBorders>
            <w:shd w:val="clear" w:color="auto" w:fill="FFFFFF"/>
            <w:tcMar>
              <w:left w:w="45" w:type="dxa"/>
            </w:tcMar>
            <w:vAlign w:val="bottom"/>
          </w:tcPr>
          <w:p w14:paraId="223085C2" w14:textId="77777777" w:rsidR="00E05B1D" w:rsidRPr="001D0ADC" w:rsidRDefault="00E05B1D" w:rsidP="009B4490">
            <w:pPr>
              <w:pStyle w:val="NoSpacing"/>
              <w:ind w:firstLine="0"/>
              <w:rPr>
                <w:rFonts w:cs="Times New Roman"/>
                <w:color w:val="auto"/>
                <w:szCs w:val="24"/>
                <w:lang w:val="en-GB" w:eastAsia="cs-CZ"/>
              </w:rPr>
            </w:pPr>
            <w:r w:rsidRPr="001D0ADC">
              <w:rPr>
                <w:rFonts w:cs="Times New Roman"/>
                <w:color w:val="auto"/>
                <w:szCs w:val="24"/>
                <w:lang w:val="en-GB" w:eastAsia="cs-CZ"/>
              </w:rPr>
              <w:t>CLA</w:t>
            </w:r>
          </w:p>
        </w:tc>
        <w:tc>
          <w:tcPr>
            <w:tcW w:w="1925" w:type="dxa"/>
            <w:tcBorders>
              <w:top w:val="nil"/>
              <w:left w:val="nil"/>
              <w:bottom w:val="single" w:sz="4" w:space="0" w:color="00000A"/>
              <w:right w:val="single" w:sz="4" w:space="0" w:color="00000A"/>
            </w:tcBorders>
            <w:shd w:val="clear" w:color="auto" w:fill="FFFFFF"/>
            <w:vAlign w:val="bottom"/>
          </w:tcPr>
          <w:p w14:paraId="3A883393"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410" w:type="dxa"/>
            <w:tcBorders>
              <w:top w:val="nil"/>
              <w:left w:val="nil"/>
              <w:bottom w:val="single" w:sz="4" w:space="0" w:color="00000A"/>
              <w:right w:val="single" w:sz="4" w:space="0" w:color="00000A"/>
            </w:tcBorders>
            <w:shd w:val="clear" w:color="auto" w:fill="FFFFFF"/>
            <w:vAlign w:val="bottom"/>
          </w:tcPr>
          <w:p w14:paraId="162F6EEA"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268" w:type="dxa"/>
            <w:tcBorders>
              <w:top w:val="nil"/>
              <w:left w:val="nil"/>
              <w:bottom w:val="single" w:sz="4" w:space="0" w:color="00000A"/>
              <w:right w:val="single" w:sz="4" w:space="0" w:color="00000A"/>
            </w:tcBorders>
            <w:shd w:val="clear" w:color="auto" w:fill="FFFFFF"/>
            <w:vAlign w:val="bottom"/>
          </w:tcPr>
          <w:p w14:paraId="34BEB8B0"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r>
      <w:tr w:rsidR="001D0ADC" w:rsidRPr="001D0ADC" w14:paraId="7271FACC" w14:textId="77777777" w:rsidTr="009B4490">
        <w:trPr>
          <w:trHeight w:val="300"/>
        </w:trPr>
        <w:tc>
          <w:tcPr>
            <w:tcW w:w="1619" w:type="dxa"/>
            <w:tcBorders>
              <w:top w:val="nil"/>
              <w:left w:val="single" w:sz="4" w:space="0" w:color="00000A"/>
              <w:bottom w:val="single" w:sz="4" w:space="0" w:color="00000A"/>
              <w:right w:val="single" w:sz="4" w:space="0" w:color="00000A"/>
            </w:tcBorders>
            <w:shd w:val="clear" w:color="auto" w:fill="FFFFFF"/>
            <w:tcMar>
              <w:left w:w="45" w:type="dxa"/>
            </w:tcMar>
            <w:vAlign w:val="bottom"/>
          </w:tcPr>
          <w:p w14:paraId="472C96DB" w14:textId="77777777" w:rsidR="00E05B1D" w:rsidRPr="001D0ADC" w:rsidRDefault="00E05B1D" w:rsidP="009B4490">
            <w:pPr>
              <w:pStyle w:val="NoSpacing"/>
              <w:ind w:firstLine="0"/>
              <w:rPr>
                <w:rFonts w:cs="Times New Roman"/>
                <w:color w:val="auto"/>
                <w:szCs w:val="24"/>
                <w:lang w:val="en-GB" w:eastAsia="cs-CZ"/>
              </w:rPr>
            </w:pPr>
            <w:r w:rsidRPr="001D0ADC">
              <w:rPr>
                <w:rFonts w:cs="Times New Roman"/>
                <w:color w:val="auto"/>
                <w:szCs w:val="24"/>
                <w:lang w:val="en-GB" w:eastAsia="cs-CZ"/>
              </w:rPr>
              <w:t>DCL</w:t>
            </w:r>
          </w:p>
        </w:tc>
        <w:tc>
          <w:tcPr>
            <w:tcW w:w="1925" w:type="dxa"/>
            <w:tcBorders>
              <w:top w:val="nil"/>
              <w:left w:val="nil"/>
              <w:bottom w:val="single" w:sz="4" w:space="0" w:color="00000A"/>
              <w:right w:val="single" w:sz="4" w:space="0" w:color="00000A"/>
            </w:tcBorders>
            <w:shd w:val="clear" w:color="auto" w:fill="FFFFFF"/>
            <w:vAlign w:val="bottom"/>
          </w:tcPr>
          <w:p w14:paraId="14A43B29"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4.6 (1.8-1.4)</w:t>
            </w:r>
          </w:p>
        </w:tc>
        <w:tc>
          <w:tcPr>
            <w:tcW w:w="2410" w:type="dxa"/>
            <w:tcBorders>
              <w:top w:val="nil"/>
              <w:left w:val="nil"/>
              <w:bottom w:val="single" w:sz="4" w:space="0" w:color="00000A"/>
              <w:right w:val="single" w:sz="4" w:space="0" w:color="00000A"/>
            </w:tcBorders>
            <w:shd w:val="clear" w:color="auto" w:fill="FFFFFF"/>
            <w:vAlign w:val="bottom"/>
          </w:tcPr>
          <w:p w14:paraId="7B7E4113"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2.3 (1.3-4.0)</w:t>
            </w:r>
          </w:p>
        </w:tc>
        <w:tc>
          <w:tcPr>
            <w:tcW w:w="2268" w:type="dxa"/>
            <w:tcBorders>
              <w:top w:val="nil"/>
              <w:left w:val="nil"/>
              <w:bottom w:val="single" w:sz="4" w:space="0" w:color="00000A"/>
              <w:right w:val="single" w:sz="4" w:space="0" w:color="00000A"/>
            </w:tcBorders>
            <w:shd w:val="clear" w:color="auto" w:fill="FFFFFF"/>
            <w:vAlign w:val="bottom"/>
          </w:tcPr>
          <w:p w14:paraId="3593640C"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2.1 (1.5-2.9)</w:t>
            </w:r>
          </w:p>
        </w:tc>
      </w:tr>
      <w:tr w:rsidR="001D0ADC" w:rsidRPr="001D0ADC" w14:paraId="5018819E" w14:textId="77777777" w:rsidTr="009B4490">
        <w:trPr>
          <w:trHeight w:val="300"/>
        </w:trPr>
        <w:tc>
          <w:tcPr>
            <w:tcW w:w="1619" w:type="dxa"/>
            <w:tcBorders>
              <w:top w:val="nil"/>
              <w:left w:val="single" w:sz="4" w:space="0" w:color="00000A"/>
              <w:bottom w:val="single" w:sz="4" w:space="0" w:color="00000A"/>
              <w:right w:val="single" w:sz="4" w:space="0" w:color="00000A"/>
            </w:tcBorders>
            <w:shd w:val="clear" w:color="auto" w:fill="FFFFFF"/>
            <w:tcMar>
              <w:left w:w="45" w:type="dxa"/>
            </w:tcMar>
            <w:vAlign w:val="bottom"/>
          </w:tcPr>
          <w:p w14:paraId="19AF472B" w14:textId="77777777" w:rsidR="00E05B1D" w:rsidRPr="001D0ADC" w:rsidRDefault="00E05B1D" w:rsidP="009B4490">
            <w:pPr>
              <w:pStyle w:val="NoSpacing"/>
              <w:ind w:firstLine="0"/>
              <w:rPr>
                <w:rFonts w:cs="Times New Roman"/>
                <w:color w:val="auto"/>
                <w:szCs w:val="24"/>
                <w:lang w:val="en-GB" w:eastAsia="cs-CZ"/>
              </w:rPr>
            </w:pPr>
            <w:r w:rsidRPr="001D0ADC">
              <w:rPr>
                <w:rFonts w:cs="Times New Roman"/>
                <w:color w:val="auto"/>
                <w:szCs w:val="24"/>
                <w:lang w:val="en-GB" w:eastAsia="cs-CZ"/>
              </w:rPr>
              <w:t>HDZ</w:t>
            </w:r>
          </w:p>
        </w:tc>
        <w:tc>
          <w:tcPr>
            <w:tcW w:w="1925" w:type="dxa"/>
            <w:tcBorders>
              <w:top w:val="nil"/>
              <w:left w:val="nil"/>
              <w:bottom w:val="single" w:sz="4" w:space="0" w:color="00000A"/>
              <w:right w:val="single" w:sz="4" w:space="0" w:color="00000A"/>
            </w:tcBorders>
            <w:shd w:val="clear" w:color="auto" w:fill="FFFFFF"/>
            <w:vAlign w:val="bottom"/>
          </w:tcPr>
          <w:p w14:paraId="7449F530"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410" w:type="dxa"/>
            <w:tcBorders>
              <w:top w:val="nil"/>
              <w:left w:val="nil"/>
              <w:bottom w:val="single" w:sz="4" w:space="0" w:color="00000A"/>
              <w:right w:val="single" w:sz="4" w:space="0" w:color="00000A"/>
            </w:tcBorders>
            <w:shd w:val="clear" w:color="auto" w:fill="FFFFFF"/>
            <w:vAlign w:val="bottom"/>
          </w:tcPr>
          <w:p w14:paraId="545037F5"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268" w:type="dxa"/>
            <w:tcBorders>
              <w:top w:val="nil"/>
              <w:left w:val="nil"/>
              <w:bottom w:val="single" w:sz="4" w:space="0" w:color="00000A"/>
              <w:right w:val="single" w:sz="4" w:space="0" w:color="00000A"/>
            </w:tcBorders>
            <w:shd w:val="clear" w:color="auto" w:fill="FFFFFF"/>
            <w:vAlign w:val="bottom"/>
          </w:tcPr>
          <w:p w14:paraId="247FA638"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r>
      <w:tr w:rsidR="001D0ADC" w:rsidRPr="001D0ADC" w14:paraId="61A766B5" w14:textId="77777777" w:rsidTr="009B4490">
        <w:trPr>
          <w:trHeight w:val="300"/>
        </w:trPr>
        <w:tc>
          <w:tcPr>
            <w:tcW w:w="1619" w:type="dxa"/>
            <w:tcBorders>
              <w:top w:val="nil"/>
              <w:left w:val="single" w:sz="4" w:space="0" w:color="00000A"/>
              <w:bottom w:val="single" w:sz="4" w:space="0" w:color="00000A"/>
              <w:right w:val="single" w:sz="4" w:space="0" w:color="00000A"/>
            </w:tcBorders>
            <w:shd w:val="clear" w:color="auto" w:fill="FFFFFF"/>
            <w:tcMar>
              <w:left w:w="45" w:type="dxa"/>
            </w:tcMar>
            <w:vAlign w:val="bottom"/>
          </w:tcPr>
          <w:p w14:paraId="57316AFB" w14:textId="77777777" w:rsidR="00E05B1D" w:rsidRPr="001D0ADC" w:rsidRDefault="00E05B1D" w:rsidP="009B4490">
            <w:pPr>
              <w:pStyle w:val="NoSpacing"/>
              <w:ind w:firstLine="0"/>
              <w:rPr>
                <w:rFonts w:cs="Times New Roman"/>
                <w:color w:val="auto"/>
                <w:szCs w:val="24"/>
                <w:lang w:val="en-GB" w:eastAsia="cs-CZ"/>
              </w:rPr>
            </w:pPr>
            <w:r w:rsidRPr="001D0ADC">
              <w:rPr>
                <w:rFonts w:cs="Times New Roman"/>
                <w:color w:val="auto"/>
                <w:szCs w:val="24"/>
                <w:lang w:val="en-GB" w:eastAsia="cs-CZ"/>
              </w:rPr>
              <w:t>IBU</w:t>
            </w:r>
          </w:p>
        </w:tc>
        <w:tc>
          <w:tcPr>
            <w:tcW w:w="1925" w:type="dxa"/>
            <w:tcBorders>
              <w:top w:val="nil"/>
              <w:left w:val="nil"/>
              <w:bottom w:val="single" w:sz="4" w:space="0" w:color="00000A"/>
              <w:right w:val="single" w:sz="4" w:space="0" w:color="00000A"/>
            </w:tcBorders>
            <w:shd w:val="clear" w:color="auto" w:fill="FFFFFF"/>
            <w:vAlign w:val="bottom"/>
          </w:tcPr>
          <w:p w14:paraId="1DE1FE32"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35.3 (33.5-37.2)</w:t>
            </w:r>
          </w:p>
        </w:tc>
        <w:tc>
          <w:tcPr>
            <w:tcW w:w="2410" w:type="dxa"/>
            <w:tcBorders>
              <w:top w:val="nil"/>
              <w:left w:val="nil"/>
              <w:bottom w:val="single" w:sz="4" w:space="0" w:color="00000A"/>
              <w:right w:val="single" w:sz="4" w:space="0" w:color="00000A"/>
            </w:tcBorders>
            <w:shd w:val="clear" w:color="auto" w:fill="FFFFFF"/>
            <w:vAlign w:val="bottom"/>
          </w:tcPr>
          <w:p w14:paraId="01E183EF"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14.9 (13.4-16.6)</w:t>
            </w:r>
          </w:p>
        </w:tc>
        <w:tc>
          <w:tcPr>
            <w:tcW w:w="2268" w:type="dxa"/>
            <w:tcBorders>
              <w:top w:val="nil"/>
              <w:left w:val="nil"/>
              <w:bottom w:val="single" w:sz="4" w:space="0" w:color="00000A"/>
              <w:right w:val="single" w:sz="4" w:space="0" w:color="00000A"/>
            </w:tcBorders>
            <w:shd w:val="clear" w:color="auto" w:fill="FFFFFF"/>
            <w:vAlign w:val="bottom"/>
          </w:tcPr>
          <w:p w14:paraId="438F0B0A"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14.8 (13.6-16.1)</w:t>
            </w:r>
          </w:p>
        </w:tc>
      </w:tr>
      <w:tr w:rsidR="001D0ADC" w:rsidRPr="001D0ADC" w14:paraId="10D47B50" w14:textId="77777777" w:rsidTr="009B4490">
        <w:trPr>
          <w:trHeight w:val="300"/>
        </w:trPr>
        <w:tc>
          <w:tcPr>
            <w:tcW w:w="1619" w:type="dxa"/>
            <w:tcBorders>
              <w:top w:val="nil"/>
              <w:left w:val="single" w:sz="4" w:space="0" w:color="00000A"/>
              <w:bottom w:val="single" w:sz="4" w:space="0" w:color="00000A"/>
              <w:right w:val="single" w:sz="4" w:space="0" w:color="00000A"/>
            </w:tcBorders>
            <w:shd w:val="clear" w:color="auto" w:fill="FFFFFF"/>
            <w:tcMar>
              <w:left w:w="45" w:type="dxa"/>
            </w:tcMar>
            <w:vAlign w:val="bottom"/>
          </w:tcPr>
          <w:p w14:paraId="6E1C2A0F" w14:textId="77777777" w:rsidR="00E05B1D" w:rsidRPr="001D0ADC" w:rsidRDefault="00E05B1D" w:rsidP="009B4490">
            <w:pPr>
              <w:pStyle w:val="NoSpacing"/>
              <w:ind w:firstLine="0"/>
              <w:rPr>
                <w:rFonts w:cs="Times New Roman"/>
                <w:color w:val="auto"/>
                <w:szCs w:val="24"/>
                <w:lang w:val="en-GB" w:eastAsia="cs-CZ"/>
              </w:rPr>
            </w:pPr>
            <w:r w:rsidRPr="001D0ADC">
              <w:rPr>
                <w:rFonts w:cs="Times New Roman"/>
                <w:color w:val="auto"/>
                <w:szCs w:val="24"/>
                <w:lang w:val="en-GB" w:eastAsia="cs-CZ"/>
              </w:rPr>
              <w:t>PCM</w:t>
            </w:r>
          </w:p>
        </w:tc>
        <w:tc>
          <w:tcPr>
            <w:tcW w:w="1925" w:type="dxa"/>
            <w:tcBorders>
              <w:top w:val="nil"/>
              <w:left w:val="nil"/>
              <w:bottom w:val="single" w:sz="4" w:space="0" w:color="00000A"/>
              <w:right w:val="single" w:sz="4" w:space="0" w:color="00000A"/>
            </w:tcBorders>
            <w:shd w:val="clear" w:color="auto" w:fill="FFFFFF"/>
            <w:vAlign w:val="bottom"/>
          </w:tcPr>
          <w:p w14:paraId="49866867"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410" w:type="dxa"/>
            <w:tcBorders>
              <w:top w:val="nil"/>
              <w:left w:val="nil"/>
              <w:bottom w:val="single" w:sz="4" w:space="0" w:color="00000A"/>
              <w:right w:val="single" w:sz="4" w:space="0" w:color="00000A"/>
            </w:tcBorders>
            <w:shd w:val="clear" w:color="auto" w:fill="FFFFFF"/>
            <w:vAlign w:val="bottom"/>
          </w:tcPr>
          <w:p w14:paraId="44600113"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268" w:type="dxa"/>
            <w:tcBorders>
              <w:top w:val="nil"/>
              <w:left w:val="nil"/>
              <w:bottom w:val="single" w:sz="4" w:space="0" w:color="00000A"/>
              <w:right w:val="single" w:sz="4" w:space="0" w:color="00000A"/>
            </w:tcBorders>
            <w:shd w:val="clear" w:color="auto" w:fill="FFFFFF"/>
            <w:vAlign w:val="bottom"/>
          </w:tcPr>
          <w:p w14:paraId="3215FE95"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r>
      <w:tr w:rsidR="001D0ADC" w:rsidRPr="001D0ADC" w14:paraId="78F0CE2B" w14:textId="77777777" w:rsidTr="009B4490">
        <w:trPr>
          <w:trHeight w:val="378"/>
        </w:trPr>
        <w:tc>
          <w:tcPr>
            <w:tcW w:w="1619" w:type="dxa"/>
            <w:tcBorders>
              <w:top w:val="nil"/>
              <w:left w:val="single" w:sz="4" w:space="0" w:color="00000A"/>
              <w:bottom w:val="single" w:sz="4" w:space="0" w:color="00000A"/>
              <w:right w:val="single" w:sz="4" w:space="0" w:color="00000A"/>
            </w:tcBorders>
            <w:shd w:val="clear" w:color="auto" w:fill="FFFFFF"/>
            <w:tcMar>
              <w:left w:w="45" w:type="dxa"/>
            </w:tcMar>
            <w:vAlign w:val="bottom"/>
          </w:tcPr>
          <w:p w14:paraId="428B7618" w14:textId="77777777" w:rsidR="00E05B1D" w:rsidRPr="001D0ADC" w:rsidRDefault="00E05B1D" w:rsidP="009B4490">
            <w:pPr>
              <w:pStyle w:val="NoSpacing"/>
              <w:ind w:firstLine="0"/>
              <w:rPr>
                <w:rFonts w:cs="Times New Roman"/>
                <w:color w:val="auto"/>
                <w:szCs w:val="24"/>
                <w:lang w:val="en-GB" w:eastAsia="cs-CZ"/>
              </w:rPr>
            </w:pPr>
            <w:r w:rsidRPr="001D0ADC">
              <w:rPr>
                <w:rFonts w:cs="Times New Roman"/>
                <w:color w:val="auto"/>
                <w:szCs w:val="24"/>
                <w:lang w:val="en-GB" w:eastAsia="cs-CZ"/>
              </w:rPr>
              <w:t>SMX</w:t>
            </w:r>
          </w:p>
        </w:tc>
        <w:tc>
          <w:tcPr>
            <w:tcW w:w="1925" w:type="dxa"/>
            <w:tcBorders>
              <w:top w:val="nil"/>
              <w:left w:val="nil"/>
              <w:bottom w:val="single" w:sz="4" w:space="0" w:color="00000A"/>
              <w:right w:val="single" w:sz="4" w:space="0" w:color="00000A"/>
            </w:tcBorders>
            <w:shd w:val="clear" w:color="auto" w:fill="FFFFFF"/>
            <w:vAlign w:val="bottom"/>
          </w:tcPr>
          <w:p w14:paraId="7B3E3BE0"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410" w:type="dxa"/>
            <w:tcBorders>
              <w:top w:val="nil"/>
              <w:left w:val="nil"/>
              <w:bottom w:val="single" w:sz="4" w:space="0" w:color="00000A"/>
              <w:right w:val="single" w:sz="4" w:space="0" w:color="00000A"/>
            </w:tcBorders>
            <w:shd w:val="clear" w:color="auto" w:fill="FFFFFF"/>
            <w:vAlign w:val="bottom"/>
          </w:tcPr>
          <w:p w14:paraId="1D8BF351"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268" w:type="dxa"/>
            <w:tcBorders>
              <w:top w:val="nil"/>
              <w:left w:val="nil"/>
              <w:bottom w:val="single" w:sz="4" w:space="0" w:color="00000A"/>
              <w:right w:val="single" w:sz="4" w:space="0" w:color="00000A"/>
            </w:tcBorders>
            <w:shd w:val="clear" w:color="auto" w:fill="FFFFFF"/>
            <w:vAlign w:val="bottom"/>
          </w:tcPr>
          <w:p w14:paraId="1D02367B" w14:textId="77777777" w:rsidR="00E05B1D" w:rsidRPr="001D0ADC" w:rsidRDefault="00E05B1D" w:rsidP="009B4490">
            <w:pPr>
              <w:pStyle w:val="NoSpacing"/>
              <w:ind w:firstLine="0"/>
              <w:jc w:val="center"/>
              <w:rPr>
                <w:rFonts w:cs="Times New Roman"/>
                <w:color w:val="auto"/>
                <w:szCs w:val="24"/>
                <w:lang w:val="en-GB" w:eastAsia="cs-CZ"/>
              </w:rPr>
            </w:pPr>
            <w:r w:rsidRPr="001D0ADC">
              <w:rPr>
                <w:rFonts w:cs="Times New Roman"/>
                <w:color w:val="auto"/>
                <w:szCs w:val="24"/>
                <w:lang w:val="en-GB" w:eastAsia="cs-CZ"/>
              </w:rPr>
              <w:t>&gt;100</w:t>
            </w:r>
          </w:p>
        </w:tc>
      </w:tr>
    </w:tbl>
    <w:p w14:paraId="49223E62" w14:textId="77777777" w:rsidR="00E05B1D" w:rsidRPr="001D0ADC" w:rsidRDefault="00E05B1D" w:rsidP="00E05B1D">
      <w:pPr>
        <w:rPr>
          <w:rFonts w:ascii="Times New Roman" w:hAnsi="Times New Roman" w:cs="Times New Roman"/>
          <w:b/>
          <w:bCs/>
          <w:sz w:val="24"/>
          <w:szCs w:val="24"/>
          <w:lang w:val="en-GB"/>
        </w:rPr>
      </w:pPr>
    </w:p>
    <w:p w14:paraId="35D2B218" w14:textId="77777777" w:rsidR="00E05B1D" w:rsidRPr="001D0ADC" w:rsidRDefault="00E05B1D" w:rsidP="00E05B1D">
      <w:pPr>
        <w:rPr>
          <w:rFonts w:ascii="Times New Roman" w:hAnsi="Times New Roman" w:cs="Times New Roman"/>
          <w:b/>
          <w:bCs/>
          <w:sz w:val="24"/>
          <w:szCs w:val="24"/>
          <w:lang w:val="en-GB"/>
        </w:rPr>
      </w:pPr>
    </w:p>
    <w:p w14:paraId="6F070ADF" w14:textId="77777777" w:rsidR="00E05B1D" w:rsidRPr="001D0ADC" w:rsidRDefault="00E05B1D" w:rsidP="00E05B1D">
      <w:pPr>
        <w:rPr>
          <w:rFonts w:ascii="Times New Roman" w:hAnsi="Times New Roman" w:cs="Times New Roman"/>
          <w:sz w:val="24"/>
          <w:szCs w:val="24"/>
          <w:lang w:val="en-GB"/>
        </w:rPr>
      </w:pPr>
      <w:r w:rsidRPr="001D0ADC">
        <w:rPr>
          <w:rFonts w:ascii="Times New Roman" w:hAnsi="Times New Roman" w:cs="Times New Roman"/>
          <w:b/>
          <w:sz w:val="24"/>
          <w:szCs w:val="24"/>
          <w:lang w:val="en-GB"/>
        </w:rPr>
        <w:t>Supplementary Table S5:</w:t>
      </w:r>
      <w:r w:rsidRPr="001D0ADC">
        <w:rPr>
          <w:rFonts w:ascii="Times New Roman" w:hAnsi="Times New Roman" w:cs="Times New Roman"/>
          <w:sz w:val="24"/>
          <w:szCs w:val="24"/>
          <w:lang w:val="en-GB"/>
        </w:rPr>
        <w:t xml:space="preserve"> Results of RT Gill W1 assay and published </w:t>
      </w:r>
      <w:r w:rsidRPr="001D0ADC">
        <w:rPr>
          <w:rFonts w:ascii="Times New Roman" w:hAnsi="Times New Roman" w:cs="Times New Roman"/>
          <w:i/>
          <w:iCs/>
          <w:sz w:val="24"/>
          <w:szCs w:val="24"/>
          <w:lang w:val="en-GB"/>
        </w:rPr>
        <w:t>in vitro</w:t>
      </w:r>
      <w:r w:rsidRPr="001D0ADC">
        <w:rPr>
          <w:rFonts w:ascii="Times New Roman" w:hAnsi="Times New Roman" w:cs="Times New Roman"/>
          <w:sz w:val="24"/>
          <w:szCs w:val="24"/>
          <w:lang w:val="en-GB"/>
        </w:rPr>
        <w:t xml:space="preserve"> effective concentrations collected on cell lines. EC50 values and confidence intervals are shown for the results of this study. * the most sensitive of the endpoints tested, ** the most sensitive endpoint based on the EC10 value.</w:t>
      </w:r>
    </w:p>
    <w:tbl>
      <w:tblPr>
        <w:tblW w:w="12136" w:type="dxa"/>
        <w:tblInd w:w="55" w:type="dxa"/>
        <w:tblCellMar>
          <w:left w:w="70" w:type="dxa"/>
          <w:right w:w="70" w:type="dxa"/>
        </w:tblCellMar>
        <w:tblLook w:val="04A0" w:firstRow="1" w:lastRow="0" w:firstColumn="1" w:lastColumn="0" w:noHBand="0" w:noVBand="1"/>
      </w:tblPr>
      <w:tblGrid>
        <w:gridCol w:w="760"/>
        <w:gridCol w:w="2304"/>
        <w:gridCol w:w="2410"/>
        <w:gridCol w:w="2693"/>
        <w:gridCol w:w="3969"/>
      </w:tblGrid>
      <w:tr w:rsidR="001D0ADC" w:rsidRPr="001D0ADC" w14:paraId="4329525B" w14:textId="77777777" w:rsidTr="009B4490">
        <w:trPr>
          <w:gridAfter w:val="1"/>
          <w:wAfter w:w="3969" w:type="dxa"/>
          <w:trHeight w:val="300"/>
        </w:trPr>
        <w:tc>
          <w:tcPr>
            <w:tcW w:w="760" w:type="dxa"/>
            <w:tcBorders>
              <w:top w:val="nil"/>
              <w:left w:val="nil"/>
              <w:bottom w:val="nil"/>
              <w:right w:val="nil"/>
            </w:tcBorders>
            <w:shd w:val="clear" w:color="auto" w:fill="auto"/>
            <w:noWrap/>
            <w:vAlign w:val="center"/>
            <w:hideMark/>
          </w:tcPr>
          <w:p w14:paraId="7C390A23" w14:textId="77777777" w:rsidR="00E05B1D" w:rsidRPr="001D0ADC" w:rsidRDefault="00E05B1D" w:rsidP="009B4490">
            <w:pPr>
              <w:pStyle w:val="NoSpacing"/>
              <w:ind w:firstLine="0"/>
              <w:rPr>
                <w:rFonts w:cs="Times New Roman"/>
                <w:color w:val="auto"/>
                <w:szCs w:val="24"/>
                <w:lang w:val="en-GB" w:eastAsia="cs-CZ"/>
              </w:rPr>
            </w:pPr>
          </w:p>
        </w:tc>
        <w:tc>
          <w:tcPr>
            <w:tcW w:w="740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6EE1B"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EC50 RT Gill W1 (CI 95%) mg/l</w:t>
            </w:r>
          </w:p>
        </w:tc>
      </w:tr>
      <w:tr w:rsidR="001D0ADC" w:rsidRPr="001D0ADC" w14:paraId="1C84C84E" w14:textId="77777777" w:rsidTr="009B4490">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95104"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Assay</w:t>
            </w:r>
          </w:p>
        </w:tc>
        <w:tc>
          <w:tcPr>
            <w:tcW w:w="2304" w:type="dxa"/>
            <w:tcBorders>
              <w:top w:val="nil"/>
              <w:left w:val="nil"/>
              <w:bottom w:val="single" w:sz="4" w:space="0" w:color="auto"/>
              <w:right w:val="single" w:sz="4" w:space="0" w:color="auto"/>
            </w:tcBorders>
            <w:shd w:val="clear" w:color="auto" w:fill="auto"/>
            <w:noWrap/>
            <w:vAlign w:val="center"/>
            <w:hideMark/>
          </w:tcPr>
          <w:p w14:paraId="4EB5C5C4"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AB</w:t>
            </w:r>
          </w:p>
        </w:tc>
        <w:tc>
          <w:tcPr>
            <w:tcW w:w="2410" w:type="dxa"/>
            <w:tcBorders>
              <w:top w:val="nil"/>
              <w:left w:val="nil"/>
              <w:bottom w:val="single" w:sz="4" w:space="0" w:color="auto"/>
              <w:right w:val="single" w:sz="4" w:space="0" w:color="auto"/>
            </w:tcBorders>
            <w:shd w:val="clear" w:color="auto" w:fill="auto"/>
            <w:noWrap/>
            <w:vAlign w:val="center"/>
            <w:hideMark/>
          </w:tcPr>
          <w:p w14:paraId="2E70DCB3"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CFDA-AM</w:t>
            </w:r>
          </w:p>
        </w:tc>
        <w:tc>
          <w:tcPr>
            <w:tcW w:w="2693" w:type="dxa"/>
            <w:tcBorders>
              <w:top w:val="nil"/>
              <w:left w:val="nil"/>
              <w:bottom w:val="single" w:sz="4" w:space="0" w:color="auto"/>
              <w:right w:val="single" w:sz="4" w:space="0" w:color="auto"/>
            </w:tcBorders>
            <w:shd w:val="clear" w:color="auto" w:fill="auto"/>
            <w:noWrap/>
            <w:vAlign w:val="center"/>
            <w:hideMark/>
          </w:tcPr>
          <w:p w14:paraId="3ACF9977"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NR</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14:paraId="493F4D49" w14:textId="1DCAD660"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 xml:space="preserve">Average EC50 reported in </w:t>
            </w:r>
            <w:r w:rsidR="006775CE" w:rsidRPr="001D0ADC">
              <w:rPr>
                <w:rFonts w:cs="Times New Roman"/>
                <w:b/>
                <w:bCs/>
                <w:color w:val="auto"/>
                <w:szCs w:val="24"/>
                <w:lang w:val="en-GB" w:eastAsia="cs-CZ"/>
              </w:rPr>
              <w:t xml:space="preserve">the </w:t>
            </w:r>
            <w:r w:rsidRPr="001D0ADC">
              <w:rPr>
                <w:rFonts w:cs="Times New Roman"/>
                <w:b/>
                <w:bCs/>
                <w:color w:val="auto"/>
                <w:szCs w:val="24"/>
                <w:lang w:val="en-GB" w:eastAsia="cs-CZ"/>
              </w:rPr>
              <w:t xml:space="preserve">literature (number of references) </w:t>
            </w:r>
          </w:p>
        </w:tc>
      </w:tr>
      <w:tr w:rsidR="001D0ADC" w:rsidRPr="001D0ADC" w14:paraId="5DAA666C" w14:textId="77777777" w:rsidTr="009B4490">
        <w:trPr>
          <w:trHeight w:val="70"/>
        </w:trPr>
        <w:tc>
          <w:tcPr>
            <w:tcW w:w="760" w:type="dxa"/>
            <w:tcBorders>
              <w:top w:val="nil"/>
              <w:left w:val="single" w:sz="4" w:space="0" w:color="auto"/>
              <w:bottom w:val="single" w:sz="4" w:space="0" w:color="000000"/>
              <w:right w:val="single" w:sz="4" w:space="0" w:color="auto"/>
            </w:tcBorders>
            <w:shd w:val="clear" w:color="auto" w:fill="auto"/>
            <w:noWrap/>
            <w:vAlign w:val="center"/>
            <w:hideMark/>
          </w:tcPr>
          <w:p w14:paraId="2D05298F"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CBZ</w:t>
            </w:r>
          </w:p>
        </w:tc>
        <w:tc>
          <w:tcPr>
            <w:tcW w:w="2304" w:type="dxa"/>
            <w:tcBorders>
              <w:top w:val="nil"/>
              <w:left w:val="single" w:sz="4" w:space="0" w:color="auto"/>
              <w:bottom w:val="single" w:sz="4" w:space="0" w:color="000000"/>
              <w:right w:val="single" w:sz="4" w:space="0" w:color="auto"/>
            </w:tcBorders>
            <w:shd w:val="clear" w:color="auto" w:fill="auto"/>
            <w:noWrap/>
            <w:vAlign w:val="center"/>
            <w:hideMark/>
          </w:tcPr>
          <w:p w14:paraId="3A1828E5"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132 (61-288)</w:t>
            </w:r>
          </w:p>
        </w:tc>
        <w:tc>
          <w:tcPr>
            <w:tcW w:w="2410" w:type="dxa"/>
            <w:tcBorders>
              <w:top w:val="nil"/>
              <w:left w:val="single" w:sz="4" w:space="0" w:color="auto"/>
              <w:bottom w:val="single" w:sz="4" w:space="0" w:color="000000"/>
              <w:right w:val="single" w:sz="4" w:space="0" w:color="auto"/>
            </w:tcBorders>
            <w:shd w:val="clear" w:color="auto" w:fill="auto"/>
            <w:noWrap/>
            <w:vAlign w:val="center"/>
            <w:hideMark/>
          </w:tcPr>
          <w:p w14:paraId="4BE599C7"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341 (118-985)</w:t>
            </w:r>
          </w:p>
        </w:tc>
        <w:tc>
          <w:tcPr>
            <w:tcW w:w="2693" w:type="dxa"/>
            <w:tcBorders>
              <w:top w:val="nil"/>
              <w:left w:val="single" w:sz="4" w:space="0" w:color="auto"/>
              <w:bottom w:val="single" w:sz="4" w:space="0" w:color="000000"/>
              <w:right w:val="single" w:sz="4" w:space="0" w:color="auto"/>
            </w:tcBorders>
            <w:shd w:val="clear" w:color="auto" w:fill="auto"/>
            <w:noWrap/>
            <w:vAlign w:val="center"/>
            <w:hideMark/>
          </w:tcPr>
          <w:p w14:paraId="42495729"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118* (61-229)</w:t>
            </w:r>
          </w:p>
        </w:tc>
        <w:tc>
          <w:tcPr>
            <w:tcW w:w="3969" w:type="dxa"/>
            <w:tcBorders>
              <w:top w:val="single" w:sz="4" w:space="0" w:color="auto"/>
              <w:left w:val="nil"/>
              <w:bottom w:val="single" w:sz="4" w:space="0" w:color="auto"/>
              <w:right w:val="single" w:sz="4" w:space="0" w:color="auto"/>
            </w:tcBorders>
            <w:shd w:val="clear" w:color="auto" w:fill="auto"/>
            <w:vAlign w:val="center"/>
          </w:tcPr>
          <w:p w14:paraId="12A1A101" w14:textId="55AE60F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94</w:t>
            </w:r>
            <w:r w:rsidR="006775CE" w:rsidRPr="001D0ADC">
              <w:rPr>
                <w:rFonts w:cs="Times New Roman"/>
                <w:color w:val="auto"/>
                <w:szCs w:val="24"/>
                <w:lang w:val="en-GB" w:eastAsia="cs-CZ"/>
              </w:rPr>
              <w:t>.1</w:t>
            </w:r>
            <w:r w:rsidRPr="001D0ADC">
              <w:rPr>
                <w:rFonts w:cs="Times New Roman"/>
                <w:color w:val="auto"/>
                <w:szCs w:val="24"/>
                <w:lang w:val="en-GB" w:eastAsia="cs-CZ"/>
              </w:rPr>
              <w:t xml:space="preserve"> (3)</w:t>
            </w:r>
          </w:p>
        </w:tc>
      </w:tr>
      <w:tr w:rsidR="001D0ADC" w:rsidRPr="001D0ADC" w14:paraId="2DDFA3A6" w14:textId="77777777" w:rsidTr="009B4490">
        <w:trPr>
          <w:trHeight w:val="3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D282CE0"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CIP</w:t>
            </w:r>
          </w:p>
        </w:tc>
        <w:tc>
          <w:tcPr>
            <w:tcW w:w="2304" w:type="dxa"/>
            <w:tcBorders>
              <w:top w:val="nil"/>
              <w:left w:val="nil"/>
              <w:bottom w:val="single" w:sz="4" w:space="0" w:color="auto"/>
              <w:right w:val="single" w:sz="4" w:space="0" w:color="auto"/>
            </w:tcBorders>
            <w:shd w:val="clear" w:color="auto" w:fill="auto"/>
            <w:noWrap/>
            <w:vAlign w:val="center"/>
            <w:hideMark/>
          </w:tcPr>
          <w:p w14:paraId="394E7FF1"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410" w:type="dxa"/>
            <w:tcBorders>
              <w:top w:val="nil"/>
              <w:left w:val="nil"/>
              <w:bottom w:val="single" w:sz="4" w:space="0" w:color="auto"/>
              <w:right w:val="single" w:sz="4" w:space="0" w:color="auto"/>
            </w:tcBorders>
            <w:shd w:val="clear" w:color="auto" w:fill="auto"/>
            <w:noWrap/>
            <w:vAlign w:val="center"/>
            <w:hideMark/>
          </w:tcPr>
          <w:p w14:paraId="138F100E"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2693" w:type="dxa"/>
            <w:tcBorders>
              <w:top w:val="nil"/>
              <w:left w:val="nil"/>
              <w:bottom w:val="single" w:sz="4" w:space="0" w:color="auto"/>
              <w:right w:val="single" w:sz="4" w:space="0" w:color="auto"/>
            </w:tcBorders>
            <w:shd w:val="clear" w:color="auto" w:fill="auto"/>
            <w:noWrap/>
            <w:vAlign w:val="center"/>
            <w:hideMark/>
          </w:tcPr>
          <w:p w14:paraId="726791D8"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&gt;100**</w:t>
            </w:r>
          </w:p>
        </w:tc>
        <w:tc>
          <w:tcPr>
            <w:tcW w:w="3969" w:type="dxa"/>
            <w:tcBorders>
              <w:top w:val="single" w:sz="4" w:space="0" w:color="auto"/>
              <w:left w:val="nil"/>
              <w:bottom w:val="single" w:sz="4" w:space="0" w:color="auto"/>
              <w:right w:val="single" w:sz="4" w:space="0" w:color="auto"/>
            </w:tcBorders>
            <w:shd w:val="clear" w:color="auto" w:fill="auto"/>
            <w:vAlign w:val="center"/>
          </w:tcPr>
          <w:p w14:paraId="0A53047B" w14:textId="77777777" w:rsidR="00E05B1D" w:rsidRPr="001D0ADC" w:rsidRDefault="00E05B1D" w:rsidP="009B4490">
            <w:pPr>
              <w:pStyle w:val="NoSpacing"/>
              <w:spacing w:before="40" w:after="40"/>
              <w:ind w:firstLine="0"/>
              <w:jc w:val="center"/>
              <w:rPr>
                <w:rFonts w:cs="Times New Roman"/>
                <w:color w:val="auto"/>
                <w:szCs w:val="24"/>
                <w:lang w:eastAsia="cs-CZ"/>
              </w:rPr>
            </w:pPr>
            <w:r w:rsidRPr="001D0ADC">
              <w:rPr>
                <w:rFonts w:cs="Times New Roman"/>
                <w:color w:val="auto"/>
                <w:szCs w:val="24"/>
                <w:lang w:eastAsia="cs-CZ"/>
              </w:rPr>
              <w:t>(0)</w:t>
            </w:r>
          </w:p>
        </w:tc>
      </w:tr>
      <w:tr w:rsidR="001D0ADC" w:rsidRPr="001D0ADC" w14:paraId="0DDA6E42" w14:textId="77777777" w:rsidTr="009B4490">
        <w:trPr>
          <w:trHeight w:val="165"/>
        </w:trPr>
        <w:tc>
          <w:tcPr>
            <w:tcW w:w="760" w:type="dxa"/>
            <w:tcBorders>
              <w:top w:val="nil"/>
              <w:left w:val="single" w:sz="4" w:space="0" w:color="auto"/>
              <w:bottom w:val="single" w:sz="4" w:space="0" w:color="000000"/>
              <w:right w:val="single" w:sz="4" w:space="0" w:color="auto"/>
            </w:tcBorders>
            <w:shd w:val="clear" w:color="auto" w:fill="auto"/>
            <w:noWrap/>
            <w:vAlign w:val="center"/>
            <w:hideMark/>
          </w:tcPr>
          <w:p w14:paraId="7795DD49"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CLA</w:t>
            </w:r>
          </w:p>
        </w:tc>
        <w:tc>
          <w:tcPr>
            <w:tcW w:w="2304" w:type="dxa"/>
            <w:tcBorders>
              <w:top w:val="nil"/>
              <w:left w:val="single" w:sz="4" w:space="0" w:color="auto"/>
              <w:bottom w:val="single" w:sz="4" w:space="0" w:color="000000"/>
              <w:right w:val="single" w:sz="4" w:space="0" w:color="auto"/>
            </w:tcBorders>
            <w:shd w:val="clear" w:color="auto" w:fill="auto"/>
            <w:noWrap/>
            <w:vAlign w:val="center"/>
            <w:hideMark/>
          </w:tcPr>
          <w:p w14:paraId="4B572C62"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232* (216-248)</w:t>
            </w:r>
          </w:p>
        </w:tc>
        <w:tc>
          <w:tcPr>
            <w:tcW w:w="2410" w:type="dxa"/>
            <w:tcBorders>
              <w:top w:val="nil"/>
              <w:left w:val="single" w:sz="4" w:space="0" w:color="auto"/>
              <w:bottom w:val="single" w:sz="4" w:space="0" w:color="000000"/>
              <w:right w:val="single" w:sz="4" w:space="0" w:color="auto"/>
            </w:tcBorders>
            <w:shd w:val="clear" w:color="auto" w:fill="auto"/>
            <w:noWrap/>
            <w:vAlign w:val="center"/>
            <w:hideMark/>
          </w:tcPr>
          <w:p w14:paraId="6A4E96F9"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282 (260-306)</w:t>
            </w:r>
          </w:p>
        </w:tc>
        <w:tc>
          <w:tcPr>
            <w:tcW w:w="2693" w:type="dxa"/>
            <w:tcBorders>
              <w:top w:val="nil"/>
              <w:left w:val="single" w:sz="4" w:space="0" w:color="auto"/>
              <w:bottom w:val="single" w:sz="4" w:space="0" w:color="000000"/>
              <w:right w:val="single" w:sz="4" w:space="0" w:color="auto"/>
            </w:tcBorders>
            <w:shd w:val="clear" w:color="auto" w:fill="auto"/>
            <w:noWrap/>
            <w:vAlign w:val="center"/>
            <w:hideMark/>
          </w:tcPr>
          <w:p w14:paraId="6402B375"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256 (244-268)</w:t>
            </w:r>
          </w:p>
        </w:tc>
        <w:tc>
          <w:tcPr>
            <w:tcW w:w="3969" w:type="dxa"/>
            <w:tcBorders>
              <w:top w:val="single" w:sz="4" w:space="0" w:color="auto"/>
              <w:left w:val="nil"/>
              <w:right w:val="single" w:sz="4" w:space="0" w:color="auto"/>
            </w:tcBorders>
            <w:shd w:val="clear" w:color="auto" w:fill="auto"/>
            <w:vAlign w:val="center"/>
          </w:tcPr>
          <w:p w14:paraId="56AB8A03"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643 (4)</w:t>
            </w:r>
          </w:p>
        </w:tc>
      </w:tr>
      <w:tr w:rsidR="001D0ADC" w:rsidRPr="001D0ADC" w14:paraId="79A6F464" w14:textId="77777777" w:rsidTr="009B4490">
        <w:trPr>
          <w:trHeight w:val="70"/>
        </w:trPr>
        <w:tc>
          <w:tcPr>
            <w:tcW w:w="760" w:type="dxa"/>
            <w:tcBorders>
              <w:top w:val="nil"/>
              <w:left w:val="single" w:sz="4" w:space="0" w:color="auto"/>
              <w:bottom w:val="single" w:sz="4" w:space="0" w:color="000000"/>
              <w:right w:val="single" w:sz="4" w:space="0" w:color="auto"/>
            </w:tcBorders>
            <w:shd w:val="clear" w:color="auto" w:fill="auto"/>
            <w:noWrap/>
            <w:vAlign w:val="center"/>
            <w:hideMark/>
          </w:tcPr>
          <w:p w14:paraId="0FC4934D"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DCL</w:t>
            </w:r>
          </w:p>
        </w:tc>
        <w:tc>
          <w:tcPr>
            <w:tcW w:w="2304" w:type="dxa"/>
            <w:tcBorders>
              <w:top w:val="nil"/>
              <w:left w:val="single" w:sz="4" w:space="0" w:color="auto"/>
              <w:bottom w:val="single" w:sz="4" w:space="0" w:color="000000"/>
              <w:right w:val="single" w:sz="4" w:space="0" w:color="auto"/>
            </w:tcBorders>
            <w:shd w:val="clear" w:color="auto" w:fill="auto"/>
            <w:noWrap/>
            <w:vAlign w:val="center"/>
            <w:hideMark/>
          </w:tcPr>
          <w:p w14:paraId="0353A2BB"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28.5* (26.6-30.5)</w:t>
            </w:r>
          </w:p>
        </w:tc>
        <w:tc>
          <w:tcPr>
            <w:tcW w:w="2410" w:type="dxa"/>
            <w:tcBorders>
              <w:top w:val="nil"/>
              <w:left w:val="single" w:sz="4" w:space="0" w:color="auto"/>
              <w:bottom w:val="single" w:sz="4" w:space="0" w:color="000000"/>
              <w:right w:val="single" w:sz="4" w:space="0" w:color="auto"/>
            </w:tcBorders>
            <w:shd w:val="clear" w:color="auto" w:fill="auto"/>
            <w:noWrap/>
            <w:vAlign w:val="center"/>
            <w:hideMark/>
          </w:tcPr>
          <w:p w14:paraId="3A96846D"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62.8 (60.1-65.6)</w:t>
            </w:r>
          </w:p>
        </w:tc>
        <w:tc>
          <w:tcPr>
            <w:tcW w:w="2693" w:type="dxa"/>
            <w:tcBorders>
              <w:top w:val="nil"/>
              <w:left w:val="single" w:sz="4" w:space="0" w:color="auto"/>
              <w:bottom w:val="single" w:sz="4" w:space="0" w:color="000000"/>
              <w:right w:val="single" w:sz="4" w:space="0" w:color="auto"/>
            </w:tcBorders>
            <w:shd w:val="clear" w:color="auto" w:fill="auto"/>
            <w:noWrap/>
            <w:vAlign w:val="center"/>
            <w:hideMark/>
          </w:tcPr>
          <w:p w14:paraId="3B630EAF"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40.9 (38.4-43.6)</w:t>
            </w:r>
          </w:p>
        </w:tc>
        <w:tc>
          <w:tcPr>
            <w:tcW w:w="3969" w:type="dxa"/>
            <w:tcBorders>
              <w:top w:val="single" w:sz="4" w:space="0" w:color="auto"/>
              <w:left w:val="nil"/>
              <w:right w:val="single" w:sz="4" w:space="0" w:color="auto"/>
            </w:tcBorders>
            <w:shd w:val="clear" w:color="auto" w:fill="auto"/>
            <w:vAlign w:val="center"/>
          </w:tcPr>
          <w:p w14:paraId="62372C2F" w14:textId="42554808"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12</w:t>
            </w:r>
            <w:r w:rsidR="006775CE" w:rsidRPr="001D0ADC">
              <w:rPr>
                <w:rFonts w:cs="Times New Roman"/>
                <w:color w:val="auto"/>
                <w:szCs w:val="24"/>
                <w:lang w:val="en-GB" w:eastAsia="cs-CZ"/>
              </w:rPr>
              <w:t>2</w:t>
            </w:r>
            <w:r w:rsidRPr="001D0ADC">
              <w:rPr>
                <w:rFonts w:cs="Times New Roman"/>
                <w:color w:val="auto"/>
                <w:szCs w:val="24"/>
                <w:lang w:val="en-GB" w:eastAsia="cs-CZ"/>
              </w:rPr>
              <w:t xml:space="preserve"> (7)</w:t>
            </w:r>
          </w:p>
        </w:tc>
      </w:tr>
      <w:tr w:rsidR="001D0ADC" w:rsidRPr="001D0ADC" w14:paraId="6050C9C6" w14:textId="77777777" w:rsidTr="009B4490">
        <w:trPr>
          <w:trHeight w:val="3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FAA10F"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HDZ</w:t>
            </w:r>
          </w:p>
        </w:tc>
        <w:tc>
          <w:tcPr>
            <w:tcW w:w="2304" w:type="dxa"/>
            <w:tcBorders>
              <w:top w:val="nil"/>
              <w:left w:val="nil"/>
              <w:bottom w:val="single" w:sz="4" w:space="0" w:color="auto"/>
              <w:right w:val="single" w:sz="4" w:space="0" w:color="auto"/>
            </w:tcBorders>
            <w:shd w:val="clear" w:color="auto" w:fill="auto"/>
            <w:noWrap/>
            <w:vAlign w:val="center"/>
            <w:hideMark/>
          </w:tcPr>
          <w:p w14:paraId="6E017252"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733 (631-851)</w:t>
            </w:r>
          </w:p>
        </w:tc>
        <w:tc>
          <w:tcPr>
            <w:tcW w:w="2410" w:type="dxa"/>
            <w:tcBorders>
              <w:top w:val="nil"/>
              <w:left w:val="nil"/>
              <w:bottom w:val="single" w:sz="4" w:space="0" w:color="auto"/>
              <w:right w:val="single" w:sz="4" w:space="0" w:color="auto"/>
            </w:tcBorders>
            <w:shd w:val="clear" w:color="auto" w:fill="auto"/>
            <w:noWrap/>
            <w:vAlign w:val="center"/>
            <w:hideMark/>
          </w:tcPr>
          <w:p w14:paraId="488BA4A2"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14671 (2465-87313)</w:t>
            </w:r>
          </w:p>
        </w:tc>
        <w:tc>
          <w:tcPr>
            <w:tcW w:w="2693" w:type="dxa"/>
            <w:tcBorders>
              <w:top w:val="nil"/>
              <w:left w:val="nil"/>
              <w:bottom w:val="single" w:sz="4" w:space="0" w:color="auto"/>
              <w:right w:val="nil"/>
            </w:tcBorders>
            <w:shd w:val="clear" w:color="auto" w:fill="auto"/>
            <w:noWrap/>
            <w:vAlign w:val="center"/>
            <w:hideMark/>
          </w:tcPr>
          <w:p w14:paraId="3037A39C"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431* (374-497)</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18C5975"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589 (3)</w:t>
            </w:r>
          </w:p>
        </w:tc>
      </w:tr>
      <w:tr w:rsidR="001D0ADC" w:rsidRPr="001D0ADC" w14:paraId="4F5515D6" w14:textId="77777777" w:rsidTr="009B4490">
        <w:trPr>
          <w:trHeight w:val="167"/>
        </w:trPr>
        <w:tc>
          <w:tcPr>
            <w:tcW w:w="760" w:type="dxa"/>
            <w:tcBorders>
              <w:top w:val="nil"/>
              <w:left w:val="single" w:sz="4" w:space="0" w:color="auto"/>
              <w:bottom w:val="single" w:sz="4" w:space="0" w:color="000000"/>
              <w:right w:val="single" w:sz="4" w:space="0" w:color="auto"/>
            </w:tcBorders>
            <w:shd w:val="clear" w:color="auto" w:fill="auto"/>
            <w:noWrap/>
            <w:vAlign w:val="center"/>
            <w:hideMark/>
          </w:tcPr>
          <w:p w14:paraId="16599CD4"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IBU</w:t>
            </w:r>
          </w:p>
        </w:tc>
        <w:tc>
          <w:tcPr>
            <w:tcW w:w="2304" w:type="dxa"/>
            <w:tcBorders>
              <w:top w:val="nil"/>
              <w:left w:val="single" w:sz="4" w:space="0" w:color="auto"/>
              <w:bottom w:val="single" w:sz="4" w:space="0" w:color="000000"/>
              <w:right w:val="single" w:sz="4" w:space="0" w:color="auto"/>
            </w:tcBorders>
            <w:shd w:val="clear" w:color="auto" w:fill="auto"/>
            <w:noWrap/>
            <w:vAlign w:val="center"/>
            <w:hideMark/>
          </w:tcPr>
          <w:p w14:paraId="06E23A13"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74.2 (71.7-76.7)</w:t>
            </w:r>
          </w:p>
        </w:tc>
        <w:tc>
          <w:tcPr>
            <w:tcW w:w="2410" w:type="dxa"/>
            <w:tcBorders>
              <w:top w:val="nil"/>
              <w:left w:val="single" w:sz="4" w:space="0" w:color="auto"/>
              <w:bottom w:val="single" w:sz="4" w:space="0" w:color="000000"/>
              <w:right w:val="single" w:sz="4" w:space="0" w:color="auto"/>
            </w:tcBorders>
            <w:shd w:val="clear" w:color="auto" w:fill="auto"/>
            <w:noWrap/>
            <w:vAlign w:val="center"/>
            <w:hideMark/>
          </w:tcPr>
          <w:p w14:paraId="2FDAA233"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109 (103-116)</w:t>
            </w:r>
          </w:p>
        </w:tc>
        <w:tc>
          <w:tcPr>
            <w:tcW w:w="2693" w:type="dxa"/>
            <w:tcBorders>
              <w:top w:val="nil"/>
              <w:left w:val="single" w:sz="4" w:space="0" w:color="auto"/>
              <w:bottom w:val="single" w:sz="4" w:space="0" w:color="000000"/>
              <w:right w:val="single" w:sz="4" w:space="0" w:color="auto"/>
            </w:tcBorders>
            <w:shd w:val="clear" w:color="auto" w:fill="auto"/>
            <w:noWrap/>
            <w:vAlign w:val="center"/>
            <w:hideMark/>
          </w:tcPr>
          <w:p w14:paraId="718D5A50"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71* (68.4-73.7)</w:t>
            </w:r>
          </w:p>
        </w:tc>
        <w:tc>
          <w:tcPr>
            <w:tcW w:w="3969" w:type="dxa"/>
            <w:tcBorders>
              <w:top w:val="single" w:sz="4" w:space="0" w:color="auto"/>
              <w:left w:val="nil"/>
              <w:bottom w:val="single" w:sz="4" w:space="0" w:color="auto"/>
              <w:right w:val="single" w:sz="4" w:space="0" w:color="auto"/>
            </w:tcBorders>
            <w:shd w:val="clear" w:color="auto" w:fill="auto"/>
            <w:vAlign w:val="center"/>
          </w:tcPr>
          <w:p w14:paraId="56CE9C75" w14:textId="505E4C53"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17</w:t>
            </w:r>
            <w:r w:rsidR="006775CE" w:rsidRPr="001D0ADC">
              <w:rPr>
                <w:rFonts w:cs="Times New Roman"/>
                <w:color w:val="auto"/>
                <w:szCs w:val="24"/>
                <w:lang w:val="en-GB" w:eastAsia="cs-CZ"/>
              </w:rPr>
              <w:t>7</w:t>
            </w:r>
            <w:r w:rsidRPr="001D0ADC">
              <w:rPr>
                <w:rFonts w:cs="Times New Roman"/>
                <w:color w:val="auto"/>
                <w:szCs w:val="24"/>
                <w:lang w:val="en-GB" w:eastAsia="cs-CZ"/>
              </w:rPr>
              <w:t xml:space="preserve"> (11)</w:t>
            </w:r>
          </w:p>
        </w:tc>
      </w:tr>
      <w:tr w:rsidR="001D0ADC" w:rsidRPr="001D0ADC" w14:paraId="2E9BFE70" w14:textId="77777777" w:rsidTr="009B4490">
        <w:trPr>
          <w:trHeight w:val="128"/>
        </w:trPr>
        <w:tc>
          <w:tcPr>
            <w:tcW w:w="760" w:type="dxa"/>
            <w:tcBorders>
              <w:top w:val="nil"/>
              <w:left w:val="single" w:sz="4" w:space="0" w:color="auto"/>
              <w:bottom w:val="single" w:sz="4" w:space="0" w:color="000000"/>
              <w:right w:val="single" w:sz="4" w:space="0" w:color="auto"/>
            </w:tcBorders>
            <w:shd w:val="clear" w:color="auto" w:fill="auto"/>
            <w:noWrap/>
            <w:vAlign w:val="center"/>
            <w:hideMark/>
          </w:tcPr>
          <w:p w14:paraId="0E338AB6"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PCM</w:t>
            </w:r>
          </w:p>
        </w:tc>
        <w:tc>
          <w:tcPr>
            <w:tcW w:w="2304" w:type="dxa"/>
            <w:tcBorders>
              <w:top w:val="nil"/>
              <w:left w:val="single" w:sz="4" w:space="0" w:color="auto"/>
              <w:bottom w:val="single" w:sz="4" w:space="0" w:color="000000"/>
              <w:right w:val="single" w:sz="4" w:space="0" w:color="auto"/>
            </w:tcBorders>
            <w:shd w:val="clear" w:color="auto" w:fill="auto"/>
            <w:noWrap/>
            <w:vAlign w:val="center"/>
            <w:hideMark/>
          </w:tcPr>
          <w:p w14:paraId="6A5D2508"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2503 (1690-3707)</w:t>
            </w:r>
          </w:p>
        </w:tc>
        <w:tc>
          <w:tcPr>
            <w:tcW w:w="2410" w:type="dxa"/>
            <w:tcBorders>
              <w:top w:val="nil"/>
              <w:left w:val="single" w:sz="4" w:space="0" w:color="auto"/>
              <w:bottom w:val="single" w:sz="4" w:space="0" w:color="000000"/>
              <w:right w:val="single" w:sz="4" w:space="0" w:color="auto"/>
            </w:tcBorders>
            <w:shd w:val="clear" w:color="auto" w:fill="auto"/>
            <w:noWrap/>
            <w:vAlign w:val="center"/>
            <w:hideMark/>
          </w:tcPr>
          <w:p w14:paraId="12629799"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7443 (2035-27223)</w:t>
            </w:r>
          </w:p>
        </w:tc>
        <w:tc>
          <w:tcPr>
            <w:tcW w:w="2693" w:type="dxa"/>
            <w:tcBorders>
              <w:top w:val="nil"/>
              <w:left w:val="single" w:sz="4" w:space="0" w:color="auto"/>
              <w:bottom w:val="single" w:sz="4" w:space="0" w:color="000000"/>
              <w:right w:val="single" w:sz="4" w:space="0" w:color="auto"/>
            </w:tcBorders>
            <w:shd w:val="clear" w:color="auto" w:fill="auto"/>
            <w:noWrap/>
            <w:vAlign w:val="center"/>
            <w:hideMark/>
          </w:tcPr>
          <w:p w14:paraId="6B5E8D70"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1908* (1208-3014)</w:t>
            </w:r>
          </w:p>
        </w:tc>
        <w:tc>
          <w:tcPr>
            <w:tcW w:w="3969" w:type="dxa"/>
            <w:tcBorders>
              <w:top w:val="single" w:sz="4" w:space="0" w:color="auto"/>
              <w:left w:val="nil"/>
              <w:bottom w:val="single" w:sz="4" w:space="0" w:color="auto"/>
              <w:right w:val="single" w:sz="4" w:space="0" w:color="auto"/>
            </w:tcBorders>
            <w:shd w:val="clear" w:color="auto" w:fill="auto"/>
            <w:vAlign w:val="center"/>
          </w:tcPr>
          <w:p w14:paraId="2564FF1F" w14:textId="009FAE7C" w:rsidR="00E05B1D" w:rsidRPr="001D0ADC" w:rsidRDefault="006775CE"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511</w:t>
            </w:r>
            <w:r w:rsidR="00E05B1D" w:rsidRPr="001D0ADC">
              <w:rPr>
                <w:rFonts w:cs="Times New Roman"/>
                <w:color w:val="auto"/>
                <w:szCs w:val="24"/>
                <w:lang w:val="en-GB" w:eastAsia="cs-CZ"/>
              </w:rPr>
              <w:t xml:space="preserve"> (</w:t>
            </w:r>
            <w:r w:rsidRPr="001D0ADC">
              <w:rPr>
                <w:rFonts w:cs="Times New Roman"/>
                <w:color w:val="auto"/>
                <w:szCs w:val="24"/>
                <w:lang w:val="en-GB" w:eastAsia="cs-CZ"/>
              </w:rPr>
              <w:t>3</w:t>
            </w:r>
            <w:r w:rsidR="00E05B1D" w:rsidRPr="001D0ADC">
              <w:rPr>
                <w:rFonts w:cs="Times New Roman"/>
                <w:color w:val="auto"/>
                <w:szCs w:val="24"/>
                <w:lang w:val="en-GB" w:eastAsia="cs-CZ"/>
              </w:rPr>
              <w:t>)</w:t>
            </w:r>
          </w:p>
        </w:tc>
      </w:tr>
      <w:tr w:rsidR="00E05B1D" w:rsidRPr="001D0ADC" w14:paraId="29B71336" w14:textId="77777777" w:rsidTr="009B4490">
        <w:trPr>
          <w:trHeight w:val="30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17CCEAD" w14:textId="77777777" w:rsidR="00E05B1D" w:rsidRPr="001D0ADC" w:rsidRDefault="00E05B1D" w:rsidP="009B4490">
            <w:pPr>
              <w:pStyle w:val="NoSpacing"/>
              <w:ind w:firstLine="0"/>
              <w:jc w:val="center"/>
              <w:rPr>
                <w:rFonts w:cs="Times New Roman"/>
                <w:b/>
                <w:bCs/>
                <w:color w:val="auto"/>
                <w:szCs w:val="24"/>
                <w:lang w:val="en-GB" w:eastAsia="cs-CZ"/>
              </w:rPr>
            </w:pPr>
            <w:r w:rsidRPr="001D0ADC">
              <w:rPr>
                <w:rFonts w:cs="Times New Roman"/>
                <w:b/>
                <w:bCs/>
                <w:color w:val="auto"/>
                <w:szCs w:val="24"/>
                <w:lang w:val="en-GB" w:eastAsia="cs-CZ"/>
              </w:rPr>
              <w:t>SMX</w:t>
            </w:r>
          </w:p>
        </w:tc>
        <w:tc>
          <w:tcPr>
            <w:tcW w:w="2304" w:type="dxa"/>
            <w:tcBorders>
              <w:top w:val="nil"/>
              <w:left w:val="single" w:sz="4" w:space="0" w:color="auto"/>
              <w:bottom w:val="single" w:sz="4" w:space="0" w:color="auto"/>
              <w:right w:val="single" w:sz="4" w:space="0" w:color="auto"/>
            </w:tcBorders>
            <w:shd w:val="clear" w:color="auto" w:fill="auto"/>
            <w:noWrap/>
            <w:vAlign w:val="center"/>
            <w:hideMark/>
          </w:tcPr>
          <w:p w14:paraId="1C11A156"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720* (688-754)</w:t>
            </w:r>
          </w:p>
        </w:tc>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B671597"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802 (794-810)</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B42848" w14:textId="77777777"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731 (705-759)</w:t>
            </w:r>
          </w:p>
        </w:tc>
        <w:tc>
          <w:tcPr>
            <w:tcW w:w="3969" w:type="dxa"/>
            <w:tcBorders>
              <w:top w:val="single" w:sz="4" w:space="0" w:color="auto"/>
              <w:left w:val="nil"/>
              <w:bottom w:val="single" w:sz="4" w:space="0" w:color="auto"/>
              <w:right w:val="single" w:sz="4" w:space="0" w:color="auto"/>
            </w:tcBorders>
            <w:shd w:val="clear" w:color="auto" w:fill="auto"/>
            <w:vAlign w:val="center"/>
          </w:tcPr>
          <w:p w14:paraId="567A37AF" w14:textId="30BB066A" w:rsidR="00E05B1D" w:rsidRPr="001D0ADC" w:rsidRDefault="00E05B1D" w:rsidP="009B4490">
            <w:pPr>
              <w:pStyle w:val="NoSpacing"/>
              <w:spacing w:before="40" w:after="40"/>
              <w:ind w:firstLine="0"/>
              <w:jc w:val="center"/>
              <w:rPr>
                <w:rFonts w:cs="Times New Roman"/>
                <w:color w:val="auto"/>
                <w:szCs w:val="24"/>
                <w:lang w:val="en-GB" w:eastAsia="cs-CZ"/>
              </w:rPr>
            </w:pPr>
            <w:r w:rsidRPr="001D0ADC">
              <w:rPr>
                <w:rFonts w:cs="Times New Roman"/>
                <w:color w:val="auto"/>
                <w:szCs w:val="24"/>
                <w:lang w:val="en-GB" w:eastAsia="cs-CZ"/>
              </w:rPr>
              <w:t>12</w:t>
            </w:r>
            <w:r w:rsidR="006775CE" w:rsidRPr="001D0ADC">
              <w:rPr>
                <w:rFonts w:cs="Times New Roman"/>
                <w:color w:val="auto"/>
                <w:szCs w:val="24"/>
                <w:lang w:val="en-GB" w:eastAsia="cs-CZ"/>
              </w:rPr>
              <w:t>7</w:t>
            </w:r>
            <w:r w:rsidRPr="001D0ADC">
              <w:rPr>
                <w:rFonts w:cs="Times New Roman"/>
                <w:color w:val="auto"/>
                <w:szCs w:val="24"/>
                <w:lang w:val="en-GB" w:eastAsia="cs-CZ"/>
              </w:rPr>
              <w:t xml:space="preserve"> (1)</w:t>
            </w:r>
          </w:p>
        </w:tc>
      </w:tr>
    </w:tbl>
    <w:p w14:paraId="6F68C1E6" w14:textId="77777777" w:rsidR="00E05B1D" w:rsidRPr="001D0ADC" w:rsidRDefault="00E05B1D" w:rsidP="00E05B1D">
      <w:pPr>
        <w:rPr>
          <w:rFonts w:ascii="Times New Roman" w:hAnsi="Times New Roman" w:cs="Times New Roman"/>
          <w:sz w:val="24"/>
          <w:szCs w:val="24"/>
          <w:lang w:val="en-GB"/>
        </w:rPr>
      </w:pPr>
    </w:p>
    <w:p w14:paraId="325832BF" w14:textId="77777777" w:rsidR="00F24186" w:rsidRPr="001D0ADC" w:rsidRDefault="00F24186" w:rsidP="006542D6">
      <w:pPr>
        <w:rPr>
          <w:lang w:val="en-GB"/>
        </w:rPr>
      </w:pPr>
    </w:p>
    <w:p w14:paraId="52344951" w14:textId="757FC40D" w:rsidR="004E4B09" w:rsidRPr="001D0ADC" w:rsidRDefault="00D06E3E" w:rsidP="004E4B09">
      <w:pPr>
        <w:pStyle w:val="Bibliography"/>
        <w:rPr>
          <w:rFonts w:ascii="Calibri" w:hAnsi="Calibri" w:cs="Calibri"/>
        </w:rPr>
      </w:pPr>
      <w:r w:rsidRPr="001D0ADC">
        <w:rPr>
          <w:lang w:val="en-GB"/>
        </w:rPr>
        <w:fldChar w:fldCharType="begin"/>
      </w:r>
      <w:r w:rsidR="004E4B09" w:rsidRPr="001D0ADC">
        <w:rPr>
          <w:lang w:val="en-GB"/>
        </w:rPr>
        <w:instrText xml:space="preserve"> ADDIN ZOTERO_BIBL {"uncited":[],"omitted":[],"custom":[]} CSL_BIBLIOGRAPHY </w:instrText>
      </w:r>
      <w:r w:rsidRPr="001D0ADC">
        <w:rPr>
          <w:lang w:val="en-GB"/>
        </w:rPr>
        <w:fldChar w:fldCharType="separate"/>
      </w:r>
      <w:r w:rsidR="004E4B09" w:rsidRPr="001D0ADC">
        <w:rPr>
          <w:rFonts w:ascii="Calibri" w:hAnsi="Calibri" w:cs="Calibri"/>
        </w:rPr>
        <w:t xml:space="preserve">A. Fernández, G. Carbonell, and M. Babín. 2013. ‘Effects of Individual and a Mixture of Pharmaceuticals and Personal-Care Products on Cytotoxicity, EROD Activity and ROS Production in a Rainbow Trout Gonadal Cell Line (RTG-2)’. </w:t>
      </w:r>
      <w:r w:rsidR="004E4B09" w:rsidRPr="001D0ADC">
        <w:rPr>
          <w:rFonts w:ascii="Calibri" w:hAnsi="Calibri" w:cs="Calibri"/>
          <w:i/>
          <w:iCs/>
        </w:rPr>
        <w:t>Journal of Applied Toxicology</w:t>
      </w:r>
      <w:r w:rsidR="004E4B09" w:rsidRPr="001D0ADC">
        <w:rPr>
          <w:rFonts w:ascii="Calibri" w:hAnsi="Calibri" w:cs="Calibri"/>
        </w:rPr>
        <w:t>, no. 3</w:t>
      </w:r>
      <w:r w:rsidR="00CF2036" w:rsidRPr="001D0ADC">
        <w:rPr>
          <w:rFonts w:ascii="Calibri" w:hAnsi="Calibri" w:cs="Calibri"/>
        </w:rPr>
        <w:t>3.</w:t>
      </w:r>
      <w:r w:rsidR="004E4B09" w:rsidRPr="001D0ADC">
        <w:rPr>
          <w:rFonts w:ascii="Calibri" w:hAnsi="Calibri" w:cs="Calibri"/>
        </w:rPr>
        <w:t xml:space="preserve"> 1203–12. https://doi.org/10.1002/jat.1446.</w:t>
      </w:r>
    </w:p>
    <w:p w14:paraId="3AED887C" w14:textId="77777777" w:rsidR="004E4B09" w:rsidRPr="001D0ADC" w:rsidRDefault="004E4B09" w:rsidP="004E4B09">
      <w:pPr>
        <w:pStyle w:val="Bibliography"/>
        <w:rPr>
          <w:rFonts w:ascii="Calibri" w:hAnsi="Calibri" w:cs="Calibri"/>
        </w:rPr>
      </w:pPr>
      <w:r w:rsidRPr="001D0ADC">
        <w:rPr>
          <w:rFonts w:ascii="Calibri" w:hAnsi="Calibri" w:cs="Calibri"/>
        </w:rPr>
        <w:t>Adeolu, Aderemi O, Hunter Colin, Pahl Ole, Roberts Joanne, and Shu Xinhua. 2020. ‘Developmental Anomalies and Oxidative Stress Responses in Zebrafish (Danio Rerio) Following Embryonic Exposure to Human Pharmaceuticals’.</w:t>
      </w:r>
    </w:p>
    <w:p w14:paraId="4599D1A4" w14:textId="77777777" w:rsidR="004E4B09" w:rsidRPr="001D0ADC" w:rsidRDefault="004E4B09" w:rsidP="004E4B09">
      <w:pPr>
        <w:pStyle w:val="Bibliography"/>
        <w:rPr>
          <w:rFonts w:ascii="Calibri" w:hAnsi="Calibri" w:cs="Calibri"/>
        </w:rPr>
      </w:pPr>
      <w:r w:rsidRPr="001D0ADC">
        <w:rPr>
          <w:rFonts w:ascii="Calibri" w:hAnsi="Calibri" w:cs="Calibri"/>
        </w:rPr>
        <w:t xml:space="preserve">Almeida, Mónica, Manuel A. Martins, Amadeu M.V. Soares, Alberto Cuesta, and Miguel Oliveira. 2019. ‘Polystyrene Nanoplastics Alter the Cytotoxicity of Human Pharmaceuticals on Marine Fish Cell Lines’. </w:t>
      </w:r>
      <w:r w:rsidRPr="001D0ADC">
        <w:rPr>
          <w:rFonts w:ascii="Calibri" w:hAnsi="Calibri" w:cs="Calibri"/>
          <w:i/>
          <w:iCs/>
        </w:rPr>
        <w:t>Environmental Toxicology and Pharmacology</w:t>
      </w:r>
      <w:r w:rsidRPr="001D0ADC">
        <w:rPr>
          <w:rFonts w:ascii="Calibri" w:hAnsi="Calibri" w:cs="Calibri"/>
        </w:rPr>
        <w:t xml:space="preserve"> 69 (July):57–65. https://doi.org/10.1016/j.etap.2019.03.019.</w:t>
      </w:r>
    </w:p>
    <w:p w14:paraId="390C5D31" w14:textId="77777777" w:rsidR="004E4B09" w:rsidRPr="001D0ADC" w:rsidRDefault="004E4B09" w:rsidP="004E4B09">
      <w:pPr>
        <w:pStyle w:val="Bibliography"/>
        <w:rPr>
          <w:rFonts w:ascii="Calibri" w:hAnsi="Calibri" w:cs="Calibri"/>
        </w:rPr>
      </w:pPr>
      <w:r w:rsidRPr="001D0ADC">
        <w:rPr>
          <w:rFonts w:ascii="Calibri" w:hAnsi="Calibri" w:cs="Calibri"/>
        </w:rPr>
        <w:t xml:space="preserve">Alsop, Derek, and Chris M. Wood. 2013. ‘Metal and Pharmaceutical Mixtures: Is Ion Loss the Mechanism Underlying Acute Toxicity and Widespread Additive Toxicity in Zebrafish?’ </w:t>
      </w:r>
      <w:r w:rsidRPr="001D0ADC">
        <w:rPr>
          <w:rFonts w:ascii="Calibri" w:hAnsi="Calibri" w:cs="Calibri"/>
          <w:i/>
          <w:iCs/>
        </w:rPr>
        <w:t>Aquatic Toxicology</w:t>
      </w:r>
      <w:r w:rsidRPr="001D0ADC">
        <w:rPr>
          <w:rFonts w:ascii="Calibri" w:hAnsi="Calibri" w:cs="Calibri"/>
        </w:rPr>
        <w:t xml:space="preserve"> 140–141 (September):257–67. https://doi.org/10.1016/j.aquatox.2013.05.021.</w:t>
      </w:r>
    </w:p>
    <w:p w14:paraId="2A5FE7C2" w14:textId="77777777" w:rsidR="004E4B09" w:rsidRPr="001D0ADC" w:rsidRDefault="004E4B09" w:rsidP="004E4B09">
      <w:pPr>
        <w:pStyle w:val="Bibliography"/>
        <w:rPr>
          <w:rFonts w:ascii="Calibri" w:hAnsi="Calibri" w:cs="Calibri"/>
        </w:rPr>
      </w:pPr>
      <w:r w:rsidRPr="001D0ADC">
        <w:rPr>
          <w:rFonts w:ascii="Calibri" w:hAnsi="Calibri" w:cs="Calibri"/>
        </w:rPr>
        <w:t xml:space="preserve">Araujo, Gabriel De Farias, Lorena Oliveira Souza Soares, Sidney Fernandes Sales Junior, Leandro Vargas Barreto De Carvalho, Rafael Christian Chávez Rocha, Tatiana Saint’Pierre, Rachel Ann Hauser-Davis, Fábio Veríssimo Correia, and Enrico Mendes Saggioro. 2022. ‘Oxidative Stress and Metal Homeostasis Alterations in Danio Rerio (Zebrafish) under Single and Combined Carbamazepine, Acetamiprid and Cadmium Exposures’. </w:t>
      </w:r>
      <w:r w:rsidRPr="001D0ADC">
        <w:rPr>
          <w:rFonts w:ascii="Calibri" w:hAnsi="Calibri" w:cs="Calibri"/>
          <w:i/>
          <w:iCs/>
        </w:rPr>
        <w:t>Aquatic Toxicology</w:t>
      </w:r>
      <w:r w:rsidRPr="001D0ADC">
        <w:rPr>
          <w:rFonts w:ascii="Calibri" w:hAnsi="Calibri" w:cs="Calibri"/>
        </w:rPr>
        <w:t xml:space="preserve"> 245 (April):106122. https://doi.org/10.1016/j.aquatox.2022.106122.</w:t>
      </w:r>
    </w:p>
    <w:p w14:paraId="3C4AD7D7" w14:textId="77777777" w:rsidR="004E4B09" w:rsidRPr="001D0ADC" w:rsidRDefault="004E4B09" w:rsidP="004E4B09">
      <w:pPr>
        <w:pStyle w:val="Bibliography"/>
        <w:rPr>
          <w:rFonts w:ascii="Calibri" w:hAnsi="Calibri" w:cs="Calibri"/>
        </w:rPr>
      </w:pPr>
      <w:r w:rsidRPr="001D0ADC">
        <w:rPr>
          <w:rFonts w:ascii="Calibri" w:hAnsi="Calibri" w:cs="Calibri"/>
        </w:rPr>
        <w:t xml:space="preserve">Bao, Shuang, Xiangping Nie, Yang Liu, Chao Wang, Wenlong Li, and Sijia Liu. 2018. ‘Diclofenac Exposure Alter the Expression of PXR and Its Downstream Target Genes in Mosquito Fish (Gambusia Affinis)’. </w:t>
      </w:r>
      <w:r w:rsidRPr="001D0ADC">
        <w:rPr>
          <w:rFonts w:ascii="Calibri" w:hAnsi="Calibri" w:cs="Calibri"/>
          <w:i/>
          <w:iCs/>
        </w:rPr>
        <w:t>Science of The Total Environment</w:t>
      </w:r>
      <w:r w:rsidRPr="001D0ADC">
        <w:rPr>
          <w:rFonts w:ascii="Calibri" w:hAnsi="Calibri" w:cs="Calibri"/>
        </w:rPr>
        <w:t xml:space="preserve"> 616–617 (March):583–93. https://doi.org/10.1016/j.scitotenv.2017.10.305.</w:t>
      </w:r>
    </w:p>
    <w:p w14:paraId="1E472F32" w14:textId="77777777" w:rsidR="004E4B09" w:rsidRPr="001D0ADC" w:rsidRDefault="004E4B09" w:rsidP="004E4B09">
      <w:pPr>
        <w:pStyle w:val="Bibliography"/>
        <w:rPr>
          <w:rFonts w:ascii="Calibri" w:hAnsi="Calibri" w:cs="Calibri"/>
        </w:rPr>
      </w:pPr>
      <w:r w:rsidRPr="001D0ADC">
        <w:rPr>
          <w:rFonts w:ascii="Calibri" w:hAnsi="Calibri" w:cs="Calibri"/>
        </w:rPr>
        <w:t xml:space="preserve">Bao, Shuang, Xiangping Nie, Ruikang Ou, Chao Wang, Peijia Ku, and Kaibing Li. 2017. ‘Effects of Diclofenac on the Expression of Nrf2 and Its Downstream Target Genes in Mosquito Fish (Gambusia Affinis)’. </w:t>
      </w:r>
      <w:r w:rsidRPr="001D0ADC">
        <w:rPr>
          <w:rFonts w:ascii="Calibri" w:hAnsi="Calibri" w:cs="Calibri"/>
          <w:i/>
          <w:iCs/>
        </w:rPr>
        <w:t>Aquatic Toxicology</w:t>
      </w:r>
      <w:r w:rsidRPr="001D0ADC">
        <w:rPr>
          <w:rFonts w:ascii="Calibri" w:hAnsi="Calibri" w:cs="Calibri"/>
        </w:rPr>
        <w:t xml:space="preserve"> 188 (July):43–53. https://doi.org/10.1016/j.aquatox.2017.04.008.</w:t>
      </w:r>
    </w:p>
    <w:p w14:paraId="2BEA4DB5" w14:textId="77777777" w:rsidR="004E4B09" w:rsidRPr="001D0ADC" w:rsidRDefault="004E4B09" w:rsidP="004E4B09">
      <w:pPr>
        <w:pStyle w:val="Bibliography"/>
        <w:rPr>
          <w:rFonts w:ascii="Calibri" w:hAnsi="Calibri" w:cs="Calibri"/>
        </w:rPr>
      </w:pPr>
      <w:r w:rsidRPr="001D0ADC">
        <w:rPr>
          <w:rFonts w:ascii="Calibri" w:hAnsi="Calibri" w:cs="Calibri"/>
        </w:rPr>
        <w:t xml:space="preserve">Bars, Chloé, Jente Hoyberghs, Allan Valenzuela, Laura Buyssens, Miriam Ayuso, Chris Van Ginneken, Alain J. Labro, Kenn Foubert, and Steven J. Van Cruchten. 2021. ‘Developmental Toxicity and Biotransformation of Two Anti-Epileptics in Zebrafish Embryos and Early Larvae’. </w:t>
      </w:r>
      <w:r w:rsidRPr="001D0ADC">
        <w:rPr>
          <w:rFonts w:ascii="Calibri" w:hAnsi="Calibri" w:cs="Calibri"/>
          <w:i/>
          <w:iCs/>
        </w:rPr>
        <w:t>International Journal of Molecular Sciences</w:t>
      </w:r>
      <w:r w:rsidRPr="001D0ADC">
        <w:rPr>
          <w:rFonts w:ascii="Calibri" w:hAnsi="Calibri" w:cs="Calibri"/>
        </w:rPr>
        <w:t xml:space="preserve"> 22 (23): 12696. https://doi.org/10.3390/ijms222312696.</w:t>
      </w:r>
    </w:p>
    <w:p w14:paraId="56B3E99A" w14:textId="77777777" w:rsidR="004E4B09" w:rsidRPr="001D0ADC" w:rsidRDefault="004E4B09" w:rsidP="004E4B09">
      <w:pPr>
        <w:pStyle w:val="Bibliography"/>
        <w:rPr>
          <w:rFonts w:ascii="Calibri" w:hAnsi="Calibri" w:cs="Calibri"/>
        </w:rPr>
      </w:pPr>
      <w:r w:rsidRPr="001D0ADC">
        <w:rPr>
          <w:rFonts w:ascii="Calibri" w:hAnsi="Calibri" w:cs="Calibri"/>
        </w:rPr>
        <w:t>Bartoskova, Marta, Radka Dobsikova, Vlasta Stancova, Dana Zivna, Jana Blahova, Petr Marsalek, Lenka Zelnickova, Milan Bartos, Francesca Casuscelli di Tocco, and Caterina Faggio. 2013. ‘Evaluation of Ibuprofen Toxicity for Zebrafish (Danio Rerio) Targeting on Selected Biomarkers of Oxidative Stress’.</w:t>
      </w:r>
    </w:p>
    <w:p w14:paraId="4F159269" w14:textId="77777777" w:rsidR="004E4B09" w:rsidRPr="001D0ADC" w:rsidRDefault="004E4B09" w:rsidP="004E4B09">
      <w:pPr>
        <w:pStyle w:val="Bibliography"/>
        <w:rPr>
          <w:rFonts w:ascii="Calibri" w:hAnsi="Calibri" w:cs="Calibri"/>
        </w:rPr>
      </w:pPr>
      <w:r w:rsidRPr="001D0ADC">
        <w:rPr>
          <w:rFonts w:ascii="Calibri" w:hAnsi="Calibri" w:cs="Calibri"/>
        </w:rPr>
        <w:t xml:space="preserve">Bereketoglu, Ceyhun, Ajay Pradhan, and Per-Erik Olsson. 2020. ‘Nonsteroidal Anti-Inflammatory Drugs (NSAIDs) Cause Male-Biased Sex Differentiation in Zebrafish’. </w:t>
      </w:r>
      <w:r w:rsidRPr="001D0ADC">
        <w:rPr>
          <w:rFonts w:ascii="Calibri" w:hAnsi="Calibri" w:cs="Calibri"/>
          <w:i/>
          <w:iCs/>
        </w:rPr>
        <w:t>Aquatic Toxicology</w:t>
      </w:r>
      <w:r w:rsidRPr="001D0ADC">
        <w:rPr>
          <w:rFonts w:ascii="Calibri" w:hAnsi="Calibri" w:cs="Calibri"/>
        </w:rPr>
        <w:t xml:space="preserve"> 223 (June):105476. https://doi.org/10.1016/j.aquatox.2020.105476.</w:t>
      </w:r>
    </w:p>
    <w:p w14:paraId="099E9B57" w14:textId="77777777" w:rsidR="004E4B09" w:rsidRPr="001D0ADC" w:rsidRDefault="004E4B09" w:rsidP="004E4B09">
      <w:pPr>
        <w:pStyle w:val="Bibliography"/>
        <w:rPr>
          <w:rFonts w:ascii="Calibri" w:hAnsi="Calibri" w:cs="Calibri"/>
        </w:rPr>
      </w:pPr>
      <w:r w:rsidRPr="001D0ADC">
        <w:rPr>
          <w:rFonts w:ascii="Calibri" w:hAnsi="Calibri" w:cs="Calibri"/>
        </w:rPr>
        <w:t xml:space="preserve">Bhattacharjee, Sayantan, SK Rout, and Biswajit Goswami. 2022. ‘Short Term Toxicological Effect of Clofibric Acid on Labeo Rohita Fingerlings (Hamilton, 1822): Behavioural and Enzymatic Responses’. </w:t>
      </w:r>
      <w:r w:rsidRPr="001D0ADC">
        <w:rPr>
          <w:rFonts w:ascii="Calibri" w:hAnsi="Calibri" w:cs="Calibri"/>
          <w:i/>
          <w:iCs/>
        </w:rPr>
        <w:t>The Pharma Innovation Journal</w:t>
      </w:r>
      <w:r w:rsidRPr="001D0ADC">
        <w:rPr>
          <w:rFonts w:ascii="Calibri" w:hAnsi="Calibri" w:cs="Calibri"/>
        </w:rPr>
        <w:t xml:space="preserve"> 2022 (SP-11(10)): 1431–35.</w:t>
      </w:r>
    </w:p>
    <w:p w14:paraId="24BA203D" w14:textId="77777777" w:rsidR="004E4B09" w:rsidRPr="001D0ADC" w:rsidRDefault="004E4B09" w:rsidP="004E4B09">
      <w:pPr>
        <w:pStyle w:val="Bibliography"/>
        <w:rPr>
          <w:rFonts w:ascii="Calibri" w:hAnsi="Calibri" w:cs="Calibri"/>
        </w:rPr>
      </w:pPr>
      <w:r w:rsidRPr="001D0ADC">
        <w:rPr>
          <w:rFonts w:ascii="Calibri" w:hAnsi="Calibri" w:cs="Calibri"/>
        </w:rPr>
        <w:t xml:space="preserve">Bio, Sofia, and Bruno Nunes. 2020. ‘Acute Effects of Diclofenac on Zebrafish: Indications of Oxidative Effects and Damages at Environmentally Realistic Levels of Exposure’. </w:t>
      </w:r>
      <w:r w:rsidRPr="001D0ADC">
        <w:rPr>
          <w:rFonts w:ascii="Calibri" w:hAnsi="Calibri" w:cs="Calibri"/>
          <w:i/>
          <w:iCs/>
        </w:rPr>
        <w:t>Environmental Toxicology and Pharmacology</w:t>
      </w:r>
      <w:r w:rsidRPr="001D0ADC">
        <w:rPr>
          <w:rFonts w:ascii="Calibri" w:hAnsi="Calibri" w:cs="Calibri"/>
        </w:rPr>
        <w:t xml:space="preserve"> 78 (August):103394. https://doi.org/10.1016/j.etap.2020.103394.</w:t>
      </w:r>
    </w:p>
    <w:p w14:paraId="13739084" w14:textId="77777777" w:rsidR="004E4B09" w:rsidRPr="001D0ADC" w:rsidRDefault="004E4B09" w:rsidP="004E4B09">
      <w:pPr>
        <w:pStyle w:val="Bibliography"/>
        <w:rPr>
          <w:rFonts w:ascii="Calibri" w:hAnsi="Calibri" w:cs="Calibri"/>
        </w:rPr>
      </w:pPr>
      <w:r w:rsidRPr="001D0ADC">
        <w:rPr>
          <w:rFonts w:ascii="Calibri" w:hAnsi="Calibri" w:cs="Calibri"/>
        </w:rPr>
        <w:t xml:space="preserve">Brandão, F.P., S. Rodrigues, B.B. Castro, F. Gonçalves, S.C. Antunes, and B. Nunes. 2013. ‘Short-Term Effects of Neuroactive Pharmaceutical Drugs on a Fish Species: Biochemical and Behavioural Effects’. </w:t>
      </w:r>
      <w:r w:rsidRPr="001D0ADC">
        <w:rPr>
          <w:rFonts w:ascii="Calibri" w:hAnsi="Calibri" w:cs="Calibri"/>
          <w:i/>
          <w:iCs/>
        </w:rPr>
        <w:t>Aquatic Toxicology</w:t>
      </w:r>
      <w:r w:rsidRPr="001D0ADC">
        <w:rPr>
          <w:rFonts w:ascii="Calibri" w:hAnsi="Calibri" w:cs="Calibri"/>
        </w:rPr>
        <w:t xml:space="preserve"> 144–145 (November):218–29. https://doi.org/10.1016/j.aquatox.2013.10.005.</w:t>
      </w:r>
    </w:p>
    <w:p w14:paraId="537BCEF3" w14:textId="77777777" w:rsidR="004E4B09" w:rsidRPr="001D0ADC" w:rsidRDefault="004E4B09" w:rsidP="004E4B09">
      <w:pPr>
        <w:pStyle w:val="Bibliography"/>
        <w:rPr>
          <w:rFonts w:ascii="Calibri" w:hAnsi="Calibri" w:cs="Calibri"/>
        </w:rPr>
      </w:pPr>
      <w:r w:rsidRPr="001D0ADC">
        <w:rPr>
          <w:rFonts w:ascii="Calibri" w:hAnsi="Calibri" w:cs="Calibri"/>
        </w:rPr>
        <w:t xml:space="preserve">Brooke, L. T., D. J. Call, D. L. Geiger, and C. E. Northcott. 1984. </w:t>
      </w:r>
      <w:r w:rsidRPr="001D0ADC">
        <w:rPr>
          <w:rFonts w:ascii="Calibri" w:hAnsi="Calibri" w:cs="Calibri"/>
          <w:i/>
          <w:iCs/>
        </w:rPr>
        <w:t>Acute Toxicities of Organic Chemicals to Fathead Minnows (Pimephales Promelas) Volume I</w:t>
      </w:r>
      <w:r w:rsidRPr="001D0ADC">
        <w:rPr>
          <w:rFonts w:ascii="Calibri" w:hAnsi="Calibri" w:cs="Calibri"/>
        </w:rPr>
        <w:t>. https://minds.wisconsin.edu/handle/1793/81143.</w:t>
      </w:r>
    </w:p>
    <w:p w14:paraId="4FBF268E" w14:textId="77777777" w:rsidR="004E4B09" w:rsidRPr="001D0ADC" w:rsidRDefault="004E4B09" w:rsidP="004E4B09">
      <w:pPr>
        <w:pStyle w:val="Bibliography"/>
        <w:rPr>
          <w:rFonts w:ascii="Calibri" w:hAnsi="Calibri" w:cs="Calibri"/>
        </w:rPr>
      </w:pPr>
      <w:r w:rsidRPr="001D0ADC">
        <w:rPr>
          <w:rFonts w:ascii="Calibri" w:hAnsi="Calibri" w:cs="Calibri"/>
        </w:rPr>
        <w:t xml:space="preserve">Caminada, Daniel, Claudia Escher, and Karl Fent. 2006. ‘Cytotoxicity of Pharmaceuticals Found in Aquatic Systems: Comparison of PLHC-1 and RTG-2 Fish Cell Lines’. </w:t>
      </w:r>
      <w:r w:rsidRPr="001D0ADC">
        <w:rPr>
          <w:rFonts w:ascii="Calibri" w:hAnsi="Calibri" w:cs="Calibri"/>
          <w:i/>
          <w:iCs/>
        </w:rPr>
        <w:t>Aquatic Toxicology</w:t>
      </w:r>
      <w:r w:rsidRPr="001D0ADC">
        <w:rPr>
          <w:rFonts w:ascii="Calibri" w:hAnsi="Calibri" w:cs="Calibri"/>
        </w:rPr>
        <w:t xml:space="preserve"> 79 (2): 114–23. https://doi.org/10.1016/j.aquatox.2006.05.010.</w:t>
      </w:r>
    </w:p>
    <w:p w14:paraId="7336ED19" w14:textId="77777777" w:rsidR="004E4B09" w:rsidRPr="001D0ADC" w:rsidRDefault="004E4B09" w:rsidP="004E4B09">
      <w:pPr>
        <w:pStyle w:val="Bibliography"/>
        <w:rPr>
          <w:rFonts w:ascii="Calibri" w:hAnsi="Calibri" w:cs="Calibri"/>
        </w:rPr>
      </w:pPr>
      <w:r w:rsidRPr="001D0ADC">
        <w:rPr>
          <w:rFonts w:ascii="Calibri" w:hAnsi="Calibri" w:cs="Calibri"/>
        </w:rPr>
        <w:t xml:space="preserve">Campos, L.B., A.A. González Núñez, M.J. Palacio, J.P. Ferro, P.M. Castañé, L. Ferrari, and N.A. Ossana. 2023. ‘Acute and Subchronic Effects of Ibuprofen on the Ten Spotted Live-Bearer Fish Cnesterodon Decemmaculatus (Jenyns, 1842)’. </w:t>
      </w:r>
      <w:r w:rsidRPr="001D0ADC">
        <w:rPr>
          <w:rFonts w:ascii="Calibri" w:hAnsi="Calibri" w:cs="Calibri"/>
          <w:i/>
          <w:iCs/>
        </w:rPr>
        <w:t>Chemosphere</w:t>
      </w:r>
      <w:r w:rsidRPr="001D0ADC">
        <w:rPr>
          <w:rFonts w:ascii="Calibri" w:hAnsi="Calibri" w:cs="Calibri"/>
        </w:rPr>
        <w:t xml:space="preserve"> 340 (November):139895. https://doi.org/10.1016/j.chemosphere.2023.139895.</w:t>
      </w:r>
    </w:p>
    <w:p w14:paraId="1D32DE48" w14:textId="77777777" w:rsidR="004E4B09" w:rsidRPr="001D0ADC" w:rsidRDefault="004E4B09" w:rsidP="004E4B09">
      <w:pPr>
        <w:pStyle w:val="Bibliography"/>
        <w:rPr>
          <w:rFonts w:ascii="Calibri" w:hAnsi="Calibri" w:cs="Calibri"/>
        </w:rPr>
      </w:pPr>
      <w:r w:rsidRPr="001D0ADC">
        <w:rPr>
          <w:rFonts w:ascii="Calibri" w:hAnsi="Calibri" w:cs="Calibri"/>
        </w:rPr>
        <w:t xml:space="preserve">Cedron, Vanessa P., Andrea M.J. Weiner, Manuel Vera, and Laura Sanchez. 2020. ‘Acetaminophen Affects the Survivor, Pigmentation and Development of Craniofacial Structures in Zebrafish (Danio Rerio) Embryos’. </w:t>
      </w:r>
      <w:r w:rsidRPr="001D0ADC">
        <w:rPr>
          <w:rFonts w:ascii="Calibri" w:hAnsi="Calibri" w:cs="Calibri"/>
          <w:i/>
          <w:iCs/>
        </w:rPr>
        <w:t>Biochemical Pharmacology</w:t>
      </w:r>
      <w:r w:rsidRPr="001D0ADC">
        <w:rPr>
          <w:rFonts w:ascii="Calibri" w:hAnsi="Calibri" w:cs="Calibri"/>
        </w:rPr>
        <w:t xml:space="preserve"> 174 (April):113816. https://doi.org/10.1016/j.bcp.2020.113816.</w:t>
      </w:r>
    </w:p>
    <w:p w14:paraId="43862FEC" w14:textId="77777777" w:rsidR="004E4B09" w:rsidRPr="001D0ADC" w:rsidRDefault="004E4B09" w:rsidP="004E4B09">
      <w:pPr>
        <w:pStyle w:val="Bibliography"/>
        <w:rPr>
          <w:rFonts w:ascii="Calibri" w:hAnsi="Calibri" w:cs="Calibri"/>
        </w:rPr>
      </w:pPr>
      <w:r w:rsidRPr="001D0ADC">
        <w:rPr>
          <w:rFonts w:ascii="Calibri" w:hAnsi="Calibri" w:cs="Calibri"/>
        </w:rPr>
        <w:t xml:space="preserve">Chen, Huihui, Huiting Yang, Yanyan Zhao, Xiaohong Gu, and Christopher J. Martyniuk. 2020. ‘Development and Molecular Investigation into the Effects of Carbamazepine Exposure in the Zebrafish (Danio Rerio)’. </w:t>
      </w:r>
      <w:r w:rsidRPr="001D0ADC">
        <w:rPr>
          <w:rFonts w:ascii="Calibri" w:hAnsi="Calibri" w:cs="Calibri"/>
          <w:i/>
          <w:iCs/>
        </w:rPr>
        <w:t>International Journal of Environmental Research and Public Health</w:t>
      </w:r>
      <w:r w:rsidRPr="001D0ADC">
        <w:rPr>
          <w:rFonts w:ascii="Calibri" w:hAnsi="Calibri" w:cs="Calibri"/>
        </w:rPr>
        <w:t xml:space="preserve"> 17 (23): 8882. https://doi.org/10.3390/ijerph17238882.</w:t>
      </w:r>
    </w:p>
    <w:p w14:paraId="0DE93A51" w14:textId="77777777" w:rsidR="004E4B09" w:rsidRPr="001D0ADC" w:rsidRDefault="004E4B09" w:rsidP="004E4B09">
      <w:pPr>
        <w:pStyle w:val="Bibliography"/>
        <w:rPr>
          <w:rFonts w:ascii="Calibri" w:hAnsi="Calibri" w:cs="Calibri"/>
        </w:rPr>
      </w:pPr>
      <w:r w:rsidRPr="001D0ADC">
        <w:rPr>
          <w:rFonts w:ascii="Calibri" w:hAnsi="Calibri" w:cs="Calibri"/>
        </w:rPr>
        <w:t xml:space="preserve">Chen, Jia-Bin, Hong-Wen Gao, Ya-Lei Zhang, Yong Zhang, Xue-Fei Zhou, Chun-Qi Li, and Hai-Ping Gao. 2014. ‘Developmental Toxicity of Diclofenac and Elucidation of Gene Regulation in Zebrafish (Danio Rerio)’. </w:t>
      </w:r>
      <w:r w:rsidRPr="001D0ADC">
        <w:rPr>
          <w:rFonts w:ascii="Calibri" w:hAnsi="Calibri" w:cs="Calibri"/>
          <w:i/>
          <w:iCs/>
        </w:rPr>
        <w:t>Scientific Reports</w:t>
      </w:r>
      <w:r w:rsidRPr="001D0ADC">
        <w:rPr>
          <w:rFonts w:ascii="Calibri" w:hAnsi="Calibri" w:cs="Calibri"/>
        </w:rPr>
        <w:t xml:space="preserve"> 4 (1): 4841. https://doi.org/10.1038/srep04841.</w:t>
      </w:r>
    </w:p>
    <w:p w14:paraId="476EF723" w14:textId="77777777" w:rsidR="004E4B09" w:rsidRPr="001D0ADC" w:rsidRDefault="004E4B09" w:rsidP="004E4B09">
      <w:pPr>
        <w:pStyle w:val="Bibliography"/>
        <w:rPr>
          <w:rFonts w:ascii="Calibri" w:hAnsi="Calibri" w:cs="Calibri"/>
        </w:rPr>
      </w:pPr>
      <w:r w:rsidRPr="001D0ADC">
        <w:rPr>
          <w:rFonts w:ascii="Calibri" w:hAnsi="Calibri" w:cs="Calibri"/>
        </w:rPr>
        <w:t xml:space="preserve">Chen, Ying‐Hsin, Chao‐Yuan Chang, Yun‐Hsin Wang, Chi‐Chung Wen, Yun‐Chen Chen, Sheng‐Chuan Hu, Dah‐Shyong Yu, and Yau‐Hung Chen. 2011. ‘Embryonic Exposure to Diclofenac Disturbs Actin Organization and Leads to Myofibril Misalignment’. </w:t>
      </w:r>
      <w:r w:rsidRPr="001D0ADC">
        <w:rPr>
          <w:rFonts w:ascii="Calibri" w:hAnsi="Calibri" w:cs="Calibri"/>
          <w:i/>
          <w:iCs/>
        </w:rPr>
        <w:t>Birth Defects Research Part B: Developmental and Reproductive Toxicology</w:t>
      </w:r>
      <w:r w:rsidRPr="001D0ADC">
        <w:rPr>
          <w:rFonts w:ascii="Calibri" w:hAnsi="Calibri" w:cs="Calibri"/>
        </w:rPr>
        <w:t xml:space="preserve"> 92 (2): 139–47. https://doi.org/10.1002/bdrb.20292.</w:t>
      </w:r>
    </w:p>
    <w:p w14:paraId="070BDF06" w14:textId="77777777" w:rsidR="004E4B09" w:rsidRPr="001D0ADC" w:rsidRDefault="004E4B09" w:rsidP="004E4B09">
      <w:pPr>
        <w:pStyle w:val="Bibliography"/>
        <w:rPr>
          <w:rFonts w:ascii="Calibri" w:hAnsi="Calibri" w:cs="Calibri"/>
        </w:rPr>
      </w:pPr>
      <w:r w:rsidRPr="001D0ADC">
        <w:rPr>
          <w:rFonts w:ascii="Calibri" w:hAnsi="Calibri" w:cs="Calibri"/>
        </w:rPr>
        <w:t xml:space="preserve">Corcoran, Jenna, Anke Lange, Matthew J. Winter, and Charles R. Tyler. 2012. ‘Effects of Pharmaceuticals on the Expression of Genes Involved in Detoxification in a Carp Primary Hepatocyte Model’. </w:t>
      </w:r>
      <w:r w:rsidRPr="001D0ADC">
        <w:rPr>
          <w:rFonts w:ascii="Calibri" w:hAnsi="Calibri" w:cs="Calibri"/>
          <w:i/>
          <w:iCs/>
        </w:rPr>
        <w:t>Environmental Science &amp; Technology</w:t>
      </w:r>
      <w:r w:rsidRPr="001D0ADC">
        <w:rPr>
          <w:rFonts w:ascii="Calibri" w:hAnsi="Calibri" w:cs="Calibri"/>
        </w:rPr>
        <w:t xml:space="preserve"> 46 (11): 6306–14. https://doi.org/10.1021/es3005305.</w:t>
      </w:r>
    </w:p>
    <w:p w14:paraId="6D778C78" w14:textId="77777777" w:rsidR="004E4B09" w:rsidRPr="001D0ADC" w:rsidRDefault="004E4B09" w:rsidP="004E4B09">
      <w:pPr>
        <w:pStyle w:val="Bibliography"/>
        <w:rPr>
          <w:rFonts w:ascii="Calibri" w:hAnsi="Calibri" w:cs="Calibri"/>
        </w:rPr>
      </w:pPr>
      <w:r w:rsidRPr="001D0ADC">
        <w:rPr>
          <w:rFonts w:ascii="Calibri" w:hAnsi="Calibri" w:cs="Calibri"/>
        </w:rPr>
        <w:t xml:space="preserve">Corcoran, Jenna, Matthew J. Winter, Anke Lange, Rob Cumming, Stewart F. Owen, and Charles R. Tyler. 2015. ‘Effects of the Lipid Regulating Drug Clofibric Acid on PPARα-Regulated Gene Transcript Levels in Common Carp (Cyprinus Carpio) at Pharmacological and Environmental Exposure Levels’. </w:t>
      </w:r>
      <w:r w:rsidRPr="001D0ADC">
        <w:rPr>
          <w:rFonts w:ascii="Calibri" w:hAnsi="Calibri" w:cs="Calibri"/>
          <w:i/>
          <w:iCs/>
        </w:rPr>
        <w:t>Aquatic Toxicology</w:t>
      </w:r>
      <w:r w:rsidRPr="001D0ADC">
        <w:rPr>
          <w:rFonts w:ascii="Calibri" w:hAnsi="Calibri" w:cs="Calibri"/>
        </w:rPr>
        <w:t xml:space="preserve"> 161 (April):127–37. https://doi.org/10.1016/j.aquatox.2015.01.033.</w:t>
      </w:r>
    </w:p>
    <w:p w14:paraId="1E54C6A4" w14:textId="77777777" w:rsidR="004E4B09" w:rsidRPr="001D0ADC" w:rsidRDefault="004E4B09" w:rsidP="004E4B09">
      <w:pPr>
        <w:pStyle w:val="Bibliography"/>
        <w:rPr>
          <w:rFonts w:ascii="Calibri" w:hAnsi="Calibri" w:cs="Calibri"/>
        </w:rPr>
      </w:pPr>
      <w:r w:rsidRPr="001D0ADC">
        <w:rPr>
          <w:rFonts w:ascii="Calibri" w:hAnsi="Calibri" w:cs="Calibri"/>
        </w:rPr>
        <w:t xml:space="preserve">David, A., and K. Pancharatna. 2009. ‘Effects of Acetaminophen (Paracetamol) in the Embryonic Development of Zebrafish, </w:t>
      </w:r>
      <w:r w:rsidRPr="001D0ADC">
        <w:rPr>
          <w:rFonts w:ascii="Calibri" w:hAnsi="Calibri" w:cs="Calibri"/>
          <w:i/>
          <w:iCs/>
        </w:rPr>
        <w:t>Danio Rerio</w:t>
      </w:r>
      <w:r w:rsidRPr="001D0ADC">
        <w:rPr>
          <w:rFonts w:ascii="Calibri" w:hAnsi="Calibri" w:cs="Calibri"/>
        </w:rPr>
        <w:t xml:space="preserve">’. </w:t>
      </w:r>
      <w:r w:rsidRPr="001D0ADC">
        <w:rPr>
          <w:rFonts w:ascii="Calibri" w:hAnsi="Calibri" w:cs="Calibri"/>
          <w:i/>
          <w:iCs/>
        </w:rPr>
        <w:t>Journal of Applied Toxicology</w:t>
      </w:r>
      <w:r w:rsidRPr="001D0ADC">
        <w:rPr>
          <w:rFonts w:ascii="Calibri" w:hAnsi="Calibri" w:cs="Calibri"/>
        </w:rPr>
        <w:t xml:space="preserve"> 29 (7): 597–602. https://doi.org/10.1002/jat.1446.</w:t>
      </w:r>
    </w:p>
    <w:p w14:paraId="35553C8C" w14:textId="77777777" w:rsidR="004E4B09" w:rsidRPr="001D0ADC" w:rsidRDefault="004E4B09" w:rsidP="004E4B09">
      <w:pPr>
        <w:pStyle w:val="Bibliography"/>
        <w:rPr>
          <w:rFonts w:ascii="Calibri" w:hAnsi="Calibri" w:cs="Calibri"/>
        </w:rPr>
      </w:pPr>
      <w:r w:rsidRPr="001D0ADC">
        <w:rPr>
          <w:rFonts w:ascii="Calibri" w:hAnsi="Calibri" w:cs="Calibri"/>
        </w:rPr>
        <w:t xml:space="preserve">David, Anuradha, and Katti Pancharatna. 2009. ‘Developmental Anomalies Induced by a Non-Selective COX Inhibitor (Ibuprofen) in Zebrafish (Danio Rerio)’. </w:t>
      </w:r>
      <w:r w:rsidRPr="001D0ADC">
        <w:rPr>
          <w:rFonts w:ascii="Calibri" w:hAnsi="Calibri" w:cs="Calibri"/>
          <w:i/>
          <w:iCs/>
        </w:rPr>
        <w:t>Environmental Toxicology and Pharmacology</w:t>
      </w:r>
      <w:r w:rsidRPr="001D0ADC">
        <w:rPr>
          <w:rFonts w:ascii="Calibri" w:hAnsi="Calibri" w:cs="Calibri"/>
        </w:rPr>
        <w:t xml:space="preserve"> 27 (3): 390–95. https://doi.org/10.1016/j.etap.2009.01.002.</w:t>
      </w:r>
    </w:p>
    <w:p w14:paraId="22009ED4" w14:textId="77777777" w:rsidR="004E4B09" w:rsidRPr="001D0ADC" w:rsidRDefault="004E4B09" w:rsidP="004E4B09">
      <w:pPr>
        <w:pStyle w:val="Bibliography"/>
        <w:rPr>
          <w:rFonts w:ascii="Calibri" w:hAnsi="Calibri" w:cs="Calibri"/>
        </w:rPr>
      </w:pPr>
      <w:r w:rsidRPr="001D0ADC">
        <w:rPr>
          <w:rFonts w:ascii="Calibri" w:hAnsi="Calibri" w:cs="Calibri"/>
        </w:rPr>
        <w:t xml:space="preserve">De Oliveira Dos Santos, Paula Rodrigues, Mônica Jones Costa, André Cordeiro Alves Dos Santos, Elaine C.M. Silva-Zacarín, and Bruno Nunes. 2020. ‘Neurotoxic and Respiratory Effects of Human Use Drugs on a Neotropical Fish Species, Phalloceros Harpagos’. </w:t>
      </w:r>
      <w:r w:rsidRPr="001D0ADC">
        <w:rPr>
          <w:rFonts w:ascii="Calibri" w:hAnsi="Calibri" w:cs="Calibri"/>
          <w:i/>
          <w:iCs/>
        </w:rPr>
        <w:t>Comparative Biochemistry and Physiology Part C: Toxicology &amp; Pharmacology</w:t>
      </w:r>
      <w:r w:rsidRPr="001D0ADC">
        <w:rPr>
          <w:rFonts w:ascii="Calibri" w:hAnsi="Calibri" w:cs="Calibri"/>
        </w:rPr>
        <w:t xml:space="preserve"> 230 (April):108683. https://doi.org/10.1016/j.cbpc.2019.108683.</w:t>
      </w:r>
    </w:p>
    <w:p w14:paraId="0CD9E7F0" w14:textId="77777777" w:rsidR="004E4B09" w:rsidRPr="001D0ADC" w:rsidRDefault="004E4B09" w:rsidP="004E4B09">
      <w:pPr>
        <w:pStyle w:val="Bibliography"/>
        <w:rPr>
          <w:rFonts w:ascii="Calibri" w:hAnsi="Calibri" w:cs="Calibri"/>
        </w:rPr>
      </w:pPr>
      <w:r w:rsidRPr="001D0ADC">
        <w:rPr>
          <w:rFonts w:ascii="Calibri" w:hAnsi="Calibri" w:cs="Calibri"/>
        </w:rPr>
        <w:t xml:space="preserve">Diniz, M.S., R. Salgado, V.J. Pereira, G. Carvalho, A. Oehmen, M.A.M. Reis, and J.P. Noronha. 2015. ‘Ecotoxicity of Ketoprofen, Diclofenac, Atenolol and Their Photolysis Byproducts in Zebrafish (Danio Rerio)’. </w:t>
      </w:r>
      <w:r w:rsidRPr="001D0ADC">
        <w:rPr>
          <w:rFonts w:ascii="Calibri" w:hAnsi="Calibri" w:cs="Calibri"/>
          <w:i/>
          <w:iCs/>
        </w:rPr>
        <w:t>Science of The Total Environment</w:t>
      </w:r>
      <w:r w:rsidRPr="001D0ADC">
        <w:rPr>
          <w:rFonts w:ascii="Calibri" w:hAnsi="Calibri" w:cs="Calibri"/>
        </w:rPr>
        <w:t xml:space="preserve"> 505 (February):282–89. https://doi.org/10.1016/j.scitotenv.2014.09.103.</w:t>
      </w:r>
    </w:p>
    <w:p w14:paraId="1EA38927" w14:textId="77777777" w:rsidR="004E4B09" w:rsidRPr="001D0ADC" w:rsidRDefault="004E4B09" w:rsidP="004E4B09">
      <w:pPr>
        <w:pStyle w:val="Bibliography"/>
        <w:rPr>
          <w:rFonts w:ascii="Calibri" w:hAnsi="Calibri" w:cs="Calibri"/>
        </w:rPr>
      </w:pPr>
      <w:r w:rsidRPr="001D0ADC">
        <w:rPr>
          <w:rFonts w:ascii="Calibri" w:hAnsi="Calibri" w:cs="Calibri"/>
        </w:rPr>
        <w:t xml:space="preserve">Donohue, M., L.A. Baldwin, D.A. Leonard, P.T. Kostecki, and E.J. Calabrese. 1992. ‘Effect of Hypolipidemic Drugs Gemfibrozil, Ciprofibrate, and Clofibric Acid on Peroxisomal B-Oxidation in Primary Cultures of Rainbow Trout Hepatocytes’. </w:t>
      </w:r>
      <w:r w:rsidRPr="001D0ADC">
        <w:rPr>
          <w:rFonts w:ascii="Calibri" w:hAnsi="Calibri" w:cs="Calibri"/>
          <w:i/>
          <w:iCs/>
        </w:rPr>
        <w:t>Ecotoxicology and Environmental Safety</w:t>
      </w:r>
      <w:r w:rsidRPr="001D0ADC">
        <w:rPr>
          <w:rFonts w:ascii="Calibri" w:hAnsi="Calibri" w:cs="Calibri"/>
        </w:rPr>
        <w:t xml:space="preserve"> 1993 (26): 127–32.</w:t>
      </w:r>
    </w:p>
    <w:p w14:paraId="02D16208" w14:textId="77777777" w:rsidR="004E4B09" w:rsidRPr="001D0ADC" w:rsidRDefault="004E4B09" w:rsidP="004E4B09">
      <w:pPr>
        <w:pStyle w:val="Bibliography"/>
        <w:rPr>
          <w:rFonts w:ascii="Calibri" w:hAnsi="Calibri" w:cs="Calibri"/>
        </w:rPr>
      </w:pPr>
      <w:r w:rsidRPr="001D0ADC">
        <w:rPr>
          <w:rFonts w:ascii="Calibri" w:hAnsi="Calibri" w:cs="Calibri"/>
        </w:rPr>
        <w:t xml:space="preserve">Elizalde-Velázquez, Gustavo Axel, Jonathan Ricardo Rosas-Ramírez, Demetrio Raldua, Sandra García-Medina, José Manuel Orozco-Hernández, Karina Rosales- Pérez, Hariz Islas-Flores, Marcela Galar-Martínez, Xochitl Guzmán-García, and Leobardo Manuel Gómez-Oliván. 2022. ‘Low Concentrations of Ciprofloxacin Alone and in Combination with Paracetamol Induce Oxidative Stress, Upregulation of Apoptotic-Related Genes, Histological Alterations in the Liver, and Genotoxicity in Danio Rerio’. </w:t>
      </w:r>
      <w:r w:rsidRPr="001D0ADC">
        <w:rPr>
          <w:rFonts w:ascii="Calibri" w:hAnsi="Calibri" w:cs="Calibri"/>
          <w:i/>
          <w:iCs/>
        </w:rPr>
        <w:t>Chemosphere</w:t>
      </w:r>
      <w:r w:rsidRPr="001D0ADC">
        <w:rPr>
          <w:rFonts w:ascii="Calibri" w:hAnsi="Calibri" w:cs="Calibri"/>
        </w:rPr>
        <w:t xml:space="preserve"> 294 (May):133667. https://doi.org/10.1016/j.chemosphere.2022.133667.</w:t>
      </w:r>
    </w:p>
    <w:p w14:paraId="35AA7D9C" w14:textId="77777777" w:rsidR="004E4B09" w:rsidRPr="001D0ADC" w:rsidRDefault="004E4B09" w:rsidP="004E4B09">
      <w:pPr>
        <w:pStyle w:val="Bibliography"/>
        <w:rPr>
          <w:rFonts w:ascii="Calibri" w:hAnsi="Calibri" w:cs="Calibri"/>
        </w:rPr>
      </w:pPr>
      <w:r w:rsidRPr="001D0ADC">
        <w:rPr>
          <w:rFonts w:ascii="Calibri" w:hAnsi="Calibri" w:cs="Calibri"/>
        </w:rPr>
        <w:t xml:space="preserve">Emblidge, J.P., and M.E. DeLorenzo. 2006. ‘Preliminary Risk Assessment of the Lipid-Regulating Pharmaceutical Clofibric Acid, for Three Estuarine Species’. </w:t>
      </w:r>
      <w:r w:rsidRPr="001D0ADC">
        <w:rPr>
          <w:rFonts w:ascii="Calibri" w:hAnsi="Calibri" w:cs="Calibri"/>
          <w:i/>
          <w:iCs/>
        </w:rPr>
        <w:t>Environmental Research</w:t>
      </w:r>
      <w:r w:rsidRPr="001D0ADC">
        <w:rPr>
          <w:rFonts w:ascii="Calibri" w:hAnsi="Calibri" w:cs="Calibri"/>
        </w:rPr>
        <w:t xml:space="preserve"> 100 (2): 216–26. https://doi.org/10.1016/j.envres.2005.03.014.</w:t>
      </w:r>
    </w:p>
    <w:p w14:paraId="68A1A60F" w14:textId="77777777" w:rsidR="004E4B09" w:rsidRPr="001D0ADC" w:rsidRDefault="004E4B09" w:rsidP="004E4B09">
      <w:pPr>
        <w:pStyle w:val="Bibliography"/>
        <w:rPr>
          <w:rFonts w:ascii="Calibri" w:hAnsi="Calibri" w:cs="Calibri"/>
        </w:rPr>
      </w:pPr>
      <w:r w:rsidRPr="001D0ADC">
        <w:rPr>
          <w:rFonts w:ascii="Calibri" w:hAnsi="Calibri" w:cs="Calibri"/>
        </w:rPr>
        <w:t xml:space="preserve">Erhunmwunse, Nosakhare Osazee, Isioma Tongo, and Lawrence Ikechukwu Ezemonye. 2021. ‘Acute Effects of Acetaminophen on the Developmental, Swimming Performance and Cardiovascular Activities of the African Catfish Embryos/Larvae (Clarias Gariepinus)’. </w:t>
      </w:r>
      <w:r w:rsidRPr="001D0ADC">
        <w:rPr>
          <w:rFonts w:ascii="Calibri" w:hAnsi="Calibri" w:cs="Calibri"/>
          <w:i/>
          <w:iCs/>
        </w:rPr>
        <w:t>Ecotoxicology and Environmental Safety</w:t>
      </w:r>
      <w:r w:rsidRPr="001D0ADC">
        <w:rPr>
          <w:rFonts w:ascii="Calibri" w:hAnsi="Calibri" w:cs="Calibri"/>
        </w:rPr>
        <w:t xml:space="preserve"> 208 (January):111482. https://doi.org/10.1016/j.ecoenv.2020.111482.</w:t>
      </w:r>
    </w:p>
    <w:p w14:paraId="1C6C7CDF" w14:textId="77777777" w:rsidR="004E4B09" w:rsidRPr="001D0ADC" w:rsidRDefault="004E4B09" w:rsidP="004E4B09">
      <w:pPr>
        <w:pStyle w:val="Bibliography"/>
        <w:rPr>
          <w:rFonts w:ascii="Calibri" w:hAnsi="Calibri" w:cs="Calibri"/>
        </w:rPr>
      </w:pPr>
      <w:r w:rsidRPr="001D0ADC">
        <w:rPr>
          <w:rFonts w:ascii="Calibri" w:hAnsi="Calibri" w:cs="Calibri"/>
        </w:rPr>
        <w:t xml:space="preserve">Ferrari, Benoı̂t, Nicklas Paxéus, Roberto Lo Giudice, Antonino Pollio, and Jeanne Garric. 2003. ‘Ecotoxicological Impact of Pharmaceuticals Found in Treated Wastewaters: Study of Carbamazepine, Clofibric Acid, and Diclofenac’. </w:t>
      </w:r>
      <w:r w:rsidRPr="001D0ADC">
        <w:rPr>
          <w:rFonts w:ascii="Calibri" w:hAnsi="Calibri" w:cs="Calibri"/>
          <w:i/>
          <w:iCs/>
        </w:rPr>
        <w:t>Ecotoxicology and Environmental Safety</w:t>
      </w:r>
      <w:r w:rsidRPr="001D0ADC">
        <w:rPr>
          <w:rFonts w:ascii="Calibri" w:hAnsi="Calibri" w:cs="Calibri"/>
        </w:rPr>
        <w:t xml:space="preserve"> 55 (3): 359–70. https://doi.org/10.1016/S0147-6513(02)00082-9.</w:t>
      </w:r>
    </w:p>
    <w:p w14:paraId="08FF2E50" w14:textId="77777777" w:rsidR="004E4B09" w:rsidRPr="001D0ADC" w:rsidRDefault="004E4B09" w:rsidP="004E4B09">
      <w:pPr>
        <w:pStyle w:val="Bibliography"/>
        <w:rPr>
          <w:rFonts w:ascii="Calibri" w:hAnsi="Calibri" w:cs="Calibri"/>
        </w:rPr>
      </w:pPr>
      <w:r w:rsidRPr="001D0ADC">
        <w:rPr>
          <w:rFonts w:ascii="Calibri" w:hAnsi="Calibri" w:cs="Calibri"/>
        </w:rPr>
        <w:t xml:space="preserve">Galus, Michal, Shamaila Fraz, Akash Gugilla, Maria Jönsson, and Joanna Y. Wilson. 2020. ‘Prostaglandins Prevent Acetaminophen Induced Embryo Toxicity in Zebrafish (Danio Rerio)’. </w:t>
      </w:r>
      <w:r w:rsidRPr="001D0ADC">
        <w:rPr>
          <w:rFonts w:ascii="Calibri" w:hAnsi="Calibri" w:cs="Calibri"/>
          <w:i/>
          <w:iCs/>
        </w:rPr>
        <w:t>Environmental Toxicology and Pharmacology</w:t>
      </w:r>
      <w:r w:rsidRPr="001D0ADC">
        <w:rPr>
          <w:rFonts w:ascii="Calibri" w:hAnsi="Calibri" w:cs="Calibri"/>
        </w:rPr>
        <w:t xml:space="preserve"> 80 (November):103463. https://doi.org/10.1016/j.etap.2020.103463.</w:t>
      </w:r>
    </w:p>
    <w:p w14:paraId="40A0687D" w14:textId="77777777" w:rsidR="004E4B09" w:rsidRPr="001D0ADC" w:rsidRDefault="004E4B09" w:rsidP="004E4B09">
      <w:pPr>
        <w:pStyle w:val="Bibliography"/>
        <w:rPr>
          <w:rFonts w:ascii="Calibri" w:hAnsi="Calibri" w:cs="Calibri"/>
        </w:rPr>
      </w:pPr>
      <w:r w:rsidRPr="001D0ADC">
        <w:rPr>
          <w:rFonts w:ascii="Calibri" w:hAnsi="Calibri" w:cs="Calibri"/>
        </w:rPr>
        <w:t xml:space="preserve">Galus, Michal, Nina Kirischian, Sarah Higgins, James Purdy, Justin Chow, Sahaana Rangaranjan, Hongxia Li, Chris Metcalfe, and Joanna Y. Wilson. 2013. ‘Chronic, Low Concentration Exposure to Pharmaceuticals Impacts Multiple Organ Systems in Zebrafish’. </w:t>
      </w:r>
      <w:r w:rsidRPr="001D0ADC">
        <w:rPr>
          <w:rFonts w:ascii="Calibri" w:hAnsi="Calibri" w:cs="Calibri"/>
          <w:i/>
          <w:iCs/>
        </w:rPr>
        <w:t>Aquatic Toxicology</w:t>
      </w:r>
      <w:r w:rsidRPr="001D0ADC">
        <w:rPr>
          <w:rFonts w:ascii="Calibri" w:hAnsi="Calibri" w:cs="Calibri"/>
        </w:rPr>
        <w:t xml:space="preserve"> 132–133 (May):200–211. https://doi.org/10.1016/j.aquatox.2012.12.021.</w:t>
      </w:r>
    </w:p>
    <w:p w14:paraId="64D54A71" w14:textId="77777777" w:rsidR="004E4B09" w:rsidRPr="001D0ADC" w:rsidRDefault="004E4B09" w:rsidP="004E4B09">
      <w:pPr>
        <w:pStyle w:val="Bibliography"/>
        <w:rPr>
          <w:rFonts w:ascii="Calibri" w:hAnsi="Calibri" w:cs="Calibri"/>
        </w:rPr>
      </w:pPr>
      <w:r w:rsidRPr="001D0ADC">
        <w:rPr>
          <w:rFonts w:ascii="Calibri" w:hAnsi="Calibri" w:cs="Calibri"/>
        </w:rPr>
        <w:t xml:space="preserve">Gasca-Pérez, Eloy, Marcela Galar-Martínez, Sandra García-Medina, Isabel A. Pérez-Coyotl, Karina Ruiz-Lara, Selene Cano-Viveros, Ricardo Pérez-Pastén Borja, and Leobardo M. Gómez-Oliván. 2019. ‘Short-Term Exposure to Carbamazepine Causes Oxidative Stress on Common Carp (Cyprinus Carpio)’. </w:t>
      </w:r>
      <w:r w:rsidRPr="001D0ADC">
        <w:rPr>
          <w:rFonts w:ascii="Calibri" w:hAnsi="Calibri" w:cs="Calibri"/>
          <w:i/>
          <w:iCs/>
        </w:rPr>
        <w:t>Environmental Toxicology and Pharmacology</w:t>
      </w:r>
      <w:r w:rsidRPr="001D0ADC">
        <w:rPr>
          <w:rFonts w:ascii="Calibri" w:hAnsi="Calibri" w:cs="Calibri"/>
        </w:rPr>
        <w:t xml:space="preserve"> 66 (February):96–103. https://doi.org/10.1016/j.etap.2018.12.017.</w:t>
      </w:r>
    </w:p>
    <w:p w14:paraId="6595B261" w14:textId="77777777" w:rsidR="004E4B09" w:rsidRPr="001D0ADC" w:rsidRDefault="004E4B09" w:rsidP="004E4B09">
      <w:pPr>
        <w:pStyle w:val="Bibliography"/>
        <w:rPr>
          <w:rFonts w:ascii="Calibri" w:hAnsi="Calibri" w:cs="Calibri"/>
        </w:rPr>
      </w:pPr>
      <w:r w:rsidRPr="001D0ADC">
        <w:rPr>
          <w:rFonts w:ascii="Calibri" w:hAnsi="Calibri" w:cs="Calibri"/>
        </w:rPr>
        <w:t xml:space="preserve">Giacomini, Ana C.V.V., Naiara Scolari, Leticia Marcon, Barbara W. Bueno, Bruna E. Dos Santos, Konstantin A. Demin, Allan V. Kalueff, and Murilo S. De Abreu. 2021. ‘Putative Anxiolytic-like Behavioral Effects of Acute Paracetamol in Adult Zebrafish’. </w:t>
      </w:r>
      <w:r w:rsidRPr="001D0ADC">
        <w:rPr>
          <w:rFonts w:ascii="Calibri" w:hAnsi="Calibri" w:cs="Calibri"/>
          <w:i/>
          <w:iCs/>
        </w:rPr>
        <w:t>Behavioural Brain Research</w:t>
      </w:r>
      <w:r w:rsidRPr="001D0ADC">
        <w:rPr>
          <w:rFonts w:ascii="Calibri" w:hAnsi="Calibri" w:cs="Calibri"/>
        </w:rPr>
        <w:t xml:space="preserve"> 409 (July):113293. https://doi.org/10.1016/j.bbr.2021.113293.</w:t>
      </w:r>
    </w:p>
    <w:p w14:paraId="3AE93191" w14:textId="77777777" w:rsidR="004E4B09" w:rsidRPr="001D0ADC" w:rsidRDefault="004E4B09" w:rsidP="004E4B09">
      <w:pPr>
        <w:pStyle w:val="Bibliography"/>
        <w:rPr>
          <w:rFonts w:ascii="Calibri" w:hAnsi="Calibri" w:cs="Calibri"/>
        </w:rPr>
      </w:pPr>
      <w:r w:rsidRPr="001D0ADC">
        <w:rPr>
          <w:rFonts w:ascii="Calibri" w:hAnsi="Calibri" w:cs="Calibri"/>
        </w:rPr>
        <w:t xml:space="preserve">Godoi, Filipe G.A., Marcela Muñoz-Peñuela, Aline D. Olio Gomes, Carlos E. Tolussi, Gabriela Brambila-Souza, Giovana S. Branco, Fabiana L. Lo Nostro, and Renata G. Moreira. 2020. ‘Endocrine Disruptive Action of Diclofenac and Caffeine on Astyanax Altiparanae Males (Teleostei: Characiformes: Characidae)’. </w:t>
      </w:r>
      <w:r w:rsidRPr="001D0ADC">
        <w:rPr>
          <w:rFonts w:ascii="Calibri" w:hAnsi="Calibri" w:cs="Calibri"/>
          <w:i/>
          <w:iCs/>
        </w:rPr>
        <w:t>Comparative Biochemistry and Physiology Part C: Toxicology &amp; Pharmacology</w:t>
      </w:r>
      <w:r w:rsidRPr="001D0ADC">
        <w:rPr>
          <w:rFonts w:ascii="Calibri" w:hAnsi="Calibri" w:cs="Calibri"/>
        </w:rPr>
        <w:t xml:space="preserve"> 231 (May):108720. https://doi.org/10.1016/j.cbpc.2020.108720.</w:t>
      </w:r>
    </w:p>
    <w:p w14:paraId="1F1F6AF5" w14:textId="77777777" w:rsidR="004E4B09" w:rsidRPr="001D0ADC" w:rsidRDefault="004E4B09" w:rsidP="004E4B09">
      <w:pPr>
        <w:pStyle w:val="Bibliography"/>
        <w:rPr>
          <w:rFonts w:ascii="Calibri" w:hAnsi="Calibri" w:cs="Calibri"/>
        </w:rPr>
      </w:pPr>
      <w:r w:rsidRPr="001D0ADC">
        <w:rPr>
          <w:rFonts w:ascii="Calibri" w:hAnsi="Calibri" w:cs="Calibri"/>
        </w:rPr>
        <w:t xml:space="preserve">Gravel, A, and M Vijayan. 2007. ‘Non-Steroidal Anti-Inflammatory Drugs Disrupt the Heat Shock Response in Rainbow Trout’. </w:t>
      </w:r>
      <w:r w:rsidRPr="001D0ADC">
        <w:rPr>
          <w:rFonts w:ascii="Calibri" w:hAnsi="Calibri" w:cs="Calibri"/>
          <w:i/>
          <w:iCs/>
        </w:rPr>
        <w:t>Aquatic Toxicology</w:t>
      </w:r>
      <w:r w:rsidRPr="001D0ADC">
        <w:rPr>
          <w:rFonts w:ascii="Calibri" w:hAnsi="Calibri" w:cs="Calibri"/>
        </w:rPr>
        <w:t xml:space="preserve"> 81 (2): 197–206. https://doi.org/10.1016/j.aquatox.2006.12.001.</w:t>
      </w:r>
    </w:p>
    <w:p w14:paraId="13570655" w14:textId="77777777" w:rsidR="004E4B09" w:rsidRPr="001D0ADC" w:rsidRDefault="004E4B09" w:rsidP="004E4B09">
      <w:pPr>
        <w:pStyle w:val="Bibliography"/>
        <w:rPr>
          <w:rFonts w:ascii="Calibri" w:hAnsi="Calibri" w:cs="Calibri"/>
        </w:rPr>
      </w:pPr>
      <w:r w:rsidRPr="001D0ADC">
        <w:rPr>
          <w:rFonts w:ascii="Calibri" w:hAnsi="Calibri" w:cs="Calibri"/>
        </w:rPr>
        <w:t xml:space="preserve">Gustafson, A.-L., D.B. Stedman, J. Ball, J.M. Hillegass, A. Flood, C.X. Zhang, J. Panzica-Kelly, et al. 2012. ‘Inter-Laboratory Assessment of a Harmonized Zebrafish Developmental Toxicology Assay – Progress Report on Phase I’. </w:t>
      </w:r>
      <w:r w:rsidRPr="001D0ADC">
        <w:rPr>
          <w:rFonts w:ascii="Calibri" w:hAnsi="Calibri" w:cs="Calibri"/>
          <w:i/>
          <w:iCs/>
        </w:rPr>
        <w:t>Reproductive Toxicology</w:t>
      </w:r>
      <w:r w:rsidRPr="001D0ADC">
        <w:rPr>
          <w:rFonts w:ascii="Calibri" w:hAnsi="Calibri" w:cs="Calibri"/>
        </w:rPr>
        <w:t xml:space="preserve"> 33 (2): 155–64. https://doi.org/10.1016/j.reprotox.2011.12.004.</w:t>
      </w:r>
    </w:p>
    <w:p w14:paraId="0C9AAFBE" w14:textId="77777777" w:rsidR="004E4B09" w:rsidRPr="001D0ADC" w:rsidRDefault="004E4B09" w:rsidP="004E4B09">
      <w:pPr>
        <w:pStyle w:val="Bibliography"/>
        <w:rPr>
          <w:rFonts w:ascii="Calibri" w:hAnsi="Calibri" w:cs="Calibri"/>
        </w:rPr>
      </w:pPr>
      <w:r w:rsidRPr="001D0ADC">
        <w:rPr>
          <w:rFonts w:ascii="Calibri" w:hAnsi="Calibri" w:cs="Calibri"/>
        </w:rPr>
        <w:t xml:space="preserve">Gutiérrez-Noya, Verónica Margarita, Leobardo Manuel Gómez-Oliván, María Del Carmen Ramírez-Montero, Hariz Islas-Flores, Marcela Galar-Martínez, Octavio Dublán-García, and Rubi Romero. 2020. ‘Ibuprofen at Environmentally Relevant Concentrations Alters Embryonic Development, Induces Teratogenesis and Oxidative Stress in Cyprinus Carpio’. </w:t>
      </w:r>
      <w:r w:rsidRPr="001D0ADC">
        <w:rPr>
          <w:rFonts w:ascii="Calibri" w:hAnsi="Calibri" w:cs="Calibri"/>
          <w:i/>
          <w:iCs/>
        </w:rPr>
        <w:t>Science of The Total Environment</w:t>
      </w:r>
      <w:r w:rsidRPr="001D0ADC">
        <w:rPr>
          <w:rFonts w:ascii="Calibri" w:hAnsi="Calibri" w:cs="Calibri"/>
        </w:rPr>
        <w:t xml:space="preserve"> 710 (March):136327. https://doi.org/10.1016/j.scitotenv.2019.136327.</w:t>
      </w:r>
    </w:p>
    <w:p w14:paraId="2554BCBB" w14:textId="77777777" w:rsidR="004E4B09" w:rsidRPr="001D0ADC" w:rsidRDefault="004E4B09" w:rsidP="004E4B09">
      <w:pPr>
        <w:pStyle w:val="Bibliography"/>
        <w:rPr>
          <w:rFonts w:ascii="Calibri" w:hAnsi="Calibri" w:cs="Calibri"/>
        </w:rPr>
      </w:pPr>
      <w:r w:rsidRPr="001D0ADC">
        <w:rPr>
          <w:rFonts w:ascii="Calibri" w:hAnsi="Calibri" w:cs="Calibri"/>
        </w:rPr>
        <w:t xml:space="preserve">Gutiérrez-Noya, Verónica Margarita, Leobardo Manuel Gómez-Oliván, María Del Carmen Ramírez-Montero, Hariz Islas-Flores, Marcela Galar-Martínez, and Sandra García-Medina. 2021. ‘Survival and Malformations Rates, Oxidative Status in Early Life Stages of Cyprinus Carpio Due to Exposure to Environmentally Realistic Concentrations of Paracetamol’. </w:t>
      </w:r>
      <w:r w:rsidRPr="001D0ADC">
        <w:rPr>
          <w:rFonts w:ascii="Calibri" w:hAnsi="Calibri" w:cs="Calibri"/>
          <w:i/>
          <w:iCs/>
        </w:rPr>
        <w:t>Science of The Total Environment</w:t>
      </w:r>
      <w:r w:rsidRPr="001D0ADC">
        <w:rPr>
          <w:rFonts w:ascii="Calibri" w:hAnsi="Calibri" w:cs="Calibri"/>
        </w:rPr>
        <w:t xml:space="preserve"> 768 (May):144585. https://doi.org/10.1016/j.scitotenv.2020.144585.</w:t>
      </w:r>
    </w:p>
    <w:p w14:paraId="3ED907F5" w14:textId="77777777" w:rsidR="004E4B09" w:rsidRPr="001D0ADC" w:rsidRDefault="004E4B09" w:rsidP="004E4B09">
      <w:pPr>
        <w:pStyle w:val="Bibliography"/>
        <w:rPr>
          <w:rFonts w:ascii="Calibri" w:hAnsi="Calibri" w:cs="Calibri"/>
        </w:rPr>
      </w:pPr>
      <w:r w:rsidRPr="001D0ADC">
        <w:rPr>
          <w:rFonts w:ascii="Calibri" w:hAnsi="Calibri" w:cs="Calibri"/>
        </w:rPr>
        <w:t xml:space="preserve">Halling-Sorensen, B. 2000. ‘Environmental Risk Assessment of Antibiotics: Comparison of Mecillinam, Trimethoprim and Ciprofloxacin’. </w:t>
      </w:r>
      <w:r w:rsidRPr="001D0ADC">
        <w:rPr>
          <w:rFonts w:ascii="Calibri" w:hAnsi="Calibri" w:cs="Calibri"/>
          <w:i/>
          <w:iCs/>
        </w:rPr>
        <w:t>Journal of Antimicrobial Chemotherapy</w:t>
      </w:r>
      <w:r w:rsidRPr="001D0ADC">
        <w:rPr>
          <w:rFonts w:ascii="Calibri" w:hAnsi="Calibri" w:cs="Calibri"/>
        </w:rPr>
        <w:t xml:space="preserve"> 46 (90001): 53–58. https://doi.org/10.1093/jac/46.suppl_1.53.</w:t>
      </w:r>
    </w:p>
    <w:p w14:paraId="27131A6C" w14:textId="77777777" w:rsidR="004E4B09" w:rsidRPr="001D0ADC" w:rsidRDefault="004E4B09" w:rsidP="004E4B09">
      <w:pPr>
        <w:pStyle w:val="Bibliography"/>
        <w:rPr>
          <w:rFonts w:ascii="Calibri" w:hAnsi="Calibri" w:cs="Calibri"/>
        </w:rPr>
      </w:pPr>
      <w:r w:rsidRPr="001D0ADC">
        <w:rPr>
          <w:rFonts w:ascii="Calibri" w:hAnsi="Calibri" w:cs="Calibri"/>
        </w:rPr>
        <w:t xml:space="preserve">Halling-Sørensen, B., S. Nors Nielsen, P.F. Lanzky, F. Ingerslev, H.C. Holten Lützhøft, and S.E. Jørgensen. 1998. ‘Occurrence, Fate and Effects of Pharmaceutical Substances in the Environment- A Review’. </w:t>
      </w:r>
      <w:r w:rsidRPr="001D0ADC">
        <w:rPr>
          <w:rFonts w:ascii="Calibri" w:hAnsi="Calibri" w:cs="Calibri"/>
          <w:i/>
          <w:iCs/>
        </w:rPr>
        <w:t>Chemosphere</w:t>
      </w:r>
      <w:r w:rsidRPr="001D0ADC">
        <w:rPr>
          <w:rFonts w:ascii="Calibri" w:hAnsi="Calibri" w:cs="Calibri"/>
        </w:rPr>
        <w:t xml:space="preserve"> 36 (2): 357–93. https://doi.org/10.1016/S0045-6535(97)00354-8.</w:t>
      </w:r>
    </w:p>
    <w:p w14:paraId="22E9619A" w14:textId="77777777" w:rsidR="004E4B09" w:rsidRPr="001D0ADC" w:rsidRDefault="004E4B09" w:rsidP="004E4B09">
      <w:pPr>
        <w:pStyle w:val="Bibliography"/>
        <w:rPr>
          <w:rFonts w:ascii="Calibri" w:hAnsi="Calibri" w:cs="Calibri"/>
        </w:rPr>
      </w:pPr>
      <w:r w:rsidRPr="001D0ADC">
        <w:rPr>
          <w:rFonts w:ascii="Calibri" w:hAnsi="Calibri" w:cs="Calibri"/>
        </w:rPr>
        <w:t xml:space="preserve">Hamid, Naima, Muhammad Junaid, and De-Sheng Pei. 2020. ‘Individual and Combined Mechanistic Toxicity of Sulfonamides and Their Implications for Ecological Risk Assessment in the Three Gorges Reservoir Area (TGRA), China’. </w:t>
      </w:r>
      <w:r w:rsidRPr="001D0ADC">
        <w:rPr>
          <w:rFonts w:ascii="Calibri" w:hAnsi="Calibri" w:cs="Calibri"/>
          <w:i/>
          <w:iCs/>
        </w:rPr>
        <w:t>Journal of Hazardous Materials</w:t>
      </w:r>
      <w:r w:rsidRPr="001D0ADC">
        <w:rPr>
          <w:rFonts w:ascii="Calibri" w:hAnsi="Calibri" w:cs="Calibri"/>
        </w:rPr>
        <w:t xml:space="preserve"> 382 (January):121106. https://doi.org/10.1016/j.jhazmat.2019.121106.</w:t>
      </w:r>
    </w:p>
    <w:p w14:paraId="6E52058B" w14:textId="77777777" w:rsidR="004E4B09" w:rsidRPr="001D0ADC" w:rsidRDefault="004E4B09" w:rsidP="004E4B09">
      <w:pPr>
        <w:pStyle w:val="Bibliography"/>
        <w:rPr>
          <w:rFonts w:ascii="Calibri" w:hAnsi="Calibri" w:cs="Calibri"/>
        </w:rPr>
      </w:pPr>
      <w:r w:rsidRPr="001D0ADC">
        <w:rPr>
          <w:rFonts w:ascii="Calibri" w:hAnsi="Calibri" w:cs="Calibri"/>
        </w:rPr>
        <w:t xml:space="preserve">Hampel, Miriam, Esteban Alonso, Irene Aparicio, James E. Bron, Juan Luis Santos, John B. Taggart, and Michael J. Leaver. 2010. ‘Potential Physiological Effects of Pharmaceutical Compounds in Atlantic Salmon (Salmo Salar) Implied by Transcriptomic Analysis’. </w:t>
      </w:r>
      <w:r w:rsidRPr="001D0ADC">
        <w:rPr>
          <w:rFonts w:ascii="Calibri" w:hAnsi="Calibri" w:cs="Calibri"/>
          <w:i/>
          <w:iCs/>
        </w:rPr>
        <w:t>Environmental Science and Pollution Research</w:t>
      </w:r>
      <w:r w:rsidRPr="001D0ADC">
        <w:rPr>
          <w:rFonts w:ascii="Calibri" w:hAnsi="Calibri" w:cs="Calibri"/>
        </w:rPr>
        <w:t xml:space="preserve"> 17 (4): 917–33. https://doi.org/10.1007/s11356-009-0282-6.</w:t>
      </w:r>
    </w:p>
    <w:p w14:paraId="5BAB92F7" w14:textId="77777777" w:rsidR="004E4B09" w:rsidRPr="001D0ADC" w:rsidRDefault="004E4B09" w:rsidP="004E4B09">
      <w:pPr>
        <w:pStyle w:val="Bibliography"/>
        <w:rPr>
          <w:rFonts w:ascii="Calibri" w:hAnsi="Calibri" w:cs="Calibri"/>
        </w:rPr>
      </w:pPr>
      <w:r w:rsidRPr="001D0ADC">
        <w:rPr>
          <w:rFonts w:ascii="Calibri" w:hAnsi="Calibri" w:cs="Calibri"/>
        </w:rPr>
        <w:t xml:space="preserve">He, Jian-Hui, Sheng-Ya Guo, Feng Zhu, Jun-Jing Zhu, Yun-Xiang Chen, Chang-Jiang Huang, Ji-Min Gao, Qiao-Xiang Dong, Yao-Xian Xuan, and Chun-Qi Li. 2013. ‘A Zebrafish Phenotypic Assay for Assessing Drug-Induced Hepatotoxicity’. </w:t>
      </w:r>
      <w:r w:rsidRPr="001D0ADC">
        <w:rPr>
          <w:rFonts w:ascii="Calibri" w:hAnsi="Calibri" w:cs="Calibri"/>
          <w:i/>
          <w:iCs/>
        </w:rPr>
        <w:t>Journal of Pharmacological and Toxicological Methods</w:t>
      </w:r>
      <w:r w:rsidRPr="001D0ADC">
        <w:rPr>
          <w:rFonts w:ascii="Calibri" w:hAnsi="Calibri" w:cs="Calibri"/>
        </w:rPr>
        <w:t xml:space="preserve"> 67 (1): 25–32. https://doi.org/10.1016/j.vascn.2012.10.003.</w:t>
      </w:r>
    </w:p>
    <w:p w14:paraId="6031F61B" w14:textId="77777777" w:rsidR="004E4B09" w:rsidRPr="001D0ADC" w:rsidRDefault="004E4B09" w:rsidP="004E4B09">
      <w:pPr>
        <w:pStyle w:val="Bibliography"/>
        <w:rPr>
          <w:rFonts w:ascii="Calibri" w:hAnsi="Calibri" w:cs="Calibri"/>
        </w:rPr>
      </w:pPr>
      <w:r w:rsidRPr="001D0ADC">
        <w:rPr>
          <w:rFonts w:ascii="Calibri" w:hAnsi="Calibri" w:cs="Calibri"/>
        </w:rPr>
        <w:t xml:space="preserve">Henschel, K.-P., A. Wenzel, M. Diedrich, and A. Fliedner. 1997. ‘Environmental Hazard Assessment of Pharmaceuticals’. </w:t>
      </w:r>
      <w:r w:rsidRPr="001D0ADC">
        <w:rPr>
          <w:rFonts w:ascii="Calibri" w:hAnsi="Calibri" w:cs="Calibri"/>
          <w:i/>
          <w:iCs/>
        </w:rPr>
        <w:t>Regulatory Toxicology and Pharmacology</w:t>
      </w:r>
      <w:r w:rsidRPr="001D0ADC">
        <w:rPr>
          <w:rFonts w:ascii="Calibri" w:hAnsi="Calibri" w:cs="Calibri"/>
        </w:rPr>
        <w:t xml:space="preserve"> 25 (3): 220–25. https://doi.org/10.1006/rtph.1997.1102.</w:t>
      </w:r>
    </w:p>
    <w:p w14:paraId="77BB449E" w14:textId="77777777" w:rsidR="004E4B09" w:rsidRPr="001D0ADC" w:rsidRDefault="004E4B09" w:rsidP="004E4B09">
      <w:pPr>
        <w:pStyle w:val="Bibliography"/>
        <w:rPr>
          <w:rFonts w:ascii="Calibri" w:hAnsi="Calibri" w:cs="Calibri"/>
        </w:rPr>
      </w:pPr>
      <w:r w:rsidRPr="001D0ADC">
        <w:rPr>
          <w:rFonts w:ascii="Calibri" w:hAnsi="Calibri" w:cs="Calibri"/>
        </w:rPr>
        <w:t xml:space="preserve">Hong, Han Na, Han Na Kim, Kyeong Seo Park, Sung-Kyu Lee, and Man Bock Gu. 2007. ‘Analysis of the Effects Diclofenac Has on Japanese Medaka (Oryzias Latipes) Using Real-Time PCR’. </w:t>
      </w:r>
      <w:r w:rsidRPr="001D0ADC">
        <w:rPr>
          <w:rFonts w:ascii="Calibri" w:hAnsi="Calibri" w:cs="Calibri"/>
          <w:i/>
          <w:iCs/>
        </w:rPr>
        <w:t>Chemosphere</w:t>
      </w:r>
      <w:r w:rsidRPr="001D0ADC">
        <w:rPr>
          <w:rFonts w:ascii="Calibri" w:hAnsi="Calibri" w:cs="Calibri"/>
        </w:rPr>
        <w:t xml:space="preserve"> 67 (11): 2115–21. https://doi.org/10.1016/j.chemosphere.2006.12.090.</w:t>
      </w:r>
    </w:p>
    <w:p w14:paraId="6644674B" w14:textId="77777777" w:rsidR="004E4B09" w:rsidRPr="001D0ADC" w:rsidRDefault="004E4B09" w:rsidP="004E4B09">
      <w:pPr>
        <w:pStyle w:val="Bibliography"/>
        <w:rPr>
          <w:rFonts w:ascii="Calibri" w:hAnsi="Calibri" w:cs="Calibri"/>
        </w:rPr>
      </w:pPr>
      <w:r w:rsidRPr="001D0ADC">
        <w:rPr>
          <w:rFonts w:ascii="Calibri" w:hAnsi="Calibri" w:cs="Calibri"/>
        </w:rPr>
        <w:t xml:space="preserve">Hou, Lirui, Yuhan Fu, Chong Zhao, Lihong Fan, Hongbo Hu, and Shutao Yin. 2022. ‘Ciprofloxacin and Enrofloxacin Can Cause Reproductive Toxicity via Endocrine Signaling Pathways’. </w:t>
      </w:r>
      <w:r w:rsidRPr="001D0ADC">
        <w:rPr>
          <w:rFonts w:ascii="Calibri" w:hAnsi="Calibri" w:cs="Calibri"/>
          <w:i/>
          <w:iCs/>
        </w:rPr>
        <w:t>Ecotoxicology and Environmental Safety</w:t>
      </w:r>
      <w:r w:rsidRPr="001D0ADC">
        <w:rPr>
          <w:rFonts w:ascii="Calibri" w:hAnsi="Calibri" w:cs="Calibri"/>
        </w:rPr>
        <w:t xml:space="preserve"> 244 (October):114049. https://doi.org/10.1016/j.ecoenv.2022.114049.</w:t>
      </w:r>
    </w:p>
    <w:p w14:paraId="693B98DC" w14:textId="77777777" w:rsidR="004E4B09" w:rsidRPr="001D0ADC" w:rsidRDefault="004E4B09" w:rsidP="004E4B09">
      <w:pPr>
        <w:pStyle w:val="Bibliography"/>
        <w:rPr>
          <w:rFonts w:ascii="Calibri" w:hAnsi="Calibri" w:cs="Calibri"/>
        </w:rPr>
      </w:pPr>
      <w:r w:rsidRPr="001D0ADC">
        <w:rPr>
          <w:rFonts w:ascii="Calibri" w:hAnsi="Calibri" w:cs="Calibri"/>
        </w:rPr>
        <w:t xml:space="preserve">Iftikhar, Nazish, Isaac Konig, Cole English, Emma Ivantsova, Christopher L. Souders, Imran Hashmi, and Christopher J. Martyniuk. 2023. ‘Sulfamethoxazole (SMX) Alters Immune and Apoptotic Endpoints in Developing Zebrafish (Danio Rerio)’. </w:t>
      </w:r>
      <w:r w:rsidRPr="001D0ADC">
        <w:rPr>
          <w:rFonts w:ascii="Calibri" w:hAnsi="Calibri" w:cs="Calibri"/>
          <w:i/>
          <w:iCs/>
        </w:rPr>
        <w:t>Toxics</w:t>
      </w:r>
      <w:r w:rsidRPr="001D0ADC">
        <w:rPr>
          <w:rFonts w:ascii="Calibri" w:hAnsi="Calibri" w:cs="Calibri"/>
        </w:rPr>
        <w:t xml:space="preserve"> 11 (2): 178. https://doi.org/10.3390/toxics11020178.</w:t>
      </w:r>
    </w:p>
    <w:p w14:paraId="2E64305A" w14:textId="77777777" w:rsidR="004E4B09" w:rsidRPr="001D0ADC" w:rsidRDefault="004E4B09" w:rsidP="004E4B09">
      <w:pPr>
        <w:pStyle w:val="Bibliography"/>
        <w:rPr>
          <w:rFonts w:ascii="Calibri" w:hAnsi="Calibri" w:cs="Calibri"/>
        </w:rPr>
      </w:pPr>
      <w:r w:rsidRPr="001D0ADC">
        <w:rPr>
          <w:rFonts w:ascii="Calibri" w:hAnsi="Calibri" w:cs="Calibri"/>
        </w:rPr>
        <w:t xml:space="preserve">Isidori, Marina, Margherita Lavorgna, Angela Nardelli, Luigia Pascarella, and Alfredo Parrella. 2005. ‘Toxic and Genotoxic Evaluation of Six Antibiotics on Non-Target Organisms’. </w:t>
      </w:r>
      <w:r w:rsidRPr="001D0ADC">
        <w:rPr>
          <w:rFonts w:ascii="Calibri" w:hAnsi="Calibri" w:cs="Calibri"/>
          <w:i/>
          <w:iCs/>
        </w:rPr>
        <w:t>Science of The Total Environment</w:t>
      </w:r>
      <w:r w:rsidRPr="001D0ADC">
        <w:rPr>
          <w:rFonts w:ascii="Calibri" w:hAnsi="Calibri" w:cs="Calibri"/>
        </w:rPr>
        <w:t xml:space="preserve"> 346 (1–3): 87–98. https://doi.org/10.1016/j.scitotenv.2004.11.017.</w:t>
      </w:r>
    </w:p>
    <w:p w14:paraId="549FACE8" w14:textId="77777777" w:rsidR="004E4B09" w:rsidRPr="001D0ADC" w:rsidRDefault="004E4B09" w:rsidP="004E4B09">
      <w:pPr>
        <w:pStyle w:val="Bibliography"/>
        <w:rPr>
          <w:rFonts w:ascii="Calibri" w:hAnsi="Calibri" w:cs="Calibri"/>
        </w:rPr>
      </w:pPr>
      <w:r w:rsidRPr="001D0ADC">
        <w:rPr>
          <w:rFonts w:ascii="Calibri" w:hAnsi="Calibri" w:cs="Calibri"/>
        </w:rPr>
        <w:t xml:space="preserve">Islam, Mohammed Ariful, Isabel Lopes, Inês Domingues, Daniel C.V.R. Silva, Julián Blasco, Joana Luísa Pereira, and Cristiano V.M. Araújo. 2023. ‘Behavioural, Developmental and Biochemical Effects in Zebrafish Caused by Ibuprofen, Irgarol and Terbuthylazine’. </w:t>
      </w:r>
      <w:r w:rsidRPr="001D0ADC">
        <w:rPr>
          <w:rFonts w:ascii="Calibri" w:hAnsi="Calibri" w:cs="Calibri"/>
          <w:i/>
          <w:iCs/>
        </w:rPr>
        <w:t>Chemosphere</w:t>
      </w:r>
      <w:r w:rsidRPr="001D0ADC">
        <w:rPr>
          <w:rFonts w:ascii="Calibri" w:hAnsi="Calibri" w:cs="Calibri"/>
        </w:rPr>
        <w:t xml:space="preserve"> 344 (December):140373. https://doi.org/10.1016/j.chemosphere.2023.140373.</w:t>
      </w:r>
    </w:p>
    <w:p w14:paraId="0CB933AD" w14:textId="77777777" w:rsidR="004E4B09" w:rsidRPr="001D0ADC" w:rsidRDefault="004E4B09" w:rsidP="004E4B09">
      <w:pPr>
        <w:pStyle w:val="Bibliography"/>
        <w:rPr>
          <w:rFonts w:ascii="Calibri" w:hAnsi="Calibri" w:cs="Calibri"/>
        </w:rPr>
      </w:pPr>
      <w:r w:rsidRPr="001D0ADC">
        <w:rPr>
          <w:rFonts w:ascii="Calibri" w:hAnsi="Calibri" w:cs="Calibri"/>
        </w:rPr>
        <w:t xml:space="preserve">Islas-Flores, Hariz, Leobardo Manuel Gómez-Oliván, Marcela Galar-Martínez, Arturo Colín-Cruz, Nadia Neri-Cruz, and Sandra García-Medina. 2013. ‘Diclofenac-Induced Oxidative Stress in Brain, Liver, Gill and Blood of Common Carp (Cyprinus Carpio)’. </w:t>
      </w:r>
      <w:r w:rsidRPr="001D0ADC">
        <w:rPr>
          <w:rFonts w:ascii="Calibri" w:hAnsi="Calibri" w:cs="Calibri"/>
          <w:i/>
          <w:iCs/>
        </w:rPr>
        <w:t>Ecotoxicology and Environmental Safety</w:t>
      </w:r>
      <w:r w:rsidRPr="001D0ADC">
        <w:rPr>
          <w:rFonts w:ascii="Calibri" w:hAnsi="Calibri" w:cs="Calibri"/>
        </w:rPr>
        <w:t xml:space="preserve"> 92 (June):32–38. https://doi.org/10.1016/j.ecoenv.2013.01.025.</w:t>
      </w:r>
    </w:p>
    <w:p w14:paraId="38001CD6" w14:textId="77777777" w:rsidR="004E4B09" w:rsidRPr="001D0ADC" w:rsidRDefault="004E4B09" w:rsidP="004E4B09">
      <w:pPr>
        <w:pStyle w:val="Bibliography"/>
        <w:rPr>
          <w:rFonts w:ascii="Calibri" w:hAnsi="Calibri" w:cs="Calibri"/>
        </w:rPr>
      </w:pPr>
      <w:r w:rsidRPr="001D0ADC">
        <w:rPr>
          <w:rFonts w:ascii="Calibri" w:hAnsi="Calibri" w:cs="Calibri"/>
        </w:rPr>
        <w:t xml:space="preserve">Islas-Flores, Hariz, Leobardo Manuel Gómez-Oliván, Marcela Galar-Martínez, Sandra García-Medina, Nadia Neri-Cruz, and Octavio Dublán-García. 2014. ‘Effect of Ibuprofen Exposure on Blood, Gill, Liver, and Brain on Common Carp (Cyprinus Carpio) Using Oxidative Stress Biomarkers’. </w:t>
      </w:r>
      <w:r w:rsidRPr="001D0ADC">
        <w:rPr>
          <w:rFonts w:ascii="Calibri" w:hAnsi="Calibri" w:cs="Calibri"/>
          <w:i/>
          <w:iCs/>
        </w:rPr>
        <w:t>Environmental Science and Pollution Research</w:t>
      </w:r>
      <w:r w:rsidRPr="001D0ADC">
        <w:rPr>
          <w:rFonts w:ascii="Calibri" w:hAnsi="Calibri" w:cs="Calibri"/>
        </w:rPr>
        <w:t xml:space="preserve"> 21 (7): 5157–66. https://doi.org/10.1007/s11356-013-2477-0.</w:t>
      </w:r>
    </w:p>
    <w:p w14:paraId="775EFEED" w14:textId="77777777" w:rsidR="004E4B09" w:rsidRPr="001D0ADC" w:rsidRDefault="004E4B09" w:rsidP="004E4B09">
      <w:pPr>
        <w:pStyle w:val="Bibliography"/>
        <w:rPr>
          <w:rFonts w:ascii="Calibri" w:hAnsi="Calibri" w:cs="Calibri"/>
        </w:rPr>
      </w:pPr>
      <w:r w:rsidRPr="001D0ADC">
        <w:rPr>
          <w:rFonts w:ascii="Calibri" w:hAnsi="Calibri" w:cs="Calibri"/>
        </w:rPr>
        <w:t xml:space="preserve">Islas‐Flores, Hariz, Leobardo Manuel Gómez‐Oliván, Marcela Galar‐Martínez, Esmeralda Michelle Sánchez‐Ocampo, Nely SanJuan‐Reyes, Mariana Ortíz‐Reynoso, and Octavio Dublán‐García. 2017. ‘Cyto‐genotoxicity and Oxidative Stress in Common Carp ( </w:t>
      </w:r>
      <w:r w:rsidRPr="001D0ADC">
        <w:rPr>
          <w:rFonts w:ascii="Calibri" w:hAnsi="Calibri" w:cs="Calibri"/>
          <w:i/>
          <w:iCs/>
        </w:rPr>
        <w:t>Cyprinus Carpio</w:t>
      </w:r>
      <w:r w:rsidRPr="001D0ADC">
        <w:rPr>
          <w:rFonts w:ascii="Calibri" w:hAnsi="Calibri" w:cs="Calibri"/>
        </w:rPr>
        <w:t xml:space="preserve"> ) Exposed to a Mixture of Ibuprofen and Diclofenac’. </w:t>
      </w:r>
      <w:r w:rsidRPr="001D0ADC">
        <w:rPr>
          <w:rFonts w:ascii="Calibri" w:hAnsi="Calibri" w:cs="Calibri"/>
          <w:i/>
          <w:iCs/>
        </w:rPr>
        <w:t>Environmental Toxicology</w:t>
      </w:r>
      <w:r w:rsidRPr="001D0ADC">
        <w:rPr>
          <w:rFonts w:ascii="Calibri" w:hAnsi="Calibri" w:cs="Calibri"/>
        </w:rPr>
        <w:t xml:space="preserve"> 32 (5): 1637–50. https://doi.org/10.1002/tox.22392.</w:t>
      </w:r>
    </w:p>
    <w:p w14:paraId="1266CB5A" w14:textId="77777777" w:rsidR="004E4B09" w:rsidRPr="001D0ADC" w:rsidRDefault="004E4B09" w:rsidP="004E4B09">
      <w:pPr>
        <w:pStyle w:val="Bibliography"/>
        <w:rPr>
          <w:rFonts w:ascii="Calibri" w:hAnsi="Calibri" w:cs="Calibri"/>
        </w:rPr>
      </w:pPr>
      <w:r w:rsidRPr="001D0ADC">
        <w:rPr>
          <w:rFonts w:ascii="Calibri" w:hAnsi="Calibri" w:cs="Calibri"/>
        </w:rPr>
        <w:t xml:space="preserve">Jeffries, Ken M., Susanne M. Brander, Monica T. Britton, Nann A. Fangue, and Richard E. Connon. 2015. ‘Chronic Exposures to Low and High Concentrations of Ibuprofen Elicit Different Gene Response Patterns in a Euryhaline Fish’. </w:t>
      </w:r>
      <w:r w:rsidRPr="001D0ADC">
        <w:rPr>
          <w:rFonts w:ascii="Calibri" w:hAnsi="Calibri" w:cs="Calibri"/>
          <w:i/>
          <w:iCs/>
        </w:rPr>
        <w:t>Environmental Science and Pollution Research</w:t>
      </w:r>
      <w:r w:rsidRPr="001D0ADC">
        <w:rPr>
          <w:rFonts w:ascii="Calibri" w:hAnsi="Calibri" w:cs="Calibri"/>
        </w:rPr>
        <w:t xml:space="preserve"> 22 (22): 17397–413. https://doi.org/10.1007/s11356-015-4227-y.</w:t>
      </w:r>
    </w:p>
    <w:p w14:paraId="0C93FBEA" w14:textId="77777777" w:rsidR="004E4B09" w:rsidRPr="001D0ADC" w:rsidRDefault="004E4B09" w:rsidP="004E4B09">
      <w:pPr>
        <w:pStyle w:val="Bibliography"/>
        <w:rPr>
          <w:rFonts w:ascii="Calibri" w:hAnsi="Calibri" w:cs="Calibri"/>
        </w:rPr>
      </w:pPr>
      <w:r w:rsidRPr="001D0ADC">
        <w:rPr>
          <w:rFonts w:ascii="Calibri" w:hAnsi="Calibri" w:cs="Calibri"/>
        </w:rPr>
        <w:t xml:space="preserve">Jia, Dantong, Xiuqi You, Moran Tang, Yitao Lyu, Jingrun Hu, and Weiling Sun. 2023. ‘Single and Combined Genotoxicity of Metals and Fluoroquinolones to Zebrafish Embryos at Environmentally Relevant Concentrations’. </w:t>
      </w:r>
      <w:r w:rsidRPr="001D0ADC">
        <w:rPr>
          <w:rFonts w:ascii="Calibri" w:hAnsi="Calibri" w:cs="Calibri"/>
          <w:i/>
          <w:iCs/>
        </w:rPr>
        <w:t>Aquatic Toxicology</w:t>
      </w:r>
      <w:r w:rsidRPr="001D0ADC">
        <w:rPr>
          <w:rFonts w:ascii="Calibri" w:hAnsi="Calibri" w:cs="Calibri"/>
        </w:rPr>
        <w:t xml:space="preserve"> 258 (May):106495. https://doi.org/10.1016/j.aquatox.2023.106495.</w:t>
      </w:r>
    </w:p>
    <w:p w14:paraId="2433E6AC" w14:textId="77777777" w:rsidR="004E4B09" w:rsidRPr="001D0ADC" w:rsidRDefault="004E4B09" w:rsidP="004E4B09">
      <w:pPr>
        <w:pStyle w:val="Bibliography"/>
        <w:rPr>
          <w:rFonts w:ascii="Calibri" w:hAnsi="Calibri" w:cs="Calibri"/>
        </w:rPr>
      </w:pPr>
      <w:r w:rsidRPr="001D0ADC">
        <w:rPr>
          <w:rFonts w:ascii="Calibri" w:hAnsi="Calibri" w:cs="Calibri"/>
        </w:rPr>
        <w:t xml:space="preserve">Jos, A, G Repetto, J.C Rios, M.J Hazen, M.L Molero, A Del Peso, M Salguero, P Fernández-Freire, J.M Pérez-Martı́n, and A Cameán. 2003. ‘Ecotoxicological Evaluation of Carbamazepine Using Six Different Model Systems with Eighteen Endpoints’. </w:t>
      </w:r>
      <w:r w:rsidRPr="001D0ADC">
        <w:rPr>
          <w:rFonts w:ascii="Calibri" w:hAnsi="Calibri" w:cs="Calibri"/>
          <w:i/>
          <w:iCs/>
        </w:rPr>
        <w:t>Toxicology in Vitro</w:t>
      </w:r>
      <w:r w:rsidRPr="001D0ADC">
        <w:rPr>
          <w:rFonts w:ascii="Calibri" w:hAnsi="Calibri" w:cs="Calibri"/>
        </w:rPr>
        <w:t xml:space="preserve"> 17 (5–6): 525–32. https://doi.org/10.1016/S0887-2333(03)00119-X.</w:t>
      </w:r>
    </w:p>
    <w:p w14:paraId="762523D5" w14:textId="77777777" w:rsidR="004E4B09" w:rsidRPr="001D0ADC" w:rsidRDefault="004E4B09" w:rsidP="004E4B09">
      <w:pPr>
        <w:pStyle w:val="Bibliography"/>
        <w:rPr>
          <w:rFonts w:ascii="Calibri" w:hAnsi="Calibri" w:cs="Calibri"/>
        </w:rPr>
      </w:pPr>
      <w:r w:rsidRPr="001D0ADC">
        <w:rPr>
          <w:rFonts w:ascii="Calibri" w:hAnsi="Calibri" w:cs="Calibri"/>
        </w:rPr>
        <w:t xml:space="preserve">Kang, Hee Joo, Hyun Soo Kim, Kyungho Choi, Kyung Tae Kim, and Pan-Gyi Kim. 2005. ‘Several Human Pharmaceutical Residues in Aquatic Environment May Result in Endocrine Disruption in Japanese Medaka(Oryzias Latipes)’. </w:t>
      </w:r>
      <w:r w:rsidRPr="001D0ADC">
        <w:rPr>
          <w:rFonts w:ascii="Calibri" w:hAnsi="Calibri" w:cs="Calibri"/>
          <w:i/>
          <w:iCs/>
        </w:rPr>
        <w:t>Journal of Environmental Health Sciences</w:t>
      </w:r>
      <w:r w:rsidRPr="001D0ADC">
        <w:rPr>
          <w:rFonts w:ascii="Calibri" w:hAnsi="Calibri" w:cs="Calibri"/>
        </w:rPr>
        <w:t xml:space="preserve"> 31 (31): 227–33.</w:t>
      </w:r>
    </w:p>
    <w:p w14:paraId="09DC89EF" w14:textId="77777777" w:rsidR="004E4B09" w:rsidRPr="001D0ADC" w:rsidRDefault="004E4B09" w:rsidP="004E4B09">
      <w:pPr>
        <w:pStyle w:val="Bibliography"/>
        <w:rPr>
          <w:rFonts w:ascii="Calibri" w:hAnsi="Calibri" w:cs="Calibri"/>
        </w:rPr>
      </w:pPr>
      <w:r w:rsidRPr="001D0ADC">
        <w:rPr>
          <w:rFonts w:ascii="Calibri" w:hAnsi="Calibri" w:cs="Calibri"/>
        </w:rPr>
        <w:t>Kang, Hee Joo, Choi Kyungho, Min Young Kim, and PanGyi Kim. 2006. ‘Endocrine Disruption Induced by Some Sulfa Drugs and Tetracyclines on Oryzias Latipes’ Vol. 32 (No.3): 227–34.</w:t>
      </w:r>
    </w:p>
    <w:p w14:paraId="6CA44A7F" w14:textId="77777777" w:rsidR="004E4B09" w:rsidRPr="001D0ADC" w:rsidRDefault="004E4B09" w:rsidP="004E4B09">
      <w:pPr>
        <w:pStyle w:val="Bibliography"/>
        <w:rPr>
          <w:rFonts w:ascii="Calibri" w:hAnsi="Calibri" w:cs="Calibri"/>
        </w:rPr>
      </w:pPr>
      <w:r w:rsidRPr="001D0ADC">
        <w:rPr>
          <w:rFonts w:ascii="Calibri" w:hAnsi="Calibri" w:cs="Calibri"/>
        </w:rPr>
        <w:t xml:space="preserve">Kim, Joon Woo, Hiroshi Ishibashi, Ryoko Yamauchi, Nobuhiro Ichikawa, Yuji Takao, Masashi Hirano, Minoru Koga, and Koji Arizono. 2009. ‘Acute Toxicity of Pharmaceutical and Personal Care Products on Freshwater Crustacean (Thamnocephalus Platyurus) and Fish (Oryzias Latipes)’. </w:t>
      </w:r>
      <w:r w:rsidRPr="001D0ADC">
        <w:rPr>
          <w:rFonts w:ascii="Calibri" w:hAnsi="Calibri" w:cs="Calibri"/>
          <w:i/>
          <w:iCs/>
        </w:rPr>
        <w:t>The Journal of Toxicological Scieneces</w:t>
      </w:r>
      <w:r w:rsidRPr="001D0ADC">
        <w:rPr>
          <w:rFonts w:ascii="Calibri" w:hAnsi="Calibri" w:cs="Calibri"/>
        </w:rPr>
        <w:t xml:space="preserve"> 34 (2): 227–32.</w:t>
      </w:r>
    </w:p>
    <w:p w14:paraId="75CADE93" w14:textId="77777777" w:rsidR="004E4B09" w:rsidRPr="001D0ADC" w:rsidRDefault="004E4B09" w:rsidP="004E4B09">
      <w:pPr>
        <w:pStyle w:val="Bibliography"/>
        <w:rPr>
          <w:rFonts w:ascii="Calibri" w:hAnsi="Calibri" w:cs="Calibri"/>
        </w:rPr>
      </w:pPr>
      <w:r w:rsidRPr="001D0ADC">
        <w:rPr>
          <w:rFonts w:ascii="Calibri" w:hAnsi="Calibri" w:cs="Calibri"/>
        </w:rPr>
        <w:t xml:space="preserve">Kim, Younghee, Kyungho Choi, Jinyong Jung, Sujung Park, Pan-Gyi Kim, and Jeongim Park. 2007. ‘Aquatic Toxicity of Acetaminophen, Carbamazepine, Cimetidine, Diltiazem and Six Major Sulfonamides, and Their Potential Ecological Risks in Korea’. </w:t>
      </w:r>
      <w:r w:rsidRPr="001D0ADC">
        <w:rPr>
          <w:rFonts w:ascii="Calibri" w:hAnsi="Calibri" w:cs="Calibri"/>
          <w:i/>
          <w:iCs/>
        </w:rPr>
        <w:t>Environment International</w:t>
      </w:r>
      <w:r w:rsidRPr="001D0ADC">
        <w:rPr>
          <w:rFonts w:ascii="Calibri" w:hAnsi="Calibri" w:cs="Calibri"/>
        </w:rPr>
        <w:t xml:space="preserve"> 33 (3): 370–75. https://doi.org/10.1016/j.envint.2006.11.017.</w:t>
      </w:r>
    </w:p>
    <w:p w14:paraId="02C991BC" w14:textId="77777777" w:rsidR="004E4B09" w:rsidRPr="001D0ADC" w:rsidRDefault="004E4B09" w:rsidP="004E4B09">
      <w:pPr>
        <w:pStyle w:val="Bibliography"/>
        <w:rPr>
          <w:rFonts w:ascii="Calibri" w:hAnsi="Calibri" w:cs="Calibri"/>
        </w:rPr>
      </w:pPr>
      <w:r w:rsidRPr="001D0ADC">
        <w:rPr>
          <w:rFonts w:ascii="Calibri" w:hAnsi="Calibri" w:cs="Calibri"/>
        </w:rPr>
        <w:t xml:space="preserve">Laville, N, S Aı̈t-Aı̈ssa, E Gomez, C Casellas, and J.M Porcher. 2004. ‘Effects of Human Pharmaceuticals on Cytotoxicity, EROD Activity and ROS Production in Fish Hepatocytes’. </w:t>
      </w:r>
      <w:r w:rsidRPr="001D0ADC">
        <w:rPr>
          <w:rFonts w:ascii="Calibri" w:hAnsi="Calibri" w:cs="Calibri"/>
          <w:i/>
          <w:iCs/>
        </w:rPr>
        <w:t>Toxicology</w:t>
      </w:r>
      <w:r w:rsidRPr="001D0ADC">
        <w:rPr>
          <w:rFonts w:ascii="Calibri" w:hAnsi="Calibri" w:cs="Calibri"/>
        </w:rPr>
        <w:t xml:space="preserve"> 196 (1–2): 41–55. https://doi.org/10.1016/j.tox.2003.11.002.</w:t>
      </w:r>
    </w:p>
    <w:p w14:paraId="09E8952B" w14:textId="77777777" w:rsidR="004E4B09" w:rsidRPr="001D0ADC" w:rsidRDefault="004E4B09" w:rsidP="004E4B09">
      <w:pPr>
        <w:pStyle w:val="Bibliography"/>
        <w:rPr>
          <w:rFonts w:ascii="Calibri" w:hAnsi="Calibri" w:cs="Calibri"/>
        </w:rPr>
      </w:pPr>
      <w:r w:rsidRPr="001D0ADC">
        <w:rPr>
          <w:rFonts w:ascii="Calibri" w:hAnsi="Calibri" w:cs="Calibri"/>
        </w:rPr>
        <w:t xml:space="preserve">Li, Zhi-Hua, Ping Li, Marek Rodina, and Tomas Randak. 2010. ‘Effect of Human Pharmaceutical Carbamazepine on the Quality Parameters and Oxidative Stress in Common Carp (Cyprinus Carpio L.) Spermatozoa’. </w:t>
      </w:r>
      <w:r w:rsidRPr="001D0ADC">
        <w:rPr>
          <w:rFonts w:ascii="Calibri" w:hAnsi="Calibri" w:cs="Calibri"/>
          <w:i/>
          <w:iCs/>
        </w:rPr>
        <w:t>Chemosphere</w:t>
      </w:r>
      <w:r w:rsidRPr="001D0ADC">
        <w:rPr>
          <w:rFonts w:ascii="Calibri" w:hAnsi="Calibri" w:cs="Calibri"/>
        </w:rPr>
        <w:t xml:space="preserve"> 80 (5): 530–34. https://doi.org/10.1016/j.chemosphere.2010.04.046.</w:t>
      </w:r>
    </w:p>
    <w:p w14:paraId="3AAF4B1F" w14:textId="77777777" w:rsidR="004E4B09" w:rsidRPr="001D0ADC" w:rsidRDefault="004E4B09" w:rsidP="004E4B09">
      <w:pPr>
        <w:pStyle w:val="Bibliography"/>
        <w:rPr>
          <w:rFonts w:ascii="Calibri" w:hAnsi="Calibri" w:cs="Calibri"/>
        </w:rPr>
      </w:pPr>
      <w:r w:rsidRPr="001D0ADC">
        <w:rPr>
          <w:rFonts w:ascii="Calibri" w:hAnsi="Calibri" w:cs="Calibri"/>
        </w:rPr>
        <w:t xml:space="preserve">Li, Zhihua, Guanghua Lu, Xiaofan Yang, and Chao Wang. 2012. ‘Single and Combined Effects of Selected Pharmaceuticals at Sublethal Concentrations on Multiple Biomarkers in Carassius Auratus’. </w:t>
      </w:r>
      <w:r w:rsidRPr="001D0ADC">
        <w:rPr>
          <w:rFonts w:ascii="Calibri" w:hAnsi="Calibri" w:cs="Calibri"/>
          <w:i/>
          <w:iCs/>
        </w:rPr>
        <w:t>Ecotoxicology</w:t>
      </w:r>
      <w:r w:rsidRPr="001D0ADC">
        <w:rPr>
          <w:rFonts w:ascii="Calibri" w:hAnsi="Calibri" w:cs="Calibri"/>
        </w:rPr>
        <w:t xml:space="preserve"> 21 (2): 353–61. https://doi.org/10.1007/s10646-011-0796-9.</w:t>
      </w:r>
    </w:p>
    <w:p w14:paraId="71E1AD14" w14:textId="77777777" w:rsidR="004E4B09" w:rsidRPr="001D0ADC" w:rsidRDefault="004E4B09" w:rsidP="004E4B09">
      <w:pPr>
        <w:pStyle w:val="Bibliography"/>
        <w:rPr>
          <w:rFonts w:ascii="Calibri" w:hAnsi="Calibri" w:cs="Calibri"/>
        </w:rPr>
      </w:pPr>
      <w:r w:rsidRPr="001D0ADC">
        <w:rPr>
          <w:rFonts w:ascii="Calibri" w:hAnsi="Calibri" w:cs="Calibri"/>
        </w:rPr>
        <w:t xml:space="preserve">Li, Zhi-Hua, Vladimir Zlabek, Josef Velisek, Roman Grabic, Jana Machova, Jitka Kolarova, Ping Li, and Tomas Randak. 2011. ‘Acute Toxicity of Carbamazepine to Juvenile Rainbow Trout (Oncorhynchus Mykiss): Effects on Antioxidant Responses, Hematological Parameters and Hepatic EROD’. </w:t>
      </w:r>
      <w:r w:rsidRPr="001D0ADC">
        <w:rPr>
          <w:rFonts w:ascii="Calibri" w:hAnsi="Calibri" w:cs="Calibri"/>
          <w:i/>
          <w:iCs/>
        </w:rPr>
        <w:t>Ecotoxicology and Environmental Safety</w:t>
      </w:r>
      <w:r w:rsidRPr="001D0ADC">
        <w:rPr>
          <w:rFonts w:ascii="Calibri" w:hAnsi="Calibri" w:cs="Calibri"/>
        </w:rPr>
        <w:t xml:space="preserve"> 74 (3): 319–27. https://doi.org/10.1016/j.ecoenv.2010.09.008.</w:t>
      </w:r>
    </w:p>
    <w:p w14:paraId="79B9DE76" w14:textId="77777777" w:rsidR="004E4B09" w:rsidRPr="001D0ADC" w:rsidRDefault="004E4B09" w:rsidP="004E4B09">
      <w:pPr>
        <w:pStyle w:val="Bibliography"/>
        <w:rPr>
          <w:rFonts w:ascii="Calibri" w:hAnsi="Calibri" w:cs="Calibri"/>
        </w:rPr>
      </w:pPr>
      <w:r w:rsidRPr="001D0ADC">
        <w:rPr>
          <w:rFonts w:ascii="Calibri" w:hAnsi="Calibri" w:cs="Calibri"/>
        </w:rPr>
        <w:t xml:space="preserve">Lin, Tao, Shilin Yu, Yanqiu Chen, and Wei Chen. 2014. ‘Integrated Biomarker Responses in Zebrafish Exposed to Sulfonamides’. </w:t>
      </w:r>
      <w:r w:rsidRPr="001D0ADC">
        <w:rPr>
          <w:rFonts w:ascii="Calibri" w:hAnsi="Calibri" w:cs="Calibri"/>
          <w:i/>
          <w:iCs/>
        </w:rPr>
        <w:t>Environmental Toxicology and Pharmacology</w:t>
      </w:r>
      <w:r w:rsidRPr="001D0ADC">
        <w:rPr>
          <w:rFonts w:ascii="Calibri" w:hAnsi="Calibri" w:cs="Calibri"/>
        </w:rPr>
        <w:t xml:space="preserve"> 38 (2): 444–52. https://doi.org/10.1016/j.etap.2014.07.020.</w:t>
      </w:r>
    </w:p>
    <w:p w14:paraId="6A983AFE" w14:textId="77777777" w:rsidR="004E4B09" w:rsidRPr="001D0ADC" w:rsidRDefault="004E4B09" w:rsidP="004E4B09">
      <w:pPr>
        <w:pStyle w:val="Bibliography"/>
        <w:rPr>
          <w:rFonts w:ascii="Calibri" w:hAnsi="Calibri" w:cs="Calibri"/>
        </w:rPr>
      </w:pPr>
      <w:r w:rsidRPr="001D0ADC">
        <w:rPr>
          <w:rFonts w:ascii="Calibri" w:hAnsi="Calibri" w:cs="Calibri"/>
        </w:rPr>
        <w:t xml:space="preserve">Liu, Jingyu, Tianzi Wei, Xin Wu, Hanbin Zhong, Wenhui Qiu, and Yan Zheng. 2020. ‘Early Exposure to Environmental Levels of Sulfamethoxazole Triggers Immune and Inflammatory Response of Healthy Zebrafish Larvae’. </w:t>
      </w:r>
      <w:r w:rsidRPr="001D0ADC">
        <w:rPr>
          <w:rFonts w:ascii="Calibri" w:hAnsi="Calibri" w:cs="Calibri"/>
          <w:i/>
          <w:iCs/>
        </w:rPr>
        <w:t>Science of The Total Environment</w:t>
      </w:r>
      <w:r w:rsidRPr="001D0ADC">
        <w:rPr>
          <w:rFonts w:ascii="Calibri" w:hAnsi="Calibri" w:cs="Calibri"/>
        </w:rPr>
        <w:t xml:space="preserve"> 703 (February):134724. https://doi.org/10.1016/j.scitotenv.2019.134724.</w:t>
      </w:r>
    </w:p>
    <w:p w14:paraId="6D1C124A" w14:textId="77777777" w:rsidR="004E4B09" w:rsidRPr="001D0ADC" w:rsidRDefault="004E4B09" w:rsidP="004E4B09">
      <w:pPr>
        <w:pStyle w:val="Bibliography"/>
        <w:rPr>
          <w:rFonts w:ascii="Calibri" w:hAnsi="Calibri" w:cs="Calibri"/>
        </w:rPr>
      </w:pPr>
      <w:r w:rsidRPr="001D0ADC">
        <w:rPr>
          <w:rFonts w:ascii="Calibri" w:hAnsi="Calibri" w:cs="Calibri"/>
        </w:rPr>
        <w:t xml:space="preserve">Malarvizhi, Annamalai, Chokkalingam Kavitha, Manoharan Saravanan, and Mathan Ramesh. 2012. ‘Carbamazepine (CBZ) Induced Enzymatic Stress in Gill, Liver and Muscle of a Common Carp, Cyprinus Carpio’. </w:t>
      </w:r>
      <w:r w:rsidRPr="001D0ADC">
        <w:rPr>
          <w:rFonts w:ascii="Calibri" w:hAnsi="Calibri" w:cs="Calibri"/>
          <w:i/>
          <w:iCs/>
        </w:rPr>
        <w:t>Journal of King Saud University - Science</w:t>
      </w:r>
      <w:r w:rsidRPr="001D0ADC">
        <w:rPr>
          <w:rFonts w:ascii="Calibri" w:hAnsi="Calibri" w:cs="Calibri"/>
        </w:rPr>
        <w:t xml:space="preserve"> 24 (2): 179–86. https://doi.org/10.1016/j.jksus.2011.01.001.</w:t>
      </w:r>
    </w:p>
    <w:p w14:paraId="68F68FED" w14:textId="77777777" w:rsidR="004E4B09" w:rsidRPr="001D0ADC" w:rsidRDefault="004E4B09" w:rsidP="004E4B09">
      <w:pPr>
        <w:pStyle w:val="Bibliography"/>
        <w:rPr>
          <w:rFonts w:ascii="Calibri" w:hAnsi="Calibri" w:cs="Calibri"/>
        </w:rPr>
      </w:pPr>
      <w:r w:rsidRPr="001D0ADC">
        <w:rPr>
          <w:rFonts w:ascii="Calibri" w:hAnsi="Calibri" w:cs="Calibri"/>
        </w:rPr>
        <w:t xml:space="preserve">Martinović-Weigelt, Dalma, Alvine C. Mehinto, Gerald T. Ankley, Jason P. Berninger, Timothy W. Collette, John M. Davis, Nancy D. Denslow, et al. 2017. ‘Derivation and Evaluation of Putative Adverse Outcome Pathways for the Effects of Cyclooxygenase Inhibitors on Reproductive Processes in Female Fish’. </w:t>
      </w:r>
      <w:r w:rsidRPr="001D0ADC">
        <w:rPr>
          <w:rFonts w:ascii="Calibri" w:hAnsi="Calibri" w:cs="Calibri"/>
          <w:i/>
          <w:iCs/>
        </w:rPr>
        <w:t>Toxicological Sciences</w:t>
      </w:r>
      <w:r w:rsidRPr="001D0ADC">
        <w:rPr>
          <w:rFonts w:ascii="Calibri" w:hAnsi="Calibri" w:cs="Calibri"/>
        </w:rPr>
        <w:t xml:space="preserve"> 156 (2): 344–61. https://doi.org/10.1093/toxsci/kfw257.</w:t>
      </w:r>
    </w:p>
    <w:p w14:paraId="55FC586E" w14:textId="77777777" w:rsidR="004E4B09" w:rsidRPr="001D0ADC" w:rsidRDefault="004E4B09" w:rsidP="004E4B09">
      <w:pPr>
        <w:pStyle w:val="Bibliography"/>
        <w:rPr>
          <w:rFonts w:ascii="Calibri" w:hAnsi="Calibri" w:cs="Calibri"/>
        </w:rPr>
      </w:pPr>
      <w:r w:rsidRPr="001D0ADC">
        <w:rPr>
          <w:rFonts w:ascii="Calibri" w:hAnsi="Calibri" w:cs="Calibri"/>
        </w:rPr>
        <w:t xml:space="preserve">Martins, N., R. Pereira, N. Abrantes, J. Pereira, F. Gonçalves, and C. R. Marques. 2012. ‘Ecotoxicological Effects of Ciprofloxacin on Freshwater Species: Data Integration and Derivation of Toxicity Thresholds for Risk Assessment’. </w:t>
      </w:r>
      <w:r w:rsidRPr="001D0ADC">
        <w:rPr>
          <w:rFonts w:ascii="Calibri" w:hAnsi="Calibri" w:cs="Calibri"/>
          <w:i/>
          <w:iCs/>
        </w:rPr>
        <w:t>Ecotoxicology</w:t>
      </w:r>
      <w:r w:rsidRPr="001D0ADC">
        <w:rPr>
          <w:rFonts w:ascii="Calibri" w:hAnsi="Calibri" w:cs="Calibri"/>
        </w:rPr>
        <w:t xml:space="preserve"> 21 (4): 1167–76. https://doi.org/10.1007/s10646-012-0871-x.</w:t>
      </w:r>
    </w:p>
    <w:p w14:paraId="4CD94BED" w14:textId="77777777" w:rsidR="004E4B09" w:rsidRPr="001D0ADC" w:rsidRDefault="004E4B09" w:rsidP="004E4B09">
      <w:pPr>
        <w:pStyle w:val="Bibliography"/>
        <w:rPr>
          <w:rFonts w:ascii="Calibri" w:hAnsi="Calibri" w:cs="Calibri"/>
        </w:rPr>
      </w:pPr>
      <w:r w:rsidRPr="001D0ADC">
        <w:rPr>
          <w:rFonts w:ascii="Calibri" w:hAnsi="Calibri" w:cs="Calibri"/>
        </w:rPr>
        <w:t xml:space="preserve">Matus, Gregorio Nolazco, Beatriz V. R. Pereira, Elaine C. M. Silva-Zacarin, Monica Jones Costa, André Cordeiro Alves Dos Santos, and Bruno Nunes. 2018. ‘Behavior and Histopathology as Biomarkers for Evaluation of the Effects of Paracetamol and Propranolol in the Neotropical Fish Species Phalloceros Harpagos’. </w:t>
      </w:r>
      <w:r w:rsidRPr="001D0ADC">
        <w:rPr>
          <w:rFonts w:ascii="Calibri" w:hAnsi="Calibri" w:cs="Calibri"/>
          <w:i/>
          <w:iCs/>
        </w:rPr>
        <w:t>Environmental Science and Pollution Research</w:t>
      </w:r>
      <w:r w:rsidRPr="001D0ADC">
        <w:rPr>
          <w:rFonts w:ascii="Calibri" w:hAnsi="Calibri" w:cs="Calibri"/>
        </w:rPr>
        <w:t xml:space="preserve"> 25 (28): 28601–18. https://doi.org/10.1007/s11356-018-2839-8.</w:t>
      </w:r>
    </w:p>
    <w:p w14:paraId="4742A661" w14:textId="77777777" w:rsidR="004E4B09" w:rsidRPr="001D0ADC" w:rsidRDefault="004E4B09" w:rsidP="004E4B09">
      <w:pPr>
        <w:pStyle w:val="Bibliography"/>
        <w:rPr>
          <w:rFonts w:ascii="Calibri" w:hAnsi="Calibri" w:cs="Calibri"/>
        </w:rPr>
      </w:pPr>
      <w:r w:rsidRPr="001D0ADC">
        <w:rPr>
          <w:rFonts w:ascii="Calibri" w:hAnsi="Calibri" w:cs="Calibri"/>
        </w:rPr>
        <w:t xml:space="preserve">McRae, Nicole K., Chris N. Glover, S. Rebekah Burket, Bryan W. Brooks, and Sally Gaw. 2018. ‘Acute Exposure to an Environmentally Relevant Concentration of Diclofenac Elicits Oxidative Stress in the Culturally Important Galaxiid Fish </w:t>
      </w:r>
      <w:r w:rsidRPr="001D0ADC">
        <w:rPr>
          <w:rFonts w:ascii="Calibri" w:hAnsi="Calibri" w:cs="Calibri"/>
          <w:i/>
          <w:iCs/>
        </w:rPr>
        <w:t>Galaxias Maculatus</w:t>
      </w:r>
      <w:r w:rsidRPr="001D0ADC">
        <w:rPr>
          <w:rFonts w:ascii="Calibri" w:hAnsi="Calibri" w:cs="Calibri"/>
        </w:rPr>
        <w:t xml:space="preserve">’. </w:t>
      </w:r>
      <w:r w:rsidRPr="001D0ADC">
        <w:rPr>
          <w:rFonts w:ascii="Calibri" w:hAnsi="Calibri" w:cs="Calibri"/>
          <w:i/>
          <w:iCs/>
        </w:rPr>
        <w:t>Environmental Toxicology and Chemistry</w:t>
      </w:r>
      <w:r w:rsidRPr="001D0ADC">
        <w:rPr>
          <w:rFonts w:ascii="Calibri" w:hAnsi="Calibri" w:cs="Calibri"/>
        </w:rPr>
        <w:t xml:space="preserve"> 37 (1): 224–35. https://doi.org/10.1002/etc.3948.</w:t>
      </w:r>
    </w:p>
    <w:p w14:paraId="62F5A490" w14:textId="77777777" w:rsidR="004E4B09" w:rsidRPr="001D0ADC" w:rsidRDefault="004E4B09" w:rsidP="004E4B09">
      <w:pPr>
        <w:pStyle w:val="Bibliography"/>
        <w:rPr>
          <w:rFonts w:ascii="Calibri" w:hAnsi="Calibri" w:cs="Calibri"/>
        </w:rPr>
      </w:pPr>
      <w:r w:rsidRPr="001D0ADC">
        <w:rPr>
          <w:rFonts w:ascii="Calibri" w:hAnsi="Calibri" w:cs="Calibri"/>
        </w:rPr>
        <w:t xml:space="preserve">Meinan, Xie, Wang Yimeng, Wang Chao, Tang Tianli, Jianjun Li, Ying Peng, and Nie Xiangping. 2022. ‘Response of the Sirtuin/PXR Signaling Pathway in Mugilogobius Chulae Exposed to Environmentally Relevant Concentration Paracetamol’. </w:t>
      </w:r>
      <w:r w:rsidRPr="001D0ADC">
        <w:rPr>
          <w:rFonts w:ascii="Calibri" w:hAnsi="Calibri" w:cs="Calibri"/>
          <w:i/>
          <w:iCs/>
        </w:rPr>
        <w:t>Aquatic Toxicology</w:t>
      </w:r>
      <w:r w:rsidRPr="001D0ADC">
        <w:rPr>
          <w:rFonts w:ascii="Calibri" w:hAnsi="Calibri" w:cs="Calibri"/>
        </w:rPr>
        <w:t xml:space="preserve"> 249 (August):106222. https://doi.org/10.1016/j.aquatox.2022.106222.</w:t>
      </w:r>
    </w:p>
    <w:p w14:paraId="04B7138A" w14:textId="77777777" w:rsidR="004E4B09" w:rsidRPr="001D0ADC" w:rsidRDefault="004E4B09" w:rsidP="004E4B09">
      <w:pPr>
        <w:pStyle w:val="Bibliography"/>
        <w:rPr>
          <w:rFonts w:ascii="Calibri" w:hAnsi="Calibri" w:cs="Calibri"/>
        </w:rPr>
      </w:pPr>
      <w:r w:rsidRPr="001D0ADC">
        <w:rPr>
          <w:rFonts w:ascii="Calibri" w:hAnsi="Calibri" w:cs="Calibri"/>
        </w:rPr>
        <w:t xml:space="preserve">Muñoz-Peñuela, Marcela, Fabiana Laura Lo Nostro, Aline Dal’Olio Gomes, Carlos Eduardo Tolussi, Giovana Souza Branco, João Paulo Silva Pinheiro, Filipe Guilherme Andrade De Godoi, and Renata Guimarães Moreira. 2021. ‘Diclofenac and Caffeine Inhibit Hepatic Antioxidant Enzymes in the Freshwater Fish Astyanax Altiparanae (Teleostei: Characiformes)’. </w:t>
      </w:r>
      <w:r w:rsidRPr="001D0ADC">
        <w:rPr>
          <w:rFonts w:ascii="Calibri" w:hAnsi="Calibri" w:cs="Calibri"/>
          <w:i/>
          <w:iCs/>
        </w:rPr>
        <w:t>Comparative Biochemistry and Physiology Part C: Toxicology &amp; Pharmacology</w:t>
      </w:r>
      <w:r w:rsidRPr="001D0ADC">
        <w:rPr>
          <w:rFonts w:ascii="Calibri" w:hAnsi="Calibri" w:cs="Calibri"/>
        </w:rPr>
        <w:t xml:space="preserve"> 240 (February):108910. https://doi.org/10.1016/j.cbpc.2020.108910.</w:t>
      </w:r>
    </w:p>
    <w:p w14:paraId="7E7545D5" w14:textId="77777777" w:rsidR="004E4B09" w:rsidRPr="001D0ADC" w:rsidRDefault="004E4B09" w:rsidP="004E4B09">
      <w:pPr>
        <w:pStyle w:val="Bibliography"/>
        <w:rPr>
          <w:rFonts w:ascii="Calibri" w:hAnsi="Calibri" w:cs="Calibri"/>
        </w:rPr>
      </w:pPr>
      <w:r w:rsidRPr="001D0ADC">
        <w:rPr>
          <w:rFonts w:ascii="Calibri" w:hAnsi="Calibri" w:cs="Calibri"/>
        </w:rPr>
        <w:t xml:space="preserve">Nassef, Mohamed, Sang Gyoon Kim, Masanori Seki, Ik Joon Kang, Takeshi Hano, Yohei Shimasaki, and Yuji Oshima. 2010. ‘In Ovo Nanoinjection of Triclosan, Diclofenac and Carbamazepine Affects Embryonic Development of Medaka Fish (Oryzias Latipes)’. </w:t>
      </w:r>
      <w:r w:rsidRPr="001D0ADC">
        <w:rPr>
          <w:rFonts w:ascii="Calibri" w:hAnsi="Calibri" w:cs="Calibri"/>
          <w:i/>
          <w:iCs/>
        </w:rPr>
        <w:t>Chemosphere</w:t>
      </w:r>
      <w:r w:rsidRPr="001D0ADC">
        <w:rPr>
          <w:rFonts w:ascii="Calibri" w:hAnsi="Calibri" w:cs="Calibri"/>
        </w:rPr>
        <w:t xml:space="preserve"> 79 (9): 966–73. https://doi.org/10.1016/j.chemosphere.2010.02.002.</w:t>
      </w:r>
    </w:p>
    <w:p w14:paraId="7404FF20" w14:textId="77777777" w:rsidR="004E4B09" w:rsidRPr="001D0ADC" w:rsidRDefault="004E4B09" w:rsidP="004E4B09">
      <w:pPr>
        <w:pStyle w:val="Bibliography"/>
        <w:rPr>
          <w:rFonts w:ascii="Calibri" w:hAnsi="Calibri" w:cs="Calibri"/>
        </w:rPr>
      </w:pPr>
      <w:r w:rsidRPr="001D0ADC">
        <w:rPr>
          <w:rFonts w:ascii="Calibri" w:hAnsi="Calibri" w:cs="Calibri"/>
        </w:rPr>
        <w:t xml:space="preserve">Nassef, Mohamed, Shuhei Matsumoto, Masanori Seki, Ik Joon Kang, Junya Moroishi, Yohei Shimasaki, and Yuji Oshima. 2009. ‘Pharmaceuticals and Personal Care Products Toxicity to Japanese Medaka Fish (Oryzias Latipes)’. </w:t>
      </w:r>
      <w:r w:rsidRPr="001D0ADC">
        <w:rPr>
          <w:rFonts w:ascii="Calibri" w:hAnsi="Calibri" w:cs="Calibri"/>
          <w:i/>
          <w:iCs/>
        </w:rPr>
        <w:t>Journal of the Faculty of Agriculture, Kyushu University</w:t>
      </w:r>
      <w:r w:rsidRPr="001D0ADC">
        <w:rPr>
          <w:rFonts w:ascii="Calibri" w:hAnsi="Calibri" w:cs="Calibri"/>
        </w:rPr>
        <w:t xml:space="preserve"> 54 (2): 407–11. https://doi.org/10.5109/16123.</w:t>
      </w:r>
    </w:p>
    <w:p w14:paraId="7EBC6D7A" w14:textId="77777777" w:rsidR="004E4B09" w:rsidRPr="001D0ADC" w:rsidRDefault="004E4B09" w:rsidP="004E4B09">
      <w:pPr>
        <w:pStyle w:val="Bibliography"/>
        <w:rPr>
          <w:rFonts w:ascii="Calibri" w:hAnsi="Calibri" w:cs="Calibri"/>
        </w:rPr>
      </w:pPr>
      <w:r w:rsidRPr="001D0ADC">
        <w:rPr>
          <w:rFonts w:ascii="Calibri" w:hAnsi="Calibri" w:cs="Calibri"/>
        </w:rPr>
        <w:t xml:space="preserve">Nassef, Mohamed, Shuhei Matsumoto, Masanori Seki, Fatma Khalil, Ik Joon Kang, Yohei Shimasaki, Yuji Oshima, and Tsuneo Honjo. 2010. ‘Acute Effects of Triclosan, Diclofenac and Carbamazepine on Feeding Performance of Japanese Medaka Fish (Oryzias Latipes)’. </w:t>
      </w:r>
      <w:r w:rsidRPr="001D0ADC">
        <w:rPr>
          <w:rFonts w:ascii="Calibri" w:hAnsi="Calibri" w:cs="Calibri"/>
          <w:i/>
          <w:iCs/>
        </w:rPr>
        <w:t>Chemosphere</w:t>
      </w:r>
      <w:r w:rsidRPr="001D0ADC">
        <w:rPr>
          <w:rFonts w:ascii="Calibri" w:hAnsi="Calibri" w:cs="Calibri"/>
        </w:rPr>
        <w:t xml:space="preserve"> 80 (9): 1095–1100. https://doi.org/10.1016/j.chemosphere.2010.04.073.</w:t>
      </w:r>
    </w:p>
    <w:p w14:paraId="1DC0CF18" w14:textId="77777777" w:rsidR="004E4B09" w:rsidRPr="001D0ADC" w:rsidRDefault="004E4B09" w:rsidP="004E4B09">
      <w:pPr>
        <w:pStyle w:val="Bibliography"/>
        <w:rPr>
          <w:rFonts w:ascii="Calibri" w:hAnsi="Calibri" w:cs="Calibri"/>
        </w:rPr>
      </w:pPr>
      <w:r w:rsidRPr="001D0ADC">
        <w:rPr>
          <w:rFonts w:ascii="Calibri" w:hAnsi="Calibri" w:cs="Calibri"/>
        </w:rPr>
        <w:t xml:space="preserve">Nemcova, M, J Pikula, J Zukal, and V Seidlova. 2020. ‘Diclofenac-Induced Cytotoxicity in Cultured Carp Leukocytes’. </w:t>
      </w:r>
      <w:r w:rsidRPr="001D0ADC">
        <w:rPr>
          <w:rFonts w:ascii="Calibri" w:hAnsi="Calibri" w:cs="Calibri"/>
          <w:i/>
          <w:iCs/>
        </w:rPr>
        <w:t>Physiological Research</w:t>
      </w:r>
      <w:r w:rsidRPr="001D0ADC">
        <w:rPr>
          <w:rFonts w:ascii="Calibri" w:hAnsi="Calibri" w:cs="Calibri"/>
        </w:rPr>
        <w:t>, December, S607–18. https://doi.org/10.33549/physiolres.934609.</w:t>
      </w:r>
    </w:p>
    <w:p w14:paraId="08D5833F" w14:textId="77777777" w:rsidR="004E4B09" w:rsidRPr="001D0ADC" w:rsidRDefault="004E4B09" w:rsidP="004E4B09">
      <w:pPr>
        <w:pStyle w:val="Bibliography"/>
        <w:rPr>
          <w:rFonts w:ascii="Calibri" w:hAnsi="Calibri" w:cs="Calibri"/>
        </w:rPr>
      </w:pPr>
      <w:r w:rsidRPr="001D0ADC">
        <w:rPr>
          <w:rFonts w:ascii="Calibri" w:hAnsi="Calibri" w:cs="Calibri"/>
        </w:rPr>
        <w:t xml:space="preserve">Nogueira, Ana F., Glória Pinto, Barbara Correia, and Bruno Nunes. 2019. ‘Embryonic Development, Locomotor Behavior, Biochemical, and Epigenetic Effects of the Pharmaceutical Drugs Paracetamol and Ciprofloxacin in Larvae and Embryos of </w:t>
      </w:r>
      <w:r w:rsidRPr="001D0ADC">
        <w:rPr>
          <w:rFonts w:ascii="Calibri" w:hAnsi="Calibri" w:cs="Calibri"/>
          <w:i/>
          <w:iCs/>
        </w:rPr>
        <w:t>Danio Rerio</w:t>
      </w:r>
      <w:r w:rsidRPr="001D0ADC">
        <w:rPr>
          <w:rFonts w:ascii="Calibri" w:hAnsi="Calibri" w:cs="Calibri"/>
        </w:rPr>
        <w:t xml:space="preserve"> When Exposed to Environmental Realistic Levels of Both Drugs’. </w:t>
      </w:r>
      <w:r w:rsidRPr="001D0ADC">
        <w:rPr>
          <w:rFonts w:ascii="Calibri" w:hAnsi="Calibri" w:cs="Calibri"/>
          <w:i/>
          <w:iCs/>
        </w:rPr>
        <w:t>Environmental Toxicology</w:t>
      </w:r>
      <w:r w:rsidRPr="001D0ADC">
        <w:rPr>
          <w:rFonts w:ascii="Calibri" w:hAnsi="Calibri" w:cs="Calibri"/>
        </w:rPr>
        <w:t xml:space="preserve"> 34 (11): 1177–90. https://doi.org/10.1002/tox.22819.</w:t>
      </w:r>
    </w:p>
    <w:p w14:paraId="0218ABDB" w14:textId="77777777" w:rsidR="004E4B09" w:rsidRPr="001D0ADC" w:rsidRDefault="004E4B09" w:rsidP="004E4B09">
      <w:pPr>
        <w:pStyle w:val="Bibliography"/>
        <w:rPr>
          <w:rFonts w:ascii="Calibri" w:hAnsi="Calibri" w:cs="Calibri"/>
        </w:rPr>
      </w:pPr>
      <w:r w:rsidRPr="001D0ADC">
        <w:rPr>
          <w:rFonts w:ascii="Calibri" w:hAnsi="Calibri" w:cs="Calibri"/>
        </w:rPr>
        <w:t xml:space="preserve">Nunes, B., F. Carvalho, and L. Guilhermino. 2004. ‘Acute and Chronic Effects of Clofibrate and Clofibric Acid on the Enzymes Acetylcholinesterase, Lactate Dehydrogenase and Catalase of the Mosquitofish, Gambusia Holbrooki’. </w:t>
      </w:r>
      <w:r w:rsidRPr="001D0ADC">
        <w:rPr>
          <w:rFonts w:ascii="Calibri" w:hAnsi="Calibri" w:cs="Calibri"/>
          <w:i/>
          <w:iCs/>
        </w:rPr>
        <w:t>Chemosphere</w:t>
      </w:r>
      <w:r w:rsidRPr="001D0ADC">
        <w:rPr>
          <w:rFonts w:ascii="Calibri" w:hAnsi="Calibri" w:cs="Calibri"/>
        </w:rPr>
        <w:t xml:space="preserve"> 57 (11): 1581–89. https://doi.org/10.1016/j.chemosphere.2004.09.018.</w:t>
      </w:r>
    </w:p>
    <w:p w14:paraId="0785AB3B" w14:textId="77777777" w:rsidR="004E4B09" w:rsidRPr="001D0ADC" w:rsidRDefault="004E4B09" w:rsidP="004E4B09">
      <w:pPr>
        <w:pStyle w:val="Bibliography"/>
        <w:rPr>
          <w:rFonts w:ascii="Calibri" w:hAnsi="Calibri" w:cs="Calibri"/>
        </w:rPr>
      </w:pPr>
      <w:r w:rsidRPr="001D0ADC">
        <w:rPr>
          <w:rFonts w:ascii="Calibri" w:hAnsi="Calibri" w:cs="Calibri"/>
        </w:rPr>
        <w:t xml:space="preserve">———. 2005. ‘Acute Toxicity of Widely Used Pharmaceuticals in Aquatic Species: Gambusia Holbrooki, Artemia Parthenogenetica and Tetraselmis Chuii’. </w:t>
      </w:r>
      <w:r w:rsidRPr="001D0ADC">
        <w:rPr>
          <w:rFonts w:ascii="Calibri" w:hAnsi="Calibri" w:cs="Calibri"/>
          <w:i/>
          <w:iCs/>
        </w:rPr>
        <w:t>Ecotoxicology and Environmental Safety</w:t>
      </w:r>
      <w:r w:rsidRPr="001D0ADC">
        <w:rPr>
          <w:rFonts w:ascii="Calibri" w:hAnsi="Calibri" w:cs="Calibri"/>
        </w:rPr>
        <w:t xml:space="preserve"> 61 (3): 413–19. https://doi.org/10.1016/j.ecoenv.2004.08.010.</w:t>
      </w:r>
    </w:p>
    <w:p w14:paraId="2E06B288" w14:textId="77777777" w:rsidR="004E4B09" w:rsidRPr="001D0ADC" w:rsidRDefault="004E4B09" w:rsidP="004E4B09">
      <w:pPr>
        <w:pStyle w:val="Bibliography"/>
        <w:rPr>
          <w:rFonts w:ascii="Calibri" w:hAnsi="Calibri" w:cs="Calibri"/>
        </w:rPr>
      </w:pPr>
      <w:r w:rsidRPr="001D0ADC">
        <w:rPr>
          <w:rFonts w:ascii="Calibri" w:hAnsi="Calibri" w:cs="Calibri"/>
        </w:rPr>
        <w:t xml:space="preserve">Nunes, B., A.R. Gaio, F. Carvalho, and L. Guilhermino. 2008. ‘Behaviour and Biomarkers of Oxidative Stress in Gambusia Holbrooki after Acute Exposure to Widely Used Pharmaceuticals and a Detergent’. </w:t>
      </w:r>
      <w:r w:rsidRPr="001D0ADC">
        <w:rPr>
          <w:rFonts w:ascii="Calibri" w:hAnsi="Calibri" w:cs="Calibri"/>
          <w:i/>
          <w:iCs/>
        </w:rPr>
        <w:t>Ecotoxicology and Environmental Safety</w:t>
      </w:r>
      <w:r w:rsidRPr="001D0ADC">
        <w:rPr>
          <w:rFonts w:ascii="Calibri" w:hAnsi="Calibri" w:cs="Calibri"/>
        </w:rPr>
        <w:t xml:space="preserve"> 71 (2): 341–54. https://doi.org/10.1016/j.ecoenv.2007.12.006.</w:t>
      </w:r>
    </w:p>
    <w:p w14:paraId="51FBC970" w14:textId="77777777" w:rsidR="004E4B09" w:rsidRPr="001D0ADC" w:rsidRDefault="004E4B09" w:rsidP="004E4B09">
      <w:pPr>
        <w:pStyle w:val="Bibliography"/>
        <w:rPr>
          <w:rFonts w:ascii="Calibri" w:hAnsi="Calibri" w:cs="Calibri"/>
        </w:rPr>
      </w:pPr>
      <w:r w:rsidRPr="001D0ADC">
        <w:rPr>
          <w:rFonts w:ascii="Calibri" w:hAnsi="Calibri" w:cs="Calibri"/>
        </w:rPr>
        <w:t xml:space="preserve">Nunes, Bruno, Maria Francisca Verde, and Amadeu M. V. M. Soares. 2015. ‘Biochemical Effects of the Pharmaceutical Drug Paracetamol on Anguilla Anguilla’. </w:t>
      </w:r>
      <w:r w:rsidRPr="001D0ADC">
        <w:rPr>
          <w:rFonts w:ascii="Calibri" w:hAnsi="Calibri" w:cs="Calibri"/>
          <w:i/>
          <w:iCs/>
        </w:rPr>
        <w:t>Environmental Science and Pollution Research</w:t>
      </w:r>
      <w:r w:rsidRPr="001D0ADC">
        <w:rPr>
          <w:rFonts w:ascii="Calibri" w:hAnsi="Calibri" w:cs="Calibri"/>
        </w:rPr>
        <w:t xml:space="preserve"> 22 (15): 11574–84. https://doi.org/10.1007/s11356-015-4329-6.</w:t>
      </w:r>
    </w:p>
    <w:p w14:paraId="436BA790" w14:textId="77777777" w:rsidR="004E4B09" w:rsidRPr="001D0ADC" w:rsidRDefault="004E4B09" w:rsidP="004E4B09">
      <w:pPr>
        <w:pStyle w:val="Bibliography"/>
        <w:rPr>
          <w:rFonts w:ascii="Calibri" w:hAnsi="Calibri" w:cs="Calibri"/>
        </w:rPr>
      </w:pPr>
      <w:r w:rsidRPr="001D0ADC">
        <w:rPr>
          <w:rFonts w:ascii="Calibri" w:hAnsi="Calibri" w:cs="Calibri"/>
        </w:rPr>
        <w:t xml:space="preserve">Ogueji, Eo, Cd Nwani, Sc Iheanacho, Ce Mbah, Co Okeke, and A Yaji. 2018. ‘Acute Toxicity Effects of Ibuprofen on Behaviour and Haematological Parameters of African Catfish </w:t>
      </w:r>
      <w:r w:rsidRPr="001D0ADC">
        <w:rPr>
          <w:rFonts w:ascii="Calibri" w:hAnsi="Calibri" w:cs="Calibri"/>
          <w:i/>
          <w:iCs/>
        </w:rPr>
        <w:t>Clarias Gariepinus</w:t>
      </w:r>
      <w:r w:rsidRPr="001D0ADC">
        <w:rPr>
          <w:rFonts w:ascii="Calibri" w:hAnsi="Calibri" w:cs="Calibri"/>
        </w:rPr>
        <w:t xml:space="preserve"> (Burchell, 1822)’. </w:t>
      </w:r>
      <w:r w:rsidRPr="001D0ADC">
        <w:rPr>
          <w:rFonts w:ascii="Calibri" w:hAnsi="Calibri" w:cs="Calibri"/>
          <w:i/>
          <w:iCs/>
        </w:rPr>
        <w:t>African Journal of Aquatic Science</w:t>
      </w:r>
      <w:r w:rsidRPr="001D0ADC">
        <w:rPr>
          <w:rFonts w:ascii="Calibri" w:hAnsi="Calibri" w:cs="Calibri"/>
        </w:rPr>
        <w:t xml:space="preserve"> 43 (3): 293–303. https://doi.org/10.2989/16085914.2018.1465393.</w:t>
      </w:r>
    </w:p>
    <w:p w14:paraId="1408279E" w14:textId="77777777" w:rsidR="004E4B09" w:rsidRPr="001D0ADC" w:rsidRDefault="004E4B09" w:rsidP="004E4B09">
      <w:pPr>
        <w:pStyle w:val="Bibliography"/>
        <w:rPr>
          <w:rFonts w:ascii="Calibri" w:hAnsi="Calibri" w:cs="Calibri"/>
        </w:rPr>
      </w:pPr>
      <w:r w:rsidRPr="001D0ADC">
        <w:rPr>
          <w:rFonts w:ascii="Calibri" w:hAnsi="Calibri" w:cs="Calibri"/>
        </w:rPr>
        <w:t xml:space="preserve">Ogunwole, Germaine Akinola, Joseph Kayode Saliu, Fidelia Ijeoma Osuala, and Faith Oluwaseyi Odunjo. 2021. ‘Chronic Levels of Ibuprofen Induces Haematoxic and Histopathology Damage in the Gills, Liver, and Kidney of the African Sharptooth Catfish (Clarias Gariepinus)’. </w:t>
      </w:r>
      <w:r w:rsidRPr="001D0ADC">
        <w:rPr>
          <w:rFonts w:ascii="Calibri" w:hAnsi="Calibri" w:cs="Calibri"/>
          <w:i/>
          <w:iCs/>
        </w:rPr>
        <w:t>Environmental Science and Pollution Research</w:t>
      </w:r>
      <w:r w:rsidRPr="001D0ADC">
        <w:rPr>
          <w:rFonts w:ascii="Calibri" w:hAnsi="Calibri" w:cs="Calibri"/>
        </w:rPr>
        <w:t xml:space="preserve"> 28 (20): 25603–13. https://doi.org/10.1007/s11356-020-12286-7.</w:t>
      </w:r>
    </w:p>
    <w:p w14:paraId="17E485E2" w14:textId="77777777" w:rsidR="004E4B09" w:rsidRPr="001D0ADC" w:rsidRDefault="004E4B09" w:rsidP="004E4B09">
      <w:pPr>
        <w:pStyle w:val="Bibliography"/>
        <w:rPr>
          <w:rFonts w:ascii="Calibri" w:hAnsi="Calibri" w:cs="Calibri"/>
        </w:rPr>
      </w:pPr>
      <w:r w:rsidRPr="001D0ADC">
        <w:rPr>
          <w:rFonts w:ascii="Calibri" w:hAnsi="Calibri" w:cs="Calibri"/>
        </w:rPr>
        <w:t xml:space="preserve">Overturf, M. D., C. L. Overturf, D. Baxter, D. N. Hala, L. Constantine, B. Venables, and D. B. Huggett. 2012. ‘Early Life-Stage Toxicity of Eight Pharmaceuticals to the Fathead Minnow, Pimephales Promelas’. </w:t>
      </w:r>
      <w:r w:rsidRPr="001D0ADC">
        <w:rPr>
          <w:rFonts w:ascii="Calibri" w:hAnsi="Calibri" w:cs="Calibri"/>
          <w:i/>
          <w:iCs/>
        </w:rPr>
        <w:t>Archives of Environmental Contamination and Toxicology</w:t>
      </w:r>
      <w:r w:rsidRPr="001D0ADC">
        <w:rPr>
          <w:rFonts w:ascii="Calibri" w:hAnsi="Calibri" w:cs="Calibri"/>
        </w:rPr>
        <w:t xml:space="preserve"> 62 (3): 455–64. https://doi.org/10.1007/s00244-011-9723-6.</w:t>
      </w:r>
    </w:p>
    <w:p w14:paraId="34F0EC65" w14:textId="77777777" w:rsidR="004E4B09" w:rsidRPr="001D0ADC" w:rsidRDefault="004E4B09" w:rsidP="004E4B09">
      <w:pPr>
        <w:pStyle w:val="Bibliography"/>
        <w:rPr>
          <w:rFonts w:ascii="Calibri" w:hAnsi="Calibri" w:cs="Calibri"/>
        </w:rPr>
      </w:pPr>
      <w:r w:rsidRPr="001D0ADC">
        <w:rPr>
          <w:rFonts w:ascii="Calibri" w:hAnsi="Calibri" w:cs="Calibri"/>
        </w:rPr>
        <w:t xml:space="preserve">Peng, Hsi-Chu, Yun-Hsin Wang, Chi-Chung Wen, Wei-Hua Wang, Chien-Chung Cheng, and Yau-Hung Chen. 2010. ‘Nephrotoxicity Assessments of Acetaminophen during Zebrafish Embryogenesis’. </w:t>
      </w:r>
      <w:r w:rsidRPr="001D0ADC">
        <w:rPr>
          <w:rFonts w:ascii="Calibri" w:hAnsi="Calibri" w:cs="Calibri"/>
          <w:i/>
          <w:iCs/>
        </w:rPr>
        <w:t>Comparative Biochemistry and Physiology Part C: Toxicology &amp; Pharmacology</w:t>
      </w:r>
      <w:r w:rsidRPr="001D0ADC">
        <w:rPr>
          <w:rFonts w:ascii="Calibri" w:hAnsi="Calibri" w:cs="Calibri"/>
        </w:rPr>
        <w:t xml:space="preserve"> 151 (4): 480–86. https://doi.org/10.1016/j.cbpc.2010.02.004.</w:t>
      </w:r>
    </w:p>
    <w:p w14:paraId="19A9A880" w14:textId="77777777" w:rsidR="004E4B09" w:rsidRPr="001D0ADC" w:rsidRDefault="004E4B09" w:rsidP="004E4B09">
      <w:pPr>
        <w:pStyle w:val="Bibliography"/>
        <w:rPr>
          <w:rFonts w:ascii="Calibri" w:hAnsi="Calibri" w:cs="Calibri"/>
        </w:rPr>
      </w:pPr>
      <w:r w:rsidRPr="001D0ADC">
        <w:rPr>
          <w:rFonts w:ascii="Calibri" w:hAnsi="Calibri" w:cs="Calibri"/>
        </w:rPr>
        <w:t xml:space="preserve">Penha, Larissa Cristine De Carvalho, Regina Coimbra Rola, Claudia Bueno Dos Reis Martinez, and Camila De Martinez Gaspar Martins. 2021. ‘Effects of Anti-Inflammatory Diclofenac Assessed by Toxicity Tests and Biomarkers in Adults and Larvae of Danio Rerio’. </w:t>
      </w:r>
      <w:r w:rsidRPr="001D0ADC">
        <w:rPr>
          <w:rFonts w:ascii="Calibri" w:hAnsi="Calibri" w:cs="Calibri"/>
          <w:i/>
          <w:iCs/>
        </w:rPr>
        <w:t>Comparative Biochemistry and Physiology Part C: Toxicology &amp; Pharmacology</w:t>
      </w:r>
      <w:r w:rsidRPr="001D0ADC">
        <w:rPr>
          <w:rFonts w:ascii="Calibri" w:hAnsi="Calibri" w:cs="Calibri"/>
        </w:rPr>
        <w:t xml:space="preserve"> 242 (April):108955. https://doi.org/10.1016/j.cbpc.2020.108955.</w:t>
      </w:r>
    </w:p>
    <w:p w14:paraId="1CB1E6C2" w14:textId="77777777" w:rsidR="004E4B09" w:rsidRPr="001D0ADC" w:rsidRDefault="004E4B09" w:rsidP="004E4B09">
      <w:pPr>
        <w:pStyle w:val="Bibliography"/>
        <w:rPr>
          <w:rFonts w:ascii="Calibri" w:hAnsi="Calibri" w:cs="Calibri"/>
        </w:rPr>
      </w:pPr>
      <w:r w:rsidRPr="001D0ADC">
        <w:rPr>
          <w:rFonts w:ascii="Calibri" w:hAnsi="Calibri" w:cs="Calibri"/>
        </w:rPr>
        <w:t xml:space="preserve">Pereira, Beatriz V. R., Gregorio Nolazco Matus, Monica Jones Costa, André Cordeiro Alves Dos Santos, Elaine C. M. Silva-Zacarin, Janaina Braga Do Carmo, and Bruno Nunes. 2018. ‘Assessment of Biochemical Alterations in the Neotropical Fish Species Phalloceros Harpagos after Acute and Chronic Exposure to the Drugs Paracetamol and Propranolol’. </w:t>
      </w:r>
      <w:r w:rsidRPr="001D0ADC">
        <w:rPr>
          <w:rFonts w:ascii="Calibri" w:hAnsi="Calibri" w:cs="Calibri"/>
          <w:i/>
          <w:iCs/>
        </w:rPr>
        <w:t>Environmental Science and Pollution Research</w:t>
      </w:r>
      <w:r w:rsidRPr="001D0ADC">
        <w:rPr>
          <w:rFonts w:ascii="Calibri" w:hAnsi="Calibri" w:cs="Calibri"/>
        </w:rPr>
        <w:t xml:space="preserve"> 25 (15): 14899–910. https://doi.org/10.1007/s11356-018-1699-6.</w:t>
      </w:r>
    </w:p>
    <w:p w14:paraId="6FEE530D" w14:textId="77777777" w:rsidR="004E4B09" w:rsidRPr="001D0ADC" w:rsidRDefault="004E4B09" w:rsidP="004E4B09">
      <w:pPr>
        <w:pStyle w:val="Bibliography"/>
        <w:rPr>
          <w:rFonts w:ascii="Calibri" w:hAnsi="Calibri" w:cs="Calibri"/>
        </w:rPr>
      </w:pPr>
      <w:r w:rsidRPr="001D0ADC">
        <w:rPr>
          <w:rFonts w:ascii="Calibri" w:hAnsi="Calibri" w:cs="Calibri"/>
        </w:rPr>
        <w:t xml:space="preserve">Pereira, Beatriz Vieira Ramos, Elaine Cristina Mathias Da Silva-Zacarin, Monica Jones Costa, André Cordeiro Alves Dos Santos, and Bruno Nunes. 2021. ‘Immunodetection of Heat Shock Protein 70 and Cell Death in Liver of a Neotropical Fish Acutely and Chronically Exposed to Acetaminophen and Propranolol’. </w:t>
      </w:r>
      <w:r w:rsidRPr="001D0ADC">
        <w:rPr>
          <w:rFonts w:ascii="Calibri" w:hAnsi="Calibri" w:cs="Calibri"/>
          <w:i/>
          <w:iCs/>
        </w:rPr>
        <w:t>Environmental Science and Pollution Research</w:t>
      </w:r>
      <w:r w:rsidRPr="001D0ADC">
        <w:rPr>
          <w:rFonts w:ascii="Calibri" w:hAnsi="Calibri" w:cs="Calibri"/>
        </w:rPr>
        <w:t xml:space="preserve"> 28 (9): 11233–44. https://doi.org/10.1007/s11356-020-11264-3.</w:t>
      </w:r>
    </w:p>
    <w:p w14:paraId="24F50ADE" w14:textId="77777777" w:rsidR="004E4B09" w:rsidRPr="001D0ADC" w:rsidRDefault="004E4B09" w:rsidP="004E4B09">
      <w:pPr>
        <w:pStyle w:val="Bibliography"/>
        <w:rPr>
          <w:rFonts w:ascii="Calibri" w:hAnsi="Calibri" w:cs="Calibri"/>
        </w:rPr>
      </w:pPr>
      <w:r w:rsidRPr="001D0ADC">
        <w:rPr>
          <w:rFonts w:ascii="Calibri" w:hAnsi="Calibri" w:cs="Calibri"/>
        </w:rPr>
        <w:t xml:space="preserve">Petersen, Barbara Dutra, Talita Carneiro Brandão Pereira, Stefani Altenhofen, Débora Dreher Nabinger, Pedro Maria De Abreu Ferreira, Maurício Reis Bogo, and Carla Denise Bonan. 2021. ‘Antibiotic Drugs Alter Zebrafish Behavior’. </w:t>
      </w:r>
      <w:r w:rsidRPr="001D0ADC">
        <w:rPr>
          <w:rFonts w:ascii="Calibri" w:hAnsi="Calibri" w:cs="Calibri"/>
          <w:i/>
          <w:iCs/>
        </w:rPr>
        <w:t>Comparative Biochemistry and Physiology Part C: Toxicology &amp; Pharmacology</w:t>
      </w:r>
      <w:r w:rsidRPr="001D0ADC">
        <w:rPr>
          <w:rFonts w:ascii="Calibri" w:hAnsi="Calibri" w:cs="Calibri"/>
        </w:rPr>
        <w:t xml:space="preserve"> 242 (April):108936. https://doi.org/10.1016/j.cbpc.2020.108936.</w:t>
      </w:r>
    </w:p>
    <w:p w14:paraId="67AEA4E9" w14:textId="77777777" w:rsidR="004E4B09" w:rsidRPr="001D0ADC" w:rsidRDefault="004E4B09" w:rsidP="004E4B09">
      <w:pPr>
        <w:pStyle w:val="Bibliography"/>
        <w:rPr>
          <w:rFonts w:ascii="Calibri" w:hAnsi="Calibri" w:cs="Calibri"/>
        </w:rPr>
      </w:pPr>
      <w:r w:rsidRPr="001D0ADC">
        <w:rPr>
          <w:rFonts w:ascii="Calibri" w:hAnsi="Calibri" w:cs="Calibri"/>
        </w:rPr>
        <w:t xml:space="preserve">Pohl, Johannes, Lutz Ahrens, Gunnar Carlsson, Oksana Golovko, Leif Norrgren, Jana Weiss, and Stefan Örn. 2019. ‘Embryotoxicity of Ozonated Diclofenac, Carbamazepine, and Oxazepam in Zebrafish (Danio Rerio)’. </w:t>
      </w:r>
      <w:r w:rsidRPr="001D0ADC">
        <w:rPr>
          <w:rFonts w:ascii="Calibri" w:hAnsi="Calibri" w:cs="Calibri"/>
          <w:i/>
          <w:iCs/>
        </w:rPr>
        <w:t>Chemosphere</w:t>
      </w:r>
      <w:r w:rsidRPr="001D0ADC">
        <w:rPr>
          <w:rFonts w:ascii="Calibri" w:hAnsi="Calibri" w:cs="Calibri"/>
        </w:rPr>
        <w:t xml:space="preserve"> 225 (June):191–99. https://doi.org/10.1016/j.chemosphere.2019.03.034.</w:t>
      </w:r>
    </w:p>
    <w:p w14:paraId="31F97CAD" w14:textId="77777777" w:rsidR="004E4B09" w:rsidRPr="001D0ADC" w:rsidRDefault="004E4B09" w:rsidP="004E4B09">
      <w:pPr>
        <w:pStyle w:val="Bibliography"/>
        <w:rPr>
          <w:rFonts w:ascii="Calibri" w:hAnsi="Calibri" w:cs="Calibri"/>
        </w:rPr>
      </w:pPr>
      <w:r w:rsidRPr="001D0ADC">
        <w:rPr>
          <w:rFonts w:ascii="Calibri" w:hAnsi="Calibri" w:cs="Calibri"/>
        </w:rPr>
        <w:t xml:space="preserve">Praskova, E., E. Voslarova, Z. Siroka, L. Plhalova, S. Macova, P. Marsalek, V. Pistekova, and Z. Svobodova. 2011. ‘Assessment of Diclofenac LC50 Reference Values in Juvenile and Embryonic Stages of the Zebrafish (Danio Rerio)’. </w:t>
      </w:r>
      <w:r w:rsidRPr="001D0ADC">
        <w:rPr>
          <w:rFonts w:ascii="Calibri" w:hAnsi="Calibri" w:cs="Calibri"/>
          <w:i/>
          <w:iCs/>
        </w:rPr>
        <w:t>Polish Journal of Veterinary Sciences</w:t>
      </w:r>
      <w:r w:rsidRPr="001D0ADC">
        <w:rPr>
          <w:rFonts w:ascii="Calibri" w:hAnsi="Calibri" w:cs="Calibri"/>
        </w:rPr>
        <w:t xml:space="preserve"> 14 (4): 545–49. https://doi.org/10.2478/v10181-011-0081-0.</w:t>
      </w:r>
    </w:p>
    <w:p w14:paraId="4B30C041" w14:textId="77777777" w:rsidR="004E4B09" w:rsidRPr="001D0ADC" w:rsidRDefault="004E4B09" w:rsidP="004E4B09">
      <w:pPr>
        <w:pStyle w:val="Bibliography"/>
        <w:rPr>
          <w:rFonts w:ascii="Calibri" w:hAnsi="Calibri" w:cs="Calibri"/>
        </w:rPr>
      </w:pPr>
      <w:r w:rsidRPr="001D0ADC">
        <w:rPr>
          <w:rFonts w:ascii="Calibri" w:hAnsi="Calibri" w:cs="Calibri"/>
        </w:rPr>
        <w:t xml:space="preserve">Pruvot, Benoist, Yobhana Quiroz, Audrey Voncken, Nathalie Jeanray, Amandine Piot, Joseph A. Martial, and Marc Muller. 2012. ‘A Panel of Biological Tests Reveals Developmental Effects of Pharmaceutical Pollutants on Late Stage Zebrafish Embryos’. </w:t>
      </w:r>
      <w:r w:rsidRPr="001D0ADC">
        <w:rPr>
          <w:rFonts w:ascii="Calibri" w:hAnsi="Calibri" w:cs="Calibri"/>
          <w:i/>
          <w:iCs/>
        </w:rPr>
        <w:t>Reproductive Toxicology</w:t>
      </w:r>
      <w:r w:rsidRPr="001D0ADC">
        <w:rPr>
          <w:rFonts w:ascii="Calibri" w:hAnsi="Calibri" w:cs="Calibri"/>
        </w:rPr>
        <w:t xml:space="preserve"> 34 (4): 568–83. https://doi.org/10.1016/j.reprotox.2012.07.010.</w:t>
      </w:r>
    </w:p>
    <w:p w14:paraId="284C5B6D" w14:textId="77777777" w:rsidR="004E4B09" w:rsidRPr="001D0ADC" w:rsidRDefault="004E4B09" w:rsidP="004E4B09">
      <w:pPr>
        <w:pStyle w:val="Bibliography"/>
        <w:rPr>
          <w:rFonts w:ascii="Calibri" w:hAnsi="Calibri" w:cs="Calibri"/>
        </w:rPr>
      </w:pPr>
      <w:r w:rsidRPr="001D0ADC">
        <w:rPr>
          <w:rFonts w:ascii="Calibri" w:hAnsi="Calibri" w:cs="Calibri"/>
        </w:rPr>
        <w:t xml:space="preserve">Qiang, Liyuan, Jinping Cheng, Jun Yi, Jeanette M. Rotchell, Xiaotong Zhu, and Junliang Zhou. 2016. ‘Environmental Concentration of Carbamazepine Accelerates Fish Embryonic Development and Disturbs Larvae Behavior’. </w:t>
      </w:r>
      <w:r w:rsidRPr="001D0ADC">
        <w:rPr>
          <w:rFonts w:ascii="Calibri" w:hAnsi="Calibri" w:cs="Calibri"/>
          <w:i/>
          <w:iCs/>
        </w:rPr>
        <w:t>Ecotoxicology</w:t>
      </w:r>
      <w:r w:rsidRPr="001D0ADC">
        <w:rPr>
          <w:rFonts w:ascii="Calibri" w:hAnsi="Calibri" w:cs="Calibri"/>
        </w:rPr>
        <w:t xml:space="preserve"> 25 (7): 1426–37. https://doi.org/10.1007/s10646-016-1694-y.</w:t>
      </w:r>
    </w:p>
    <w:p w14:paraId="145C27F6" w14:textId="77777777" w:rsidR="004E4B09" w:rsidRPr="001D0ADC" w:rsidRDefault="004E4B09" w:rsidP="004E4B09">
      <w:pPr>
        <w:pStyle w:val="Bibliography"/>
        <w:rPr>
          <w:rFonts w:ascii="Calibri" w:hAnsi="Calibri" w:cs="Calibri"/>
        </w:rPr>
      </w:pPr>
      <w:r w:rsidRPr="001D0ADC">
        <w:rPr>
          <w:rFonts w:ascii="Calibri" w:hAnsi="Calibri" w:cs="Calibri"/>
        </w:rPr>
        <w:t xml:space="preserve">Ragugnetti, Marilaine, Mônica L. Adams, Ana T. B. Guimarães, Graziela Sponchiado, Eliane Carvalho De Vasconcelos, and Cíntia Mara Ribas De Oliveira. 2011. ‘Ibuprofen Genotoxicity in Aquatic Environment: An Experimental Model Using Oreochromis Niloticus’. </w:t>
      </w:r>
      <w:r w:rsidRPr="001D0ADC">
        <w:rPr>
          <w:rFonts w:ascii="Calibri" w:hAnsi="Calibri" w:cs="Calibri"/>
          <w:i/>
          <w:iCs/>
        </w:rPr>
        <w:t>Water, Air, &amp; Soil Pollution</w:t>
      </w:r>
      <w:r w:rsidRPr="001D0ADC">
        <w:rPr>
          <w:rFonts w:ascii="Calibri" w:hAnsi="Calibri" w:cs="Calibri"/>
        </w:rPr>
        <w:t xml:space="preserve"> 218 (1–4): 361–64. https://doi.org/10.1007/s11270-010-0698-0.</w:t>
      </w:r>
    </w:p>
    <w:p w14:paraId="2E75C729" w14:textId="77777777" w:rsidR="004E4B09" w:rsidRPr="001D0ADC" w:rsidRDefault="004E4B09" w:rsidP="004E4B09">
      <w:pPr>
        <w:pStyle w:val="Bibliography"/>
        <w:rPr>
          <w:rFonts w:ascii="Calibri" w:hAnsi="Calibri" w:cs="Calibri"/>
        </w:rPr>
      </w:pPr>
      <w:r w:rsidRPr="001D0ADC">
        <w:rPr>
          <w:rFonts w:ascii="Calibri" w:hAnsi="Calibri" w:cs="Calibri"/>
        </w:rPr>
        <w:t xml:space="preserve">Ramos, A.S., A.T. Correia, S.C. Antunes, F. Gonçalves, and B. Nunes. 2014. ‘Effect of Acetaminophen Exposure in Oncorhynchus Mykiss Gills and Liver: Detoxification Mechanisms, Oxidative Defence System and Peroxidative Damage’. </w:t>
      </w:r>
      <w:r w:rsidRPr="001D0ADC">
        <w:rPr>
          <w:rFonts w:ascii="Calibri" w:hAnsi="Calibri" w:cs="Calibri"/>
          <w:i/>
          <w:iCs/>
        </w:rPr>
        <w:t>Environmental Toxicology and Pharmacology</w:t>
      </w:r>
      <w:r w:rsidRPr="001D0ADC">
        <w:rPr>
          <w:rFonts w:ascii="Calibri" w:hAnsi="Calibri" w:cs="Calibri"/>
        </w:rPr>
        <w:t xml:space="preserve"> 37 (3): 1221–28. https://doi.org/10.1016/j.etap.2014.04.005.</w:t>
      </w:r>
    </w:p>
    <w:p w14:paraId="77662B9C" w14:textId="77777777" w:rsidR="004E4B09" w:rsidRPr="001D0ADC" w:rsidRDefault="004E4B09" w:rsidP="004E4B09">
      <w:pPr>
        <w:pStyle w:val="Bibliography"/>
        <w:rPr>
          <w:rFonts w:ascii="Calibri" w:hAnsi="Calibri" w:cs="Calibri"/>
        </w:rPr>
      </w:pPr>
      <w:r w:rsidRPr="001D0ADC">
        <w:rPr>
          <w:rFonts w:ascii="Calibri" w:hAnsi="Calibri" w:cs="Calibri"/>
        </w:rPr>
        <w:t xml:space="preserve">Rebelo, D., A.T. Correia, and B. Nunes. 2020. ‘Acute and Chronic Effects of Environmental Realistic Concentrations of Clofibric Acid in Danio Rerio: Behaviour, Oxidative Stress, Biotransformation and Lipid Peroxidation Endpoints’. </w:t>
      </w:r>
      <w:r w:rsidRPr="001D0ADC">
        <w:rPr>
          <w:rFonts w:ascii="Calibri" w:hAnsi="Calibri" w:cs="Calibri"/>
          <w:i/>
          <w:iCs/>
        </w:rPr>
        <w:t>Environmental Toxicology and Pharmacology</w:t>
      </w:r>
      <w:r w:rsidRPr="001D0ADC">
        <w:rPr>
          <w:rFonts w:ascii="Calibri" w:hAnsi="Calibri" w:cs="Calibri"/>
        </w:rPr>
        <w:t xml:space="preserve"> 80 (November):103468. https://doi.org/10.1016/j.etap.2020.103468.</w:t>
      </w:r>
    </w:p>
    <w:p w14:paraId="25A3F6F6" w14:textId="77777777" w:rsidR="004E4B09" w:rsidRPr="001D0ADC" w:rsidRDefault="004E4B09" w:rsidP="004E4B09">
      <w:pPr>
        <w:pStyle w:val="Bibliography"/>
        <w:rPr>
          <w:rFonts w:ascii="Calibri" w:hAnsi="Calibri" w:cs="Calibri"/>
        </w:rPr>
      </w:pPr>
      <w:r w:rsidRPr="001D0ADC">
        <w:rPr>
          <w:rFonts w:ascii="Calibri" w:hAnsi="Calibri" w:cs="Calibri"/>
        </w:rPr>
        <w:t xml:space="preserve">Reuter, Isabel, Sabine Knaup, Marcel Romanos, Klaus-Peter Lesch, Carsten Drepper, and Christina Lillesaar. 2016. ‘Developmental Exposure to Acetaminophen Does Not Induce Hyperactivity in Zebrafish Larvae’. </w:t>
      </w:r>
      <w:r w:rsidRPr="001D0ADC">
        <w:rPr>
          <w:rFonts w:ascii="Calibri" w:hAnsi="Calibri" w:cs="Calibri"/>
          <w:i/>
          <w:iCs/>
        </w:rPr>
        <w:t>Journal of Neural Transmission</w:t>
      </w:r>
      <w:r w:rsidRPr="001D0ADC">
        <w:rPr>
          <w:rFonts w:ascii="Calibri" w:hAnsi="Calibri" w:cs="Calibri"/>
        </w:rPr>
        <w:t xml:space="preserve"> 123 (8): 841–48. https://doi.org/10.1007/s00702-016-1556-z.</w:t>
      </w:r>
    </w:p>
    <w:p w14:paraId="1E45F570" w14:textId="77777777" w:rsidR="004E4B09" w:rsidRPr="001D0ADC" w:rsidRDefault="004E4B09" w:rsidP="004E4B09">
      <w:pPr>
        <w:pStyle w:val="Bibliography"/>
        <w:rPr>
          <w:rFonts w:ascii="Calibri" w:hAnsi="Calibri" w:cs="Calibri"/>
        </w:rPr>
      </w:pPr>
      <w:r w:rsidRPr="001D0ADC">
        <w:rPr>
          <w:rFonts w:ascii="Calibri" w:hAnsi="Calibri" w:cs="Calibri"/>
        </w:rPr>
        <w:t xml:space="preserve">Ribas, João Luiz Coelho, Cesar A. Da Silva, Lucas De Andrade, Gabrieli Limberger Galvan, Marta Margarete Cestari, Edvaldo S. Trindade, Aleksander R. Zampronio, and Helena C. Silva De Assis. 2014. ‘Effects of Anti-Inflammatory Drugs in Primary Kidney Cell Culture of a Freshwater Fish’. </w:t>
      </w:r>
      <w:r w:rsidRPr="001D0ADC">
        <w:rPr>
          <w:rFonts w:ascii="Calibri" w:hAnsi="Calibri" w:cs="Calibri"/>
          <w:i/>
          <w:iCs/>
        </w:rPr>
        <w:t>Fish &amp; Shellfish Immunology</w:t>
      </w:r>
      <w:r w:rsidRPr="001D0ADC">
        <w:rPr>
          <w:rFonts w:ascii="Calibri" w:hAnsi="Calibri" w:cs="Calibri"/>
        </w:rPr>
        <w:t xml:space="preserve"> 40 (1): 296–303. https://doi.org/10.1016/j.fsi.2014.07.009.</w:t>
      </w:r>
    </w:p>
    <w:p w14:paraId="7CE59AC2" w14:textId="77777777" w:rsidR="004E4B09" w:rsidRPr="001D0ADC" w:rsidRDefault="004E4B09" w:rsidP="004E4B09">
      <w:pPr>
        <w:pStyle w:val="Bibliography"/>
        <w:rPr>
          <w:rFonts w:ascii="Calibri" w:hAnsi="Calibri" w:cs="Calibri"/>
        </w:rPr>
      </w:pPr>
      <w:r w:rsidRPr="001D0ADC">
        <w:rPr>
          <w:rFonts w:ascii="Calibri" w:hAnsi="Calibri" w:cs="Calibri"/>
        </w:rPr>
        <w:t xml:space="preserve">Ribbenstedt, Anton, Malte Posselt, and Jonathan P. Benskin. 2022. ‘Toxicometabolomics and Biotransformation Product Elucidation in Single Zebrafish Embryos Exposed to Carbamazepine from Environmentally-Relevant to Morphologically Altering Doses’. </w:t>
      </w:r>
      <w:r w:rsidRPr="001D0ADC">
        <w:rPr>
          <w:rFonts w:ascii="Calibri" w:hAnsi="Calibri" w:cs="Calibri"/>
          <w:i/>
          <w:iCs/>
        </w:rPr>
        <w:t>Chemical Research in Toxicology</w:t>
      </w:r>
      <w:r w:rsidRPr="001D0ADC">
        <w:rPr>
          <w:rFonts w:ascii="Calibri" w:hAnsi="Calibri" w:cs="Calibri"/>
        </w:rPr>
        <w:t xml:space="preserve"> 35 (3): 431–39. https://doi.org/10.1021/acs.chemrestox.1c00335.</w:t>
      </w:r>
    </w:p>
    <w:p w14:paraId="0F6EF2D9" w14:textId="77777777" w:rsidR="004E4B09" w:rsidRPr="001D0ADC" w:rsidRDefault="004E4B09" w:rsidP="004E4B09">
      <w:pPr>
        <w:pStyle w:val="Bibliography"/>
        <w:rPr>
          <w:rFonts w:ascii="Calibri" w:hAnsi="Calibri" w:cs="Calibri"/>
        </w:rPr>
      </w:pPr>
      <w:r w:rsidRPr="001D0ADC">
        <w:rPr>
          <w:rFonts w:ascii="Calibri" w:hAnsi="Calibri" w:cs="Calibri"/>
        </w:rPr>
        <w:t xml:space="preserve">Ribeiro, Sílvia, Tiago Torres, Rosário Martins, and Miguel M. Santos. 2015. ‘Toxicity Screening of Diclofenac, Propranolol, Sertraline and Simvastatin Using Danio Rerio and Paracentrotus Lividus Embryo Bioassays’. </w:t>
      </w:r>
      <w:r w:rsidRPr="001D0ADC">
        <w:rPr>
          <w:rFonts w:ascii="Calibri" w:hAnsi="Calibri" w:cs="Calibri"/>
          <w:i/>
          <w:iCs/>
        </w:rPr>
        <w:t>Ecotoxicology and Environmental Safety</w:t>
      </w:r>
      <w:r w:rsidRPr="001D0ADC">
        <w:rPr>
          <w:rFonts w:ascii="Calibri" w:hAnsi="Calibri" w:cs="Calibri"/>
        </w:rPr>
        <w:t xml:space="preserve"> 114 (April):67–74. https://doi.org/10.1016/j.ecoenv.2015.01.008.</w:t>
      </w:r>
    </w:p>
    <w:p w14:paraId="2E6737BD" w14:textId="77777777" w:rsidR="004E4B09" w:rsidRPr="001D0ADC" w:rsidRDefault="004E4B09" w:rsidP="004E4B09">
      <w:pPr>
        <w:pStyle w:val="Bibliography"/>
        <w:rPr>
          <w:rFonts w:ascii="Calibri" w:hAnsi="Calibri" w:cs="Calibri"/>
        </w:rPr>
      </w:pPr>
      <w:r w:rsidRPr="001D0ADC">
        <w:rPr>
          <w:rFonts w:ascii="Calibri" w:hAnsi="Calibri" w:cs="Calibri"/>
        </w:rPr>
        <w:t xml:space="preserve">Rodrigues, P., L. Guimarães, Ap. Carvalho, and L. Oliva-Teles. 2023. ‘Carbamazepine, Venlafaxine, Tramadol, and Their Main Metabolites: Toxicological Effects on Zebrafish Embryos and Larvae’. </w:t>
      </w:r>
      <w:r w:rsidRPr="001D0ADC">
        <w:rPr>
          <w:rFonts w:ascii="Calibri" w:hAnsi="Calibri" w:cs="Calibri"/>
          <w:i/>
          <w:iCs/>
        </w:rPr>
        <w:t>Journal of Hazardous Materials</w:t>
      </w:r>
      <w:r w:rsidRPr="001D0ADC">
        <w:rPr>
          <w:rFonts w:ascii="Calibri" w:hAnsi="Calibri" w:cs="Calibri"/>
        </w:rPr>
        <w:t xml:space="preserve"> 448 (April):130909. https://doi.org/10.1016/j.jhazmat.2023.130909.</w:t>
      </w:r>
    </w:p>
    <w:p w14:paraId="48D21D62" w14:textId="77777777" w:rsidR="004E4B09" w:rsidRPr="001D0ADC" w:rsidRDefault="004E4B09" w:rsidP="004E4B09">
      <w:pPr>
        <w:pStyle w:val="Bibliography"/>
        <w:rPr>
          <w:rFonts w:ascii="Calibri" w:hAnsi="Calibri" w:cs="Calibri"/>
        </w:rPr>
      </w:pPr>
      <w:r w:rsidRPr="001D0ADC">
        <w:rPr>
          <w:rFonts w:ascii="Calibri" w:hAnsi="Calibri" w:cs="Calibri"/>
        </w:rPr>
        <w:t xml:space="preserve">Rosas-Ramírez, Jonathan Ricardo, José Manuel Orozco-Hernández, Gustavo Axel Elizalde-Velázquez, Demetrio Raldúa, Hariz Islas-Flores, and Leobardo Manuel Gómez-Oliván. 2022. ‘Teratogenic Effects Induced by Paracetamol, Ciprofloxacin, and Their Mixture on Danio Rerio Embryos: Oxidative Stress Implications’. </w:t>
      </w:r>
      <w:r w:rsidRPr="001D0ADC">
        <w:rPr>
          <w:rFonts w:ascii="Calibri" w:hAnsi="Calibri" w:cs="Calibri"/>
          <w:i/>
          <w:iCs/>
        </w:rPr>
        <w:t>Science of The Total Environment</w:t>
      </w:r>
      <w:r w:rsidRPr="001D0ADC">
        <w:rPr>
          <w:rFonts w:ascii="Calibri" w:hAnsi="Calibri" w:cs="Calibri"/>
        </w:rPr>
        <w:t xml:space="preserve"> 806 (February):150541. https://doi.org/10.1016/j.scitotenv.2021.150541.</w:t>
      </w:r>
    </w:p>
    <w:p w14:paraId="3FBE1CA2" w14:textId="10BD8EAD" w:rsidR="004E4B09" w:rsidRPr="001D0ADC" w:rsidRDefault="004E4B09" w:rsidP="004E4B09">
      <w:pPr>
        <w:pStyle w:val="Bibliography"/>
        <w:rPr>
          <w:rFonts w:ascii="Calibri" w:hAnsi="Calibri" w:cs="Calibri"/>
        </w:rPr>
      </w:pPr>
      <w:r w:rsidRPr="001D0ADC">
        <w:rPr>
          <w:rFonts w:ascii="Calibri" w:hAnsi="Calibri" w:cs="Calibri"/>
        </w:rPr>
        <w:t>Ruiz, Cristobal Espinosa, Simona Manuguerra, Eleonora Curcuraci, Andrea Santulli, and Concetta M. Messina. 2020. ‘Carbamazepine, Cadmium Chloride and Polybrominated Diphenyl Ether-4</w:t>
      </w:r>
      <w:r w:rsidR="00CF2036" w:rsidRPr="001D0ADC">
        <w:rPr>
          <w:rFonts w:ascii="Calibri" w:hAnsi="Calibri" w:cs="Calibri"/>
        </w:rPr>
        <w:t>7.</w:t>
      </w:r>
      <w:r w:rsidRPr="001D0ADC">
        <w:rPr>
          <w:rFonts w:ascii="Calibri" w:hAnsi="Calibri" w:cs="Calibri"/>
        </w:rPr>
        <w:t xml:space="preserve"> Synergistically Modulate the Expression of Antioxidants and Cell Cycle Biomarkers, in the Marine Fish Cell Line SAF-1’. </w:t>
      </w:r>
      <w:r w:rsidRPr="001D0ADC">
        <w:rPr>
          <w:rFonts w:ascii="Calibri" w:hAnsi="Calibri" w:cs="Calibri"/>
          <w:i/>
          <w:iCs/>
        </w:rPr>
        <w:t>Marine Environmental Research</w:t>
      </w:r>
      <w:r w:rsidRPr="001D0ADC">
        <w:rPr>
          <w:rFonts w:ascii="Calibri" w:hAnsi="Calibri" w:cs="Calibri"/>
        </w:rPr>
        <w:t xml:space="preserve"> 154 (February):104844. https://doi.org/10.1016/j.marenvres.2019.104844.</w:t>
      </w:r>
    </w:p>
    <w:p w14:paraId="7B5D3922" w14:textId="77777777" w:rsidR="004E4B09" w:rsidRPr="001D0ADC" w:rsidRDefault="004E4B09" w:rsidP="004E4B09">
      <w:pPr>
        <w:pStyle w:val="Bibliography"/>
        <w:rPr>
          <w:rFonts w:ascii="Calibri" w:hAnsi="Calibri" w:cs="Calibri"/>
        </w:rPr>
      </w:pPr>
      <w:r w:rsidRPr="001D0ADC">
        <w:rPr>
          <w:rFonts w:ascii="Calibri" w:hAnsi="Calibri" w:cs="Calibri"/>
        </w:rPr>
        <w:t xml:space="preserve">Ruyter, Bente, Øivind Andersen, Anette Dehli, Tor Gjøen, and Magny S Thomassen. 1997. ‘Peroxisome Proliferator Activated Receptors in Atlantic Salmon ž Salmo Salar/ : Effects on PPAR Transcription and Acyl-CoA Oxidase Activity in Hepatocytes by Peroxisome Proliferators and Fatty Acids’. </w:t>
      </w:r>
      <w:r w:rsidRPr="001D0ADC">
        <w:rPr>
          <w:rFonts w:ascii="Calibri" w:hAnsi="Calibri" w:cs="Calibri"/>
          <w:i/>
          <w:iCs/>
        </w:rPr>
        <w:t>Biochimica et Biophysica Acta</w:t>
      </w:r>
      <w:r w:rsidRPr="001D0ADC">
        <w:rPr>
          <w:rFonts w:ascii="Calibri" w:hAnsi="Calibri" w:cs="Calibri"/>
        </w:rPr>
        <w:t xml:space="preserve"> 1997 (1348): 331–38.</w:t>
      </w:r>
    </w:p>
    <w:p w14:paraId="4265B5BA" w14:textId="77777777" w:rsidR="004E4B09" w:rsidRPr="001D0ADC" w:rsidRDefault="004E4B09" w:rsidP="004E4B09">
      <w:pPr>
        <w:pStyle w:val="Bibliography"/>
        <w:rPr>
          <w:rFonts w:ascii="Calibri" w:hAnsi="Calibri" w:cs="Calibri"/>
        </w:rPr>
      </w:pPr>
      <w:r w:rsidRPr="001D0ADC">
        <w:rPr>
          <w:rFonts w:ascii="Calibri" w:hAnsi="Calibri" w:cs="Calibri"/>
        </w:rPr>
        <w:t xml:space="preserve">Sánchez-Aceves, Livier M, Itzayana Pérez-Alvarez, Leobardo Manuel Gómez-Oliván, Hariz Islas-Flores, and Damià Barceló. 2021. ‘Developmental Alterations, Teratogenic Effects, and Oxidative Disruption Induced by Ibuprofen, Aluminum, and Their Binary Mixture on Danio Rerio’. </w:t>
      </w:r>
      <w:r w:rsidRPr="001D0ADC">
        <w:rPr>
          <w:rFonts w:ascii="Calibri" w:hAnsi="Calibri" w:cs="Calibri"/>
          <w:i/>
          <w:iCs/>
        </w:rPr>
        <w:t>Environmental Pollution</w:t>
      </w:r>
      <w:r w:rsidRPr="001D0ADC">
        <w:rPr>
          <w:rFonts w:ascii="Calibri" w:hAnsi="Calibri" w:cs="Calibri"/>
        </w:rPr>
        <w:t xml:space="preserve"> 291 (December):118078. https://doi.org/10.1016/j.envpol.2021.118078.</w:t>
      </w:r>
    </w:p>
    <w:p w14:paraId="52F97B75" w14:textId="77777777" w:rsidR="004E4B09" w:rsidRPr="001D0ADC" w:rsidRDefault="004E4B09" w:rsidP="004E4B09">
      <w:pPr>
        <w:pStyle w:val="Bibliography"/>
        <w:rPr>
          <w:rFonts w:ascii="Calibri" w:hAnsi="Calibri" w:cs="Calibri"/>
        </w:rPr>
      </w:pPr>
      <w:r w:rsidRPr="001D0ADC">
        <w:rPr>
          <w:rFonts w:ascii="Calibri" w:hAnsi="Calibri" w:cs="Calibri"/>
        </w:rPr>
        <w:t xml:space="preserve">Saravanan, M., K. Usha Devi, A. Malarvizhi, and M. Ramesh. 2012. ‘Effects of Ibuprofen on Hematological, Biochemical and Enzymological Parameters of Blood in an Indian Major Carp, Cirrhinus Mrigala’. </w:t>
      </w:r>
      <w:r w:rsidRPr="001D0ADC">
        <w:rPr>
          <w:rFonts w:ascii="Calibri" w:hAnsi="Calibri" w:cs="Calibri"/>
          <w:i/>
          <w:iCs/>
        </w:rPr>
        <w:t>Environmental Toxicology and Pharmacology</w:t>
      </w:r>
      <w:r w:rsidRPr="001D0ADC">
        <w:rPr>
          <w:rFonts w:ascii="Calibri" w:hAnsi="Calibri" w:cs="Calibri"/>
        </w:rPr>
        <w:t xml:space="preserve"> 34 (1): 14–22. https://doi.org/10.1016/j.etap.2012.02.005.</w:t>
      </w:r>
    </w:p>
    <w:p w14:paraId="48021E01" w14:textId="77777777" w:rsidR="004E4B09" w:rsidRPr="001D0ADC" w:rsidRDefault="004E4B09" w:rsidP="004E4B09">
      <w:pPr>
        <w:pStyle w:val="Bibliography"/>
        <w:rPr>
          <w:rFonts w:ascii="Calibri" w:hAnsi="Calibri" w:cs="Calibri"/>
        </w:rPr>
      </w:pPr>
      <w:r w:rsidRPr="001D0ADC">
        <w:rPr>
          <w:rFonts w:ascii="Calibri" w:hAnsi="Calibri" w:cs="Calibri"/>
        </w:rPr>
        <w:t xml:space="preserve">Saravanan, M., and M. Ramesh. 2013. ‘Short and Long-Term Effects of Clofibric Acid and Diclofenac on Certain Biochemical and Ionoregulatory Responses in an Indian Major Carp, Cirrhinus Mrigala’. </w:t>
      </w:r>
      <w:r w:rsidRPr="001D0ADC">
        <w:rPr>
          <w:rFonts w:ascii="Calibri" w:hAnsi="Calibri" w:cs="Calibri"/>
          <w:i/>
          <w:iCs/>
        </w:rPr>
        <w:t>Chemosphere</w:t>
      </w:r>
      <w:r w:rsidRPr="001D0ADC">
        <w:rPr>
          <w:rFonts w:ascii="Calibri" w:hAnsi="Calibri" w:cs="Calibri"/>
        </w:rPr>
        <w:t xml:space="preserve"> 93 (2): 388–96. https://doi.org/10.1016/j.chemosphere.2013.05.015.</w:t>
      </w:r>
    </w:p>
    <w:p w14:paraId="1445F8CA" w14:textId="77777777" w:rsidR="004E4B09" w:rsidRPr="001D0ADC" w:rsidRDefault="004E4B09" w:rsidP="004E4B09">
      <w:pPr>
        <w:pStyle w:val="Bibliography"/>
        <w:rPr>
          <w:rFonts w:ascii="Calibri" w:hAnsi="Calibri" w:cs="Calibri"/>
        </w:rPr>
      </w:pPr>
      <w:r w:rsidRPr="001D0ADC">
        <w:rPr>
          <w:rFonts w:ascii="Calibri" w:hAnsi="Calibri" w:cs="Calibri"/>
        </w:rPr>
        <w:t xml:space="preserve">Saravanan, Manoharan, Subramanian Karthika, Annamalai Malarvizhi, and Mathan Ramesh. 2011. ‘Ecotoxicological Impacts of Clofibric Acid and Diclofenac in Common Carp (Cyprinus Carpio) Fingerlings: Hematological, Biochemical, Ionoregulatory and Enzymological Responses’. </w:t>
      </w:r>
      <w:r w:rsidRPr="001D0ADC">
        <w:rPr>
          <w:rFonts w:ascii="Calibri" w:hAnsi="Calibri" w:cs="Calibri"/>
          <w:i/>
          <w:iCs/>
        </w:rPr>
        <w:t>Journal of Hazardous Materials</w:t>
      </w:r>
      <w:r w:rsidRPr="001D0ADC">
        <w:rPr>
          <w:rFonts w:ascii="Calibri" w:hAnsi="Calibri" w:cs="Calibri"/>
        </w:rPr>
        <w:t xml:space="preserve"> 195 (November):188–94. https://doi.org/10.1016/j.jhazmat.2011.08.029.</w:t>
      </w:r>
    </w:p>
    <w:p w14:paraId="5B660A7D" w14:textId="77777777" w:rsidR="004E4B09" w:rsidRPr="001D0ADC" w:rsidRDefault="004E4B09" w:rsidP="004E4B09">
      <w:pPr>
        <w:pStyle w:val="Bibliography"/>
        <w:rPr>
          <w:rFonts w:ascii="Calibri" w:hAnsi="Calibri" w:cs="Calibri"/>
        </w:rPr>
      </w:pPr>
      <w:r w:rsidRPr="001D0ADC">
        <w:rPr>
          <w:rFonts w:ascii="Calibri" w:hAnsi="Calibri" w:cs="Calibri"/>
        </w:rPr>
        <w:t xml:space="preserve">Saravanan, Manoharan, Mathan Ramesh, and Rakpong Petkam. 2013. ‘Alteration in Certain Enzymological Parameters of an Indian Major Carp, Cirrhinus Mrigala Exposed to Short- and Long-Term Exposure of Clofibric Acid and Diclofenac’. </w:t>
      </w:r>
      <w:r w:rsidRPr="001D0ADC">
        <w:rPr>
          <w:rFonts w:ascii="Calibri" w:hAnsi="Calibri" w:cs="Calibri"/>
          <w:i/>
          <w:iCs/>
        </w:rPr>
        <w:t>Fish Physiology and Biochemistry</w:t>
      </w:r>
      <w:r w:rsidRPr="001D0ADC">
        <w:rPr>
          <w:rFonts w:ascii="Calibri" w:hAnsi="Calibri" w:cs="Calibri"/>
        </w:rPr>
        <w:t xml:space="preserve"> 39 (6): 1431–40. https://doi.org/10.1007/s10695-013-9797-3.</w:t>
      </w:r>
    </w:p>
    <w:p w14:paraId="74AD4495" w14:textId="77777777" w:rsidR="004E4B09" w:rsidRPr="001D0ADC" w:rsidRDefault="004E4B09" w:rsidP="004E4B09">
      <w:pPr>
        <w:pStyle w:val="Bibliography"/>
        <w:rPr>
          <w:rFonts w:ascii="Calibri" w:hAnsi="Calibri" w:cs="Calibri"/>
        </w:rPr>
      </w:pPr>
      <w:r w:rsidRPr="001D0ADC">
        <w:rPr>
          <w:rFonts w:ascii="Calibri" w:hAnsi="Calibri" w:cs="Calibri"/>
        </w:rPr>
        <w:t xml:space="preserve">Saucedo-Vence, Karinne, Octavio Dublán-García, Leticia Xochitl López-Martínez, Gabriela Morachis-Valdes, Marcela Galar-Martínez, Hariz Islas-Flores, and Leobardo Manuel Gómez-Oliván. 2015. ‘Short and Long-Term Exposure to Diclofenac Alter Oxidative Stress Status in Common Carp Cyprinus Carpio’. </w:t>
      </w:r>
      <w:r w:rsidRPr="001D0ADC">
        <w:rPr>
          <w:rFonts w:ascii="Calibri" w:hAnsi="Calibri" w:cs="Calibri"/>
          <w:i/>
          <w:iCs/>
        </w:rPr>
        <w:t>Ecotoxicology</w:t>
      </w:r>
      <w:r w:rsidRPr="001D0ADC">
        <w:rPr>
          <w:rFonts w:ascii="Calibri" w:hAnsi="Calibri" w:cs="Calibri"/>
        </w:rPr>
        <w:t xml:space="preserve"> 24 (3): 527–39. https://doi.org/10.1007/s10646-014-1401-9.</w:t>
      </w:r>
    </w:p>
    <w:p w14:paraId="362D0CE7" w14:textId="77777777" w:rsidR="004E4B09" w:rsidRPr="001D0ADC" w:rsidRDefault="004E4B09" w:rsidP="004E4B09">
      <w:pPr>
        <w:pStyle w:val="Bibliography"/>
        <w:rPr>
          <w:rFonts w:ascii="Calibri" w:hAnsi="Calibri" w:cs="Calibri"/>
        </w:rPr>
      </w:pPr>
      <w:r w:rsidRPr="001D0ADC">
        <w:rPr>
          <w:rFonts w:ascii="Calibri" w:hAnsi="Calibri" w:cs="Calibri"/>
        </w:rPr>
        <w:t xml:space="preserve">Schill, Ellen Merrick, Jonathan I. Lake, Olga A. Tusheva, Nandor Nagy, Saya K. Bery, Lynne Foster, Marina Avetisyan, et al. 2016. ‘Ibuprofen Slows Migration and Inhibits Bowel Colonization by Enteric Nervous System Precursors in Zebrafish, Chick and Mouse’. </w:t>
      </w:r>
      <w:r w:rsidRPr="001D0ADC">
        <w:rPr>
          <w:rFonts w:ascii="Calibri" w:hAnsi="Calibri" w:cs="Calibri"/>
          <w:i/>
          <w:iCs/>
        </w:rPr>
        <w:t>Developmental Biology</w:t>
      </w:r>
      <w:r w:rsidRPr="001D0ADC">
        <w:rPr>
          <w:rFonts w:ascii="Calibri" w:hAnsi="Calibri" w:cs="Calibri"/>
        </w:rPr>
        <w:t xml:space="preserve"> 409 (2): 473–88. https://doi.org/10.1016/j.ydbio.2015.09.023.</w:t>
      </w:r>
    </w:p>
    <w:p w14:paraId="7954CEA9" w14:textId="77777777" w:rsidR="004E4B09" w:rsidRPr="001D0ADC" w:rsidRDefault="004E4B09" w:rsidP="004E4B09">
      <w:pPr>
        <w:pStyle w:val="Bibliography"/>
        <w:rPr>
          <w:rFonts w:ascii="Calibri" w:hAnsi="Calibri" w:cs="Calibri"/>
        </w:rPr>
      </w:pPr>
      <w:r w:rsidRPr="001D0ADC">
        <w:rPr>
          <w:rFonts w:ascii="Calibri" w:hAnsi="Calibri" w:cs="Calibri"/>
        </w:rPr>
        <w:t xml:space="preserve">Schnell, Sabine, Niels C. Bols, Carlos Barata, and Cinta Porte. 2009. ‘Single and Combined Toxicity of Pharmaceuticals and Personal Care Products (PPCPs) on the Rainbow Trout Liver Cell Line RTL-W1’. </w:t>
      </w:r>
      <w:r w:rsidRPr="001D0ADC">
        <w:rPr>
          <w:rFonts w:ascii="Calibri" w:hAnsi="Calibri" w:cs="Calibri"/>
          <w:i/>
          <w:iCs/>
        </w:rPr>
        <w:t>Aquatic Toxicology</w:t>
      </w:r>
      <w:r w:rsidRPr="001D0ADC">
        <w:rPr>
          <w:rFonts w:ascii="Calibri" w:hAnsi="Calibri" w:cs="Calibri"/>
        </w:rPr>
        <w:t xml:space="preserve"> 93 (4): 244–52. https://doi.org/10.1016/j.aquatox.2009.05.007.</w:t>
      </w:r>
    </w:p>
    <w:p w14:paraId="458913F1" w14:textId="77777777" w:rsidR="004E4B09" w:rsidRPr="001D0ADC" w:rsidRDefault="004E4B09" w:rsidP="004E4B09">
      <w:pPr>
        <w:pStyle w:val="Bibliography"/>
        <w:rPr>
          <w:rFonts w:ascii="Calibri" w:hAnsi="Calibri" w:cs="Calibri"/>
        </w:rPr>
      </w:pPr>
      <w:r w:rsidRPr="001D0ADC">
        <w:rPr>
          <w:rFonts w:ascii="Calibri" w:hAnsi="Calibri" w:cs="Calibri"/>
        </w:rPr>
        <w:t xml:space="preserve">Schnell, Sabine, Atsushi Kawano, Cinta Porte, Lucy E. J. Lee, and Niels C. Bols. 2009. ‘Effects of Ibuprofen on the Viability and Proliferation of Rainbow Trout Liver Cell Lines and Potential Problems and Interactions in Effects Assessment’. </w:t>
      </w:r>
      <w:r w:rsidRPr="001D0ADC">
        <w:rPr>
          <w:rFonts w:ascii="Calibri" w:hAnsi="Calibri" w:cs="Calibri"/>
          <w:i/>
          <w:iCs/>
        </w:rPr>
        <w:t>Environmental Toxicology</w:t>
      </w:r>
      <w:r w:rsidRPr="001D0ADC">
        <w:rPr>
          <w:rFonts w:ascii="Calibri" w:hAnsi="Calibri" w:cs="Calibri"/>
        </w:rPr>
        <w:t xml:space="preserve"> 24 (2): 157–65. https://doi.org/10.1002/tox.20410.</w:t>
      </w:r>
    </w:p>
    <w:p w14:paraId="36CEE9C8" w14:textId="77777777" w:rsidR="004E4B09" w:rsidRPr="001D0ADC" w:rsidRDefault="004E4B09" w:rsidP="004E4B09">
      <w:pPr>
        <w:pStyle w:val="Bibliography"/>
        <w:rPr>
          <w:rFonts w:ascii="Calibri" w:hAnsi="Calibri" w:cs="Calibri"/>
        </w:rPr>
      </w:pPr>
      <w:r w:rsidRPr="001D0ADC">
        <w:rPr>
          <w:rFonts w:ascii="Calibri" w:hAnsi="Calibri" w:cs="Calibri"/>
        </w:rPr>
        <w:t xml:space="preserve">Selderslaghs, Ingrid W.T., Ronny Blust, and Hilda E. Witters. 2012. ‘Feasibility Study of the Zebrafish Assay as an Alternative Method to Screen for Developmental Toxicity and Embryotoxicity Using a Training Set of 27 Compounds’. </w:t>
      </w:r>
      <w:r w:rsidRPr="001D0ADC">
        <w:rPr>
          <w:rFonts w:ascii="Calibri" w:hAnsi="Calibri" w:cs="Calibri"/>
          <w:i/>
          <w:iCs/>
        </w:rPr>
        <w:t>Reproductive Toxicology</w:t>
      </w:r>
      <w:r w:rsidRPr="001D0ADC">
        <w:rPr>
          <w:rFonts w:ascii="Calibri" w:hAnsi="Calibri" w:cs="Calibri"/>
        </w:rPr>
        <w:t xml:space="preserve"> 33 (2): 142–54. https://doi.org/10.1016/j.reprotox.2011.08.003.</w:t>
      </w:r>
    </w:p>
    <w:p w14:paraId="3AEB6058" w14:textId="77777777" w:rsidR="004E4B09" w:rsidRPr="001D0ADC" w:rsidRDefault="004E4B09" w:rsidP="004E4B09">
      <w:pPr>
        <w:pStyle w:val="Bibliography"/>
        <w:rPr>
          <w:rFonts w:ascii="Calibri" w:hAnsi="Calibri" w:cs="Calibri"/>
        </w:rPr>
      </w:pPr>
      <w:r w:rsidRPr="001D0ADC">
        <w:rPr>
          <w:rFonts w:ascii="Calibri" w:hAnsi="Calibri" w:cs="Calibri"/>
        </w:rPr>
        <w:t xml:space="preserve">Selderslaghs, Ingrid W.T., Jef Hooyberghs, Ronny Blust, and Hilda E. Witters. 2013. ‘Assessment of the Developmental Neurotoxicity of Compounds by Measuring Locomotor Activity in Zebrafish Embryos and Larvae’. </w:t>
      </w:r>
      <w:r w:rsidRPr="001D0ADC">
        <w:rPr>
          <w:rFonts w:ascii="Calibri" w:hAnsi="Calibri" w:cs="Calibri"/>
          <w:i/>
          <w:iCs/>
        </w:rPr>
        <w:t>Neurotoxicology and Teratology</w:t>
      </w:r>
      <w:r w:rsidRPr="001D0ADC">
        <w:rPr>
          <w:rFonts w:ascii="Calibri" w:hAnsi="Calibri" w:cs="Calibri"/>
        </w:rPr>
        <w:t xml:space="preserve"> 37 (May):44–56. https://doi.org/10.1016/j.ntt.2013.01.003.</w:t>
      </w:r>
    </w:p>
    <w:p w14:paraId="72DBDCC4" w14:textId="77777777" w:rsidR="004E4B09" w:rsidRPr="001D0ADC" w:rsidRDefault="004E4B09" w:rsidP="004E4B09">
      <w:pPr>
        <w:pStyle w:val="Bibliography"/>
        <w:rPr>
          <w:rFonts w:ascii="Calibri" w:hAnsi="Calibri" w:cs="Calibri"/>
        </w:rPr>
      </w:pPr>
      <w:r w:rsidRPr="001D0ADC">
        <w:rPr>
          <w:rFonts w:ascii="Calibri" w:hAnsi="Calibri" w:cs="Calibri"/>
        </w:rPr>
        <w:t xml:space="preserve">Serra, Hélène, Martin Scholze, Rolf Altenburger, Wibke Busch, Hélène Budzinski, François Brion, and Selim Aït-Aïssa. 2019. ‘Combined Effects of Environmental Xeno-Estrogens within Multi-Component Mixtures: Comparison of in Vitro Human- and Zebrafish-Based Estrogenicity Bioassays’. </w:t>
      </w:r>
      <w:r w:rsidRPr="001D0ADC">
        <w:rPr>
          <w:rFonts w:ascii="Calibri" w:hAnsi="Calibri" w:cs="Calibri"/>
          <w:i/>
          <w:iCs/>
        </w:rPr>
        <w:t>Chemosphere</w:t>
      </w:r>
      <w:r w:rsidRPr="001D0ADC">
        <w:rPr>
          <w:rFonts w:ascii="Calibri" w:hAnsi="Calibri" w:cs="Calibri"/>
        </w:rPr>
        <w:t xml:space="preserve"> 227 (July):334–44. https://doi.org/10.1016/j.chemosphere.2019.04.060.</w:t>
      </w:r>
    </w:p>
    <w:p w14:paraId="77B1525F" w14:textId="77777777" w:rsidR="004E4B09" w:rsidRPr="001D0ADC" w:rsidRDefault="004E4B09" w:rsidP="004E4B09">
      <w:pPr>
        <w:pStyle w:val="Bibliography"/>
        <w:rPr>
          <w:rFonts w:ascii="Calibri" w:hAnsi="Calibri" w:cs="Calibri"/>
        </w:rPr>
      </w:pPr>
      <w:r w:rsidRPr="001D0ADC">
        <w:rPr>
          <w:rFonts w:ascii="Calibri" w:hAnsi="Calibri" w:cs="Calibri"/>
        </w:rPr>
        <w:t xml:space="preserve">Shahnaz, Tasrin, V. Vishnu Priyan, Sivakumar Pandian, and Selvaraju Narayanasamy. 2021. ‘Use of Nanocellulose Extracted from Grass for Adsorption Abatement of Ciprofloxacin and Diclofenac Removal with Phyto, and Fish Toxicity Studies’. </w:t>
      </w:r>
      <w:r w:rsidRPr="001D0ADC">
        <w:rPr>
          <w:rFonts w:ascii="Calibri" w:hAnsi="Calibri" w:cs="Calibri"/>
          <w:i/>
          <w:iCs/>
        </w:rPr>
        <w:t>Environmental Pollution</w:t>
      </w:r>
      <w:r w:rsidRPr="001D0ADC">
        <w:rPr>
          <w:rFonts w:ascii="Calibri" w:hAnsi="Calibri" w:cs="Calibri"/>
        </w:rPr>
        <w:t xml:space="preserve"> 268 (January):115494. https://doi.org/10.1016/j.envpol.2020.115494.</w:t>
      </w:r>
    </w:p>
    <w:p w14:paraId="68B1FA6C" w14:textId="77777777" w:rsidR="004E4B09" w:rsidRPr="001D0ADC" w:rsidRDefault="004E4B09" w:rsidP="004E4B09">
      <w:pPr>
        <w:pStyle w:val="Bibliography"/>
        <w:rPr>
          <w:rFonts w:ascii="Calibri" w:hAnsi="Calibri" w:cs="Calibri"/>
        </w:rPr>
      </w:pPr>
      <w:r w:rsidRPr="001D0ADC">
        <w:rPr>
          <w:rFonts w:ascii="Calibri" w:hAnsi="Calibri" w:cs="Calibri"/>
        </w:rPr>
        <w:t>Shankarrao, Kurhade Chandrakant, and U M Jayabhaye. 2020. ‘Biochemical Studies on the Effect of Diclofenac on Common Carp (Cyprinus Carpio)’ 8 (4).</w:t>
      </w:r>
    </w:p>
    <w:p w14:paraId="0EE10171" w14:textId="77777777" w:rsidR="004E4B09" w:rsidRPr="001D0ADC" w:rsidRDefault="004E4B09" w:rsidP="004E4B09">
      <w:pPr>
        <w:pStyle w:val="Bibliography"/>
        <w:rPr>
          <w:rFonts w:ascii="Calibri" w:hAnsi="Calibri" w:cs="Calibri"/>
        </w:rPr>
      </w:pPr>
      <w:r w:rsidRPr="001D0ADC">
        <w:rPr>
          <w:rFonts w:ascii="Calibri" w:hAnsi="Calibri" w:cs="Calibri"/>
        </w:rPr>
        <w:t xml:space="preserve">Shen, Rong, Yichang Yu, Rong Lan, Ran Yu, Ze Yuan, and Zhining Xia. 2019. ‘The Cardiovascular Toxicity Induced by High Doses of Gatifloxacin and Ciprofloxacin in Zebrafish’. </w:t>
      </w:r>
      <w:r w:rsidRPr="001D0ADC">
        <w:rPr>
          <w:rFonts w:ascii="Calibri" w:hAnsi="Calibri" w:cs="Calibri"/>
          <w:i/>
          <w:iCs/>
        </w:rPr>
        <w:t>Environmental Pollution</w:t>
      </w:r>
      <w:r w:rsidRPr="001D0ADC">
        <w:rPr>
          <w:rFonts w:ascii="Calibri" w:hAnsi="Calibri" w:cs="Calibri"/>
        </w:rPr>
        <w:t xml:space="preserve"> 254 (November):112861. https://doi.org/10.1016/j.envpol.2019.07.029.</w:t>
      </w:r>
    </w:p>
    <w:p w14:paraId="6900F75B" w14:textId="77777777" w:rsidR="004E4B09" w:rsidRPr="001D0ADC" w:rsidRDefault="004E4B09" w:rsidP="004E4B09">
      <w:pPr>
        <w:pStyle w:val="Bibliography"/>
        <w:rPr>
          <w:rFonts w:ascii="Calibri" w:hAnsi="Calibri" w:cs="Calibri"/>
        </w:rPr>
      </w:pPr>
      <w:r w:rsidRPr="001D0ADC">
        <w:rPr>
          <w:rFonts w:ascii="Calibri" w:hAnsi="Calibri" w:cs="Calibri"/>
        </w:rPr>
        <w:t xml:space="preserve">Sovadinová, I., A. Liedtke, and K. Schirmer. 2014. ‘Effects of Clofibric Acid Alone and in Combination with 17β-Estradiol on mRNA Abundance in Primary Hepatocytes Isolated from Rainbow Trout’. </w:t>
      </w:r>
      <w:r w:rsidRPr="001D0ADC">
        <w:rPr>
          <w:rFonts w:ascii="Calibri" w:hAnsi="Calibri" w:cs="Calibri"/>
          <w:i/>
          <w:iCs/>
        </w:rPr>
        <w:t>Toxicology in Vitro</w:t>
      </w:r>
      <w:r w:rsidRPr="001D0ADC">
        <w:rPr>
          <w:rFonts w:ascii="Calibri" w:hAnsi="Calibri" w:cs="Calibri"/>
        </w:rPr>
        <w:t xml:space="preserve"> 28 (6): 1106–16. https://doi.org/10.1016/j.tiv.2014.05.002.</w:t>
      </w:r>
    </w:p>
    <w:p w14:paraId="651E5DCF" w14:textId="77777777" w:rsidR="004E4B09" w:rsidRPr="001D0ADC" w:rsidRDefault="004E4B09" w:rsidP="004E4B09">
      <w:pPr>
        <w:pStyle w:val="Bibliography"/>
        <w:rPr>
          <w:rFonts w:ascii="Calibri" w:hAnsi="Calibri" w:cs="Calibri"/>
        </w:rPr>
      </w:pPr>
      <w:r w:rsidRPr="001D0ADC">
        <w:rPr>
          <w:rFonts w:ascii="Calibri" w:hAnsi="Calibri" w:cs="Calibri"/>
        </w:rPr>
        <w:t xml:space="preserve">Stanic, Bojana, Jelena Petrovic, Branka Basica, Sonja Kaisarevic, Kristin Schirmer, and Nebojsa Andric. 2021. ‘Characterization of the ERK1/2 Phosphorylation Profile in Human and Fish Liver Cells upon Exposure to Chemicals of Environmental Concern’. </w:t>
      </w:r>
      <w:r w:rsidRPr="001D0ADC">
        <w:rPr>
          <w:rFonts w:ascii="Calibri" w:hAnsi="Calibri" w:cs="Calibri"/>
          <w:i/>
          <w:iCs/>
        </w:rPr>
        <w:t>Environmental Toxicology and Pharmacology</w:t>
      </w:r>
      <w:r w:rsidRPr="001D0ADC">
        <w:rPr>
          <w:rFonts w:ascii="Calibri" w:hAnsi="Calibri" w:cs="Calibri"/>
        </w:rPr>
        <w:t xml:space="preserve"> 88 (November):103749. https://doi.org/10.1016/j.etap.2021.103749.</w:t>
      </w:r>
    </w:p>
    <w:p w14:paraId="5901C2C9" w14:textId="77777777" w:rsidR="004E4B09" w:rsidRPr="001D0ADC" w:rsidRDefault="004E4B09" w:rsidP="004E4B09">
      <w:pPr>
        <w:pStyle w:val="Bibliography"/>
        <w:rPr>
          <w:rFonts w:ascii="Calibri" w:hAnsi="Calibri" w:cs="Calibri"/>
        </w:rPr>
      </w:pPr>
      <w:r w:rsidRPr="001D0ADC">
        <w:rPr>
          <w:rFonts w:ascii="Calibri" w:hAnsi="Calibri" w:cs="Calibri"/>
        </w:rPr>
        <w:t xml:space="preserve">Thibaut, Rémi, and Cinta Porte. 2008. ‘Effects of Fibrates, Anti-Inflammatory Drugs and Antidepressants in the Fish Hepatoma Cell Line PLHC-1: Cytotoxicity and Interactions with Cytochrome P450 1A’. </w:t>
      </w:r>
      <w:r w:rsidRPr="001D0ADC">
        <w:rPr>
          <w:rFonts w:ascii="Calibri" w:hAnsi="Calibri" w:cs="Calibri"/>
          <w:i/>
          <w:iCs/>
        </w:rPr>
        <w:t>Toxicology in Vitro</w:t>
      </w:r>
      <w:r w:rsidRPr="001D0ADC">
        <w:rPr>
          <w:rFonts w:ascii="Calibri" w:hAnsi="Calibri" w:cs="Calibri"/>
        </w:rPr>
        <w:t xml:space="preserve"> 22 (5): 1128–35. https://doi.org/10.1016/j.tiv.2008.02.020.</w:t>
      </w:r>
    </w:p>
    <w:p w14:paraId="339A8B23" w14:textId="77777777" w:rsidR="004E4B09" w:rsidRPr="001D0ADC" w:rsidRDefault="004E4B09" w:rsidP="004E4B09">
      <w:pPr>
        <w:pStyle w:val="Bibliography"/>
        <w:rPr>
          <w:rFonts w:ascii="Calibri" w:hAnsi="Calibri" w:cs="Calibri"/>
        </w:rPr>
      </w:pPr>
      <w:r w:rsidRPr="001D0ADC">
        <w:rPr>
          <w:rFonts w:ascii="Calibri" w:hAnsi="Calibri" w:cs="Calibri"/>
        </w:rPr>
        <w:t xml:space="preserve">Van Den Brandhof, Evert-Jan, and Mark Montforts. 2010. ‘Fish Embryo Toxicity of Carbamazepine, Diclofenac and Metoprolol’. </w:t>
      </w:r>
      <w:r w:rsidRPr="001D0ADC">
        <w:rPr>
          <w:rFonts w:ascii="Calibri" w:hAnsi="Calibri" w:cs="Calibri"/>
          <w:i/>
          <w:iCs/>
        </w:rPr>
        <w:t>Ecotoxicology and Environmental Safety</w:t>
      </w:r>
      <w:r w:rsidRPr="001D0ADC">
        <w:rPr>
          <w:rFonts w:ascii="Calibri" w:hAnsi="Calibri" w:cs="Calibri"/>
        </w:rPr>
        <w:t xml:space="preserve"> 73 (8): 1862–66. https://doi.org/10.1016/j.ecoenv.2010.08.031.</w:t>
      </w:r>
    </w:p>
    <w:p w14:paraId="4AD889B1" w14:textId="77777777" w:rsidR="004E4B09" w:rsidRPr="001D0ADC" w:rsidRDefault="004E4B09" w:rsidP="004E4B09">
      <w:pPr>
        <w:pStyle w:val="Bibliography"/>
        <w:rPr>
          <w:rFonts w:ascii="Calibri" w:hAnsi="Calibri" w:cs="Calibri"/>
        </w:rPr>
      </w:pPr>
      <w:r w:rsidRPr="001D0ADC">
        <w:rPr>
          <w:rFonts w:ascii="Calibri" w:hAnsi="Calibri" w:cs="Calibri"/>
        </w:rPr>
        <w:t xml:space="preserve">Wang, Hongkai, Feilong Dong, Yixin Zhao, Shirong Fu, Haocheng Zhao, Shangshu Liu, Weini Zhang, and Fengxiao Hu. 2022. ‘Exposure to Diclofenac Alters Thyroid Hormone Levels and Transcription of Genes Involved in the Hypothalamic–Pituitary–Thyroid Axis in Zebrafish Embryos/Larvae’. </w:t>
      </w:r>
      <w:r w:rsidRPr="001D0ADC">
        <w:rPr>
          <w:rFonts w:ascii="Calibri" w:hAnsi="Calibri" w:cs="Calibri"/>
          <w:i/>
          <w:iCs/>
        </w:rPr>
        <w:t>Comparative Biochemistry and Physiology Part C: Toxicology &amp; Pharmacology</w:t>
      </w:r>
      <w:r w:rsidRPr="001D0ADC">
        <w:rPr>
          <w:rFonts w:ascii="Calibri" w:hAnsi="Calibri" w:cs="Calibri"/>
        </w:rPr>
        <w:t xml:space="preserve"> 257 (July):109335. https://doi.org/10.1016/j.cbpc.2022.109335.</w:t>
      </w:r>
    </w:p>
    <w:p w14:paraId="70272C2E" w14:textId="77777777" w:rsidR="004E4B09" w:rsidRPr="001D0ADC" w:rsidRDefault="004E4B09" w:rsidP="004E4B09">
      <w:pPr>
        <w:pStyle w:val="Bibliography"/>
        <w:rPr>
          <w:rFonts w:ascii="Calibri" w:hAnsi="Calibri" w:cs="Calibri"/>
        </w:rPr>
      </w:pPr>
      <w:r w:rsidRPr="001D0ADC">
        <w:rPr>
          <w:rFonts w:ascii="Calibri" w:hAnsi="Calibri" w:cs="Calibri"/>
        </w:rPr>
        <w:t xml:space="preserve">Wang, Pingping, Zhihao Wang, Pu Xia, and Xiaowei Zhang. 2020. ‘Concentration-Dependent Transcriptome of Zebrafish Embryo for Environmental Chemical Assessment’. </w:t>
      </w:r>
      <w:r w:rsidRPr="001D0ADC">
        <w:rPr>
          <w:rFonts w:ascii="Calibri" w:hAnsi="Calibri" w:cs="Calibri"/>
          <w:i/>
          <w:iCs/>
        </w:rPr>
        <w:t>Chemosphere</w:t>
      </w:r>
      <w:r w:rsidRPr="001D0ADC">
        <w:rPr>
          <w:rFonts w:ascii="Calibri" w:hAnsi="Calibri" w:cs="Calibri"/>
        </w:rPr>
        <w:t xml:space="preserve"> 245 (April):125632. https://doi.org/10.1016/j.chemosphere.2019.125632.</w:t>
      </w:r>
    </w:p>
    <w:p w14:paraId="29D6DB98" w14:textId="77777777" w:rsidR="004E4B09" w:rsidRPr="001D0ADC" w:rsidRDefault="004E4B09" w:rsidP="004E4B09">
      <w:pPr>
        <w:pStyle w:val="Bibliography"/>
        <w:rPr>
          <w:rFonts w:ascii="Calibri" w:hAnsi="Calibri" w:cs="Calibri"/>
        </w:rPr>
      </w:pPr>
      <w:r w:rsidRPr="001D0ADC">
        <w:rPr>
          <w:rFonts w:ascii="Calibri" w:hAnsi="Calibri" w:cs="Calibri"/>
        </w:rPr>
        <w:t xml:space="preserve">Wassmur, Britt, Johanna Gräns, Elisabeth Norström, Margareta Wallin, and Malin C. Celander. 2013. ‘Interactions of Pharmaceuticals and Other Xenobiotics on Key Detoxification Mechanisms and Cytoskeleton in Poeciliopsis Lucida Hepatocellular Carcinoma, PLHC-1 Cell Line’. </w:t>
      </w:r>
      <w:r w:rsidRPr="001D0ADC">
        <w:rPr>
          <w:rFonts w:ascii="Calibri" w:hAnsi="Calibri" w:cs="Calibri"/>
          <w:i/>
          <w:iCs/>
        </w:rPr>
        <w:t>Toxicology in Vitro</w:t>
      </w:r>
      <w:r w:rsidRPr="001D0ADC">
        <w:rPr>
          <w:rFonts w:ascii="Calibri" w:hAnsi="Calibri" w:cs="Calibri"/>
        </w:rPr>
        <w:t xml:space="preserve"> 27 (1): 111–20. https://doi.org/10.1016/j.tiv.2012.10.002.</w:t>
      </w:r>
    </w:p>
    <w:p w14:paraId="32B32BDD" w14:textId="77777777" w:rsidR="004E4B09" w:rsidRPr="001D0ADC" w:rsidRDefault="004E4B09" w:rsidP="004E4B09">
      <w:pPr>
        <w:pStyle w:val="Bibliography"/>
        <w:rPr>
          <w:rFonts w:ascii="Calibri" w:hAnsi="Calibri" w:cs="Calibri"/>
        </w:rPr>
      </w:pPr>
      <w:r w:rsidRPr="001D0ADC">
        <w:rPr>
          <w:rFonts w:ascii="Calibri" w:hAnsi="Calibri" w:cs="Calibri"/>
        </w:rPr>
        <w:t xml:space="preserve">Weigt, Stefan, Nicole Huebler, Thomas Braunbeck, Friedrich Von Landenberg, and Thomas H. Broschard. 2010. ‘Zebrafish Teratogenicity Test with Metabolic Activation (mDarT): Effects of Phase I Activation of Acetaminophen on Zebrafish Danio Rerio Embryos’. </w:t>
      </w:r>
      <w:r w:rsidRPr="001D0ADC">
        <w:rPr>
          <w:rFonts w:ascii="Calibri" w:hAnsi="Calibri" w:cs="Calibri"/>
          <w:i/>
          <w:iCs/>
        </w:rPr>
        <w:t>Toxicology</w:t>
      </w:r>
      <w:r w:rsidRPr="001D0ADC">
        <w:rPr>
          <w:rFonts w:ascii="Calibri" w:hAnsi="Calibri" w:cs="Calibri"/>
        </w:rPr>
        <w:t xml:space="preserve"> 275 (1–3): 36–49. https://doi.org/10.1016/j.tox.2010.05.012.</w:t>
      </w:r>
    </w:p>
    <w:p w14:paraId="1EA6885E" w14:textId="77777777" w:rsidR="004E4B09" w:rsidRPr="001D0ADC" w:rsidRDefault="004E4B09" w:rsidP="004E4B09">
      <w:pPr>
        <w:pStyle w:val="Bibliography"/>
        <w:rPr>
          <w:rFonts w:ascii="Calibri" w:hAnsi="Calibri" w:cs="Calibri"/>
        </w:rPr>
      </w:pPr>
      <w:r w:rsidRPr="001D0ADC">
        <w:rPr>
          <w:rFonts w:ascii="Calibri" w:hAnsi="Calibri" w:cs="Calibri"/>
        </w:rPr>
        <w:t xml:space="preserve">Weigt, Stefan, Nicole Huebler, Ruben Strecker, Thomas Braunbeck, and Thomas H. Broschard. 2011. ‘Zebrafish (Danio Rerio) Embryos as a Model for Testing Proteratogens’. </w:t>
      </w:r>
      <w:r w:rsidRPr="001D0ADC">
        <w:rPr>
          <w:rFonts w:ascii="Calibri" w:hAnsi="Calibri" w:cs="Calibri"/>
          <w:i/>
          <w:iCs/>
        </w:rPr>
        <w:t>Toxicology</w:t>
      </w:r>
      <w:r w:rsidRPr="001D0ADC">
        <w:rPr>
          <w:rFonts w:ascii="Calibri" w:hAnsi="Calibri" w:cs="Calibri"/>
        </w:rPr>
        <w:t xml:space="preserve"> 281 (1–3): 25–36. https://doi.org/10.1016/j.tox.2011.01.004.</w:t>
      </w:r>
    </w:p>
    <w:p w14:paraId="75CA31C5" w14:textId="77777777" w:rsidR="004E4B09" w:rsidRPr="001D0ADC" w:rsidRDefault="004E4B09" w:rsidP="004E4B09">
      <w:pPr>
        <w:pStyle w:val="Bibliography"/>
        <w:rPr>
          <w:rFonts w:ascii="Calibri" w:hAnsi="Calibri" w:cs="Calibri"/>
        </w:rPr>
      </w:pPr>
      <w:r w:rsidRPr="001D0ADC">
        <w:rPr>
          <w:rFonts w:ascii="Calibri" w:hAnsi="Calibri" w:cs="Calibri"/>
        </w:rPr>
        <w:t xml:space="preserve">Xia, Liang, Liang Zheng, and Jun Liang Zhou. 2017. ‘Effects of Ibuprofen, Diclofenac and Paracetamol on Hatch and Motor Behavior in Developing Zebrafish ( Danio Rerio )’. </w:t>
      </w:r>
      <w:r w:rsidRPr="001D0ADC">
        <w:rPr>
          <w:rFonts w:ascii="Calibri" w:hAnsi="Calibri" w:cs="Calibri"/>
          <w:i/>
          <w:iCs/>
        </w:rPr>
        <w:t>Chemosphere</w:t>
      </w:r>
      <w:r w:rsidRPr="001D0ADC">
        <w:rPr>
          <w:rFonts w:ascii="Calibri" w:hAnsi="Calibri" w:cs="Calibri"/>
        </w:rPr>
        <w:t xml:space="preserve"> 182 (September):416–25. https://doi.org/10.1016/j.chemosphere.2017.05.054.</w:t>
      </w:r>
    </w:p>
    <w:p w14:paraId="68E45889" w14:textId="77777777" w:rsidR="004E4B09" w:rsidRPr="001D0ADC" w:rsidRDefault="004E4B09" w:rsidP="004E4B09">
      <w:pPr>
        <w:pStyle w:val="Bibliography"/>
        <w:rPr>
          <w:rFonts w:ascii="Calibri" w:hAnsi="Calibri" w:cs="Calibri"/>
        </w:rPr>
      </w:pPr>
      <w:r w:rsidRPr="001D0ADC">
        <w:rPr>
          <w:rFonts w:ascii="Calibri" w:hAnsi="Calibri" w:cs="Calibri"/>
        </w:rPr>
        <w:t xml:space="preserve">Xu, Yuhang, Lingfei Luo, and Jingying Chen. 2022. ‘Sulfamethoxazole Induces Brain Capillaries Toxicity in Zebrafish by Up-Regulation of VEGF and Chemokine Signalling’. </w:t>
      </w:r>
      <w:r w:rsidRPr="001D0ADC">
        <w:rPr>
          <w:rFonts w:ascii="Calibri" w:hAnsi="Calibri" w:cs="Calibri"/>
          <w:i/>
          <w:iCs/>
        </w:rPr>
        <w:t>Ecotoxicology and Environmental Safety</w:t>
      </w:r>
      <w:r w:rsidRPr="001D0ADC">
        <w:rPr>
          <w:rFonts w:ascii="Calibri" w:hAnsi="Calibri" w:cs="Calibri"/>
        </w:rPr>
        <w:t xml:space="preserve"> 238 (June):113620. https://doi.org/10.1016/j.ecoenv.2022.113620.</w:t>
      </w:r>
    </w:p>
    <w:p w14:paraId="1B257748" w14:textId="77777777" w:rsidR="004E4B09" w:rsidRPr="001D0ADC" w:rsidRDefault="004E4B09" w:rsidP="004E4B09">
      <w:pPr>
        <w:pStyle w:val="Bibliography"/>
        <w:rPr>
          <w:rFonts w:ascii="Calibri" w:hAnsi="Calibri" w:cs="Calibri"/>
        </w:rPr>
      </w:pPr>
      <w:r w:rsidRPr="001D0ADC">
        <w:rPr>
          <w:rFonts w:ascii="Calibri" w:hAnsi="Calibri" w:cs="Calibri"/>
        </w:rPr>
        <w:t xml:space="preserve">Yamamoto, Hiroshi, Yudai Nakamura, Yuki Nakamura, Chise Kitani, Tetsuya Imari, Jun Sekizawa, Yuji Takao, et al. 2007. ‘Initial Ecological Risk Assessment of Eight Selected Human Pharmaceuticals in Japan’. </w:t>
      </w:r>
      <w:r w:rsidRPr="001D0ADC">
        <w:rPr>
          <w:rFonts w:ascii="Calibri" w:hAnsi="Calibri" w:cs="Calibri"/>
          <w:i/>
          <w:iCs/>
        </w:rPr>
        <w:t>Environmental Sciences</w:t>
      </w:r>
      <w:r w:rsidRPr="001D0ADC">
        <w:rPr>
          <w:rFonts w:ascii="Calibri" w:hAnsi="Calibri" w:cs="Calibri"/>
        </w:rPr>
        <w:t xml:space="preserve"> 14 (4).</w:t>
      </w:r>
    </w:p>
    <w:p w14:paraId="075DD422" w14:textId="77777777" w:rsidR="004E4B09" w:rsidRPr="001D0ADC" w:rsidRDefault="004E4B09" w:rsidP="004E4B09">
      <w:pPr>
        <w:pStyle w:val="Bibliography"/>
        <w:rPr>
          <w:rFonts w:ascii="Calibri" w:hAnsi="Calibri" w:cs="Calibri"/>
        </w:rPr>
      </w:pPr>
      <w:r w:rsidRPr="001D0ADC">
        <w:rPr>
          <w:rFonts w:ascii="Calibri" w:hAnsi="Calibri" w:cs="Calibri"/>
        </w:rPr>
        <w:t xml:space="preserve">Yang, Weiwei, Yifan Bao, Jiaoyang Hao, Xialin Hu, Ting Xu, and Daqiang Yin. 2023. ‘Effects of Carbamazepine on the Central Nervous System of Zebrafish at Human Therapeutic Plasma Levels’. </w:t>
      </w:r>
      <w:r w:rsidRPr="001D0ADC">
        <w:rPr>
          <w:rFonts w:ascii="Calibri" w:hAnsi="Calibri" w:cs="Calibri"/>
          <w:i/>
          <w:iCs/>
        </w:rPr>
        <w:t>iScience</w:t>
      </w:r>
      <w:r w:rsidRPr="001D0ADC">
        <w:rPr>
          <w:rFonts w:ascii="Calibri" w:hAnsi="Calibri" w:cs="Calibri"/>
        </w:rPr>
        <w:t xml:space="preserve"> 26 (10): 107688. https://doi.org/10.1016/j.isci.2023.107688.</w:t>
      </w:r>
    </w:p>
    <w:p w14:paraId="359FE110" w14:textId="77777777" w:rsidR="004E4B09" w:rsidRPr="001D0ADC" w:rsidRDefault="004E4B09" w:rsidP="004E4B09">
      <w:pPr>
        <w:pStyle w:val="Bibliography"/>
        <w:rPr>
          <w:rFonts w:ascii="Calibri" w:hAnsi="Calibri" w:cs="Calibri"/>
        </w:rPr>
      </w:pPr>
      <w:r w:rsidRPr="001D0ADC">
        <w:rPr>
          <w:rFonts w:ascii="Calibri" w:hAnsi="Calibri" w:cs="Calibri"/>
        </w:rPr>
        <w:t xml:space="preserve">Yang, Xiaofan, Xiaoping Xu, Xueyu Wei, Jie Wan, and Yu Zhang. 2019. ‘Biomarker Effects in Carassius Auratus Exposure to Ofloxacin, Sulfamethoxazole and Ibuprofen’. </w:t>
      </w:r>
      <w:r w:rsidRPr="001D0ADC">
        <w:rPr>
          <w:rFonts w:ascii="Calibri" w:hAnsi="Calibri" w:cs="Calibri"/>
          <w:i/>
          <w:iCs/>
        </w:rPr>
        <w:t>International Journal of Environmental Research and Public Health</w:t>
      </w:r>
      <w:r w:rsidRPr="001D0ADC">
        <w:rPr>
          <w:rFonts w:ascii="Calibri" w:hAnsi="Calibri" w:cs="Calibri"/>
        </w:rPr>
        <w:t xml:space="preserve"> 16 (9): 1628. https://doi.org/10.3390/ijerph16091628.</w:t>
      </w:r>
    </w:p>
    <w:p w14:paraId="5189EBF1" w14:textId="77777777" w:rsidR="004E4B09" w:rsidRPr="001D0ADC" w:rsidRDefault="004E4B09" w:rsidP="004E4B09">
      <w:pPr>
        <w:pStyle w:val="Bibliography"/>
        <w:rPr>
          <w:rFonts w:ascii="Calibri" w:hAnsi="Calibri" w:cs="Calibri"/>
        </w:rPr>
      </w:pPr>
      <w:r w:rsidRPr="001D0ADC">
        <w:rPr>
          <w:rFonts w:ascii="Calibri" w:hAnsi="Calibri" w:cs="Calibri"/>
        </w:rPr>
        <w:t xml:space="preserve">Zhang, Chaojie, Catherine Willett, and Trisha Fremgen. 2003. ‘Zebrafish: An Animal Model for Toxicological Studies’. </w:t>
      </w:r>
      <w:r w:rsidRPr="001D0ADC">
        <w:rPr>
          <w:rFonts w:ascii="Calibri" w:hAnsi="Calibri" w:cs="Calibri"/>
          <w:i/>
          <w:iCs/>
        </w:rPr>
        <w:t>Current Protocols in Toxicology</w:t>
      </w:r>
      <w:r w:rsidRPr="001D0ADC">
        <w:rPr>
          <w:rFonts w:ascii="Calibri" w:hAnsi="Calibri" w:cs="Calibri"/>
        </w:rPr>
        <w:t xml:space="preserve"> 17 (1). https://doi.org/10.1002/0471140856.tx0107s17.</w:t>
      </w:r>
    </w:p>
    <w:p w14:paraId="332D612E" w14:textId="77777777" w:rsidR="004E4B09" w:rsidRPr="001D0ADC" w:rsidRDefault="004E4B09" w:rsidP="004E4B09">
      <w:pPr>
        <w:pStyle w:val="Bibliography"/>
        <w:rPr>
          <w:rFonts w:ascii="Calibri" w:hAnsi="Calibri" w:cs="Calibri"/>
        </w:rPr>
      </w:pPr>
      <w:r w:rsidRPr="001D0ADC">
        <w:rPr>
          <w:rFonts w:ascii="Calibri" w:hAnsi="Calibri" w:cs="Calibri"/>
        </w:rPr>
        <w:t xml:space="preserve">Zhang, Kun, Guanxiang Yuan, Andreas A. Werdich, and Yanbin Zhao. 2020. ‘Ibuprofen and Diclofenac Impair the Cardiovascular Development of Zebrafish (Danio Rerio) at Low Concentrations’. </w:t>
      </w:r>
      <w:r w:rsidRPr="001D0ADC">
        <w:rPr>
          <w:rFonts w:ascii="Calibri" w:hAnsi="Calibri" w:cs="Calibri"/>
          <w:i/>
          <w:iCs/>
        </w:rPr>
        <w:t>Environmental Pollution</w:t>
      </w:r>
      <w:r w:rsidRPr="001D0ADC">
        <w:rPr>
          <w:rFonts w:ascii="Calibri" w:hAnsi="Calibri" w:cs="Calibri"/>
        </w:rPr>
        <w:t xml:space="preserve"> 258 (March):113613. https://doi.org/10.1016/j.envpol.2019.113613.</w:t>
      </w:r>
    </w:p>
    <w:p w14:paraId="6EF5F960" w14:textId="77777777" w:rsidR="004E4B09" w:rsidRPr="001D0ADC" w:rsidRDefault="004E4B09" w:rsidP="004E4B09">
      <w:pPr>
        <w:pStyle w:val="Bibliography"/>
        <w:rPr>
          <w:rFonts w:ascii="Calibri" w:hAnsi="Calibri" w:cs="Calibri"/>
        </w:rPr>
      </w:pPr>
      <w:r w:rsidRPr="001D0ADC">
        <w:rPr>
          <w:rFonts w:ascii="Calibri" w:hAnsi="Calibri" w:cs="Calibri"/>
        </w:rPr>
        <w:t xml:space="preserve">Zhang, Xiaoyan, and Zhiyuan Gong. 2013. ‘Fluorescent Transgenic Zebrafish Tg(Nkx2.2a:mEGFP) Provides a Highly Sensitive Monitoring Tool for Neurotoxins’. Edited by Xiaolei Xu. </w:t>
      </w:r>
      <w:r w:rsidRPr="001D0ADC">
        <w:rPr>
          <w:rFonts w:ascii="Calibri" w:hAnsi="Calibri" w:cs="Calibri"/>
          <w:i/>
          <w:iCs/>
        </w:rPr>
        <w:t>PLoS ONE</w:t>
      </w:r>
      <w:r w:rsidRPr="001D0ADC">
        <w:rPr>
          <w:rFonts w:ascii="Calibri" w:hAnsi="Calibri" w:cs="Calibri"/>
        </w:rPr>
        <w:t xml:space="preserve"> 8 (2): e55474. https://doi.org/10.1371/journal.pone.0055474.</w:t>
      </w:r>
    </w:p>
    <w:p w14:paraId="6D6CC5A4" w14:textId="77777777" w:rsidR="004E4B09" w:rsidRPr="001D0ADC" w:rsidRDefault="004E4B09" w:rsidP="004E4B09">
      <w:pPr>
        <w:pStyle w:val="Bibliography"/>
        <w:rPr>
          <w:rFonts w:ascii="Calibri" w:hAnsi="Calibri" w:cs="Calibri"/>
        </w:rPr>
      </w:pPr>
      <w:r w:rsidRPr="001D0ADC">
        <w:rPr>
          <w:rFonts w:ascii="Calibri" w:hAnsi="Calibri" w:cs="Calibri"/>
        </w:rPr>
        <w:t xml:space="preserve">Zivna, Dana, Lucie Plhalova, Lucie Chromcova, Jana Blahova, Miroslav Prokes, Misa Skoric, Petr Marsalek, Eva Praskova, Stanislava Stepanova, and Zdenka Svobodova. 2016. ‘The Effects of Ciprofloxacin on Early Life Stages of Common Carp ( </w:t>
      </w:r>
      <w:r w:rsidRPr="001D0ADC">
        <w:rPr>
          <w:rFonts w:ascii="Calibri" w:hAnsi="Calibri" w:cs="Calibri"/>
          <w:i/>
          <w:iCs/>
        </w:rPr>
        <w:t>Cyprinus Carpio</w:t>
      </w:r>
      <w:r w:rsidRPr="001D0ADC">
        <w:rPr>
          <w:rFonts w:ascii="Calibri" w:hAnsi="Calibri" w:cs="Calibri"/>
        </w:rPr>
        <w:t xml:space="preserve"> )’. </w:t>
      </w:r>
      <w:r w:rsidRPr="001D0ADC">
        <w:rPr>
          <w:rFonts w:ascii="Calibri" w:hAnsi="Calibri" w:cs="Calibri"/>
          <w:i/>
          <w:iCs/>
        </w:rPr>
        <w:t>Environmental Toxicology and Chemistry</w:t>
      </w:r>
      <w:r w:rsidRPr="001D0ADC">
        <w:rPr>
          <w:rFonts w:ascii="Calibri" w:hAnsi="Calibri" w:cs="Calibri"/>
        </w:rPr>
        <w:t xml:space="preserve"> 35 (7): 1733–40. https://doi.org/10.1002/etc.3317.</w:t>
      </w:r>
    </w:p>
    <w:p w14:paraId="523B2F93" w14:textId="3F16176B" w:rsidR="006542D6" w:rsidRPr="001D0ADC" w:rsidRDefault="00D06E3E">
      <w:pPr>
        <w:rPr>
          <w:lang w:val="en-GB"/>
        </w:rPr>
      </w:pPr>
      <w:r w:rsidRPr="001D0ADC">
        <w:rPr>
          <w:lang w:val="en-GB"/>
        </w:rPr>
        <w:fldChar w:fldCharType="end"/>
      </w:r>
    </w:p>
    <w:sectPr w:rsidR="006542D6" w:rsidRPr="001D0ADC" w:rsidSect="001D0ADC">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777739" w14:textId="77777777" w:rsidR="00831107" w:rsidRDefault="00831107" w:rsidP="00CD3522">
      <w:pPr>
        <w:spacing w:after="0" w:line="240" w:lineRule="auto"/>
      </w:pPr>
      <w:r>
        <w:separator/>
      </w:r>
    </w:p>
  </w:endnote>
  <w:endnote w:type="continuationSeparator" w:id="0">
    <w:p w14:paraId="4D759CED" w14:textId="77777777" w:rsidR="00831107" w:rsidRDefault="00831107" w:rsidP="00CD3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TimesNewRomanPSMT">
    <w:altName w:val="Yu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CB1452" w14:textId="77777777" w:rsidR="00831107" w:rsidRDefault="00831107" w:rsidP="00CD3522">
      <w:pPr>
        <w:spacing w:after="0" w:line="240" w:lineRule="auto"/>
      </w:pPr>
      <w:r>
        <w:separator/>
      </w:r>
    </w:p>
  </w:footnote>
  <w:footnote w:type="continuationSeparator" w:id="0">
    <w:p w14:paraId="2FDC818B" w14:textId="77777777" w:rsidR="00831107" w:rsidRDefault="00831107" w:rsidP="00CD35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2D6"/>
    <w:rsid w:val="00020A38"/>
    <w:rsid w:val="00043E2C"/>
    <w:rsid w:val="000A6166"/>
    <w:rsid w:val="000C3BFB"/>
    <w:rsid w:val="000D627F"/>
    <w:rsid w:val="000F6A8E"/>
    <w:rsid w:val="001218CB"/>
    <w:rsid w:val="0012317C"/>
    <w:rsid w:val="0012552B"/>
    <w:rsid w:val="00144F1E"/>
    <w:rsid w:val="00147C6B"/>
    <w:rsid w:val="00160482"/>
    <w:rsid w:val="0016115D"/>
    <w:rsid w:val="00166BA7"/>
    <w:rsid w:val="00183BF3"/>
    <w:rsid w:val="0019230D"/>
    <w:rsid w:val="00196808"/>
    <w:rsid w:val="001B04A2"/>
    <w:rsid w:val="001C2C87"/>
    <w:rsid w:val="001C355F"/>
    <w:rsid w:val="001D0ADC"/>
    <w:rsid w:val="001E5DB4"/>
    <w:rsid w:val="00224223"/>
    <w:rsid w:val="00225F90"/>
    <w:rsid w:val="00245A84"/>
    <w:rsid w:val="00282AD9"/>
    <w:rsid w:val="002A7B00"/>
    <w:rsid w:val="002B512A"/>
    <w:rsid w:val="002D149A"/>
    <w:rsid w:val="002F1FED"/>
    <w:rsid w:val="00305BA7"/>
    <w:rsid w:val="0030759D"/>
    <w:rsid w:val="00312F1B"/>
    <w:rsid w:val="0032446C"/>
    <w:rsid w:val="00340D85"/>
    <w:rsid w:val="0036323E"/>
    <w:rsid w:val="003964A8"/>
    <w:rsid w:val="003C1A24"/>
    <w:rsid w:val="003C28EA"/>
    <w:rsid w:val="003C5BF4"/>
    <w:rsid w:val="003D0C79"/>
    <w:rsid w:val="003E56C1"/>
    <w:rsid w:val="004232FB"/>
    <w:rsid w:val="00433C0C"/>
    <w:rsid w:val="00453E17"/>
    <w:rsid w:val="00464B89"/>
    <w:rsid w:val="00483486"/>
    <w:rsid w:val="0049360F"/>
    <w:rsid w:val="004B6622"/>
    <w:rsid w:val="004C23C2"/>
    <w:rsid w:val="004C5FD4"/>
    <w:rsid w:val="004E4B09"/>
    <w:rsid w:val="004F51EF"/>
    <w:rsid w:val="00513201"/>
    <w:rsid w:val="005204F5"/>
    <w:rsid w:val="005368A9"/>
    <w:rsid w:val="005432F2"/>
    <w:rsid w:val="00561365"/>
    <w:rsid w:val="005707F7"/>
    <w:rsid w:val="005A0134"/>
    <w:rsid w:val="005A041E"/>
    <w:rsid w:val="005B56A5"/>
    <w:rsid w:val="006246EF"/>
    <w:rsid w:val="006542D6"/>
    <w:rsid w:val="00671515"/>
    <w:rsid w:val="006775CE"/>
    <w:rsid w:val="006A041C"/>
    <w:rsid w:val="006C31A6"/>
    <w:rsid w:val="006F01E2"/>
    <w:rsid w:val="007247D6"/>
    <w:rsid w:val="007326DD"/>
    <w:rsid w:val="00735067"/>
    <w:rsid w:val="0074176F"/>
    <w:rsid w:val="0077508F"/>
    <w:rsid w:val="007A40AC"/>
    <w:rsid w:val="007C5E6B"/>
    <w:rsid w:val="00801B5D"/>
    <w:rsid w:val="00824ABE"/>
    <w:rsid w:val="00831107"/>
    <w:rsid w:val="00831185"/>
    <w:rsid w:val="0086399C"/>
    <w:rsid w:val="008929B9"/>
    <w:rsid w:val="008B1512"/>
    <w:rsid w:val="008B399E"/>
    <w:rsid w:val="008B42DA"/>
    <w:rsid w:val="008D2958"/>
    <w:rsid w:val="008D49D7"/>
    <w:rsid w:val="008D742E"/>
    <w:rsid w:val="008E3DB5"/>
    <w:rsid w:val="0090021F"/>
    <w:rsid w:val="0093778F"/>
    <w:rsid w:val="00943B7D"/>
    <w:rsid w:val="00961043"/>
    <w:rsid w:val="0096121A"/>
    <w:rsid w:val="009A0FE6"/>
    <w:rsid w:val="009A2404"/>
    <w:rsid w:val="009B3C36"/>
    <w:rsid w:val="00A10587"/>
    <w:rsid w:val="00A13570"/>
    <w:rsid w:val="00A253CE"/>
    <w:rsid w:val="00A352BE"/>
    <w:rsid w:val="00A40D2C"/>
    <w:rsid w:val="00A475F7"/>
    <w:rsid w:val="00A541C8"/>
    <w:rsid w:val="00A652D9"/>
    <w:rsid w:val="00AB5B75"/>
    <w:rsid w:val="00AD4EFB"/>
    <w:rsid w:val="00AF394C"/>
    <w:rsid w:val="00B030C2"/>
    <w:rsid w:val="00B228B0"/>
    <w:rsid w:val="00B25F87"/>
    <w:rsid w:val="00B51B80"/>
    <w:rsid w:val="00B718BC"/>
    <w:rsid w:val="00B94696"/>
    <w:rsid w:val="00BB0D76"/>
    <w:rsid w:val="00BB3340"/>
    <w:rsid w:val="00BC08AC"/>
    <w:rsid w:val="00BE4DD4"/>
    <w:rsid w:val="00BE6750"/>
    <w:rsid w:val="00BE7F14"/>
    <w:rsid w:val="00BF5FA7"/>
    <w:rsid w:val="00C12D74"/>
    <w:rsid w:val="00C25F3F"/>
    <w:rsid w:val="00C572FF"/>
    <w:rsid w:val="00C84C34"/>
    <w:rsid w:val="00C86068"/>
    <w:rsid w:val="00CA6526"/>
    <w:rsid w:val="00CC4579"/>
    <w:rsid w:val="00CC5B19"/>
    <w:rsid w:val="00CD3522"/>
    <w:rsid w:val="00CD36F2"/>
    <w:rsid w:val="00CD6861"/>
    <w:rsid w:val="00CE2142"/>
    <w:rsid w:val="00CE4F19"/>
    <w:rsid w:val="00CF2036"/>
    <w:rsid w:val="00CF4707"/>
    <w:rsid w:val="00D00D97"/>
    <w:rsid w:val="00D06E3E"/>
    <w:rsid w:val="00D3370C"/>
    <w:rsid w:val="00D52A7D"/>
    <w:rsid w:val="00D53A3C"/>
    <w:rsid w:val="00D55B11"/>
    <w:rsid w:val="00D60B36"/>
    <w:rsid w:val="00D850EC"/>
    <w:rsid w:val="00D87E16"/>
    <w:rsid w:val="00DA1F16"/>
    <w:rsid w:val="00DB5A9A"/>
    <w:rsid w:val="00DC476C"/>
    <w:rsid w:val="00E012E0"/>
    <w:rsid w:val="00E05B1D"/>
    <w:rsid w:val="00E07684"/>
    <w:rsid w:val="00E40E3E"/>
    <w:rsid w:val="00E71C10"/>
    <w:rsid w:val="00E8758E"/>
    <w:rsid w:val="00E920E8"/>
    <w:rsid w:val="00EB4CA2"/>
    <w:rsid w:val="00EC0AEB"/>
    <w:rsid w:val="00EC3F0C"/>
    <w:rsid w:val="00EF5815"/>
    <w:rsid w:val="00F11AE3"/>
    <w:rsid w:val="00F24186"/>
    <w:rsid w:val="00F47783"/>
    <w:rsid w:val="00F47C67"/>
    <w:rsid w:val="00F5000B"/>
    <w:rsid w:val="00F624A4"/>
    <w:rsid w:val="00F64131"/>
    <w:rsid w:val="00F70056"/>
    <w:rsid w:val="00F774C2"/>
    <w:rsid w:val="00F944AA"/>
    <w:rsid w:val="00FB4DEC"/>
    <w:rsid w:val="00FC3224"/>
    <w:rsid w:val="00FC5908"/>
    <w:rsid w:val="00FD45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266B13"/>
  <w15:chartTrackingRefBased/>
  <w15:docId w15:val="{31B2BEE5-30AD-4913-9AE0-BB5FD0281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42D6"/>
    <w:pPr>
      <w:suppressAutoHyphens/>
      <w:spacing w:after="0" w:line="240" w:lineRule="auto"/>
      <w:ind w:firstLine="567"/>
      <w:jc w:val="both"/>
    </w:pPr>
    <w:rPr>
      <w:rFonts w:ascii="Times New Roman" w:eastAsia="Droid Sans Fallback" w:hAnsi="Times New Roman" w:cs="Calibri"/>
      <w:color w:val="00000A"/>
      <w:sz w:val="24"/>
    </w:rPr>
  </w:style>
  <w:style w:type="character" w:styleId="CommentReference">
    <w:name w:val="annotation reference"/>
    <w:basedOn w:val="DefaultParagraphFont"/>
    <w:uiPriority w:val="99"/>
    <w:semiHidden/>
    <w:unhideWhenUsed/>
    <w:rsid w:val="006542D6"/>
    <w:rPr>
      <w:sz w:val="16"/>
      <w:szCs w:val="16"/>
    </w:rPr>
  </w:style>
  <w:style w:type="character" w:customStyle="1" w:styleId="CommentTextChar">
    <w:name w:val="Comment Text Char"/>
    <w:basedOn w:val="DefaultParagraphFont"/>
    <w:link w:val="CommentText"/>
    <w:uiPriority w:val="99"/>
    <w:rsid w:val="006542D6"/>
    <w:rPr>
      <w:rFonts w:ascii="Times New Roman" w:hAnsi="Times New Roman"/>
      <w:color w:val="00000A"/>
      <w:sz w:val="20"/>
      <w:szCs w:val="20"/>
    </w:rPr>
  </w:style>
  <w:style w:type="paragraph" w:styleId="CommentText">
    <w:name w:val="annotation text"/>
    <w:basedOn w:val="Normal"/>
    <w:link w:val="CommentTextChar"/>
    <w:uiPriority w:val="99"/>
    <w:unhideWhenUsed/>
    <w:rsid w:val="006542D6"/>
    <w:pPr>
      <w:suppressAutoHyphens/>
      <w:spacing w:after="120" w:line="360" w:lineRule="auto"/>
      <w:ind w:firstLine="567"/>
      <w:jc w:val="both"/>
    </w:pPr>
    <w:rPr>
      <w:rFonts w:ascii="Times New Roman" w:hAnsi="Times New Roman"/>
      <w:color w:val="00000A"/>
      <w:sz w:val="20"/>
      <w:szCs w:val="20"/>
    </w:rPr>
  </w:style>
  <w:style w:type="character" w:customStyle="1" w:styleId="TextkomenteChar1">
    <w:name w:val="Text komentáře Char1"/>
    <w:basedOn w:val="DefaultParagraphFont"/>
    <w:uiPriority w:val="99"/>
    <w:semiHidden/>
    <w:rsid w:val="006542D6"/>
    <w:rPr>
      <w:sz w:val="20"/>
      <w:szCs w:val="20"/>
    </w:rPr>
  </w:style>
  <w:style w:type="paragraph" w:styleId="Header">
    <w:name w:val="header"/>
    <w:basedOn w:val="Normal"/>
    <w:link w:val="HeaderChar"/>
    <w:uiPriority w:val="99"/>
    <w:unhideWhenUsed/>
    <w:rsid w:val="006542D6"/>
    <w:pPr>
      <w:tabs>
        <w:tab w:val="center" w:pos="4536"/>
        <w:tab w:val="right" w:pos="9072"/>
      </w:tabs>
      <w:suppressAutoHyphens/>
      <w:spacing w:after="0" w:line="240" w:lineRule="auto"/>
      <w:ind w:firstLine="567"/>
      <w:jc w:val="both"/>
    </w:pPr>
    <w:rPr>
      <w:rFonts w:ascii="Times New Roman" w:eastAsia="Droid Sans Fallback" w:hAnsi="Times New Roman" w:cs="Calibri"/>
      <w:color w:val="00000A"/>
      <w:sz w:val="24"/>
    </w:rPr>
  </w:style>
  <w:style w:type="character" w:customStyle="1" w:styleId="HeaderChar">
    <w:name w:val="Header Char"/>
    <w:basedOn w:val="DefaultParagraphFont"/>
    <w:link w:val="Header"/>
    <w:uiPriority w:val="99"/>
    <w:rsid w:val="006542D6"/>
    <w:rPr>
      <w:rFonts w:ascii="Times New Roman" w:eastAsia="Droid Sans Fallback" w:hAnsi="Times New Roman" w:cs="Calibri"/>
      <w:color w:val="00000A"/>
      <w:sz w:val="24"/>
    </w:rPr>
  </w:style>
  <w:style w:type="paragraph" w:styleId="Footer">
    <w:name w:val="footer"/>
    <w:basedOn w:val="Normal"/>
    <w:link w:val="FooterChar"/>
    <w:uiPriority w:val="99"/>
    <w:unhideWhenUsed/>
    <w:rsid w:val="006542D6"/>
    <w:pPr>
      <w:tabs>
        <w:tab w:val="center" w:pos="4536"/>
        <w:tab w:val="right" w:pos="9072"/>
      </w:tabs>
      <w:suppressAutoHyphens/>
      <w:spacing w:after="0" w:line="240" w:lineRule="auto"/>
      <w:ind w:firstLine="567"/>
      <w:jc w:val="both"/>
    </w:pPr>
    <w:rPr>
      <w:rFonts w:ascii="Times New Roman" w:eastAsia="Droid Sans Fallback" w:hAnsi="Times New Roman" w:cs="Calibri"/>
      <w:color w:val="00000A"/>
      <w:sz w:val="24"/>
    </w:rPr>
  </w:style>
  <w:style w:type="character" w:customStyle="1" w:styleId="FooterChar">
    <w:name w:val="Footer Char"/>
    <w:basedOn w:val="DefaultParagraphFont"/>
    <w:link w:val="Footer"/>
    <w:uiPriority w:val="99"/>
    <w:rsid w:val="006542D6"/>
    <w:rPr>
      <w:rFonts w:ascii="Times New Roman" w:eastAsia="Droid Sans Fallback" w:hAnsi="Times New Roman" w:cs="Calibri"/>
      <w:color w:val="00000A"/>
      <w:sz w:val="24"/>
    </w:rPr>
  </w:style>
  <w:style w:type="paragraph" w:styleId="CommentSubject">
    <w:name w:val="annotation subject"/>
    <w:basedOn w:val="CommentText"/>
    <w:next w:val="CommentText"/>
    <w:link w:val="CommentSubjectChar"/>
    <w:uiPriority w:val="99"/>
    <w:semiHidden/>
    <w:unhideWhenUsed/>
    <w:rsid w:val="006542D6"/>
    <w:pPr>
      <w:spacing w:line="240" w:lineRule="auto"/>
    </w:pPr>
    <w:rPr>
      <w:rFonts w:eastAsia="Droid Sans Fallback" w:cs="Calibri"/>
      <w:b/>
      <w:bCs/>
    </w:rPr>
  </w:style>
  <w:style w:type="character" w:customStyle="1" w:styleId="CommentSubjectChar">
    <w:name w:val="Comment Subject Char"/>
    <w:basedOn w:val="TextkomenteChar1"/>
    <w:link w:val="CommentSubject"/>
    <w:uiPriority w:val="99"/>
    <w:semiHidden/>
    <w:rsid w:val="006542D6"/>
    <w:rPr>
      <w:rFonts w:ascii="Times New Roman" w:eastAsia="Droid Sans Fallback" w:hAnsi="Times New Roman" w:cs="Calibri"/>
      <w:b/>
      <w:bCs/>
      <w:color w:val="00000A"/>
      <w:sz w:val="20"/>
      <w:szCs w:val="20"/>
    </w:rPr>
  </w:style>
  <w:style w:type="paragraph" w:styleId="Bibliography">
    <w:name w:val="Bibliography"/>
    <w:basedOn w:val="Normal"/>
    <w:next w:val="Normal"/>
    <w:uiPriority w:val="37"/>
    <w:unhideWhenUsed/>
    <w:rsid w:val="00D06E3E"/>
    <w:pPr>
      <w:spacing w:after="0" w:line="240" w:lineRule="auto"/>
      <w:ind w:left="720" w:hanging="720"/>
    </w:pPr>
  </w:style>
  <w:style w:type="table" w:styleId="TableGrid">
    <w:name w:val="Table Grid"/>
    <w:basedOn w:val="TableNormal"/>
    <w:uiPriority w:val="39"/>
    <w:rsid w:val="004F5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35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562892">
      <w:bodyDiv w:val="1"/>
      <w:marLeft w:val="0"/>
      <w:marRight w:val="0"/>
      <w:marTop w:val="0"/>
      <w:marBottom w:val="0"/>
      <w:divBdr>
        <w:top w:val="none" w:sz="0" w:space="0" w:color="auto"/>
        <w:left w:val="none" w:sz="0" w:space="0" w:color="auto"/>
        <w:bottom w:val="none" w:sz="0" w:space="0" w:color="auto"/>
        <w:right w:val="none" w:sz="0" w:space="0" w:color="auto"/>
      </w:divBdr>
    </w:div>
    <w:div w:id="648939979">
      <w:bodyDiv w:val="1"/>
      <w:marLeft w:val="0"/>
      <w:marRight w:val="0"/>
      <w:marTop w:val="0"/>
      <w:marBottom w:val="0"/>
      <w:divBdr>
        <w:top w:val="none" w:sz="0" w:space="0" w:color="auto"/>
        <w:left w:val="none" w:sz="0" w:space="0" w:color="auto"/>
        <w:bottom w:val="none" w:sz="0" w:space="0" w:color="auto"/>
        <w:right w:val="none" w:sz="0" w:space="0" w:color="auto"/>
      </w:divBdr>
    </w:div>
    <w:div w:id="1928029098">
      <w:bodyDiv w:val="1"/>
      <w:marLeft w:val="0"/>
      <w:marRight w:val="0"/>
      <w:marTop w:val="0"/>
      <w:marBottom w:val="0"/>
      <w:divBdr>
        <w:top w:val="none" w:sz="0" w:space="0" w:color="auto"/>
        <w:left w:val="none" w:sz="0" w:space="0" w:color="auto"/>
        <w:bottom w:val="none" w:sz="0" w:space="0" w:color="auto"/>
        <w:right w:val="none" w:sz="0" w:space="0" w:color="auto"/>
      </w:divBdr>
    </w:div>
    <w:div w:id="210102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11361</Words>
  <Characters>515382</Characters>
  <Application>Microsoft Office Word</Application>
  <DocSecurity>0</DocSecurity>
  <Lines>4294</Lines>
  <Paragraphs>1051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Masarykova univerzita</Company>
  <LinksUpToDate>false</LinksUpToDate>
  <CharactersWithSpaces>525692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Mlnaříková</dc:creator>
  <cp:keywords/>
  <dc:description/>
  <cp:lastModifiedBy>Revathi   Thangaraj</cp:lastModifiedBy>
  <cp:revision>4</cp:revision>
  <dcterms:created xsi:type="dcterms:W3CDTF">2024-10-04T16:06:00Z</dcterms:created>
  <dcterms:modified xsi:type="dcterms:W3CDTF">2024-10-17T11:49:00Z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3be0abdb9d43aa7e315665b3b7e4f9d48b8081d392619466cb25472da8b37b51</vt:lpwstr>
  </property>
  <property fmtid="{D5CDD505-2E9C-101B-9397-08002B2CF9AE}" pid="3" name="ZOTERO_PREF_1">
    <vt:lpwstr>&lt;data data-version="3" zotero-version="6.0.36"&gt;&lt;session id="hP2VnWDq"/&gt;&lt;style id="http://www.zotero.org/styles/chicago-author-date" locale="en-GB" hasBibliography="1" bibliographyStyleHasBeenSet="1"/&gt;&lt;prefs&gt;&lt;pref name="fieldType" value="Field"/&gt;&lt;pref name</vt:lpwstr>
  </property>
  <property fmtid="{D5CDD505-2E9C-101B-9397-08002B2CF9AE}" pid="4" name="ZOTERO_PREF_2">
    <vt:lpwstr>="delayCitationUpdates" value="true"/&gt;&lt;pref name="dontAskDelayCitationUpdates" value="true"/&gt;&lt;/prefs&gt;&lt;/data&gt;</vt:lpwstr>
  </property>
</Properties>
</file>