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372" w:rsidRPr="00062238" w:rsidRDefault="00634372" w:rsidP="00064F51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062238">
        <w:rPr>
          <w:rFonts w:asciiTheme="minorHAnsi" w:eastAsia="Calibri" w:hAnsiTheme="minorHAnsi" w:cstheme="minorHAnsi"/>
          <w:lang w:val="en-GB"/>
        </w:rPr>
        <w:t>Table A</w:t>
      </w:r>
      <w:r w:rsidR="00EF4F00" w:rsidRPr="00062238">
        <w:rPr>
          <w:rFonts w:asciiTheme="minorHAnsi" w:eastAsia="Calibri" w:hAnsiTheme="minorHAnsi" w:cstheme="minorHAnsi"/>
          <w:lang w:val="en-GB"/>
        </w:rPr>
        <w:t>4</w:t>
      </w:r>
      <w:r w:rsidRPr="00062238">
        <w:rPr>
          <w:rFonts w:asciiTheme="minorHAnsi" w:eastAsia="Calibri" w:hAnsiTheme="minorHAnsi" w:cstheme="minorHAnsi"/>
          <w:lang w:val="en-GB"/>
        </w:rPr>
        <w:t xml:space="preserve">: OECD test guidelines generally </w:t>
      </w:r>
      <w:bookmarkStart w:id="0" w:name="_Hlk114644442"/>
      <w:r w:rsidRPr="00062238">
        <w:rPr>
          <w:rFonts w:asciiTheme="minorHAnsi" w:eastAsia="Calibri" w:hAnsiTheme="minorHAnsi" w:cstheme="minorHAnsi"/>
          <w:lang w:val="en-GB"/>
        </w:rPr>
        <w:t>considered inappropriate for testing microbial pesticides</w:t>
      </w:r>
      <w:bookmarkEnd w:id="0"/>
    </w:p>
    <w:tbl>
      <w:tblPr>
        <w:tblW w:w="14307" w:type="dxa"/>
        <w:tblLayout w:type="fixed"/>
        <w:tblLook w:val="04A0" w:firstRow="1" w:lastRow="0" w:firstColumn="1" w:lastColumn="0" w:noHBand="0" w:noVBand="1"/>
      </w:tblPr>
      <w:tblGrid>
        <w:gridCol w:w="1140"/>
        <w:gridCol w:w="2235"/>
        <w:gridCol w:w="2265"/>
        <w:gridCol w:w="2835"/>
        <w:gridCol w:w="2835"/>
        <w:gridCol w:w="2997"/>
      </w:tblGrid>
      <w:tr w:rsidR="00062238" w:rsidRPr="00062238" w:rsidTr="000F2234"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229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fish short-term reproduction 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230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21-day fish assay</w:t>
            </w: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234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Fish Sexual Development Test</w:t>
            </w: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249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RTgill-W1 cell line assay</w:t>
            </w: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250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EASZY assay</w:t>
            </w: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062238" w:rsidRPr="00062238" w:rsidTr="000F2234"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  <w:b/>
              </w:rPr>
            </w:pPr>
            <w:r w:rsidRPr="0006223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Study duration 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21 days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(test starts with adult male and female fish in a reproductive status) 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21 days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(test starts with adult male and female fish in a reproductive status)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60 days post hatch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(test starts with </w:t>
            </w:r>
            <w:proofErr w:type="spellStart"/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fertilised</w:t>
            </w:r>
            <w:proofErr w:type="spellEnd"/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eggs and terminates at completion of sexual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Differentiation)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24 hours 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96 hours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(test starts with </w:t>
            </w:r>
            <w:proofErr w:type="spellStart"/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fertilised</w:t>
            </w:r>
            <w:proofErr w:type="spellEnd"/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eggs)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634372" w:rsidRPr="00062238" w:rsidTr="000F2234"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  <w:b/>
              </w:rPr>
            </w:pPr>
            <w:r w:rsidRPr="00062238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Reasons for rejection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study duration may be too short for detection of pathogenicity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missing dietary route of exposure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primarily designed to investigate potential endocrine effects (not considered relevant for microbials)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study duration may be too short for detection of pathogenicity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missing dietary route of exposure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primarily designed to investigate potential endocrine effects (not considered relevant for microbials)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The test is designed to investigate potential endocrine effects. The TG is therefore not considered relevant for microbials.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Missing dietary route of exposure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</w:t>
            </w:r>
            <w:bookmarkStart w:id="1" w:name="_Hlk114644480"/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study duration too short for detection of pathogenicity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missing dietary route of exposure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questionable methodology as regards microbial testing</w:t>
            </w:r>
          </w:p>
          <w:bookmarkEnd w:id="1"/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study duration may be too short for detection of pathogenicity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missing dietary route of exposure</w:t>
            </w:r>
          </w:p>
          <w:p w:rsidR="00634372" w:rsidRPr="00062238" w:rsidRDefault="00634372" w:rsidP="00064F51">
            <w:pPr>
              <w:rPr>
                <w:rFonts w:asciiTheme="minorHAnsi" w:hAnsiTheme="minorHAnsi" w:cstheme="minorHAnsi"/>
              </w:rPr>
            </w:pPr>
            <w:r w:rsidRPr="00062238">
              <w:rPr>
                <w:rFonts w:asciiTheme="minorHAnsi" w:eastAsia="Calibri" w:hAnsiTheme="minorHAnsi" w:cstheme="minorHAnsi"/>
                <w:sz w:val="18"/>
                <w:szCs w:val="18"/>
              </w:rPr>
              <w:t>- primarily designed to investigate potential endocrine effects (not considered relevant for microbials)</w:t>
            </w:r>
          </w:p>
        </w:tc>
      </w:tr>
    </w:tbl>
    <w:p w:rsidR="00CF2364" w:rsidRPr="00062238" w:rsidRDefault="00CF2364" w:rsidP="00064F51">
      <w:pPr>
        <w:spacing w:before="100" w:beforeAutospacing="1" w:after="100" w:afterAutospacing="1"/>
        <w:rPr>
          <w:rFonts w:asciiTheme="minorHAnsi" w:hAnsiTheme="minorHAnsi" w:cstheme="minorHAnsi"/>
        </w:rPr>
      </w:pPr>
      <w:bookmarkStart w:id="2" w:name="_GoBack"/>
      <w:bookmarkEnd w:id="2"/>
    </w:p>
    <w:sectPr w:rsidR="00CF2364" w:rsidRPr="00062238" w:rsidSect="00062238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4E7" w:rsidRDefault="005A04E7" w:rsidP="000E1C4B">
      <w:r>
        <w:separator/>
      </w:r>
    </w:p>
  </w:endnote>
  <w:endnote w:type="continuationSeparator" w:id="0">
    <w:p w:rsidR="005A04E7" w:rsidRDefault="005A04E7" w:rsidP="000E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0060671"/>
      <w:docPartObj>
        <w:docPartGallery w:val="Page Numbers (Bottom of Page)"/>
        <w:docPartUnique/>
      </w:docPartObj>
    </w:sdtPr>
    <w:sdtEndPr/>
    <w:sdtContent>
      <w:p w:rsidR="000E1C4B" w:rsidRDefault="000E1C4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0E1C4B" w:rsidRDefault="000E1C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4E7" w:rsidRDefault="005A04E7" w:rsidP="000E1C4B">
      <w:r>
        <w:separator/>
      </w:r>
    </w:p>
  </w:footnote>
  <w:footnote w:type="continuationSeparator" w:id="0">
    <w:p w:rsidR="005A04E7" w:rsidRDefault="005A04E7" w:rsidP="000E1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AB"/>
    <w:rsid w:val="000243F3"/>
    <w:rsid w:val="000568F5"/>
    <w:rsid w:val="00062238"/>
    <w:rsid w:val="00064F51"/>
    <w:rsid w:val="000E1C4B"/>
    <w:rsid w:val="002223E5"/>
    <w:rsid w:val="0033316E"/>
    <w:rsid w:val="003A4B86"/>
    <w:rsid w:val="00490DEB"/>
    <w:rsid w:val="005A04E7"/>
    <w:rsid w:val="00614EFD"/>
    <w:rsid w:val="00634372"/>
    <w:rsid w:val="00684E90"/>
    <w:rsid w:val="0070559F"/>
    <w:rsid w:val="00805E10"/>
    <w:rsid w:val="008930D4"/>
    <w:rsid w:val="009C00F4"/>
    <w:rsid w:val="009C7E2F"/>
    <w:rsid w:val="00A70BBC"/>
    <w:rsid w:val="00A73CE4"/>
    <w:rsid w:val="00A838DA"/>
    <w:rsid w:val="00AA400C"/>
    <w:rsid w:val="00CB1E4B"/>
    <w:rsid w:val="00CD0B7B"/>
    <w:rsid w:val="00CF2364"/>
    <w:rsid w:val="00E523AB"/>
    <w:rsid w:val="00EB6147"/>
    <w:rsid w:val="00EF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E6BBEB-FA5D-4654-A57F-282F3B14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23AB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523AB"/>
  </w:style>
  <w:style w:type="paragraph" w:styleId="Kopfzeile">
    <w:name w:val="header"/>
    <w:basedOn w:val="Standard"/>
    <w:link w:val="KopfzeileZchn"/>
    <w:uiPriority w:val="99"/>
    <w:unhideWhenUsed/>
    <w:rsid w:val="000E1C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1C4B"/>
    <w:rPr>
      <w:rFonts w:ascii="Calibri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1C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1C4B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7F9B9-80F8-41BA-B502-391DFD5F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Karaoglan, Bilgin</dc:creator>
  <cp:keywords/>
  <dc:description/>
  <cp:lastModifiedBy>Karaoglan, Bilgin</cp:lastModifiedBy>
  <cp:revision>2</cp:revision>
  <dcterms:created xsi:type="dcterms:W3CDTF">2024-10-30T14:45:00Z</dcterms:created>
  <dcterms:modified xsi:type="dcterms:W3CDTF">2024-10-30T14:45:00Z</dcterms:modified>
</cp:coreProperties>
</file>