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13F" w:rsidRPr="00FE0FEC" w:rsidRDefault="00EA213F" w:rsidP="005156A5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FE0FEC">
        <w:rPr>
          <w:rFonts w:asciiTheme="minorHAnsi" w:eastAsia="Calibri" w:hAnsiTheme="minorHAnsi" w:cstheme="minorHAnsi"/>
          <w:lang w:val="en-GB"/>
        </w:rPr>
        <w:t>Table A</w:t>
      </w:r>
      <w:r w:rsidR="00A678D8" w:rsidRPr="00FE0FEC">
        <w:rPr>
          <w:rFonts w:asciiTheme="minorHAnsi" w:eastAsia="Calibri" w:hAnsiTheme="minorHAnsi" w:cstheme="minorHAnsi"/>
          <w:lang w:val="en-GB"/>
        </w:rPr>
        <w:t>7</w:t>
      </w:r>
      <w:r w:rsidRPr="00FE0FEC">
        <w:rPr>
          <w:rFonts w:asciiTheme="minorHAnsi" w:eastAsia="Calibri" w:hAnsiTheme="minorHAnsi" w:cstheme="minorHAnsi"/>
          <w:lang w:val="en-GB"/>
        </w:rPr>
        <w:t xml:space="preserve">: Current available test guidelines on algae and aquatic plants </w:t>
      </w:r>
    </w:p>
    <w:tbl>
      <w:tblPr>
        <w:tblW w:w="14165" w:type="dxa"/>
        <w:tblLayout w:type="fixed"/>
        <w:tblLook w:val="04A0" w:firstRow="1" w:lastRow="0" w:firstColumn="1" w:lastColumn="0" w:noHBand="0" w:noVBand="1"/>
      </w:tblPr>
      <w:tblGrid>
        <w:gridCol w:w="1110"/>
        <w:gridCol w:w="2700"/>
        <w:gridCol w:w="2550"/>
        <w:gridCol w:w="2550"/>
        <w:gridCol w:w="2550"/>
        <w:gridCol w:w="2705"/>
      </w:tblGrid>
      <w:tr w:rsidR="00FE0FEC" w:rsidRPr="00FE0FEC" w:rsidTr="000F2234">
        <w:tc>
          <w:tcPr>
            <w:tcW w:w="141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Main study parameters compared</w:t>
            </w:r>
          </w:p>
        </w:tc>
      </w:tr>
      <w:tr w:rsidR="00FE0FEC" w:rsidRPr="00FE0FEC" w:rsidTr="000F2234">
        <w:trPr>
          <w:trHeight w:val="60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130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Acute/Short-term/prolonged exposure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Parameter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OPPTS 885.4300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Nontarget Plant Studies, Tier 1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201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Freshwater Alga and Cyanobacteria, Growth Inhibition Test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221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>Lemna</w:t>
            </w:r>
            <w:proofErr w:type="spellEnd"/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sp. Growth Inhibition Test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238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Sediment-Free </w:t>
            </w:r>
            <w:proofErr w:type="spellStart"/>
            <w:r w:rsidRPr="00FE0FEC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>Myriophyllum</w:t>
            </w:r>
            <w:proofErr w:type="spellEnd"/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s</w:t>
            </w:r>
            <w:r w:rsidRPr="00FE0FEC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>picatum</w:t>
            </w: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Toxicity Test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239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Water-Sediment </w:t>
            </w:r>
            <w:proofErr w:type="spellStart"/>
            <w:r w:rsidRPr="00FE0FEC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>Myriophyllum</w:t>
            </w:r>
            <w:proofErr w:type="spellEnd"/>
            <w:r w:rsidRPr="00FE0FEC">
              <w:rPr>
                <w:rFonts w:asciiTheme="minorHAnsi" w:eastAsia="Calibri" w:hAnsiTheme="minorHAnsi" w:cstheme="minorHAnsi"/>
                <w:b/>
                <w:bCs/>
                <w:i/>
                <w:iCs/>
                <w:sz w:val="18"/>
                <w:szCs w:val="18"/>
              </w:rPr>
              <w:t xml:space="preserve"> spicatum</w:t>
            </w:r>
            <w:r w:rsidRPr="00FE0FE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 Toxicity Test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Species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In case of aquatic uses or significant exposure to aquatic ecosystems (survival expected following dissemination):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Selenastrum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capricornutum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(a freshwater green alga) (currently known as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Pseudokirchneriella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subcapitata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)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,,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Lemna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gibba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(duckweed),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Skeletonema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costatum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(a marine diatom),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Anabaena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flos-aquae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(a blue-green bacterium), and a freshwater diatom 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Pseudokirchneriella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subcapitata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formerly known as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Selenastrum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capricornutum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Desmodesmus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subspicatus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formely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known as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Scenedesmus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subspicatus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Navicula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pelliculosa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Anabaena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flos-aquae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Synechococcus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leopoliensis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;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Other species can be used (provided that exponential growth can be maintained)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Lemna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gibba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or </w:t>
            </w: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Lemna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minor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Myriophyllum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spicatum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Myriophyllum</w:t>
            </w:r>
            <w:proofErr w:type="spellEnd"/>
            <w:r w:rsidRPr="00FE0FEC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spicatum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Controls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positive control (may consist of a known plant pathogen or the target pest weed)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conditions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Not indicated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static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or flow-through 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duration (exposure period)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Variable (depending on the species tested): algae 3-5 days, aquatic plants 7-14 days.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 days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7 days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14 days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14 days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Biological Endpoints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Not specified (any abnormal adverse or beneficial effects)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r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y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(e.g., 50 %),</w:t>
            </w:r>
          </w:p>
          <w:p w:rsidR="00EA213F" w:rsidRPr="00FE0FEC" w:rsidRDefault="00EA213F" w:rsidP="005156A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NOEC, LOEC:</w:t>
            </w:r>
          </w:p>
          <w:p w:rsidR="00EA213F" w:rsidRPr="00FE0FEC" w:rsidRDefault="00EA213F" w:rsidP="005156A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 Growth rate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 yield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r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y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(e.g., 50 %)</w:t>
            </w:r>
            <w:r w:rsidRPr="00FE0FEC">
              <w:rPr>
                <w:rFonts w:asciiTheme="minorHAnsi" w:hAnsiTheme="minorHAnsi" w:cstheme="minorHAnsi"/>
              </w:rPr>
              <w:t xml:space="preserve">,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NOEC, LOEC:</w:t>
            </w:r>
          </w:p>
          <w:p w:rsidR="00EA213F" w:rsidRPr="00FE0FEC" w:rsidRDefault="00EA213F" w:rsidP="005156A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 frond number</w:t>
            </w:r>
          </w:p>
          <w:p w:rsidR="00EA213F" w:rsidRPr="00FE0FEC" w:rsidRDefault="00EA213F" w:rsidP="005156A5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fresh and dry weight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r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y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(x can be e.g., 10, 20, 50.), NOEC, LOEC: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</w:t>
            </w:r>
            <w:r w:rsidRPr="00FE0FEC">
              <w:rPr>
                <w:rFonts w:asciiTheme="minorHAnsi" w:eastAsia="Calibri" w:hAnsiTheme="minorHAnsi" w:cstheme="minorHAnsi"/>
              </w:rPr>
              <w:t xml:space="preserve"> 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growth of shoot length, lateral branches and roots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development of fresh and dry weight,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- qualitative variables (chlorosis, necrosis, deformities)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r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E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y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C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(x can be e.g., 10, 20, 50.), NOEC, LOEC: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</w:t>
            </w:r>
            <w:r w:rsidRPr="00FE0FEC">
              <w:rPr>
                <w:rFonts w:asciiTheme="minorHAnsi" w:eastAsia="Calibri" w:hAnsiTheme="minorHAnsi" w:cstheme="minorHAnsi"/>
              </w:rPr>
              <w:t xml:space="preserve"> 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growth of shoot length,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development of fresh and dry weight, 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qualitative variables (chlorosis, necrosis, deformities) </w:t>
            </w:r>
          </w:p>
        </w:tc>
      </w:tr>
      <w:tr w:rsidR="00FE0FEC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Validity criteria indicated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</w:tr>
      <w:tr w:rsidR="00EA213F" w:rsidRPr="00FE0FEC" w:rsidTr="000F2234"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  <w:b/>
              </w:rPr>
            </w:pPr>
            <w:r w:rsidRPr="00FE0FEC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Fit for purpose? 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D6329A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extended study descriptions, attenuated/sterile filtrate controls, validity criteria) 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No.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Study duration might be too short for microbial growth or effect assessments; </w:t>
            </w:r>
          </w:p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- test guideline not compatible with static renewal test methods (Note: static renewals are often required to maintain water quality and constant exposure when using relatively high test concentrations such as MHD)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D6329A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CFU counts, attenuated/sterile filtrate controls)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D6329A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CFU counts, attenuated/sterile filtrate controls)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213F" w:rsidRPr="00FE0FEC" w:rsidRDefault="00EA213F" w:rsidP="005156A5">
            <w:pPr>
              <w:rPr>
                <w:rFonts w:asciiTheme="minorHAnsi" w:hAnsiTheme="minorHAnsi" w:cstheme="minorHAnsi"/>
              </w:rPr>
            </w:pP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D6329A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FE0FE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(e.g., CFU counts, attenuated/sterile filtrate controls)</w:t>
            </w:r>
          </w:p>
        </w:tc>
      </w:tr>
    </w:tbl>
    <w:p w:rsidR="00CF2364" w:rsidRPr="00FE0FEC" w:rsidRDefault="00CF2364" w:rsidP="005156A5"/>
    <w:sectPr w:rsidR="00CF2364" w:rsidRPr="00FE0FEC" w:rsidSect="00FE0FEC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FDD" w:rsidRDefault="00942FDD" w:rsidP="00DE03C6">
      <w:r>
        <w:separator/>
      </w:r>
    </w:p>
  </w:endnote>
  <w:endnote w:type="continuationSeparator" w:id="0">
    <w:p w:rsidR="00942FDD" w:rsidRDefault="00942FDD" w:rsidP="00DE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5587320"/>
      <w:docPartObj>
        <w:docPartGallery w:val="Page Numbers (Bottom of Page)"/>
        <w:docPartUnique/>
      </w:docPartObj>
    </w:sdtPr>
    <w:sdtEndPr/>
    <w:sdtContent>
      <w:p w:rsidR="00DE03C6" w:rsidRDefault="00DE03C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DE03C6" w:rsidRDefault="00DE03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FDD" w:rsidRDefault="00942FDD" w:rsidP="00DE03C6">
      <w:r>
        <w:separator/>
      </w:r>
    </w:p>
  </w:footnote>
  <w:footnote w:type="continuationSeparator" w:id="0">
    <w:p w:rsidR="00942FDD" w:rsidRDefault="00942FDD" w:rsidP="00DE0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AB"/>
    <w:rsid w:val="000568F5"/>
    <w:rsid w:val="0010151B"/>
    <w:rsid w:val="002223E5"/>
    <w:rsid w:val="002F475C"/>
    <w:rsid w:val="0033316E"/>
    <w:rsid w:val="003A4B86"/>
    <w:rsid w:val="00490DEB"/>
    <w:rsid w:val="005156A5"/>
    <w:rsid w:val="00566282"/>
    <w:rsid w:val="00614EFD"/>
    <w:rsid w:val="00634372"/>
    <w:rsid w:val="00684E90"/>
    <w:rsid w:val="0070559F"/>
    <w:rsid w:val="00805E10"/>
    <w:rsid w:val="008930D4"/>
    <w:rsid w:val="00942FDD"/>
    <w:rsid w:val="009928E0"/>
    <w:rsid w:val="009C00F4"/>
    <w:rsid w:val="009C7E2F"/>
    <w:rsid w:val="00A678D8"/>
    <w:rsid w:val="00A70BBC"/>
    <w:rsid w:val="00A73CE4"/>
    <w:rsid w:val="00AA400C"/>
    <w:rsid w:val="00B244D3"/>
    <w:rsid w:val="00CB1E4B"/>
    <w:rsid w:val="00CD0B7B"/>
    <w:rsid w:val="00CF2364"/>
    <w:rsid w:val="00D6329A"/>
    <w:rsid w:val="00D77355"/>
    <w:rsid w:val="00DE03C6"/>
    <w:rsid w:val="00E523AB"/>
    <w:rsid w:val="00EA213F"/>
    <w:rsid w:val="00EB6147"/>
    <w:rsid w:val="00F35C0C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E7B82"/>
  <w15:chartTrackingRefBased/>
  <w15:docId w15:val="{8EE6BBEB-FA5D-4654-A57F-282F3B14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23AB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523AB"/>
  </w:style>
  <w:style w:type="paragraph" w:styleId="Kopfzeile">
    <w:name w:val="header"/>
    <w:basedOn w:val="Standard"/>
    <w:link w:val="KopfzeileZchn"/>
    <w:uiPriority w:val="99"/>
    <w:unhideWhenUsed/>
    <w:rsid w:val="00DE03C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03C6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E03C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03C6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5FF83-223D-4C0B-8DB5-8BC79B96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3</cp:revision>
  <dcterms:created xsi:type="dcterms:W3CDTF">2024-10-30T14:48:00Z</dcterms:created>
  <dcterms:modified xsi:type="dcterms:W3CDTF">2024-10-30T15:15:00Z</dcterms:modified>
</cp:coreProperties>
</file>