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2983" w14:textId="1A50F069" w:rsidR="00844E87" w:rsidRPr="00844E87" w:rsidRDefault="00FA77AF" w:rsidP="00844E87">
      <w:pPr>
        <w:pStyle w:val="Title"/>
        <w:jc w:val="center"/>
        <w:rPr>
          <w:rFonts w:ascii="Times New Roman" w:hAnsi="Times New Roman" w:cs="Times New Roman"/>
          <w:sz w:val="48"/>
          <w:szCs w:val="48"/>
          <w:lang w:val="en-GB"/>
        </w:rPr>
      </w:pPr>
      <w:r w:rsidRPr="00844E87">
        <w:rPr>
          <w:rFonts w:ascii="Times New Roman" w:hAnsi="Times New Roman" w:cs="Times New Roman"/>
          <w:sz w:val="48"/>
          <w:szCs w:val="48"/>
          <w:lang w:val="en-GB"/>
        </w:rPr>
        <w:t>Supplementary</w:t>
      </w:r>
      <w:r w:rsidR="00844E87" w:rsidRPr="00844E87">
        <w:rPr>
          <w:rFonts w:ascii="Times New Roman" w:hAnsi="Times New Roman" w:cs="Times New Roman"/>
          <w:sz w:val="48"/>
          <w:szCs w:val="48"/>
          <w:lang w:val="en-GB"/>
        </w:rPr>
        <w:t xml:space="preserve"> materials</w:t>
      </w:r>
    </w:p>
    <w:p w14:paraId="7AD798AC" w14:textId="4548E96D" w:rsidR="00844E87" w:rsidRPr="00844E87" w:rsidRDefault="00844E87" w:rsidP="00844E87">
      <w:pPr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844E8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From plastic use in the construction and built environment to state-of-the-art circular economy solutions to </w:t>
      </w:r>
      <w:r w:rsidR="006160CA">
        <w:rPr>
          <w:rFonts w:ascii="Times New Roman" w:hAnsi="Times New Roman" w:cs="Times New Roman"/>
          <w:b/>
          <w:bCs/>
          <w:sz w:val="28"/>
          <w:szCs w:val="28"/>
          <w:lang w:val="en-GB"/>
        </w:rPr>
        <w:t>combat</w:t>
      </w:r>
      <w:r w:rsidRPr="00844E8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microplastic pollution</w:t>
      </w:r>
    </w:p>
    <w:p w14:paraId="3C0900A3" w14:textId="77777777" w:rsidR="00844E87" w:rsidRPr="00844E87" w:rsidRDefault="00844E87" w:rsidP="00844E87">
      <w:pPr>
        <w:ind w:left="720" w:hanging="360"/>
        <w:jc w:val="center"/>
        <w:rPr>
          <w:rFonts w:ascii="Times New Roman" w:hAnsi="Times New Roman" w:cs="Times New Roman"/>
          <w:lang w:val="en-GB"/>
        </w:rPr>
      </w:pPr>
      <w:r w:rsidRPr="00844E87">
        <w:rPr>
          <w:rFonts w:ascii="Times New Roman" w:hAnsi="Times New Roman" w:cs="Times New Roman"/>
          <w:lang w:val="en-GB"/>
        </w:rPr>
        <w:t>Katja Turk</w:t>
      </w:r>
      <w:r w:rsidRPr="00844E87">
        <w:rPr>
          <w:rFonts w:ascii="Times New Roman" w:hAnsi="Times New Roman" w:cs="Times New Roman"/>
          <w:vertAlign w:val="superscript"/>
          <w:lang w:val="en-GB"/>
        </w:rPr>
        <w:t>1,2</w:t>
      </w:r>
      <w:r w:rsidRPr="00844E87">
        <w:rPr>
          <w:rFonts w:ascii="Times New Roman" w:hAnsi="Times New Roman" w:cs="Times New Roman"/>
          <w:lang w:val="en-GB"/>
        </w:rPr>
        <w:t>, Gabriela Kalčikova</w:t>
      </w:r>
      <w:r w:rsidRPr="00844E87">
        <w:rPr>
          <w:rFonts w:ascii="Times New Roman" w:hAnsi="Times New Roman" w:cs="Times New Roman"/>
          <w:vertAlign w:val="superscript"/>
          <w:lang w:val="en-GB"/>
        </w:rPr>
        <w:t>2,3</w:t>
      </w:r>
      <w:r w:rsidRPr="00844E87">
        <w:rPr>
          <w:rFonts w:ascii="Times New Roman" w:hAnsi="Times New Roman" w:cs="Times New Roman"/>
          <w:lang w:val="en-GB"/>
        </w:rPr>
        <w:t>, Anita Jemec Kokalj</w:t>
      </w:r>
      <w:r w:rsidRPr="00844E87">
        <w:rPr>
          <w:rFonts w:ascii="Times New Roman" w:hAnsi="Times New Roman" w:cs="Times New Roman"/>
          <w:vertAlign w:val="superscript"/>
          <w:lang w:val="en-GB"/>
        </w:rPr>
        <w:t>4</w:t>
      </w:r>
      <w:r w:rsidRPr="00844E87">
        <w:rPr>
          <w:rFonts w:ascii="Times New Roman" w:hAnsi="Times New Roman" w:cs="Times New Roman"/>
          <w:lang w:val="en-GB"/>
        </w:rPr>
        <w:t>, Branka Mušič</w:t>
      </w:r>
      <w:r w:rsidRPr="00844E87">
        <w:rPr>
          <w:rFonts w:ascii="Times New Roman" w:hAnsi="Times New Roman" w:cs="Times New Roman"/>
          <w:vertAlign w:val="superscript"/>
          <w:lang w:val="en-GB"/>
        </w:rPr>
        <w:t>1</w:t>
      </w:r>
      <w:r w:rsidRPr="00844E87">
        <w:rPr>
          <w:rFonts w:ascii="Times New Roman" w:hAnsi="Times New Roman" w:cs="Times New Roman"/>
          <w:lang w:val="en-GB"/>
        </w:rPr>
        <w:t>*</w:t>
      </w:r>
    </w:p>
    <w:p w14:paraId="406A3452" w14:textId="77777777" w:rsidR="00844E87" w:rsidRPr="00844E87" w:rsidRDefault="00844E87" w:rsidP="00844E87">
      <w:pPr>
        <w:pStyle w:val="NoSpacing"/>
        <w:rPr>
          <w:rFonts w:ascii="Times New Roman" w:hAnsi="Times New Roman" w:cs="Times New Roman"/>
          <w:sz w:val="20"/>
          <w:szCs w:val="20"/>
          <w:lang w:val="en-GB"/>
        </w:rPr>
      </w:pPr>
      <w:r w:rsidRPr="00844E8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844E87">
        <w:rPr>
          <w:rFonts w:ascii="Times New Roman" w:hAnsi="Times New Roman" w:cs="Times New Roman"/>
          <w:sz w:val="20"/>
          <w:szCs w:val="20"/>
          <w:lang w:val="en-GB"/>
        </w:rPr>
        <w:t>Slovenian National Building and Civil Engineering Institute; Dimičeva ulica 12; SI-1000 Ljubljana,</w:t>
      </w:r>
    </w:p>
    <w:p w14:paraId="45661617" w14:textId="77777777" w:rsidR="00844E87" w:rsidRPr="00844E87" w:rsidRDefault="00844E87" w:rsidP="00844E87">
      <w:pPr>
        <w:pStyle w:val="NoSpacing"/>
        <w:rPr>
          <w:rFonts w:ascii="Times New Roman" w:hAnsi="Times New Roman" w:cs="Times New Roman"/>
          <w:sz w:val="20"/>
          <w:szCs w:val="20"/>
          <w:lang w:val="en-GB"/>
        </w:rPr>
      </w:pPr>
      <w:r w:rsidRPr="00844E87">
        <w:rPr>
          <w:rFonts w:ascii="Times New Roman" w:hAnsi="Times New Roman" w:cs="Times New Roman"/>
          <w:sz w:val="20"/>
          <w:szCs w:val="20"/>
          <w:lang w:val="en-GB"/>
        </w:rPr>
        <w:t>Slovenia</w:t>
      </w:r>
    </w:p>
    <w:p w14:paraId="786A4432" w14:textId="77777777" w:rsidR="00844E87" w:rsidRPr="00844E87" w:rsidRDefault="00844E87" w:rsidP="00844E87">
      <w:pPr>
        <w:pStyle w:val="NoSpacing"/>
        <w:rPr>
          <w:rFonts w:ascii="Times New Roman" w:hAnsi="Times New Roman" w:cs="Times New Roman"/>
          <w:sz w:val="20"/>
          <w:szCs w:val="20"/>
          <w:lang w:val="en-GB"/>
        </w:rPr>
      </w:pPr>
      <w:r w:rsidRPr="00844E8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844E87">
        <w:rPr>
          <w:rFonts w:ascii="Times New Roman" w:hAnsi="Times New Roman" w:cs="Times New Roman"/>
          <w:sz w:val="20"/>
          <w:szCs w:val="20"/>
          <w:lang w:val="en-GB"/>
        </w:rPr>
        <w:t>University of Ljubljana, Faculty of Chemistry and Chemical Technology, Večna pot 113, SI-1000</w:t>
      </w:r>
    </w:p>
    <w:p w14:paraId="1FC73C2F" w14:textId="77777777" w:rsidR="00844E87" w:rsidRPr="00844E87" w:rsidRDefault="00844E87" w:rsidP="00844E87">
      <w:pPr>
        <w:pStyle w:val="NoSpacing"/>
        <w:rPr>
          <w:rFonts w:ascii="Times New Roman" w:hAnsi="Times New Roman" w:cs="Times New Roman"/>
          <w:sz w:val="20"/>
          <w:szCs w:val="20"/>
          <w:lang w:val="en-GB"/>
        </w:rPr>
      </w:pPr>
      <w:r w:rsidRPr="00844E87">
        <w:rPr>
          <w:rFonts w:ascii="Times New Roman" w:hAnsi="Times New Roman" w:cs="Times New Roman"/>
          <w:sz w:val="20"/>
          <w:szCs w:val="20"/>
          <w:lang w:val="en-GB"/>
        </w:rPr>
        <w:t>Ljubljana, Slovenia</w:t>
      </w:r>
    </w:p>
    <w:p w14:paraId="395CA107" w14:textId="77777777" w:rsidR="00844E87" w:rsidRPr="00844E87" w:rsidRDefault="00844E87" w:rsidP="00844E87">
      <w:pPr>
        <w:pStyle w:val="NoSpacing"/>
        <w:rPr>
          <w:rFonts w:ascii="Times New Roman" w:eastAsia="Times New Roman" w:hAnsi="Times New Roman" w:cs="Times New Roman"/>
          <w:kern w:val="0"/>
          <w:lang w:val="en-GB"/>
          <w14:ligatures w14:val="none"/>
        </w:rPr>
      </w:pPr>
      <w:r w:rsidRPr="00844E8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844E87">
        <w:rPr>
          <w:rFonts w:ascii="Times New Roman" w:hAnsi="Times New Roman" w:cs="Times New Roman"/>
          <w:sz w:val="20"/>
          <w:szCs w:val="20"/>
          <w:lang w:val="en-GB"/>
        </w:rPr>
        <w:t>Faculty of Mechanical Engineering, Brno University of Technology, Technická 2896/2, 61669 Brno, Czech Republic</w:t>
      </w:r>
    </w:p>
    <w:p w14:paraId="319A6E19" w14:textId="77777777" w:rsidR="00844E87" w:rsidRPr="00844E87" w:rsidRDefault="00844E87" w:rsidP="00844E87">
      <w:pPr>
        <w:pStyle w:val="NoSpacing"/>
        <w:rPr>
          <w:rFonts w:ascii="Times New Roman" w:hAnsi="Times New Roman" w:cs="Times New Roman"/>
          <w:sz w:val="20"/>
          <w:szCs w:val="20"/>
          <w:lang w:val="en-GB"/>
        </w:rPr>
      </w:pPr>
      <w:r w:rsidRPr="00844E8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4</w:t>
      </w:r>
      <w:r w:rsidRPr="00844E87">
        <w:rPr>
          <w:rFonts w:ascii="Times New Roman" w:hAnsi="Times New Roman" w:cs="Times New Roman"/>
          <w:sz w:val="20"/>
          <w:szCs w:val="20"/>
          <w:lang w:val="en-GB"/>
        </w:rPr>
        <w:t>University of Ljubljana, Biotechnical Faculty, Department of Biology, Jamnikarjeva 101, SI-1000</w:t>
      </w:r>
    </w:p>
    <w:p w14:paraId="0C7E85C9" w14:textId="77777777" w:rsidR="00844E87" w:rsidRPr="00844E87" w:rsidRDefault="00844E87" w:rsidP="00844E87">
      <w:pPr>
        <w:pStyle w:val="NoSpacing"/>
        <w:rPr>
          <w:rFonts w:ascii="Times New Roman" w:hAnsi="Times New Roman" w:cs="Times New Roman"/>
          <w:sz w:val="20"/>
          <w:szCs w:val="20"/>
          <w:lang w:val="en-GB"/>
        </w:rPr>
      </w:pPr>
      <w:r w:rsidRPr="00844E87">
        <w:rPr>
          <w:rFonts w:ascii="Times New Roman" w:hAnsi="Times New Roman" w:cs="Times New Roman"/>
          <w:sz w:val="20"/>
          <w:szCs w:val="20"/>
          <w:lang w:val="en-GB"/>
        </w:rPr>
        <w:t>Ljubljana, Slovenia</w:t>
      </w:r>
    </w:p>
    <w:p w14:paraId="3590AE12" w14:textId="77777777" w:rsidR="00844E87" w:rsidRPr="00844E87" w:rsidRDefault="00844E87" w:rsidP="00844E87">
      <w:pPr>
        <w:rPr>
          <w:rFonts w:ascii="Times New Roman" w:hAnsi="Times New Roman" w:cs="Times New Roman"/>
          <w:lang w:val="en-GB"/>
        </w:rPr>
      </w:pPr>
    </w:p>
    <w:p w14:paraId="4EAA89DF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3B7D9D9A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5EBEF36B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6B601BF0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263ECFBC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641E069F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2C922D2D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524E4352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157020FD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7B229FE5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5DF5CEAE" w14:textId="77777777" w:rsidR="00844E87" w:rsidRPr="00844E87" w:rsidRDefault="00844E87" w:rsidP="00844E87">
      <w:pPr>
        <w:rPr>
          <w:rFonts w:ascii="Times New Roman" w:hAnsi="Times New Roman" w:cs="Times New Roman"/>
        </w:rPr>
      </w:pPr>
    </w:p>
    <w:p w14:paraId="370E510A" w14:textId="56EE982E" w:rsidR="00844E87" w:rsidRPr="00844E87" w:rsidRDefault="00844E87" w:rsidP="00844E87">
      <w:pPr>
        <w:rPr>
          <w:rFonts w:ascii="Times New Roman" w:hAnsi="Times New Roman" w:cs="Times New Roman"/>
        </w:rPr>
        <w:sectPr w:rsidR="00844E87" w:rsidRPr="00844E87" w:rsidSect="00844E87">
          <w:pgSz w:w="11906" w:h="16838"/>
          <w:pgMar w:top="1440" w:right="1800" w:bottom="1440" w:left="1800" w:header="851" w:footer="992" w:gutter="0"/>
          <w:pgNumType w:fmt="upperRoman" w:start="1"/>
          <w:cols w:space="720"/>
          <w:docGrid w:type="lines" w:linePitch="312"/>
        </w:sectPr>
      </w:pPr>
      <w:r w:rsidRPr="00844E87">
        <w:rPr>
          <w:rFonts w:ascii="Times New Roman" w:hAnsi="Times New Roman" w:cs="Times New Roman"/>
        </w:rPr>
        <w:t>The supplementary material includes 2 Figures.</w:t>
      </w:r>
    </w:p>
    <w:p w14:paraId="5B272D0D" w14:textId="0A72C72D" w:rsidR="00FA77AF" w:rsidRPr="00844E87" w:rsidRDefault="00FA77AF" w:rsidP="00FA77AF">
      <w:pPr>
        <w:rPr>
          <w:rFonts w:ascii="Times New Roman" w:hAnsi="Times New Roman" w:cs="Times New Roman"/>
          <w:lang w:val="en-GB"/>
        </w:rPr>
      </w:pPr>
      <w:r w:rsidRPr="00844E8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764838F" wp14:editId="0C51BB25">
            <wp:extent cx="5742432" cy="2735580"/>
            <wp:effectExtent l="0" t="0" r="0" b="7620"/>
            <wp:docPr id="48973596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97EFB42" w14:textId="1C91614F" w:rsidR="005B209E" w:rsidRDefault="00FA77AF" w:rsidP="00FA77AF">
      <w:pPr>
        <w:rPr>
          <w:rFonts w:ascii="Times New Roman" w:hAnsi="Times New Roman" w:cs="Times New Roman"/>
          <w:lang w:val="en-GB"/>
        </w:rPr>
      </w:pPr>
      <w:r w:rsidRPr="005324F4">
        <w:rPr>
          <w:rFonts w:ascii="Times New Roman" w:hAnsi="Times New Roman" w:cs="Times New Roman"/>
          <w:b/>
          <w:bCs/>
          <w:lang w:val="en-GB"/>
        </w:rPr>
        <w:t>Figure S1</w:t>
      </w:r>
      <w:r w:rsidR="005324F4" w:rsidRPr="005324F4">
        <w:rPr>
          <w:rFonts w:ascii="Times New Roman" w:hAnsi="Times New Roman" w:cs="Times New Roman"/>
          <w:b/>
          <w:bCs/>
          <w:lang w:val="en-GB"/>
        </w:rPr>
        <w:t>.</w:t>
      </w:r>
      <w:r w:rsidRPr="00844E87">
        <w:rPr>
          <w:rFonts w:ascii="Times New Roman" w:hAnsi="Times New Roman" w:cs="Times New Roman"/>
          <w:lang w:val="en-GB"/>
        </w:rPr>
        <w:t xml:space="preserve"> </w:t>
      </w:r>
      <w:r w:rsidR="005B209E" w:rsidRPr="005B209E">
        <w:rPr>
          <w:rFonts w:ascii="Times New Roman" w:hAnsi="Times New Roman" w:cs="Times New Roman"/>
        </w:rPr>
        <w:t>The comparison between the total number of publications on microplastics vs. microplastics in the construction (Web of Science database [1]).</w:t>
      </w:r>
    </w:p>
    <w:p w14:paraId="08F82424" w14:textId="5C04A6C7" w:rsidR="00FA77AF" w:rsidRDefault="00FA77AF" w:rsidP="00FA77AF">
      <w:pPr>
        <w:rPr>
          <w:rFonts w:ascii="Times New Roman" w:hAnsi="Times New Roman" w:cs="Times New Roman"/>
        </w:rPr>
      </w:pPr>
      <w:r w:rsidRPr="00844E87">
        <w:rPr>
          <w:rFonts w:ascii="Times New Roman" w:hAnsi="Times New Roman" w:cs="Times New Roman"/>
        </w:rPr>
        <w:t>The percentage of construction-related studies relative to the total number of microplastics publications is also indicated above each column for additional clarity.</w:t>
      </w:r>
    </w:p>
    <w:p w14:paraId="5C0EF3F3" w14:textId="77777777" w:rsidR="005324F4" w:rsidRPr="00844E87" w:rsidRDefault="005324F4" w:rsidP="00FA77AF">
      <w:pPr>
        <w:rPr>
          <w:rFonts w:ascii="Times New Roman" w:hAnsi="Times New Roman" w:cs="Times New Roman"/>
          <w:lang w:val="en-GB"/>
        </w:rPr>
      </w:pPr>
    </w:p>
    <w:p w14:paraId="328F3971" w14:textId="77777777" w:rsidR="00FA77AF" w:rsidRPr="00844E87" w:rsidRDefault="00FA77AF" w:rsidP="00FA77AF">
      <w:pPr>
        <w:rPr>
          <w:rFonts w:ascii="Times New Roman" w:hAnsi="Times New Roman" w:cs="Times New Roman"/>
          <w:lang w:val="en-GB"/>
        </w:rPr>
      </w:pPr>
      <w:r w:rsidRPr="00844E87">
        <w:rPr>
          <w:rFonts w:ascii="Times New Roman" w:hAnsi="Times New Roman" w:cs="Times New Roman"/>
          <w:noProof/>
        </w:rPr>
        <w:drawing>
          <wp:inline distT="0" distB="0" distL="0" distR="0" wp14:anchorId="1EF58419" wp14:editId="4BD9705F">
            <wp:extent cx="5981700" cy="2735580"/>
            <wp:effectExtent l="0" t="0" r="0" b="7620"/>
            <wp:docPr id="212110996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651C74D-A543-4285-8E22-E34AC48AFE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471F08B" w14:textId="3C8CEF0F" w:rsidR="00844E87" w:rsidRDefault="00FA77AF">
      <w:pPr>
        <w:rPr>
          <w:rFonts w:ascii="Times New Roman" w:hAnsi="Times New Roman" w:cs="Times New Roman"/>
          <w:lang w:val="en-GB"/>
        </w:rPr>
      </w:pPr>
      <w:r w:rsidRPr="005324F4">
        <w:rPr>
          <w:rFonts w:ascii="Times New Roman" w:hAnsi="Times New Roman" w:cs="Times New Roman"/>
          <w:b/>
          <w:bCs/>
          <w:lang w:val="en-GB"/>
        </w:rPr>
        <w:t>Figure S2</w:t>
      </w:r>
      <w:r w:rsidR="005324F4" w:rsidRPr="005324F4">
        <w:rPr>
          <w:rFonts w:ascii="Times New Roman" w:hAnsi="Times New Roman" w:cs="Times New Roman"/>
          <w:b/>
          <w:bCs/>
          <w:lang w:val="en-GB"/>
        </w:rPr>
        <w:t>.</w:t>
      </w:r>
      <w:r w:rsidRPr="00844E87">
        <w:rPr>
          <w:rFonts w:ascii="Times New Roman" w:hAnsi="Times New Roman" w:cs="Times New Roman"/>
          <w:lang w:val="en-GB"/>
        </w:rPr>
        <w:t xml:space="preserve"> </w:t>
      </w:r>
      <w:r w:rsidR="00906D29" w:rsidRPr="00906D29">
        <w:rPr>
          <w:rFonts w:ascii="Times New Roman" w:hAnsi="Times New Roman" w:cs="Times New Roman"/>
          <w:lang w:val="en-GB"/>
        </w:rPr>
        <w:t xml:space="preserve">Graphic presentation of the number of microplastics studies in the construction (Web of Science database </w:t>
      </w:r>
      <w:r w:rsidRPr="00844E87">
        <w:rPr>
          <w:rFonts w:ascii="Times New Roman" w:hAnsi="Times New Roman" w:cs="Times New Roman"/>
          <w:lang w:val="en-GB"/>
        </w:rPr>
        <w:fldChar w:fldCharType="begin"/>
      </w:r>
      <w:r w:rsidR="003344D9">
        <w:rPr>
          <w:rFonts w:ascii="Times New Roman" w:hAnsi="Times New Roman" w:cs="Times New Roman"/>
          <w:lang w:val="en-GB"/>
        </w:rPr>
        <w:instrText xml:space="preserve"> ADDIN ZOTERO_ITEM CSL_CITATION {"citationID":"yGoXFPMK","properties":{"formattedCitation":"[1]","plainCitation":"[1]","noteIndex":0},"citationItems":[{"id":12,"uris":["http://zotero.org/users/local/cxB6uECQ/items/MTUJL2LV"],"itemData":{"id":12,"type":"webpage","title":"Document Search - Web of Science Core Collection","URL":"https://www.webofscience.com/wos/woscc/basic-search","accessed":{"date-parts":[["2025",2,17]]}}}],"schema":"https://github.com/citation-style-language/schema/raw/master/csl-citation.json"} </w:instrText>
      </w:r>
      <w:r w:rsidRPr="00844E87">
        <w:rPr>
          <w:rFonts w:ascii="Times New Roman" w:hAnsi="Times New Roman" w:cs="Times New Roman"/>
          <w:lang w:val="en-GB"/>
        </w:rPr>
        <w:fldChar w:fldCharType="separate"/>
      </w:r>
      <w:r w:rsidR="005324F4" w:rsidRPr="005324F4">
        <w:rPr>
          <w:rFonts w:ascii="Times New Roman" w:hAnsi="Times New Roman" w:cs="Times New Roman"/>
        </w:rPr>
        <w:t>[1]</w:t>
      </w:r>
      <w:r w:rsidRPr="00844E87">
        <w:rPr>
          <w:rFonts w:ascii="Times New Roman" w:hAnsi="Times New Roman" w:cs="Times New Roman"/>
          <w:lang w:val="en-GB"/>
        </w:rPr>
        <w:fldChar w:fldCharType="end"/>
      </w:r>
      <w:r w:rsidR="00906D29">
        <w:rPr>
          <w:rFonts w:ascii="Times New Roman" w:hAnsi="Times New Roman" w:cs="Times New Roman"/>
          <w:lang w:val="en-GB"/>
        </w:rPr>
        <w:t>)</w:t>
      </w:r>
      <w:r w:rsidRPr="00844E87">
        <w:rPr>
          <w:rFonts w:ascii="Times New Roman" w:hAnsi="Times New Roman" w:cs="Times New Roman"/>
          <w:lang w:val="en-GB"/>
        </w:rPr>
        <w:t xml:space="preserve">. </w:t>
      </w:r>
    </w:p>
    <w:p w14:paraId="17F9398C" w14:textId="44B1863F" w:rsidR="00844E87" w:rsidRDefault="00844E87">
      <w:pPr>
        <w:jc w:val="left"/>
        <w:rPr>
          <w:rFonts w:ascii="Times New Roman" w:hAnsi="Times New Roman" w:cs="Times New Roman"/>
          <w:lang w:val="en-GB"/>
        </w:rPr>
      </w:pPr>
    </w:p>
    <w:p w14:paraId="4E34B431" w14:textId="5493B6EB" w:rsidR="00844E87" w:rsidRPr="005324F4" w:rsidRDefault="00844E87">
      <w:pPr>
        <w:rPr>
          <w:rFonts w:ascii="Times New Roman" w:hAnsi="Times New Roman" w:cs="Times New Roman"/>
          <w:b/>
          <w:bCs/>
          <w:sz w:val="32"/>
          <w:szCs w:val="28"/>
          <w:lang w:val="en-GB"/>
        </w:rPr>
      </w:pPr>
      <w:r w:rsidRPr="005324F4">
        <w:rPr>
          <w:rFonts w:ascii="Times New Roman" w:hAnsi="Times New Roman" w:cs="Times New Roman"/>
          <w:b/>
          <w:bCs/>
          <w:sz w:val="32"/>
          <w:szCs w:val="28"/>
          <w:lang w:val="en-GB"/>
        </w:rPr>
        <w:t>References</w:t>
      </w:r>
    </w:p>
    <w:p w14:paraId="49C25EB8" w14:textId="77777777" w:rsidR="003344D9" w:rsidRPr="003344D9" w:rsidRDefault="005324F4" w:rsidP="003344D9">
      <w:pPr>
        <w:pStyle w:val="Bibliography"/>
        <w:jc w:val="left"/>
        <w:rPr>
          <w:rFonts w:ascii="Times New Roman" w:hAnsi="Times New Roman" w:cs="Times New Roman"/>
        </w:rPr>
      </w:pPr>
      <w:r>
        <w:rPr>
          <w:lang w:val="en-GB"/>
        </w:rPr>
        <w:fldChar w:fldCharType="begin"/>
      </w:r>
      <w:r w:rsidR="003344D9">
        <w:rPr>
          <w:lang w:val="en-GB"/>
        </w:rPr>
        <w:instrText xml:space="preserve"> ADDIN ZOTERO_BIBL {"uncited":[],"omitted":[],"custom":[]} CSL_BIBLIOGRAPHY </w:instrText>
      </w:r>
      <w:r>
        <w:rPr>
          <w:lang w:val="en-GB"/>
        </w:rPr>
        <w:fldChar w:fldCharType="separate"/>
      </w:r>
      <w:r w:rsidR="003344D9" w:rsidRPr="003344D9">
        <w:rPr>
          <w:rFonts w:ascii="Times New Roman" w:hAnsi="Times New Roman" w:cs="Times New Roman"/>
        </w:rPr>
        <w:t>[1]</w:t>
      </w:r>
      <w:r w:rsidR="003344D9" w:rsidRPr="003344D9">
        <w:rPr>
          <w:rFonts w:ascii="Times New Roman" w:hAnsi="Times New Roman" w:cs="Times New Roman"/>
        </w:rPr>
        <w:tab/>
        <w:t>Document Search - Web of Science Core Collection, (n.d.). https://www.webofscience.com/wos/woscc/basic-search (accessed February 17, 2025).</w:t>
      </w:r>
    </w:p>
    <w:p w14:paraId="5F54862C" w14:textId="033693E2" w:rsidR="00844E87" w:rsidRPr="00844E87" w:rsidRDefault="005324F4" w:rsidP="005324F4">
      <w:pPr>
        <w:jc w:val="lef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fldChar w:fldCharType="end"/>
      </w:r>
    </w:p>
    <w:sectPr w:rsidR="00844E87" w:rsidRPr="00844E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AF"/>
    <w:rsid w:val="000C57F8"/>
    <w:rsid w:val="003344D9"/>
    <w:rsid w:val="00400008"/>
    <w:rsid w:val="004B5DE6"/>
    <w:rsid w:val="004C263D"/>
    <w:rsid w:val="005324F4"/>
    <w:rsid w:val="00565620"/>
    <w:rsid w:val="00580ECE"/>
    <w:rsid w:val="005B209E"/>
    <w:rsid w:val="006160CA"/>
    <w:rsid w:val="00844E87"/>
    <w:rsid w:val="00906D29"/>
    <w:rsid w:val="00973A96"/>
    <w:rsid w:val="00A22B10"/>
    <w:rsid w:val="00AF4042"/>
    <w:rsid w:val="00B3379A"/>
    <w:rsid w:val="00BE4F86"/>
    <w:rsid w:val="00E87730"/>
    <w:rsid w:val="00FA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FE6C"/>
  <w15:chartTrackingRefBased/>
  <w15:docId w15:val="{36E30126-5133-4637-9AE2-0F8271507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7AF"/>
    <w:pPr>
      <w:jc w:val="both"/>
    </w:pPr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7A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7A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7A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7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7A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7A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7A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7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7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7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7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7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7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7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7A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7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7A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7AF"/>
    <w:rPr>
      <w:b/>
      <w:bCs/>
      <w:smallCaps/>
      <w:color w:val="365F9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A7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77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77AF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844E87"/>
    <w:pPr>
      <w:spacing w:after="0" w:line="240" w:lineRule="auto"/>
      <w:jc w:val="both"/>
    </w:pPr>
  </w:style>
  <w:style w:type="paragraph" w:styleId="Bibliography">
    <w:name w:val="Bibliography"/>
    <w:basedOn w:val="Normal"/>
    <w:next w:val="Normal"/>
    <w:uiPriority w:val="37"/>
    <w:unhideWhenUsed/>
    <w:rsid w:val="005324F4"/>
    <w:pPr>
      <w:tabs>
        <w:tab w:val="left" w:pos="384"/>
      </w:tabs>
      <w:spacing w:after="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1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turk_k\Documents\Raziskovalno\Review%20article\MP%20progress%20-%20statistik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urk_k\Documents\Raziskovalno\Review%20article\MP%20progress%20-%20statistik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905796150481191"/>
          <c:y val="5.3635360797291642E-2"/>
          <c:w val="0.79477515310586178"/>
          <c:h val="0.683892882954848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'WoS, GS'!$B$30</c:f>
              <c:strCache>
                <c:ptCount val="1"/>
                <c:pt idx="0">
                  <c:v>microplastics</c:v>
                </c:pt>
              </c:strCache>
            </c:strRef>
          </c:tx>
          <c:spPr>
            <a:solidFill>
              <a:schemeClr val="tx2"/>
            </a:solidFill>
            <a:ln>
              <a:solidFill>
                <a:schemeClr val="tx2"/>
              </a:solidFill>
            </a:ln>
          </c:spPr>
          <c:invertIfNegative val="0"/>
          <c:cat>
            <c:numRef>
              <c:f>'WoS, GS'!$A$31:$A$51</c:f>
              <c:numCache>
                <c:formatCode>General</c:formatCode>
                <c:ptCount val="21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  <c:pt idx="18">
                  <c:v>2022</c:v>
                </c:pt>
                <c:pt idx="19">
                  <c:v>2023</c:v>
                </c:pt>
                <c:pt idx="20">
                  <c:v>2024</c:v>
                </c:pt>
              </c:numCache>
            </c:numRef>
          </c:cat>
          <c:val>
            <c:numRef>
              <c:f>'WoS, GS'!$B$31:$B$51</c:f>
              <c:numCache>
                <c:formatCode>General</c:formatCode>
                <c:ptCount val="21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  <c:pt idx="6">
                  <c:v>4</c:v>
                </c:pt>
                <c:pt idx="7">
                  <c:v>10</c:v>
                </c:pt>
                <c:pt idx="8">
                  <c:v>19</c:v>
                </c:pt>
                <c:pt idx="9">
                  <c:v>36</c:v>
                </c:pt>
                <c:pt idx="10">
                  <c:v>70</c:v>
                </c:pt>
                <c:pt idx="11">
                  <c:v>153</c:v>
                </c:pt>
                <c:pt idx="12">
                  <c:v>208</c:v>
                </c:pt>
                <c:pt idx="13">
                  <c:v>334</c:v>
                </c:pt>
                <c:pt idx="14">
                  <c:v>639</c:v>
                </c:pt>
                <c:pt idx="15">
                  <c:v>1088</c:v>
                </c:pt>
                <c:pt idx="16">
                  <c:v>2026</c:v>
                </c:pt>
                <c:pt idx="17">
                  <c:v>3242</c:v>
                </c:pt>
                <c:pt idx="18">
                  <c:v>4370</c:v>
                </c:pt>
                <c:pt idx="19">
                  <c:v>4850</c:v>
                </c:pt>
                <c:pt idx="20">
                  <c:v>5666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DD-4BDB-AED1-3EC4A3D2025C}"/>
            </c:ext>
          </c:extLst>
        </c:ser>
        <c:ser>
          <c:idx val="1"/>
          <c:order val="1"/>
          <c:tx>
            <c:strRef>
              <c:f>'WoS, GS'!$F$30</c:f>
              <c:strCache>
                <c:ptCount val="1"/>
                <c:pt idx="0">
                  <c:v>microplastics &amp; construction/building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rgbClr val="C00000"/>
              </a:solidFill>
            </a:ln>
          </c:spPr>
          <c:invertIfNegative val="0"/>
          <c:cat>
            <c:numRef>
              <c:f>'WoS, GS'!$A$31:$A$51</c:f>
              <c:numCache>
                <c:formatCode>General</c:formatCode>
                <c:ptCount val="21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  <c:pt idx="18">
                  <c:v>2022</c:v>
                </c:pt>
                <c:pt idx="19">
                  <c:v>2023</c:v>
                </c:pt>
                <c:pt idx="20">
                  <c:v>2024</c:v>
                </c:pt>
              </c:numCache>
            </c:numRef>
          </c:cat>
          <c:val>
            <c:numRef>
              <c:f>'WoS, GS'!$F$31:$F$51</c:f>
              <c:numCache>
                <c:formatCode>General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5</c:v>
                </c:pt>
                <c:pt idx="15">
                  <c:v>4</c:v>
                </c:pt>
                <c:pt idx="16">
                  <c:v>11</c:v>
                </c:pt>
                <c:pt idx="17">
                  <c:v>19</c:v>
                </c:pt>
                <c:pt idx="18">
                  <c:v>25</c:v>
                </c:pt>
                <c:pt idx="19">
                  <c:v>34</c:v>
                </c:pt>
                <c:pt idx="20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DD-4BDB-AED1-3EC4A3D202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5"/>
        <c:overlap val="10"/>
        <c:axId val="228022272"/>
        <c:axId val="229405184"/>
      </c:barChart>
      <c:catAx>
        <c:axId val="2280222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29405184"/>
        <c:crosses val="autoZero"/>
        <c:auto val="1"/>
        <c:lblAlgn val="ctr"/>
        <c:lblOffset val="100"/>
        <c:noMultiLvlLbl val="0"/>
      </c:catAx>
      <c:valAx>
        <c:axId val="2294051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Number of scientific publications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28022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3438867016622922"/>
          <c:y val="7.4078131537905587E-2"/>
          <c:w val="0.2906113298337708"/>
          <c:h val="0.28009124207663455"/>
        </c:manualLayout>
      </c:layout>
      <c:overlay val="0"/>
      <c:spPr>
        <a:solidFill>
          <a:schemeClr val="lt1"/>
        </a:solidFill>
        <a:ln w="3175" cap="flat" cmpd="sng" algn="ctr">
          <a:solidFill>
            <a:sysClr val="windowText" lastClr="000000"/>
          </a:solidFill>
          <a:prstDash val="solid"/>
        </a:ln>
        <a:effectLst/>
      </c:spPr>
      <c:txPr>
        <a:bodyPr/>
        <a:lstStyle/>
        <a:p>
          <a:pPr>
            <a:defRPr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905796150481191"/>
          <c:y val="5.3635360797291642E-2"/>
          <c:w val="0.79477515310586178"/>
          <c:h val="0.68389288295484807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'WoS, GS'!$F$30</c:f>
              <c:strCache>
                <c:ptCount val="1"/>
                <c:pt idx="0">
                  <c:v>microplastics &amp; construction/building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rgbClr val="C00000"/>
              </a:solidFill>
            </a:ln>
          </c:spPr>
          <c:invertIfNegative val="0"/>
          <c:cat>
            <c:numRef>
              <c:f>'WoS, GS'!$A$31:$A$51</c:f>
              <c:numCache>
                <c:formatCode>General</c:formatCode>
                <c:ptCount val="21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  <c:pt idx="18">
                  <c:v>2022</c:v>
                </c:pt>
                <c:pt idx="19">
                  <c:v>2023</c:v>
                </c:pt>
                <c:pt idx="20">
                  <c:v>2024</c:v>
                </c:pt>
              </c:numCache>
            </c:numRef>
          </c:cat>
          <c:val>
            <c:numRef>
              <c:f>'WoS, GS'!$F$31:$F$51</c:f>
              <c:numCache>
                <c:formatCode>General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5</c:v>
                </c:pt>
                <c:pt idx="15">
                  <c:v>4</c:v>
                </c:pt>
                <c:pt idx="16">
                  <c:v>11</c:v>
                </c:pt>
                <c:pt idx="17">
                  <c:v>19</c:v>
                </c:pt>
                <c:pt idx="18">
                  <c:v>25</c:v>
                </c:pt>
                <c:pt idx="19">
                  <c:v>34</c:v>
                </c:pt>
                <c:pt idx="20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C8-44B5-9F64-A48809ABC4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5"/>
        <c:overlap val="10"/>
        <c:axId val="228022272"/>
        <c:axId val="22940518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'WoS, GS'!$B$30</c15:sqref>
                        </c15:formulaRef>
                      </c:ext>
                    </c:extLst>
                    <c:strCache>
                      <c:ptCount val="1"/>
                      <c:pt idx="0">
                        <c:v>microplastics</c:v>
                      </c:pt>
                    </c:strCache>
                  </c:strRef>
                </c:tx>
                <c:spPr>
                  <a:solidFill>
                    <a:schemeClr val="tx2"/>
                  </a:solidFill>
                  <a:ln>
                    <a:solidFill>
                      <a:schemeClr val="tx2"/>
                    </a:solidFill>
                  </a:ln>
                </c:spPr>
                <c:invertIfNegative val="0"/>
                <c:cat>
                  <c:numRef>
                    <c:extLst>
                      <c:ext uri="{02D57815-91ED-43cb-92C2-25804820EDAC}">
                        <c15:formulaRef>
                          <c15:sqref>'WoS, GS'!$A$31:$A$51</c15:sqref>
                        </c15:formulaRef>
                      </c:ext>
                    </c:extLst>
                    <c:numCache>
                      <c:formatCode>General</c:formatCode>
                      <c:ptCount val="21"/>
                      <c:pt idx="0">
                        <c:v>2004</c:v>
                      </c:pt>
                      <c:pt idx="1">
                        <c:v>2005</c:v>
                      </c:pt>
                      <c:pt idx="2">
                        <c:v>2006</c:v>
                      </c:pt>
                      <c:pt idx="3">
                        <c:v>2007</c:v>
                      </c:pt>
                      <c:pt idx="4">
                        <c:v>2008</c:v>
                      </c:pt>
                      <c:pt idx="5">
                        <c:v>2009</c:v>
                      </c:pt>
                      <c:pt idx="6">
                        <c:v>2010</c:v>
                      </c:pt>
                      <c:pt idx="7">
                        <c:v>2011</c:v>
                      </c:pt>
                      <c:pt idx="8">
                        <c:v>2012</c:v>
                      </c:pt>
                      <c:pt idx="9">
                        <c:v>2013</c:v>
                      </c:pt>
                      <c:pt idx="10">
                        <c:v>2014</c:v>
                      </c:pt>
                      <c:pt idx="11">
                        <c:v>2015</c:v>
                      </c:pt>
                      <c:pt idx="12">
                        <c:v>2016</c:v>
                      </c:pt>
                      <c:pt idx="13">
                        <c:v>2017</c:v>
                      </c:pt>
                      <c:pt idx="14">
                        <c:v>2018</c:v>
                      </c:pt>
                      <c:pt idx="15">
                        <c:v>2019</c:v>
                      </c:pt>
                      <c:pt idx="16">
                        <c:v>2020</c:v>
                      </c:pt>
                      <c:pt idx="17">
                        <c:v>2021</c:v>
                      </c:pt>
                      <c:pt idx="18">
                        <c:v>2022</c:v>
                      </c:pt>
                      <c:pt idx="19">
                        <c:v>2023</c:v>
                      </c:pt>
                      <c:pt idx="20">
                        <c:v>2024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'WoS, GS'!$B$31:$B$51</c15:sqref>
                        </c15:formulaRef>
                      </c:ext>
                    </c:extLst>
                    <c:numCache>
                      <c:formatCode>General</c:formatCode>
                      <c:ptCount val="21"/>
                      <c:pt idx="0">
                        <c:v>0</c:v>
                      </c:pt>
                      <c:pt idx="1">
                        <c:v>1</c:v>
                      </c:pt>
                      <c:pt idx="2">
                        <c:v>1</c:v>
                      </c:pt>
                      <c:pt idx="3">
                        <c:v>1</c:v>
                      </c:pt>
                      <c:pt idx="4">
                        <c:v>2</c:v>
                      </c:pt>
                      <c:pt idx="5">
                        <c:v>2</c:v>
                      </c:pt>
                      <c:pt idx="6">
                        <c:v>4</c:v>
                      </c:pt>
                      <c:pt idx="7">
                        <c:v>10</c:v>
                      </c:pt>
                      <c:pt idx="8">
                        <c:v>19</c:v>
                      </c:pt>
                      <c:pt idx="9">
                        <c:v>36</c:v>
                      </c:pt>
                      <c:pt idx="10">
                        <c:v>70</c:v>
                      </c:pt>
                      <c:pt idx="11">
                        <c:v>153</c:v>
                      </c:pt>
                      <c:pt idx="12">
                        <c:v>208</c:v>
                      </c:pt>
                      <c:pt idx="13">
                        <c:v>334</c:v>
                      </c:pt>
                      <c:pt idx="14">
                        <c:v>639</c:v>
                      </c:pt>
                      <c:pt idx="15">
                        <c:v>1088</c:v>
                      </c:pt>
                      <c:pt idx="16">
                        <c:v>2026</c:v>
                      </c:pt>
                      <c:pt idx="17">
                        <c:v>3242</c:v>
                      </c:pt>
                      <c:pt idx="18">
                        <c:v>4370</c:v>
                      </c:pt>
                      <c:pt idx="19">
                        <c:v>4850</c:v>
                      </c:pt>
                      <c:pt idx="20">
                        <c:v>5666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12C8-44B5-9F64-A48809ABC472}"/>
                  </c:ext>
                </c:extLst>
              </c15:ser>
            </c15:filteredBarSeries>
          </c:ext>
        </c:extLst>
      </c:barChart>
      <c:catAx>
        <c:axId val="2280222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29405184"/>
        <c:crosses val="autoZero"/>
        <c:auto val="1"/>
        <c:lblAlgn val="ctr"/>
        <c:lblOffset val="100"/>
        <c:noMultiLvlLbl val="0"/>
      </c:catAx>
      <c:valAx>
        <c:axId val="2294051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Number of scientific publications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280222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0.66641</cdr:x>
      <cdr:y>0.02688</cdr:y>
    </cdr:from>
    <cdr:to>
      <cdr:x>0.98743</cdr:x>
      <cdr:y>0.67045</cdr:y>
    </cdr:to>
    <cdr:grpSp>
      <cdr:nvGrpSpPr>
        <cdr:cNvPr id="2" name="Group 1"/>
        <cdr:cNvGrpSpPr/>
      </cdr:nvGrpSpPr>
      <cdr:grpSpPr>
        <a:xfrm xmlns:a="http://schemas.openxmlformats.org/drawingml/2006/main">
          <a:off x="3826740" y="73533"/>
          <a:ext cx="1843356" cy="1760547"/>
          <a:chOff x="2302392" y="-722307"/>
          <a:chExt cx="1926320" cy="1760547"/>
        </a:xfrm>
      </cdr:grpSpPr>
      <cdr:sp macro="" textlink="">
        <cdr:nvSpPr>
          <cdr:cNvPr id="3" name="Text Box 1"/>
          <cdr:cNvSpPr txBox="1"/>
        </cdr:nvSpPr>
        <cdr:spPr>
          <a:xfrm xmlns:a="http://schemas.openxmlformats.org/drawingml/2006/main">
            <a:off x="2766357" y="414169"/>
            <a:ext cx="494194" cy="194945"/>
          </a:xfrm>
          <a:prstGeom xmlns:a="http://schemas.openxmlformats.org/drawingml/2006/main" prst="rect">
            <a:avLst/>
          </a:prstGeom>
          <a:noFill xmlns:a="http://schemas.openxmlformats.org/drawingml/2006/main"/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just">
              <a:lnSpc>
                <a:spcPct val="115000"/>
              </a:lnSpc>
              <a:spcAft>
                <a:spcPts val="1000"/>
              </a:spcAft>
            </a:pPr>
            <a:r>
              <a:rPr lang="en-US" sz="8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0.54 %</a:t>
            </a:r>
            <a:endParaRPr lang="en-SI" sz="16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4" name="Text Box 1"/>
          <cdr:cNvSpPr txBox="1"/>
        </cdr:nvSpPr>
        <cdr:spPr>
          <a:xfrm xmlns:a="http://schemas.openxmlformats.org/drawingml/2006/main">
            <a:off x="2981773" y="29847"/>
            <a:ext cx="515806" cy="194945"/>
          </a:xfrm>
          <a:prstGeom xmlns:a="http://schemas.openxmlformats.org/drawingml/2006/main" prst="rect">
            <a:avLst/>
          </a:prstGeom>
          <a:noFill xmlns:a="http://schemas.openxmlformats.org/drawingml/2006/main"/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just">
              <a:lnSpc>
                <a:spcPct val="115000"/>
              </a:lnSpc>
              <a:spcAft>
                <a:spcPts val="1000"/>
              </a:spcAft>
            </a:pPr>
            <a:r>
              <a:rPr lang="en-US" sz="8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0.59 %</a:t>
            </a:r>
            <a:endParaRPr lang="en-SI" sz="16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5" name="Text Box 1"/>
          <cdr:cNvSpPr txBox="1"/>
        </cdr:nvSpPr>
        <cdr:spPr>
          <a:xfrm xmlns:a="http://schemas.openxmlformats.org/drawingml/2006/main">
            <a:off x="3213756" y="-318108"/>
            <a:ext cx="516536" cy="194945"/>
          </a:xfrm>
          <a:prstGeom xmlns:a="http://schemas.openxmlformats.org/drawingml/2006/main" prst="rect">
            <a:avLst/>
          </a:prstGeom>
          <a:noFill xmlns:a="http://schemas.openxmlformats.org/drawingml/2006/main"/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just">
              <a:lnSpc>
                <a:spcPct val="115000"/>
              </a:lnSpc>
              <a:spcAft>
                <a:spcPts val="1000"/>
              </a:spcAft>
            </a:pPr>
            <a:r>
              <a:rPr lang="en-US" sz="8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0.57 %</a:t>
            </a:r>
            <a:endParaRPr lang="en-SI" sz="16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6" name="Text Box 1"/>
          <cdr:cNvSpPr txBox="1"/>
        </cdr:nvSpPr>
        <cdr:spPr>
          <a:xfrm xmlns:a="http://schemas.openxmlformats.org/drawingml/2006/main">
            <a:off x="3456788" y="-499454"/>
            <a:ext cx="524885" cy="194945"/>
          </a:xfrm>
          <a:prstGeom xmlns:a="http://schemas.openxmlformats.org/drawingml/2006/main" prst="rect">
            <a:avLst/>
          </a:prstGeom>
          <a:noFill xmlns:a="http://schemas.openxmlformats.org/drawingml/2006/main"/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just">
              <a:lnSpc>
                <a:spcPct val="115000"/>
              </a:lnSpc>
              <a:spcAft>
                <a:spcPts val="1000"/>
              </a:spcAft>
            </a:pPr>
            <a:r>
              <a:rPr lang="en-US" sz="8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0.70 %</a:t>
            </a:r>
            <a:endParaRPr lang="en-SI" sz="16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7" name="Text Box 1"/>
          <cdr:cNvSpPr txBox="1"/>
        </cdr:nvSpPr>
        <cdr:spPr>
          <a:xfrm xmlns:a="http://schemas.openxmlformats.org/drawingml/2006/main">
            <a:off x="3666678" y="-722307"/>
            <a:ext cx="562034" cy="194945"/>
          </a:xfrm>
          <a:prstGeom xmlns:a="http://schemas.openxmlformats.org/drawingml/2006/main" prst="rect">
            <a:avLst/>
          </a:prstGeom>
          <a:noFill xmlns:a="http://schemas.openxmlformats.org/drawingml/2006/main"/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just">
              <a:lnSpc>
                <a:spcPct val="115000"/>
              </a:lnSpc>
              <a:spcAft>
                <a:spcPts val="1000"/>
              </a:spcAft>
            </a:pPr>
            <a:r>
              <a:rPr lang="en-US" sz="8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0.60 %</a:t>
            </a:r>
            <a:endParaRPr lang="en-SI" sz="16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8" name="Text Box 1"/>
          <cdr:cNvSpPr txBox="1"/>
        </cdr:nvSpPr>
        <cdr:spPr>
          <a:xfrm xmlns:a="http://schemas.openxmlformats.org/drawingml/2006/main">
            <a:off x="2545422" y="702024"/>
            <a:ext cx="500739" cy="194945"/>
          </a:xfrm>
          <a:prstGeom xmlns:a="http://schemas.openxmlformats.org/drawingml/2006/main" prst="rect">
            <a:avLst/>
          </a:prstGeom>
          <a:noFill xmlns:a="http://schemas.openxmlformats.org/drawingml/2006/main"/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just">
              <a:lnSpc>
                <a:spcPct val="115000"/>
              </a:lnSpc>
              <a:spcAft>
                <a:spcPts val="1000"/>
              </a:spcAft>
            </a:pPr>
            <a:r>
              <a:rPr lang="en-US" sz="8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0.37 %</a:t>
            </a:r>
            <a:endParaRPr lang="en-SI" sz="16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  <cdr:sp macro="" textlink="">
        <cdr:nvSpPr>
          <cdr:cNvPr id="9" name="Text Box 1"/>
          <cdr:cNvSpPr txBox="1"/>
        </cdr:nvSpPr>
        <cdr:spPr>
          <a:xfrm xmlns:a="http://schemas.openxmlformats.org/drawingml/2006/main">
            <a:off x="2302392" y="843295"/>
            <a:ext cx="502154" cy="194945"/>
          </a:xfrm>
          <a:prstGeom xmlns:a="http://schemas.openxmlformats.org/drawingml/2006/main" prst="rect">
            <a:avLst/>
          </a:prstGeom>
          <a:noFill xmlns:a="http://schemas.openxmlformats.org/drawingml/2006/main"/>
          <a:ln xmlns:a="http://schemas.openxmlformats.org/drawingml/2006/main" w="6350">
            <a:noFill/>
          </a:ln>
        </cdr:spPr>
        <cdr:txBody>
  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  <a:prstTxWarp prst="textNoShape">
              <a:avLst/>
            </a:prstTxWarp>
            <a:noAutofit/>
          </a:bodyPr>
          <a:lstStyle xmlns:a="http://schemas.openxmlformats.org/drawingml/2006/main">
            <a:lvl1pPr marL="0" indent="0">
              <a:defRPr sz="1100">
                <a:latin typeface="+mn-lt"/>
                <a:ea typeface="+mn-ea"/>
                <a:cs typeface="+mn-cs"/>
              </a:defRPr>
            </a:lvl1pPr>
            <a:lvl2pPr marL="457200" indent="0">
              <a:defRPr sz="1100">
                <a:latin typeface="+mn-lt"/>
                <a:ea typeface="+mn-ea"/>
                <a:cs typeface="+mn-cs"/>
              </a:defRPr>
            </a:lvl2pPr>
            <a:lvl3pPr marL="914400" indent="0">
              <a:defRPr sz="1100">
                <a:latin typeface="+mn-lt"/>
                <a:ea typeface="+mn-ea"/>
                <a:cs typeface="+mn-cs"/>
              </a:defRPr>
            </a:lvl3pPr>
            <a:lvl4pPr marL="1371600" indent="0">
              <a:defRPr sz="1100">
                <a:latin typeface="+mn-lt"/>
                <a:ea typeface="+mn-ea"/>
                <a:cs typeface="+mn-cs"/>
              </a:defRPr>
            </a:lvl4pPr>
            <a:lvl5pPr marL="1828800" indent="0">
              <a:defRPr sz="1100">
                <a:latin typeface="+mn-lt"/>
                <a:ea typeface="+mn-ea"/>
                <a:cs typeface="+mn-cs"/>
              </a:defRPr>
            </a:lvl5pPr>
            <a:lvl6pPr marL="2286000" indent="0">
              <a:defRPr sz="1100">
                <a:latin typeface="+mn-lt"/>
                <a:ea typeface="+mn-ea"/>
                <a:cs typeface="+mn-cs"/>
              </a:defRPr>
            </a:lvl6pPr>
            <a:lvl7pPr marL="2743200" indent="0">
              <a:defRPr sz="1100">
                <a:latin typeface="+mn-lt"/>
                <a:ea typeface="+mn-ea"/>
                <a:cs typeface="+mn-cs"/>
              </a:defRPr>
            </a:lvl7pPr>
            <a:lvl8pPr marL="3200400" indent="0">
              <a:defRPr sz="1100">
                <a:latin typeface="+mn-lt"/>
                <a:ea typeface="+mn-ea"/>
                <a:cs typeface="+mn-cs"/>
              </a:defRPr>
            </a:lvl8pPr>
            <a:lvl9pPr marL="3657600" indent="0">
              <a:defRPr sz="1100">
                <a:latin typeface="+mn-lt"/>
                <a:ea typeface="+mn-ea"/>
                <a:cs typeface="+mn-cs"/>
              </a:defRPr>
            </a:lvl9pPr>
          </a:lstStyle>
          <a:p xmlns:a="http://schemas.openxmlformats.org/drawingml/2006/main">
            <a:pPr algn="just">
              <a:lnSpc>
                <a:spcPct val="115000"/>
              </a:lnSpc>
              <a:spcAft>
                <a:spcPts val="1000"/>
              </a:spcAft>
            </a:pPr>
            <a:r>
              <a:rPr lang="en-US" sz="800">
                <a:effectLst/>
                <a:latin typeface="Calibri" panose="020F0502020204030204" pitchFamily="34" charset="0"/>
                <a:ea typeface="Calibri" panose="020F0502020204030204" pitchFamily="34" charset="0"/>
                <a:cs typeface="Times New Roman" panose="02020603050405020304" pitchFamily="18" charset="0"/>
              </a:rPr>
              <a:t>0.78 %</a:t>
            </a:r>
            <a:endParaRPr lang="en-SI" sz="16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endParaRPr>
          </a:p>
        </cdr:txBody>
      </cdr:sp>
    </cdr:grp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Turk, Katja</dc:creator>
  <cp:keywords/>
  <dc:description/>
  <cp:lastModifiedBy>Branka Mušič</cp:lastModifiedBy>
  <cp:revision>5</cp:revision>
  <dcterms:created xsi:type="dcterms:W3CDTF">2025-07-09T10:45:00Z</dcterms:created>
  <dcterms:modified xsi:type="dcterms:W3CDTF">2025-07-10T06:22:00Z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id="7srHdoxE"/&gt;&lt;style id="http://www.zotero.org/styles/elsevier-with-titles" hasBibliography="1" bibliographyStyleHasBeenSet="1"/&gt;&lt;prefs&gt;&lt;pref name="fieldType" value="Field"/&gt;&lt;/prefs&gt;&lt;/data&gt;</vt:lpwstr>
  </property>
</Properties>
</file>