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283C4" w14:textId="77777777" w:rsidR="00E81B35" w:rsidRDefault="002D5E19">
      <w:pPr>
        <w:pStyle w:val="berschrift1"/>
        <w:rPr>
          <w:rFonts w:eastAsia="Times New Roman" w:cstheme="minorHAnsi"/>
          <w:b w:val="0"/>
          <w:bCs w:val="0"/>
          <w:color w:val="2F5496"/>
          <w:sz w:val="32"/>
          <w:szCs w:val="32"/>
          <w:lang w:val="en-US"/>
        </w:rPr>
      </w:pPr>
      <w:r>
        <w:rPr>
          <w:rFonts w:eastAsia="Times New Roman" w:cstheme="minorHAnsi"/>
          <w:b w:val="0"/>
          <w:bCs w:val="0"/>
          <w:color w:val="2F5496"/>
          <w:sz w:val="32"/>
          <w:szCs w:val="32"/>
          <w:lang w:val="en-US"/>
        </w:rPr>
        <w:t>Supporting information</w:t>
      </w:r>
    </w:p>
    <w:p w14:paraId="5825E0AD" w14:textId="77777777" w:rsidR="00E81B35" w:rsidRDefault="002D5E19">
      <w:pPr>
        <w:rPr>
          <w:rFonts w:eastAsia="Calibri" w:cstheme="minorHAnsi"/>
          <w:lang w:val="en-US"/>
        </w:rPr>
      </w:pPr>
      <w:r>
        <w:rPr>
          <w:rFonts w:eastAsia="Times New Roman" w:cstheme="minorHAnsi"/>
          <w:color w:val="2F5496"/>
          <w:sz w:val="32"/>
          <w:szCs w:val="32"/>
          <w:lang w:val="en-US"/>
        </w:rPr>
        <w:t>Dynamics of rainfall, discharge, suspended sediment and micropollutant transport in the Moselle River, Central Europe</w:t>
      </w:r>
    </w:p>
    <w:p w14:paraId="40292AF5" w14:textId="77777777" w:rsidR="00E81B35" w:rsidRDefault="002D5E19">
      <w:pPr>
        <w:rPr>
          <w:rFonts w:ascii="Calibri" w:eastAsia="Calibri" w:hAnsi="Calibri" w:cs="Times New Roman"/>
          <w:lang w:val="en-US"/>
        </w:rPr>
      </w:pPr>
      <w:bookmarkStart w:id="0" w:name="_Hlk200477905"/>
      <w:r>
        <w:rPr>
          <w:rFonts w:ascii="Calibri" w:eastAsia="Calibri" w:hAnsi="Calibri" w:cs="Times New Roman"/>
          <w:lang w:val="en-US"/>
        </w:rPr>
        <w:t xml:space="preserve">Magdalena </w:t>
      </w:r>
      <w:proofErr w:type="spellStart"/>
      <w:r>
        <w:rPr>
          <w:rFonts w:ascii="Calibri" w:eastAsia="Calibri" w:hAnsi="Calibri" w:cs="Times New Roman"/>
          <w:lang w:val="en-US"/>
        </w:rPr>
        <w:t>Uber</w:t>
      </w:r>
      <w:r>
        <w:rPr>
          <w:rFonts w:ascii="Calibri" w:eastAsia="Calibri" w:hAnsi="Calibri" w:cs="Times New Roman"/>
          <w:vertAlign w:val="superscript"/>
          <w:lang w:val="en-US"/>
        </w:rPr>
        <w:t>a</w:t>
      </w:r>
      <w:proofErr w:type="spellEnd"/>
      <w:r>
        <w:rPr>
          <w:rFonts w:ascii="Calibri" w:eastAsia="Calibri" w:hAnsi="Calibri" w:cs="Times New Roman"/>
          <w:vertAlign w:val="superscript"/>
          <w:lang w:val="en-US"/>
        </w:rPr>
        <w:t>*</w:t>
      </w:r>
      <w:r>
        <w:rPr>
          <w:rFonts w:ascii="Calibri" w:eastAsia="Calibri" w:hAnsi="Calibri" w:cs="Times New Roman"/>
          <w:lang w:val="en-US"/>
        </w:rPr>
        <w:t xml:space="preserve">, Liza-Marie </w:t>
      </w:r>
      <w:proofErr w:type="spellStart"/>
      <w:r>
        <w:rPr>
          <w:rFonts w:ascii="Calibri" w:eastAsia="Calibri" w:hAnsi="Calibri" w:cs="Times New Roman"/>
          <w:lang w:val="en-US"/>
        </w:rPr>
        <w:t>Beckers</w:t>
      </w:r>
      <w:r>
        <w:rPr>
          <w:rFonts w:ascii="Calibri" w:eastAsia="Calibri" w:hAnsi="Calibri" w:cs="Times New Roman"/>
          <w:vertAlign w:val="superscript"/>
          <w:lang w:val="en-US"/>
        </w:rPr>
        <w:t>b</w:t>
      </w:r>
      <w:proofErr w:type="spellEnd"/>
      <w:r>
        <w:rPr>
          <w:rFonts w:ascii="Calibri" w:eastAsia="Calibri" w:hAnsi="Calibri" w:cs="Times New Roman"/>
          <w:lang w:val="en-US"/>
        </w:rPr>
        <w:t xml:space="preserve">, Simon </w:t>
      </w:r>
      <w:proofErr w:type="spellStart"/>
      <w:r>
        <w:rPr>
          <w:rFonts w:ascii="Calibri" w:eastAsia="Calibri" w:hAnsi="Calibri" w:cs="Times New Roman"/>
          <w:lang w:val="en-US"/>
        </w:rPr>
        <w:t>Terweh</w:t>
      </w:r>
      <w:r>
        <w:rPr>
          <w:rFonts w:ascii="Calibri" w:eastAsia="Calibri" w:hAnsi="Calibri" w:cs="Times New Roman"/>
          <w:vertAlign w:val="superscript"/>
          <w:lang w:val="en-US"/>
        </w:rPr>
        <w:t>a</w:t>
      </w:r>
      <w:proofErr w:type="spellEnd"/>
      <w:r>
        <w:rPr>
          <w:rFonts w:ascii="Calibri" w:eastAsia="Calibri" w:hAnsi="Calibri" w:cs="Times New Roman"/>
          <w:lang w:val="en-US"/>
        </w:rPr>
        <w:t xml:space="preserve">, Peer </w:t>
      </w:r>
      <w:proofErr w:type="spellStart"/>
      <w:r>
        <w:rPr>
          <w:rFonts w:ascii="Calibri" w:eastAsia="Calibri" w:hAnsi="Calibri" w:cs="Times New Roman"/>
          <w:lang w:val="en-US"/>
        </w:rPr>
        <w:t>Helmke</w:t>
      </w:r>
      <w:r>
        <w:rPr>
          <w:rFonts w:ascii="Calibri" w:eastAsia="Calibri" w:hAnsi="Calibri" w:cs="Times New Roman"/>
          <w:vertAlign w:val="superscript"/>
          <w:lang w:val="en-US"/>
        </w:rPr>
        <w:t>a</w:t>
      </w:r>
      <w:proofErr w:type="spellEnd"/>
      <w:r>
        <w:rPr>
          <w:rFonts w:ascii="Calibri" w:eastAsia="Calibri" w:hAnsi="Calibri" w:cs="Times New Roman"/>
          <w:lang w:val="en-US"/>
        </w:rPr>
        <w:t xml:space="preserve">, Thomas </w:t>
      </w:r>
      <w:proofErr w:type="spellStart"/>
      <w:r>
        <w:rPr>
          <w:rFonts w:ascii="Calibri" w:eastAsia="Calibri" w:hAnsi="Calibri" w:cs="Times New Roman"/>
          <w:lang w:val="en-US"/>
        </w:rPr>
        <w:t>Hoffmann</w:t>
      </w:r>
      <w:r>
        <w:rPr>
          <w:rFonts w:ascii="Calibri" w:eastAsia="Calibri" w:hAnsi="Calibri" w:cs="Times New Roman"/>
          <w:vertAlign w:val="superscript"/>
          <w:lang w:val="en-US"/>
        </w:rPr>
        <w:t>a</w:t>
      </w:r>
      <w:bookmarkEnd w:id="0"/>
      <w:proofErr w:type="spellEnd"/>
    </w:p>
    <w:p w14:paraId="0661D83E" w14:textId="77777777" w:rsidR="00E81B35" w:rsidRDefault="002D5E19">
      <w:pPr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vertAlign w:val="superscript"/>
          <w:lang w:val="en-US"/>
        </w:rPr>
        <w:t>a</w:t>
      </w:r>
      <w:r>
        <w:rPr>
          <w:rFonts w:ascii="Calibri" w:eastAsia="Calibri" w:hAnsi="Calibri" w:cs="Times New Roman"/>
          <w:lang w:val="en-US"/>
        </w:rPr>
        <w:t xml:space="preserve"> Department of Fluvial Morphology, Sediment Dynamics and Management, Federal Institute of Hydrology, 56068 Koblenz, Germany</w:t>
      </w:r>
    </w:p>
    <w:p w14:paraId="72B170D4" w14:textId="77777777" w:rsidR="00E81B35" w:rsidRDefault="002D5E19">
      <w:pPr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vertAlign w:val="superscript"/>
          <w:lang w:val="en-US"/>
        </w:rPr>
        <w:t>b</w:t>
      </w:r>
      <w:r>
        <w:rPr>
          <w:rFonts w:ascii="Calibri" w:eastAsia="Calibri" w:hAnsi="Calibri" w:cs="Times New Roman"/>
          <w:lang w:val="en-US"/>
        </w:rPr>
        <w:t xml:space="preserve"> Department of Aquatic Chemistry, Federal Institute of Hydrology, 56068 Koblenz, Germany</w:t>
      </w:r>
    </w:p>
    <w:p w14:paraId="1C425899" w14:textId="77777777" w:rsidR="00E81B35" w:rsidRDefault="002D5E19">
      <w:pPr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* Corresponding author. E-mail address: </w:t>
      </w:r>
      <w:hyperlink r:id="rId7" w:history="1">
        <w:r>
          <w:rPr>
            <w:rFonts w:ascii="Calibri" w:eastAsia="Calibri" w:hAnsi="Calibri" w:cs="Times New Roman"/>
            <w:color w:val="0000FF"/>
            <w:u w:val="single"/>
            <w:lang w:val="en-US"/>
          </w:rPr>
          <w:t>Magdalena.Uber@baw.de</w:t>
        </w:r>
      </w:hyperlink>
      <w:r>
        <w:rPr>
          <w:rFonts w:ascii="Calibri" w:eastAsia="Calibri" w:hAnsi="Calibri" w:cs="Times New Roman"/>
          <w:lang w:val="en-US"/>
        </w:rPr>
        <w:t>. Present address: Federal Waterways Engineering and Research Institute, 22559 Hamburg, Germany</w:t>
      </w:r>
    </w:p>
    <w:p w14:paraId="384DA87E" w14:textId="77777777" w:rsidR="00E81B35" w:rsidRDefault="002D5E19">
      <w:pPr>
        <w:pStyle w:val="berschrift1"/>
        <w:rPr>
          <w:rFonts w:eastAsia="Times New Roman" w:cstheme="minorHAnsi"/>
          <w:b w:val="0"/>
          <w:bCs w:val="0"/>
          <w:color w:val="2F5496"/>
          <w:sz w:val="32"/>
          <w:szCs w:val="32"/>
          <w:lang w:val="en-US"/>
        </w:rPr>
      </w:pPr>
      <w:r>
        <w:rPr>
          <w:rFonts w:eastAsia="Times New Roman" w:cstheme="minorHAnsi"/>
          <w:b w:val="0"/>
          <w:bCs w:val="0"/>
          <w:color w:val="2F5496"/>
          <w:sz w:val="32"/>
          <w:szCs w:val="32"/>
          <w:lang w:val="en-US"/>
        </w:rPr>
        <w:t>Additional figures</w:t>
      </w:r>
    </w:p>
    <w:p w14:paraId="0E9C0222" w14:textId="77777777" w:rsidR="00E81B35" w:rsidRDefault="002D5E1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E4EF27D" wp14:editId="75B9707C">
            <wp:extent cx="2696166" cy="2141855"/>
            <wp:effectExtent l="0" t="0" r="952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39" cy="218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A7AAB" w14:textId="77777777" w:rsidR="00E81B35" w:rsidRDefault="002D5E19">
      <w:pPr>
        <w:pStyle w:val="Beschriftung"/>
        <w:rPr>
          <w:lang w:val="en-US"/>
        </w:rPr>
      </w:pPr>
      <w:r>
        <w:rPr>
          <w:lang w:val="en-US"/>
        </w:rPr>
        <w:t>Figure S1 Temporal dynamic of the event-based runoff coefficient. Each point represents one event. The line connects the monthly means.</w:t>
      </w:r>
    </w:p>
    <w:p w14:paraId="37109AF5" w14:textId="77777777" w:rsidR="00E81B35" w:rsidRDefault="002D5E1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61D4566" wp14:editId="0BFC39BE">
            <wp:extent cx="5735725" cy="2872740"/>
            <wp:effectExtent l="0" t="0" r="0" b="381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PCA_Var_v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72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EE41" w14:textId="0867CA1E" w:rsidR="00E81B35" w:rsidRDefault="002D5E19" w:rsidP="00052A17">
      <w:pPr>
        <w:pStyle w:val="Beschriftung"/>
        <w:rPr>
          <w:lang w:val="en-US"/>
        </w:rPr>
      </w:pPr>
      <w:r>
        <w:rPr>
          <w:lang w:val="en-US"/>
        </w:rPr>
        <w:t>Figure S2 Contribution of the metrics to the PC1 and PC2 (a) and to PC1 and PC3 (b) in the event-based principal component analysis.</w:t>
      </w:r>
    </w:p>
    <w:p w14:paraId="7C24FDCD" w14:textId="77777777" w:rsidR="008E4569" w:rsidRDefault="008E4569" w:rsidP="006F4A8A">
      <w:pPr>
        <w:keepNext/>
        <w:spacing w:line="480" w:lineRule="auto"/>
        <w:jc w:val="center"/>
      </w:pPr>
      <w:r>
        <w:rPr>
          <w:noProof/>
          <w:lang w:val="en-US"/>
        </w:rPr>
        <w:drawing>
          <wp:inline distT="0" distB="0" distL="0" distR="0" wp14:anchorId="00D06B52" wp14:editId="56B1E9AD">
            <wp:extent cx="3179324" cy="3433264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str_con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324" cy="343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9989C" w14:textId="73C5CA75" w:rsidR="008E4569" w:rsidRDefault="008E4569" w:rsidP="00052A17">
      <w:pPr>
        <w:pStyle w:val="Beschriftung"/>
        <w:jc w:val="left"/>
        <w:rPr>
          <w:lang w:val="en-US"/>
        </w:rPr>
      </w:pPr>
      <w:bookmarkStart w:id="1" w:name="_Ref185013043"/>
      <w:r>
        <w:rPr>
          <w:lang w:val="en-US"/>
        </w:rPr>
        <w:t xml:space="preserve">Figure </w:t>
      </w:r>
      <w:bookmarkEnd w:id="1"/>
      <w:r w:rsidR="00052A17">
        <w:rPr>
          <w:lang w:val="en-US"/>
        </w:rPr>
        <w:t>S3</w:t>
      </w:r>
      <w:r>
        <w:rPr>
          <w:lang w:val="en-US"/>
        </w:rPr>
        <w:t xml:space="preserve"> Distributions of the six selected OMPs in 14-day composite samples taken in the Moselle</w:t>
      </w:r>
      <w:r w:rsidR="00052A17">
        <w:rPr>
          <w:lang w:val="en-US"/>
        </w:rPr>
        <w:t xml:space="preserve"> </w:t>
      </w:r>
      <w:r>
        <w:rPr>
          <w:lang w:val="en-US"/>
        </w:rPr>
        <w:t>River</w:t>
      </w:r>
      <w:r w:rsidR="00052A17">
        <w:rPr>
          <w:lang w:val="en-US"/>
        </w:rPr>
        <w:t xml:space="preserve"> </w:t>
      </w:r>
      <w:r>
        <w:rPr>
          <w:lang w:val="en-US"/>
        </w:rPr>
        <w:t>at Koblenz between 2009 and 2022. The left bar always gives the number of samples below the limit of quantification (LOQ).</w:t>
      </w:r>
    </w:p>
    <w:p w14:paraId="525B75BA" w14:textId="77777777" w:rsidR="00DB0F10" w:rsidRDefault="00DB0F10" w:rsidP="006F4A8A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1E40E1B1" wp14:editId="54647D23">
            <wp:extent cx="5760720" cy="16586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7B0D9" w14:textId="666F3C2D" w:rsidR="00DB0F10" w:rsidRPr="00DB0F10" w:rsidRDefault="00DB0F10" w:rsidP="00DB0F10">
      <w:pPr>
        <w:pStyle w:val="Beschriftung"/>
        <w:jc w:val="left"/>
        <w:rPr>
          <w:lang w:val="en-US"/>
        </w:rPr>
      </w:pPr>
      <w:r w:rsidRPr="00DB0F10">
        <w:rPr>
          <w:lang w:val="en-US"/>
        </w:rPr>
        <w:t>Figure S</w:t>
      </w:r>
      <w:r>
        <w:rPr>
          <w:lang w:val="en-US"/>
        </w:rPr>
        <w:t xml:space="preserve">4 </w:t>
      </w:r>
      <w:r w:rsidRPr="00DB0F10">
        <w:rPr>
          <w:lang w:val="en-US"/>
        </w:rPr>
        <w:t xml:space="preserve">Concentrations of </w:t>
      </w:r>
      <w:r>
        <w:rPr>
          <w:lang w:val="en-US"/>
        </w:rPr>
        <w:t xml:space="preserve">the </w:t>
      </w:r>
      <w:r w:rsidRPr="00DB0F10">
        <w:rPr>
          <w:lang w:val="en-US"/>
        </w:rPr>
        <w:t>OMP</w:t>
      </w:r>
      <w:r>
        <w:rPr>
          <w:lang w:val="en-US"/>
        </w:rPr>
        <w:t>s</w:t>
      </w:r>
      <w:r w:rsidRPr="00DB0F10">
        <w:rPr>
          <w:lang w:val="en-US"/>
        </w:rPr>
        <w:t xml:space="preserve"> </w:t>
      </w:r>
      <w:proofErr w:type="spellStart"/>
      <w:r>
        <w:rPr>
          <w:lang w:val="en-US"/>
        </w:rPr>
        <w:t>therbuthylazine</w:t>
      </w:r>
      <w:proofErr w:type="spellEnd"/>
      <w:r>
        <w:rPr>
          <w:lang w:val="en-US"/>
        </w:rPr>
        <w:t xml:space="preserve">, TCEP and TCPP </w:t>
      </w:r>
      <w:r w:rsidRPr="00DB0F10">
        <w:rPr>
          <w:lang w:val="en-US"/>
        </w:rPr>
        <w:t>in sampling periods classified by the cluster analysis.</w:t>
      </w:r>
    </w:p>
    <w:p w14:paraId="70F99CDF" w14:textId="77777777" w:rsidR="00E81B35" w:rsidRDefault="00E81B35">
      <w:pPr>
        <w:rPr>
          <w:lang w:val="en-US"/>
        </w:rPr>
      </w:pPr>
    </w:p>
    <w:p w14:paraId="3CC08EE9" w14:textId="77777777" w:rsidR="004D2924" w:rsidRDefault="004D2924" w:rsidP="006F4A8A">
      <w:pPr>
        <w:keepNext/>
        <w:spacing w:line="480" w:lineRule="auto"/>
        <w:jc w:val="center"/>
      </w:pPr>
      <w:r>
        <w:rPr>
          <w:noProof/>
          <w:lang w:val="en-US"/>
        </w:rPr>
        <w:drawing>
          <wp:inline distT="0" distB="0" distL="0" distR="0" wp14:anchorId="5D77FCAB" wp14:editId="5F2526A1">
            <wp:extent cx="4373909" cy="3953508"/>
            <wp:effectExtent l="0" t="0" r="762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rrplot_OMP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909" cy="395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45A7" w14:textId="1768CD3A" w:rsidR="004D2924" w:rsidRDefault="004D2924" w:rsidP="00DB0F10">
      <w:pPr>
        <w:pStyle w:val="Beschriftung"/>
        <w:rPr>
          <w:lang w:val="en-US"/>
        </w:rPr>
      </w:pPr>
      <w:bookmarkStart w:id="2" w:name="_Ref185013260"/>
      <w:r>
        <w:rPr>
          <w:lang w:val="en-US"/>
        </w:rPr>
        <w:t xml:space="preserve">Figure </w:t>
      </w:r>
      <w:bookmarkEnd w:id="2"/>
      <w:r w:rsidR="00052A17" w:rsidRPr="00052A17">
        <w:rPr>
          <w:lang w:val="en-US"/>
        </w:rPr>
        <w:t>S</w:t>
      </w:r>
      <w:r w:rsidR="00DB0F10">
        <w:rPr>
          <w:lang w:val="en-US"/>
        </w:rPr>
        <w:t>5</w:t>
      </w:r>
      <w:r>
        <w:rPr>
          <w:lang w:val="en-US"/>
        </w:rPr>
        <w:t xml:space="preserve"> Correlation matrix of the selected </w:t>
      </w:r>
      <w:r w:rsidR="0091180A">
        <w:rPr>
          <w:lang w:val="en-US"/>
        </w:rPr>
        <w:t>sample-based</w:t>
      </w:r>
      <w:r>
        <w:rPr>
          <w:lang w:val="en-US"/>
        </w:rPr>
        <w:t xml:space="preserve"> metrics. The values given in the lower</w:t>
      </w:r>
      <w:r w:rsidR="0091180A">
        <w:rPr>
          <w:lang w:val="en-US"/>
        </w:rPr>
        <w:t xml:space="preserve"> left</w:t>
      </w:r>
      <w:r>
        <w:rPr>
          <w:lang w:val="en-US"/>
        </w:rPr>
        <w:t xml:space="preserve"> panel and visualized in the upper</w:t>
      </w:r>
      <w:r w:rsidR="0091180A">
        <w:rPr>
          <w:lang w:val="en-US"/>
        </w:rPr>
        <w:t xml:space="preserve"> right</w:t>
      </w:r>
      <w:r>
        <w:rPr>
          <w:lang w:val="en-US"/>
        </w:rPr>
        <w:t xml:space="preserve"> panel give Pearsons correlation coefficient.</w:t>
      </w:r>
    </w:p>
    <w:p w14:paraId="330412B8" w14:textId="77777777" w:rsidR="00E81B35" w:rsidRDefault="00E81B35">
      <w:pPr>
        <w:rPr>
          <w:lang w:val="en-US"/>
        </w:rPr>
      </w:pPr>
    </w:p>
    <w:sectPr w:rsidR="00E81B35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9C0A" w14:textId="77777777" w:rsidR="009A74D0" w:rsidRDefault="009A74D0">
      <w:pPr>
        <w:spacing w:after="0" w:line="240" w:lineRule="auto"/>
      </w:pPr>
      <w:r>
        <w:separator/>
      </w:r>
    </w:p>
  </w:endnote>
  <w:endnote w:type="continuationSeparator" w:id="0">
    <w:p w14:paraId="2CBF9C40" w14:textId="77777777" w:rsidR="009A74D0" w:rsidRDefault="009A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0205066"/>
      <w:docPartObj>
        <w:docPartGallery w:val="Page Numbers (Bottom of Page)"/>
        <w:docPartUnique/>
      </w:docPartObj>
    </w:sdtPr>
    <w:sdtContent>
      <w:p w14:paraId="51465450" w14:textId="77777777" w:rsidR="00E81B35" w:rsidRDefault="002D5E1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D7368" w14:textId="77777777" w:rsidR="00E81B35" w:rsidRDefault="00E81B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26B96" w14:textId="77777777" w:rsidR="009A74D0" w:rsidRDefault="009A74D0">
      <w:pPr>
        <w:spacing w:after="0" w:line="240" w:lineRule="auto"/>
      </w:pPr>
      <w:r>
        <w:separator/>
      </w:r>
    </w:p>
  </w:footnote>
  <w:footnote w:type="continuationSeparator" w:id="0">
    <w:p w14:paraId="3BA69806" w14:textId="77777777" w:rsidR="009A74D0" w:rsidRDefault="009A74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B35"/>
    <w:rsid w:val="00052A17"/>
    <w:rsid w:val="001234EB"/>
    <w:rsid w:val="00270513"/>
    <w:rsid w:val="002D5E19"/>
    <w:rsid w:val="004D2924"/>
    <w:rsid w:val="005E19A4"/>
    <w:rsid w:val="006F2D45"/>
    <w:rsid w:val="006F4A8A"/>
    <w:rsid w:val="00826B94"/>
    <w:rsid w:val="008E4569"/>
    <w:rsid w:val="0091180A"/>
    <w:rsid w:val="00936B7C"/>
    <w:rsid w:val="009A74D0"/>
    <w:rsid w:val="00B42C35"/>
    <w:rsid w:val="00BB6911"/>
    <w:rsid w:val="00C902A8"/>
    <w:rsid w:val="00D57ACA"/>
    <w:rsid w:val="00DB0F10"/>
    <w:rsid w:val="00E8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19007"/>
  <w15:chartTrackingRefBased/>
  <w15:docId w15:val="{D269E1B3-30AA-4DB2-8A98-32E1FFAD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de-DE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" w:unhideWhenUsed="1"/>
    <w:lsdException w:name="Emphasis" w:semiHidden="1" w:uiPriority="3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" w:unhideWhenUsed="1"/>
    <w:lsdException w:name="Intense Emphasis" w:semiHidden="1" w:uiPriority="4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keepNext/>
      <w:keepLines/>
      <w:spacing w:before="600" w:after="240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19"/>
    <w:qFormat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19"/>
    <w:qFormat/>
    <w:pPr>
      <w:keepNext/>
      <w:keepLines/>
      <w:spacing w:before="240" w:after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19"/>
    <w:qFormat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19"/>
    <w:semiHidden/>
    <w:unhideWhenUsed/>
    <w:qFormat/>
    <w:pPr>
      <w:keepNext/>
      <w:keepLines/>
      <w:spacing w:before="200"/>
      <w:outlineLvl w:val="4"/>
    </w:pPr>
    <w:rPr>
      <w:rFonts w:eastAsiaTheme="majorEastAsia" w:cstheme="majorBidi"/>
      <w:sz w:val="24"/>
    </w:rPr>
  </w:style>
  <w:style w:type="paragraph" w:styleId="berschrift6">
    <w:name w:val="heading 6"/>
    <w:basedOn w:val="Standard"/>
    <w:next w:val="Standard"/>
    <w:link w:val="berschrift6Zchn"/>
    <w:uiPriority w:val="19"/>
    <w:semiHidden/>
    <w:unhideWhenUsed/>
    <w:qFormat/>
    <w:pPr>
      <w:keepNext/>
      <w:keepLines/>
      <w:spacing w:before="200"/>
      <w:outlineLvl w:val="5"/>
    </w:pPr>
    <w:rPr>
      <w:rFonts w:eastAsiaTheme="majorEastAsia" w:cstheme="majorBidi"/>
      <w:i/>
      <w:iCs/>
      <w:sz w:val="24"/>
    </w:rPr>
  </w:style>
  <w:style w:type="paragraph" w:styleId="berschrift7">
    <w:name w:val="heading 7"/>
    <w:basedOn w:val="Standard"/>
    <w:next w:val="Standard"/>
    <w:link w:val="berschrift7Zchn"/>
    <w:uiPriority w:val="19"/>
    <w:semiHidden/>
    <w:unhideWhenUsed/>
    <w:qFormat/>
    <w:pPr>
      <w:keepNext/>
      <w:keepLines/>
      <w:spacing w:before="200"/>
      <w:outlineLvl w:val="6"/>
    </w:pPr>
    <w:rPr>
      <w:rFonts w:eastAsiaTheme="majorEastAsia" w:cstheme="majorBidi"/>
      <w:i/>
      <w:iCs/>
      <w:sz w:val="24"/>
    </w:rPr>
  </w:style>
  <w:style w:type="paragraph" w:styleId="berschrift8">
    <w:name w:val="heading 8"/>
    <w:basedOn w:val="Standard"/>
    <w:next w:val="Standard"/>
    <w:link w:val="berschrift8Zchn"/>
    <w:uiPriority w:val="19"/>
    <w:semiHidden/>
    <w:unhideWhenUsed/>
    <w:qFormat/>
    <w:pPr>
      <w:keepNext/>
      <w:keepLines/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Standard"/>
    <w:link w:val="berschrift9Zchn"/>
    <w:uiPriority w:val="19"/>
    <w:semiHidden/>
    <w:unhideWhenUsed/>
    <w:qFormat/>
    <w:pPr>
      <w:keepNext/>
      <w:keepLines/>
      <w:spacing w:before="200"/>
      <w:outlineLvl w:val="8"/>
    </w:pPr>
    <w:rPr>
      <w:rFonts w:eastAsiaTheme="majorEastAsia" w:cstheme="majorBidi"/>
      <w:i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Pr>
      <w:rFonts w:eastAsiaTheme="majorEastAsia" w:cstheme="majorBidi"/>
      <w:b/>
      <w:bCs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9"/>
    <w:rPr>
      <w:rFonts w:eastAsiaTheme="majorEastAsia" w:cstheme="majorBidi"/>
      <w:b/>
      <w:bCs/>
      <w:sz w:val="22"/>
      <w:szCs w:val="26"/>
    </w:rPr>
  </w:style>
  <w:style w:type="paragraph" w:styleId="Titel">
    <w:name w:val="Title"/>
    <w:basedOn w:val="Standard"/>
    <w:next w:val="Standard"/>
    <w:link w:val="TitelZchn"/>
    <w:uiPriority w:val="7"/>
    <w:unhideWhenUsed/>
    <w:qFormat/>
    <w:pPr>
      <w:spacing w:after="300" w:line="240" w:lineRule="auto"/>
      <w:contextualSpacing/>
    </w:pPr>
    <w:rPr>
      <w:rFonts w:eastAsiaTheme="majorEastAsia" w:cstheme="majorBidi"/>
      <w:b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7"/>
    <w:rPr>
      <w:rFonts w:eastAsiaTheme="majorEastAsia" w:cstheme="majorBidi"/>
      <w:b/>
      <w:sz w:val="28"/>
      <w:szCs w:val="52"/>
    </w:rPr>
  </w:style>
  <w:style w:type="paragraph" w:styleId="Untertitel">
    <w:name w:val="Subtitle"/>
    <w:basedOn w:val="Standard"/>
    <w:next w:val="Standard"/>
    <w:link w:val="UntertitelZchn"/>
    <w:uiPriority w:val="8"/>
    <w:unhideWhenUsed/>
    <w:qFormat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8"/>
    <w:rPr>
      <w:rFonts w:eastAsiaTheme="majorEastAsia" w:cstheme="majorBidi"/>
      <w:b/>
      <w:iCs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19"/>
    <w:rPr>
      <w:rFonts w:eastAsiaTheme="majorEastAsia" w:cstheme="majorBidi"/>
      <w:b/>
      <w:bCs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Pr>
      <w:rFonts w:ascii="Arial" w:eastAsiaTheme="majorEastAsia" w:hAnsi="Arial" w:cstheme="majorBidi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19"/>
    <w:rPr>
      <w:rFonts w:eastAsiaTheme="majorEastAsia" w:cstheme="majorBidi"/>
      <w:b/>
      <w:bCs/>
      <w:iCs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Pr>
      <w:rFonts w:ascii="Arial" w:eastAsiaTheme="majorEastAsia" w:hAnsi="Arial" w:cstheme="majorBidi"/>
      <w:i/>
      <w:iCs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Pr>
      <w:rFonts w:ascii="Arial" w:eastAsiaTheme="majorEastAsia" w:hAnsi="Arial" w:cstheme="majorBidi"/>
      <w:sz w:val="24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Pr>
      <w:rFonts w:ascii="Arial" w:eastAsiaTheme="majorEastAsia" w:hAnsi="Arial" w:cstheme="majorBidi"/>
      <w:i/>
      <w:iCs/>
      <w:sz w:val="24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  <w:rPr>
      <w:sz w:val="28"/>
    </w:rPr>
  </w:style>
  <w:style w:type="paragraph" w:styleId="Beschriftung">
    <w:name w:val="caption"/>
    <w:basedOn w:val="Standard"/>
    <w:next w:val="Standard"/>
    <w:uiPriority w:val="35"/>
    <w:qFormat/>
    <w:pPr>
      <w:spacing w:before="120" w:after="480" w:line="240" w:lineRule="auto"/>
      <w:ind w:left="1134" w:hanging="1134"/>
      <w:jc w:val="both"/>
    </w:pPr>
    <w:rPr>
      <w:bCs/>
      <w:i/>
      <w:szCs w:val="18"/>
    </w:rPr>
  </w:style>
  <w:style w:type="table" w:styleId="Tabellenraster">
    <w:name w:val="Table Grid"/>
    <w:basedOn w:val="NormaleTabelle"/>
    <w:pPr>
      <w:spacing w:line="240" w:lineRule="auto"/>
    </w:pPr>
    <w:rPr>
      <w:rFonts w:ascii="Times" w:eastAsia="Times New Roman" w:hAnsi="Times" w:cs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el">
    <w:name w:val="Formel"/>
    <w:basedOn w:val="Standard"/>
    <w:next w:val="Standard"/>
    <w:qFormat/>
    <w:pPr>
      <w:tabs>
        <w:tab w:val="center" w:pos="4536"/>
        <w:tab w:val="right" w:pos="9071"/>
      </w:tabs>
      <w:spacing w:before="120"/>
      <w:jc w:val="both"/>
    </w:pPr>
    <w:rPr>
      <w:rFonts w:eastAsia="Times New Roman" w:cs="Times New Roman"/>
      <w:lang w:eastAsia="de-DE"/>
    </w:rPr>
  </w:style>
  <w:style w:type="paragraph" w:customStyle="1" w:styleId="Tabelle">
    <w:name w:val="Tabelle"/>
    <w:basedOn w:val="Standard"/>
    <w:pPr>
      <w:tabs>
        <w:tab w:val="left" w:pos="851"/>
      </w:tabs>
    </w:pPr>
    <w:rPr>
      <w:rFonts w:eastAsia="Times New Roman" w:cs="Times New Roman"/>
      <w:lang w:eastAsia="de-DE"/>
    </w:rPr>
  </w:style>
  <w:style w:type="paragraph" w:customStyle="1" w:styleId="TabelleSpaltenberschrift">
    <w:name w:val="Tabelle_Spaltenüberschrift"/>
    <w:basedOn w:val="Standard"/>
    <w:next w:val="Tabelle"/>
    <w:pPr>
      <w:tabs>
        <w:tab w:val="left" w:pos="851"/>
      </w:tabs>
    </w:pPr>
    <w:rPr>
      <w:rFonts w:eastAsia="Times New Roman" w:cs="Times New Roman"/>
      <w:b/>
      <w:bCs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Theme="minorHAnsi" w:hAnsiTheme="minorHAnsi"/>
      <w:sz w:val="22"/>
      <w:szCs w:val="22"/>
    </w:rPr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1180A"/>
    <w:pPr>
      <w:spacing w:line="240" w:lineRule="auto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gdalena.Uber@baw.de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BAW-Farben">
      <a:dk1>
        <a:sysClr val="windowText" lastClr="000000"/>
      </a:dk1>
      <a:lt1>
        <a:srgbClr val="FFFFFF"/>
      </a:lt1>
      <a:dk2>
        <a:srgbClr val="4F4F4F"/>
      </a:dk2>
      <a:lt2>
        <a:srgbClr val="EAEAEA"/>
      </a:lt2>
      <a:accent1>
        <a:srgbClr val="2C63B1"/>
      </a:accent1>
      <a:accent2>
        <a:srgbClr val="5FBFED"/>
      </a:accent2>
      <a:accent3>
        <a:srgbClr val="65B32E"/>
      </a:accent3>
      <a:accent4>
        <a:srgbClr val="E94F35"/>
      </a:accent4>
      <a:accent5>
        <a:srgbClr val="00447A"/>
      </a:accent5>
      <a:accent6>
        <a:srgbClr val="00A8B8"/>
      </a:accent6>
      <a:hlink>
        <a:srgbClr val="2C63B1"/>
      </a:hlink>
      <a:folHlink>
        <a:srgbClr val="5FBFE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4D70A-AAC0-4781-9D1F-55D96524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Wasserbau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</dc:creator>
  <cp:keywords/>
  <dc:description/>
  <cp:lastModifiedBy>magdalena.uber@all.baw.de</cp:lastModifiedBy>
  <cp:revision>3</cp:revision>
  <dcterms:created xsi:type="dcterms:W3CDTF">2025-10-09T09:46:00Z</dcterms:created>
  <dcterms:modified xsi:type="dcterms:W3CDTF">2025-10-09T09:48:00Z</dcterms:modified>
</cp:coreProperties>
</file>