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F7117" w14:textId="1718A608" w:rsidR="00697CEA" w:rsidRDefault="00697CEA" w:rsidP="00066D40">
      <w:pPr>
        <w:jc w:val="center"/>
        <w:rPr>
          <w:rStyle w:val="Strong"/>
          <w:rFonts w:cstheme="minorHAnsi"/>
          <w:color w:val="000000" w:themeColor="text1"/>
          <w:sz w:val="28"/>
          <w:szCs w:val="28"/>
        </w:rPr>
      </w:pPr>
      <w:bookmarkStart w:id="0" w:name="_Hlk220850844"/>
      <w:bookmarkStart w:id="1" w:name="_Hlk220139141"/>
      <w:bookmarkStart w:id="2" w:name="_Hlk212098312"/>
      <w:bookmarkEnd w:id="0"/>
      <w:r>
        <w:rPr>
          <w:rStyle w:val="Strong"/>
          <w:rFonts w:cstheme="minorHAnsi"/>
          <w:color w:val="000000" w:themeColor="text1"/>
          <w:sz w:val="28"/>
          <w:szCs w:val="28"/>
        </w:rPr>
        <w:t>SUPPORTING INFORMATION</w:t>
      </w:r>
    </w:p>
    <w:p w14:paraId="7C25C7EA" w14:textId="03EA5996" w:rsidR="00806888" w:rsidRPr="00567E44" w:rsidRDefault="00806888" w:rsidP="00806888">
      <w:pPr>
        <w:jc w:val="center"/>
        <w:rPr>
          <w:b/>
          <w:bCs/>
          <w:sz w:val="28"/>
          <w:szCs w:val="28"/>
        </w:rPr>
      </w:pPr>
      <w:bookmarkStart w:id="3" w:name="_Hlk223419105"/>
      <w:bookmarkEnd w:id="1"/>
      <w:bookmarkEnd w:id="2"/>
      <w:r w:rsidRPr="00004CCB">
        <w:rPr>
          <w:rStyle w:val="Strong"/>
          <w:rFonts w:cstheme="minorHAnsi"/>
          <w:color w:val="000000" w:themeColor="text1"/>
          <w:sz w:val="28"/>
          <w:szCs w:val="28"/>
        </w:rPr>
        <w:t xml:space="preserve">Comparative Assessment </w:t>
      </w:r>
      <w:r w:rsidRPr="00567E44">
        <w:rPr>
          <w:b/>
          <w:bCs/>
          <w:sz w:val="28"/>
          <w:szCs w:val="28"/>
        </w:rPr>
        <w:t xml:space="preserve">of Screening Workflows </w:t>
      </w:r>
      <w:r>
        <w:rPr>
          <w:b/>
          <w:bCs/>
          <w:sz w:val="28"/>
          <w:szCs w:val="28"/>
        </w:rPr>
        <w:t>for</w:t>
      </w:r>
      <w:r w:rsidRPr="00567E44">
        <w:rPr>
          <w:b/>
          <w:bCs/>
          <w:sz w:val="28"/>
          <w:szCs w:val="28"/>
        </w:rPr>
        <w:t xml:space="preserve"> characteriz</w:t>
      </w:r>
      <w:r>
        <w:rPr>
          <w:b/>
          <w:bCs/>
          <w:sz w:val="28"/>
          <w:szCs w:val="28"/>
        </w:rPr>
        <w:t>ing</w:t>
      </w:r>
      <w:r w:rsidRPr="00567E44">
        <w:rPr>
          <w:b/>
          <w:bCs/>
          <w:sz w:val="28"/>
          <w:szCs w:val="28"/>
        </w:rPr>
        <w:t xml:space="preserve"> occupational exposure</w:t>
      </w:r>
      <w:r>
        <w:rPr>
          <w:b/>
          <w:bCs/>
          <w:sz w:val="28"/>
          <w:szCs w:val="28"/>
        </w:rPr>
        <w:t xml:space="preserve"> to chemicals in humans</w:t>
      </w:r>
      <w:r w:rsidRPr="00567E44">
        <w:rPr>
          <w:b/>
          <w:bCs/>
          <w:sz w:val="28"/>
          <w:szCs w:val="28"/>
        </w:rPr>
        <w:t xml:space="preserve">: </w:t>
      </w:r>
      <w:r>
        <w:rPr>
          <w:b/>
          <w:bCs/>
          <w:sz w:val="28"/>
          <w:szCs w:val="28"/>
        </w:rPr>
        <w:t>An EU-</w:t>
      </w:r>
      <w:r w:rsidRPr="00567E44">
        <w:rPr>
          <w:b/>
          <w:bCs/>
          <w:sz w:val="28"/>
          <w:szCs w:val="28"/>
        </w:rPr>
        <w:t xml:space="preserve">PARC interlaboratory study </w:t>
      </w:r>
    </w:p>
    <w:p w14:paraId="507345F5" w14:textId="77777777" w:rsidR="00806888" w:rsidRPr="00806888" w:rsidRDefault="00806888" w:rsidP="00806888">
      <w:pPr>
        <w:jc w:val="both"/>
        <w:rPr>
          <w:sz w:val="20"/>
          <w:szCs w:val="20"/>
        </w:rPr>
      </w:pPr>
      <w:bookmarkStart w:id="4" w:name="_Hlk223529545"/>
      <w:bookmarkStart w:id="5" w:name="_Hlk224418356"/>
      <w:bookmarkStart w:id="6" w:name="_Hlk223512692"/>
      <w:proofErr w:type="spellStart"/>
      <w:r w:rsidRPr="00806888">
        <w:rPr>
          <w:sz w:val="20"/>
          <w:szCs w:val="20"/>
        </w:rPr>
        <w:t>Baninia</w:t>
      </w:r>
      <w:proofErr w:type="spellEnd"/>
      <w:r w:rsidRPr="00806888">
        <w:rPr>
          <w:sz w:val="20"/>
          <w:szCs w:val="20"/>
        </w:rPr>
        <w:t xml:space="preserve"> Habchi</w:t>
      </w:r>
      <w:r w:rsidRPr="00806888">
        <w:rPr>
          <w:sz w:val="20"/>
          <w:szCs w:val="20"/>
          <w:vertAlign w:val="superscript"/>
        </w:rPr>
        <w:t>1*</w:t>
      </w:r>
      <w:r w:rsidRPr="00806888">
        <w:rPr>
          <w:sz w:val="20"/>
          <w:szCs w:val="20"/>
        </w:rPr>
        <w:t xml:space="preserve">, </w:t>
      </w:r>
      <w:proofErr w:type="spellStart"/>
      <w:r w:rsidRPr="00806888">
        <w:rPr>
          <w:sz w:val="20"/>
          <w:szCs w:val="20"/>
        </w:rPr>
        <w:t>Aurélie</w:t>
      </w:r>
      <w:proofErr w:type="spellEnd"/>
      <w:r w:rsidRPr="00806888">
        <w:rPr>
          <w:sz w:val="20"/>
          <w:szCs w:val="20"/>
        </w:rPr>
        <w:t xml:space="preserve"> Martin Remy</w:t>
      </w:r>
      <w:r w:rsidRPr="00806888">
        <w:rPr>
          <w:sz w:val="20"/>
          <w:szCs w:val="20"/>
          <w:vertAlign w:val="superscript"/>
        </w:rPr>
        <w:t>1</w:t>
      </w:r>
      <w:r w:rsidRPr="00806888">
        <w:rPr>
          <w:sz w:val="20"/>
          <w:szCs w:val="20"/>
        </w:rPr>
        <w:t>, Lidia Belova</w:t>
      </w:r>
      <w:r w:rsidRPr="00806888">
        <w:rPr>
          <w:sz w:val="20"/>
          <w:szCs w:val="20"/>
          <w:vertAlign w:val="superscript"/>
        </w:rPr>
        <w:t>2</w:t>
      </w:r>
      <w:r w:rsidRPr="00806888">
        <w:rPr>
          <w:sz w:val="20"/>
          <w:szCs w:val="20"/>
        </w:rPr>
        <w:t>, Adrian Covaci</w:t>
      </w:r>
      <w:r w:rsidRPr="00806888">
        <w:rPr>
          <w:sz w:val="20"/>
          <w:szCs w:val="20"/>
          <w:vertAlign w:val="superscript"/>
        </w:rPr>
        <w:t>2</w:t>
      </w:r>
      <w:r w:rsidRPr="00806888">
        <w:rPr>
          <w:sz w:val="20"/>
          <w:szCs w:val="20"/>
        </w:rPr>
        <w:t xml:space="preserve">, </w:t>
      </w:r>
      <w:proofErr w:type="spellStart"/>
      <w:r w:rsidRPr="00806888">
        <w:rPr>
          <w:sz w:val="20"/>
          <w:szCs w:val="20"/>
        </w:rPr>
        <w:t>Annelaure</w:t>
      </w:r>
      <w:proofErr w:type="spellEnd"/>
      <w:r w:rsidRPr="00806888">
        <w:rPr>
          <w:sz w:val="20"/>
          <w:szCs w:val="20"/>
        </w:rPr>
        <w:t xml:space="preserve"> Damont</w:t>
      </w:r>
      <w:r w:rsidRPr="00806888">
        <w:rPr>
          <w:sz w:val="20"/>
          <w:szCs w:val="20"/>
          <w:vertAlign w:val="superscript"/>
        </w:rPr>
        <w:t>3</w:t>
      </w:r>
      <w:r w:rsidRPr="00806888">
        <w:rPr>
          <w:sz w:val="20"/>
          <w:szCs w:val="20"/>
        </w:rPr>
        <w:t>, Tina Kosjek</w:t>
      </w:r>
      <w:r w:rsidRPr="00806888">
        <w:rPr>
          <w:sz w:val="20"/>
          <w:szCs w:val="20"/>
          <w:vertAlign w:val="superscript"/>
        </w:rPr>
        <w:t>4,5</w:t>
      </w:r>
      <w:r w:rsidRPr="00806888">
        <w:rPr>
          <w:sz w:val="20"/>
          <w:szCs w:val="20"/>
        </w:rPr>
        <w:t xml:space="preserve">, </w:t>
      </w:r>
      <w:proofErr w:type="spellStart"/>
      <w:r w:rsidRPr="00806888">
        <w:rPr>
          <w:sz w:val="20"/>
          <w:szCs w:val="20"/>
        </w:rPr>
        <w:t>Carolin</w:t>
      </w:r>
      <w:proofErr w:type="spellEnd"/>
      <w:r w:rsidRPr="00806888">
        <w:rPr>
          <w:sz w:val="20"/>
          <w:szCs w:val="20"/>
        </w:rPr>
        <w:t xml:space="preserve"> Huber</w:t>
      </w:r>
      <w:r w:rsidRPr="00806888">
        <w:rPr>
          <w:sz w:val="20"/>
          <w:szCs w:val="20"/>
          <w:vertAlign w:val="superscript"/>
        </w:rPr>
        <w:t>6</w:t>
      </w:r>
      <w:r w:rsidRPr="00806888">
        <w:rPr>
          <w:sz w:val="20"/>
          <w:szCs w:val="20"/>
        </w:rPr>
        <w:t>, Nathalie Grova</w:t>
      </w:r>
      <w:r w:rsidRPr="00806888">
        <w:rPr>
          <w:sz w:val="20"/>
          <w:szCs w:val="20"/>
          <w:vertAlign w:val="superscript"/>
        </w:rPr>
        <w:t>1</w:t>
      </w:r>
      <w:r w:rsidRPr="00806888">
        <w:rPr>
          <w:sz w:val="20"/>
          <w:szCs w:val="20"/>
        </w:rPr>
        <w:t>, Guillaume Antoine</w:t>
      </w:r>
      <w:r w:rsidRPr="00806888">
        <w:rPr>
          <w:sz w:val="20"/>
          <w:szCs w:val="20"/>
          <w:vertAlign w:val="superscript"/>
        </w:rPr>
        <w:t>1</w:t>
      </w:r>
      <w:r w:rsidRPr="00806888">
        <w:rPr>
          <w:sz w:val="20"/>
          <w:szCs w:val="20"/>
        </w:rPr>
        <w:t>, Tarek Moufawad</w:t>
      </w:r>
      <w:r w:rsidRPr="00806888">
        <w:rPr>
          <w:sz w:val="20"/>
          <w:szCs w:val="20"/>
          <w:vertAlign w:val="superscript"/>
        </w:rPr>
        <w:t>7</w:t>
      </w:r>
      <w:r w:rsidRPr="00806888">
        <w:rPr>
          <w:sz w:val="20"/>
          <w:szCs w:val="20"/>
        </w:rPr>
        <w:t>, Eirini Baira</w:t>
      </w:r>
      <w:r w:rsidRPr="00806888">
        <w:rPr>
          <w:sz w:val="20"/>
          <w:szCs w:val="20"/>
          <w:vertAlign w:val="superscript"/>
        </w:rPr>
        <w:t>8</w:t>
      </w:r>
      <w:r w:rsidRPr="00806888">
        <w:rPr>
          <w:sz w:val="20"/>
          <w:szCs w:val="20"/>
        </w:rPr>
        <w:t>, Christian Baudry</w:t>
      </w:r>
      <w:r w:rsidRPr="00806888">
        <w:rPr>
          <w:sz w:val="20"/>
          <w:szCs w:val="20"/>
          <w:vertAlign w:val="superscript"/>
        </w:rPr>
        <w:t>9</w:t>
      </w:r>
      <w:r w:rsidRPr="00806888">
        <w:rPr>
          <w:sz w:val="20"/>
          <w:szCs w:val="20"/>
        </w:rPr>
        <w:t>, Clément Chalet</w:t>
      </w:r>
      <w:r w:rsidRPr="00806888">
        <w:rPr>
          <w:sz w:val="20"/>
          <w:szCs w:val="20"/>
          <w:vertAlign w:val="superscript"/>
        </w:rPr>
        <w:t>3</w:t>
      </w:r>
      <w:r w:rsidRPr="00806888">
        <w:rPr>
          <w:sz w:val="20"/>
          <w:szCs w:val="20"/>
        </w:rPr>
        <w:t>, Riccardo De Santo</w:t>
      </w:r>
      <w:r w:rsidRPr="00806888">
        <w:rPr>
          <w:sz w:val="20"/>
          <w:szCs w:val="20"/>
          <w:vertAlign w:val="superscript"/>
        </w:rPr>
        <w:t>10</w:t>
      </w:r>
      <w:r w:rsidRPr="00806888">
        <w:rPr>
          <w:sz w:val="20"/>
          <w:szCs w:val="20"/>
        </w:rPr>
        <w:t>, Gaud Dervilly</w:t>
      </w:r>
      <w:r w:rsidRPr="00806888">
        <w:rPr>
          <w:sz w:val="20"/>
          <w:szCs w:val="20"/>
          <w:vertAlign w:val="superscript"/>
        </w:rPr>
        <w:t>7</w:t>
      </w:r>
      <w:r w:rsidRPr="00806888">
        <w:rPr>
          <w:sz w:val="20"/>
          <w:szCs w:val="20"/>
        </w:rPr>
        <w:t xml:space="preserve">, Radu </w:t>
      </w:r>
      <w:proofErr w:type="spellStart"/>
      <w:r w:rsidRPr="00806888">
        <w:rPr>
          <w:sz w:val="20"/>
          <w:szCs w:val="20"/>
        </w:rPr>
        <w:t>Corneliu</w:t>
      </w:r>
      <w:proofErr w:type="spellEnd"/>
      <w:r w:rsidRPr="00806888">
        <w:rPr>
          <w:sz w:val="20"/>
          <w:szCs w:val="20"/>
        </w:rPr>
        <w:t xml:space="preserve"> Duca</w:t>
      </w:r>
      <w:r w:rsidRPr="00806888">
        <w:rPr>
          <w:sz w:val="20"/>
          <w:szCs w:val="20"/>
          <w:vertAlign w:val="superscript"/>
        </w:rPr>
        <w:t>11,12,13</w:t>
      </w:r>
      <w:r w:rsidRPr="00806888">
        <w:rPr>
          <w:sz w:val="20"/>
          <w:szCs w:val="20"/>
        </w:rPr>
        <w:t>, François Fenaille</w:t>
      </w:r>
      <w:r w:rsidRPr="00806888">
        <w:rPr>
          <w:sz w:val="20"/>
          <w:szCs w:val="20"/>
          <w:vertAlign w:val="superscript"/>
        </w:rPr>
        <w:t>3</w:t>
      </w:r>
      <w:r w:rsidRPr="00806888">
        <w:rPr>
          <w:sz w:val="20"/>
          <w:szCs w:val="20"/>
        </w:rPr>
        <w:t>, Mariana F. Fernández</w:t>
      </w:r>
      <w:r w:rsidRPr="00806888">
        <w:rPr>
          <w:sz w:val="20"/>
          <w:szCs w:val="20"/>
          <w:vertAlign w:val="superscript"/>
        </w:rPr>
        <w:t>14,15</w:t>
      </w:r>
      <w:r w:rsidRPr="00806888">
        <w:rPr>
          <w:sz w:val="20"/>
          <w:szCs w:val="20"/>
        </w:rPr>
        <w:t>, Catherine Gabriel</w:t>
      </w:r>
      <w:r w:rsidRPr="00806888">
        <w:rPr>
          <w:sz w:val="20"/>
          <w:szCs w:val="20"/>
          <w:vertAlign w:val="superscript"/>
        </w:rPr>
        <w:t>16,17</w:t>
      </w:r>
      <w:r w:rsidRPr="00806888">
        <w:rPr>
          <w:sz w:val="20"/>
          <w:szCs w:val="20"/>
        </w:rPr>
        <w:t xml:space="preserve">, </w:t>
      </w:r>
      <w:proofErr w:type="spellStart"/>
      <w:r w:rsidRPr="00806888">
        <w:rPr>
          <w:sz w:val="20"/>
          <w:szCs w:val="20"/>
        </w:rPr>
        <w:t>Corentin</w:t>
      </w:r>
      <w:proofErr w:type="spellEnd"/>
      <w:r w:rsidRPr="00806888">
        <w:rPr>
          <w:sz w:val="20"/>
          <w:szCs w:val="20"/>
        </w:rPr>
        <w:t xml:space="preserve"> Huet</w:t>
      </w:r>
      <w:r w:rsidRPr="00806888">
        <w:rPr>
          <w:sz w:val="20"/>
          <w:szCs w:val="20"/>
          <w:vertAlign w:val="superscript"/>
        </w:rPr>
        <w:t>7</w:t>
      </w:r>
      <w:r w:rsidRPr="00806888">
        <w:rPr>
          <w:sz w:val="20"/>
          <w:szCs w:val="20"/>
        </w:rPr>
        <w:t xml:space="preserve">, </w:t>
      </w:r>
      <w:proofErr w:type="spellStart"/>
      <w:r w:rsidRPr="00806888">
        <w:rPr>
          <w:sz w:val="20"/>
          <w:szCs w:val="20"/>
        </w:rPr>
        <w:t>Gaëlle</w:t>
      </w:r>
      <w:proofErr w:type="spellEnd"/>
      <w:r w:rsidRPr="00806888">
        <w:rPr>
          <w:sz w:val="20"/>
          <w:szCs w:val="20"/>
        </w:rPr>
        <w:t xml:space="preserve"> Jadé</w:t>
      </w:r>
      <w:r w:rsidRPr="00806888">
        <w:rPr>
          <w:sz w:val="20"/>
          <w:szCs w:val="20"/>
          <w:vertAlign w:val="superscript"/>
        </w:rPr>
        <w:t>9</w:t>
      </w:r>
      <w:r w:rsidRPr="00806888">
        <w:rPr>
          <w:sz w:val="20"/>
          <w:szCs w:val="20"/>
        </w:rPr>
        <w:t>, Anna Laura Iamiceli</w:t>
      </w:r>
      <w:r w:rsidRPr="00806888">
        <w:rPr>
          <w:sz w:val="20"/>
          <w:szCs w:val="20"/>
          <w:vertAlign w:val="superscript"/>
        </w:rPr>
        <w:t>18</w:t>
      </w:r>
      <w:r w:rsidRPr="00806888">
        <w:rPr>
          <w:sz w:val="20"/>
          <w:szCs w:val="20"/>
        </w:rPr>
        <w:t xml:space="preserve">, </w:t>
      </w:r>
      <w:proofErr w:type="spellStart"/>
      <w:r w:rsidRPr="00806888">
        <w:rPr>
          <w:sz w:val="20"/>
          <w:szCs w:val="20"/>
        </w:rPr>
        <w:t>Ardiana</w:t>
      </w:r>
      <w:proofErr w:type="spellEnd"/>
      <w:r w:rsidRPr="00806888">
        <w:rPr>
          <w:sz w:val="20"/>
          <w:szCs w:val="20"/>
        </w:rPr>
        <w:t xml:space="preserve"> Kajtazi</w:t>
      </w:r>
      <w:r w:rsidRPr="00806888">
        <w:rPr>
          <w:sz w:val="20"/>
          <w:szCs w:val="20"/>
          <w:vertAlign w:val="superscript"/>
        </w:rPr>
        <w:t>2</w:t>
      </w:r>
      <w:r w:rsidRPr="00806888">
        <w:rPr>
          <w:sz w:val="20"/>
          <w:szCs w:val="20"/>
        </w:rPr>
        <w:t>, Olli Kärkkäinen</w:t>
      </w:r>
      <w:r w:rsidRPr="00806888">
        <w:rPr>
          <w:sz w:val="20"/>
          <w:szCs w:val="20"/>
          <w:vertAlign w:val="superscript"/>
        </w:rPr>
        <w:t>19</w:t>
      </w:r>
      <w:r w:rsidRPr="00806888">
        <w:rPr>
          <w:sz w:val="20"/>
          <w:szCs w:val="20"/>
        </w:rPr>
        <w:t>, Konstantinos M. Kasiotis</w:t>
      </w:r>
      <w:r w:rsidRPr="00806888">
        <w:rPr>
          <w:sz w:val="20"/>
          <w:szCs w:val="20"/>
          <w:vertAlign w:val="superscript"/>
        </w:rPr>
        <w:t>8</w:t>
      </w:r>
      <w:r w:rsidRPr="00806888">
        <w:rPr>
          <w:sz w:val="20"/>
          <w:szCs w:val="20"/>
        </w:rPr>
        <w:t xml:space="preserve">, </w:t>
      </w:r>
      <w:proofErr w:type="spellStart"/>
      <w:r w:rsidRPr="00806888">
        <w:rPr>
          <w:sz w:val="20"/>
          <w:szCs w:val="20"/>
        </w:rPr>
        <w:t>Alkistis</w:t>
      </w:r>
      <w:proofErr w:type="spellEnd"/>
      <w:r w:rsidRPr="00806888">
        <w:rPr>
          <w:sz w:val="20"/>
          <w:szCs w:val="20"/>
        </w:rPr>
        <w:t xml:space="preserve"> Kevrekidou</w:t>
      </w:r>
      <w:r w:rsidRPr="00806888">
        <w:rPr>
          <w:sz w:val="20"/>
          <w:szCs w:val="20"/>
          <w:vertAlign w:val="superscript"/>
        </w:rPr>
        <w:t>16,17</w:t>
      </w:r>
      <w:r w:rsidRPr="00806888">
        <w:rPr>
          <w:sz w:val="20"/>
          <w:szCs w:val="20"/>
        </w:rPr>
        <w:t xml:space="preserve">, </w:t>
      </w:r>
      <w:proofErr w:type="spellStart"/>
      <w:r w:rsidRPr="00806888">
        <w:rPr>
          <w:sz w:val="20"/>
          <w:szCs w:val="20"/>
        </w:rPr>
        <w:t>Štěpán</w:t>
      </w:r>
      <w:proofErr w:type="spellEnd"/>
      <w:r w:rsidRPr="00806888">
        <w:rPr>
          <w:sz w:val="20"/>
          <w:szCs w:val="20"/>
        </w:rPr>
        <w:t xml:space="preserve"> Koudelka</w:t>
      </w:r>
      <w:r w:rsidRPr="00806888">
        <w:rPr>
          <w:sz w:val="20"/>
          <w:szCs w:val="20"/>
          <w:vertAlign w:val="superscript"/>
        </w:rPr>
        <w:t>20,21</w:t>
      </w:r>
      <w:r w:rsidRPr="00806888">
        <w:rPr>
          <w:sz w:val="20"/>
          <w:szCs w:val="20"/>
        </w:rPr>
        <w:t xml:space="preserve">, </w:t>
      </w:r>
      <w:proofErr w:type="spellStart"/>
      <w:r w:rsidRPr="00806888">
        <w:rPr>
          <w:sz w:val="20"/>
          <w:szCs w:val="20"/>
        </w:rPr>
        <w:t>Lucyna</w:t>
      </w:r>
      <w:proofErr w:type="spellEnd"/>
      <w:r w:rsidRPr="00806888">
        <w:rPr>
          <w:sz w:val="20"/>
          <w:szCs w:val="20"/>
        </w:rPr>
        <w:t xml:space="preserve"> Kozlowska</w:t>
      </w:r>
      <w:r w:rsidRPr="00806888">
        <w:rPr>
          <w:sz w:val="20"/>
          <w:szCs w:val="20"/>
          <w:vertAlign w:val="superscript"/>
        </w:rPr>
        <w:t>22</w:t>
      </w:r>
      <w:r w:rsidRPr="00806888">
        <w:rPr>
          <w:sz w:val="20"/>
          <w:szCs w:val="20"/>
        </w:rPr>
        <w:t xml:space="preserve">, </w:t>
      </w:r>
      <w:proofErr w:type="spellStart"/>
      <w:r w:rsidRPr="00806888">
        <w:rPr>
          <w:sz w:val="20"/>
          <w:szCs w:val="20"/>
        </w:rPr>
        <w:t>Marja</w:t>
      </w:r>
      <w:proofErr w:type="spellEnd"/>
      <w:r w:rsidRPr="00806888">
        <w:rPr>
          <w:sz w:val="20"/>
          <w:szCs w:val="20"/>
        </w:rPr>
        <w:t xml:space="preserve"> Lamoree</w:t>
      </w:r>
      <w:r w:rsidRPr="00806888">
        <w:rPr>
          <w:sz w:val="20"/>
          <w:szCs w:val="20"/>
          <w:vertAlign w:val="superscript"/>
        </w:rPr>
        <w:t>23</w:t>
      </w:r>
      <w:r w:rsidRPr="00806888">
        <w:rPr>
          <w:sz w:val="20"/>
          <w:szCs w:val="20"/>
        </w:rPr>
        <w:t>, Michel Laurentie</w:t>
      </w:r>
      <w:r w:rsidRPr="00806888">
        <w:rPr>
          <w:sz w:val="20"/>
          <w:szCs w:val="20"/>
          <w:vertAlign w:val="superscript"/>
        </w:rPr>
        <w:t>24</w:t>
      </w:r>
      <w:r w:rsidRPr="00806888">
        <w:rPr>
          <w:sz w:val="20"/>
          <w:szCs w:val="20"/>
        </w:rPr>
        <w:t>, Bruno Le Bizec</w:t>
      </w:r>
      <w:r w:rsidRPr="00806888">
        <w:rPr>
          <w:sz w:val="20"/>
          <w:szCs w:val="20"/>
          <w:vertAlign w:val="superscript"/>
        </w:rPr>
        <w:t>7</w:t>
      </w:r>
      <w:r w:rsidRPr="00806888">
        <w:rPr>
          <w:sz w:val="20"/>
          <w:szCs w:val="20"/>
        </w:rPr>
        <w:t>, Rosalie Nijssen</w:t>
      </w:r>
      <w:r w:rsidRPr="00806888">
        <w:rPr>
          <w:sz w:val="20"/>
          <w:szCs w:val="20"/>
          <w:vertAlign w:val="superscript"/>
        </w:rPr>
        <w:t>25</w:t>
      </w:r>
      <w:r w:rsidRPr="00806888">
        <w:rPr>
          <w:sz w:val="20"/>
          <w:szCs w:val="20"/>
        </w:rPr>
        <w:t>, Herbert Oberacher</w:t>
      </w:r>
      <w:r w:rsidRPr="00806888">
        <w:rPr>
          <w:sz w:val="20"/>
          <w:szCs w:val="20"/>
          <w:vertAlign w:val="superscript"/>
        </w:rPr>
        <w:t>26</w:t>
      </w:r>
      <w:r w:rsidRPr="00806888">
        <w:rPr>
          <w:sz w:val="20"/>
          <w:szCs w:val="20"/>
        </w:rPr>
        <w:t>, Elliott J. Price</w:t>
      </w:r>
      <w:r w:rsidRPr="00806888">
        <w:rPr>
          <w:sz w:val="20"/>
          <w:szCs w:val="20"/>
          <w:vertAlign w:val="superscript"/>
        </w:rPr>
        <w:t>20,21</w:t>
      </w:r>
      <w:r w:rsidRPr="00806888">
        <w:rPr>
          <w:sz w:val="20"/>
          <w:szCs w:val="20"/>
        </w:rPr>
        <w:t>, Helena Plešnik</w:t>
      </w:r>
      <w:r w:rsidRPr="00806888">
        <w:rPr>
          <w:sz w:val="20"/>
          <w:szCs w:val="20"/>
          <w:vertAlign w:val="superscript"/>
        </w:rPr>
        <w:t>4,5</w:t>
      </w:r>
      <w:r w:rsidRPr="00806888">
        <w:rPr>
          <w:sz w:val="20"/>
          <w:szCs w:val="20"/>
        </w:rPr>
        <w:t xml:space="preserve">, </w:t>
      </w:r>
      <w:proofErr w:type="spellStart"/>
      <w:r w:rsidRPr="00806888">
        <w:rPr>
          <w:sz w:val="20"/>
          <w:szCs w:val="20"/>
        </w:rPr>
        <w:t>Žan</w:t>
      </w:r>
      <w:proofErr w:type="spellEnd"/>
      <w:r w:rsidRPr="00806888">
        <w:rPr>
          <w:sz w:val="20"/>
          <w:szCs w:val="20"/>
        </w:rPr>
        <w:t xml:space="preserve"> Rekar</w:t>
      </w:r>
      <w:r w:rsidRPr="00806888">
        <w:rPr>
          <w:sz w:val="20"/>
          <w:szCs w:val="20"/>
          <w:vertAlign w:val="superscript"/>
        </w:rPr>
        <w:t>4,5</w:t>
      </w:r>
      <w:r w:rsidRPr="00806888">
        <w:rPr>
          <w:sz w:val="20"/>
          <w:szCs w:val="20"/>
        </w:rPr>
        <w:t>, Andrea Rodriguez-Carrillo</w:t>
      </w:r>
      <w:r w:rsidRPr="00806888">
        <w:rPr>
          <w:sz w:val="20"/>
          <w:szCs w:val="20"/>
          <w:vertAlign w:val="superscript"/>
        </w:rPr>
        <w:t>14,15</w:t>
      </w:r>
      <w:r w:rsidRPr="00806888">
        <w:rPr>
          <w:sz w:val="20"/>
          <w:szCs w:val="20"/>
        </w:rPr>
        <w:t xml:space="preserve">, </w:t>
      </w:r>
      <w:proofErr w:type="spellStart"/>
      <w:r w:rsidRPr="00806888">
        <w:rPr>
          <w:sz w:val="20"/>
          <w:szCs w:val="20"/>
        </w:rPr>
        <w:t>Dimosthenis</w:t>
      </w:r>
      <w:proofErr w:type="spellEnd"/>
      <w:r w:rsidRPr="00806888">
        <w:rPr>
          <w:sz w:val="20"/>
          <w:szCs w:val="20"/>
        </w:rPr>
        <w:t xml:space="preserve"> Sarigiannis</w:t>
      </w:r>
      <w:r w:rsidRPr="00806888">
        <w:rPr>
          <w:sz w:val="20"/>
          <w:szCs w:val="20"/>
          <w:vertAlign w:val="superscript"/>
        </w:rPr>
        <w:t>16,17</w:t>
      </w:r>
      <w:r w:rsidRPr="00806888">
        <w:rPr>
          <w:sz w:val="20"/>
          <w:szCs w:val="20"/>
        </w:rPr>
        <w:t>, Jean-Marie Savignac</w:t>
      </w:r>
      <w:r w:rsidRPr="00806888">
        <w:rPr>
          <w:sz w:val="20"/>
          <w:szCs w:val="20"/>
          <w:vertAlign w:val="superscript"/>
        </w:rPr>
        <w:t>27</w:t>
      </w:r>
      <w:r w:rsidRPr="00806888">
        <w:rPr>
          <w:sz w:val="20"/>
          <w:szCs w:val="20"/>
        </w:rPr>
        <w:t>, Marta Stelmasiak</w:t>
      </w:r>
      <w:r w:rsidRPr="00806888">
        <w:rPr>
          <w:sz w:val="20"/>
          <w:szCs w:val="20"/>
          <w:vertAlign w:val="superscript"/>
        </w:rPr>
        <w:t>22</w:t>
      </w:r>
      <w:r w:rsidRPr="00806888">
        <w:rPr>
          <w:sz w:val="20"/>
          <w:szCs w:val="20"/>
        </w:rPr>
        <w:t xml:space="preserve">, </w:t>
      </w:r>
      <w:proofErr w:type="spellStart"/>
      <w:r w:rsidRPr="00806888">
        <w:rPr>
          <w:sz w:val="20"/>
          <w:szCs w:val="20"/>
        </w:rPr>
        <w:t>Katriina</w:t>
      </w:r>
      <w:proofErr w:type="spellEnd"/>
      <w:r w:rsidRPr="00806888">
        <w:rPr>
          <w:sz w:val="20"/>
          <w:szCs w:val="20"/>
        </w:rPr>
        <w:t xml:space="preserve"> Sunnarborg</w:t>
      </w:r>
      <w:r w:rsidRPr="00806888">
        <w:rPr>
          <w:sz w:val="20"/>
          <w:szCs w:val="20"/>
          <w:vertAlign w:val="superscript"/>
        </w:rPr>
        <w:t>19,28</w:t>
      </w:r>
      <w:r w:rsidRPr="00806888">
        <w:rPr>
          <w:sz w:val="20"/>
          <w:szCs w:val="20"/>
        </w:rPr>
        <w:t xml:space="preserve">, </w:t>
      </w:r>
      <w:proofErr w:type="spellStart"/>
      <w:r w:rsidRPr="00806888">
        <w:rPr>
          <w:sz w:val="20"/>
          <w:szCs w:val="20"/>
        </w:rPr>
        <w:t>Aikaterini</w:t>
      </w:r>
      <w:proofErr w:type="spellEnd"/>
      <w:r w:rsidRPr="00806888">
        <w:rPr>
          <w:sz w:val="20"/>
          <w:szCs w:val="20"/>
        </w:rPr>
        <w:t xml:space="preserve"> Termentzi</w:t>
      </w:r>
      <w:r w:rsidRPr="00806888">
        <w:rPr>
          <w:sz w:val="20"/>
          <w:szCs w:val="20"/>
          <w:vertAlign w:val="superscript"/>
        </w:rPr>
        <w:t>8</w:t>
      </w:r>
      <w:r w:rsidRPr="00806888">
        <w:rPr>
          <w:sz w:val="20"/>
          <w:szCs w:val="20"/>
        </w:rPr>
        <w:t>, An Van Nieuwenhuyse</w:t>
      </w:r>
      <w:r w:rsidRPr="00806888">
        <w:rPr>
          <w:sz w:val="20"/>
          <w:szCs w:val="20"/>
          <w:vertAlign w:val="superscript"/>
        </w:rPr>
        <w:t>11,12</w:t>
      </w:r>
      <w:r w:rsidRPr="00806888">
        <w:rPr>
          <w:sz w:val="20"/>
          <w:szCs w:val="20"/>
        </w:rPr>
        <w:t>, Romain Vuillaume</w:t>
      </w:r>
      <w:r w:rsidRPr="00806888">
        <w:rPr>
          <w:sz w:val="20"/>
          <w:szCs w:val="20"/>
          <w:vertAlign w:val="superscript"/>
        </w:rPr>
        <w:t>27</w:t>
      </w:r>
      <w:r w:rsidRPr="00806888">
        <w:rPr>
          <w:sz w:val="20"/>
          <w:szCs w:val="20"/>
        </w:rPr>
        <w:t>, Emma L. Schymanski</w:t>
      </w:r>
      <w:r w:rsidRPr="00806888">
        <w:rPr>
          <w:sz w:val="20"/>
          <w:szCs w:val="20"/>
          <w:vertAlign w:val="superscript"/>
        </w:rPr>
        <w:t>29</w:t>
      </w:r>
      <w:r w:rsidRPr="00806888">
        <w:rPr>
          <w:sz w:val="20"/>
          <w:szCs w:val="20"/>
        </w:rPr>
        <w:t>, Douglas N. Rutledge</w:t>
      </w:r>
      <w:r w:rsidRPr="00806888">
        <w:rPr>
          <w:sz w:val="20"/>
          <w:szCs w:val="20"/>
          <w:vertAlign w:val="superscript"/>
        </w:rPr>
        <w:t>30,31,32</w:t>
      </w:r>
      <w:r w:rsidRPr="00806888">
        <w:rPr>
          <w:sz w:val="20"/>
          <w:szCs w:val="20"/>
        </w:rPr>
        <w:t>, Jean-Philippe Antignac</w:t>
      </w:r>
      <w:r w:rsidRPr="00806888">
        <w:rPr>
          <w:sz w:val="20"/>
          <w:szCs w:val="20"/>
          <w:vertAlign w:val="superscript"/>
        </w:rPr>
        <w:t>7</w:t>
      </w:r>
      <w:r w:rsidRPr="00806888">
        <w:rPr>
          <w:sz w:val="20"/>
          <w:szCs w:val="20"/>
        </w:rPr>
        <w:t>, Sophie Ndaw</w:t>
      </w:r>
      <w:r w:rsidRPr="00806888">
        <w:rPr>
          <w:sz w:val="20"/>
          <w:szCs w:val="20"/>
          <w:vertAlign w:val="superscript"/>
        </w:rPr>
        <w:t>1</w:t>
      </w:r>
    </w:p>
    <w:bookmarkEnd w:id="4"/>
    <w:bookmarkEnd w:id="5"/>
    <w:p w14:paraId="714F9BD9" w14:textId="77777777" w:rsidR="00806888" w:rsidRPr="00CC1806" w:rsidRDefault="00806888" w:rsidP="00806888">
      <w:pPr>
        <w:spacing w:after="0"/>
        <w:rPr>
          <w:sz w:val="16"/>
          <w:szCs w:val="16"/>
        </w:rPr>
      </w:pPr>
      <w:r w:rsidRPr="00CC1806">
        <w:rPr>
          <w:sz w:val="16"/>
          <w:szCs w:val="16"/>
          <w:vertAlign w:val="superscript"/>
        </w:rPr>
        <w:t>1</w:t>
      </w:r>
      <w:r w:rsidRPr="00CC1806">
        <w:rPr>
          <w:sz w:val="16"/>
          <w:szCs w:val="16"/>
        </w:rPr>
        <w:t>INRS (French National Research and Safety Institute for the Prevention of Occupational Accidents and Diseases), Department of Toxicology and Biomonitoring, France</w:t>
      </w:r>
    </w:p>
    <w:p w14:paraId="161AB77D" w14:textId="77777777" w:rsidR="00806888" w:rsidRPr="00CC1806" w:rsidRDefault="00806888" w:rsidP="00806888">
      <w:pPr>
        <w:spacing w:after="0"/>
        <w:rPr>
          <w:sz w:val="16"/>
          <w:szCs w:val="16"/>
        </w:rPr>
      </w:pPr>
      <w:r w:rsidRPr="00CC1806">
        <w:rPr>
          <w:sz w:val="16"/>
          <w:szCs w:val="16"/>
          <w:vertAlign w:val="superscript"/>
        </w:rPr>
        <w:t>2</w:t>
      </w:r>
      <w:r w:rsidRPr="00CC1806">
        <w:rPr>
          <w:sz w:val="16"/>
          <w:szCs w:val="16"/>
        </w:rPr>
        <w:t>Toxicological Centre, University of Antwerp, Antwerp, Belgium</w:t>
      </w:r>
    </w:p>
    <w:p w14:paraId="19FE005E" w14:textId="77777777" w:rsidR="00806888" w:rsidRPr="00CC1806" w:rsidRDefault="00806888" w:rsidP="00806888">
      <w:pPr>
        <w:spacing w:after="0"/>
        <w:rPr>
          <w:sz w:val="16"/>
          <w:szCs w:val="16"/>
          <w:lang w:val="fr-FR"/>
        </w:rPr>
      </w:pPr>
      <w:r w:rsidRPr="00CC1806">
        <w:rPr>
          <w:sz w:val="16"/>
          <w:szCs w:val="16"/>
          <w:vertAlign w:val="superscript"/>
          <w:lang w:val="fr-FR"/>
        </w:rPr>
        <w:t>3</w:t>
      </w:r>
      <w:r w:rsidRPr="00CC1806">
        <w:rPr>
          <w:sz w:val="16"/>
          <w:szCs w:val="16"/>
          <w:lang w:val="fr-FR"/>
        </w:rPr>
        <w:t xml:space="preserve">Université Paris-Saclay, CEA, INRAE, Département Médicaments et Technologies pour la Santé (DMTS), </w:t>
      </w:r>
      <w:proofErr w:type="spellStart"/>
      <w:r w:rsidRPr="00CC1806">
        <w:rPr>
          <w:sz w:val="16"/>
          <w:szCs w:val="16"/>
          <w:lang w:val="fr-FR"/>
        </w:rPr>
        <w:t>MetaboHUB</w:t>
      </w:r>
      <w:proofErr w:type="spellEnd"/>
      <w:r w:rsidRPr="00CC1806">
        <w:rPr>
          <w:sz w:val="16"/>
          <w:szCs w:val="16"/>
          <w:lang w:val="fr-FR"/>
        </w:rPr>
        <w:t>, F-91191 Gif sur Yvette, France</w:t>
      </w:r>
    </w:p>
    <w:p w14:paraId="4060D457" w14:textId="77777777" w:rsidR="00806888" w:rsidRPr="00CC1806" w:rsidRDefault="00806888" w:rsidP="00806888">
      <w:pPr>
        <w:spacing w:after="0"/>
        <w:rPr>
          <w:sz w:val="16"/>
          <w:szCs w:val="16"/>
        </w:rPr>
      </w:pPr>
      <w:r w:rsidRPr="00CC1806">
        <w:rPr>
          <w:sz w:val="16"/>
          <w:szCs w:val="16"/>
          <w:vertAlign w:val="superscript"/>
        </w:rPr>
        <w:t>4</w:t>
      </w:r>
      <w:r w:rsidRPr="00CC1806">
        <w:rPr>
          <w:sz w:val="16"/>
          <w:szCs w:val="16"/>
        </w:rPr>
        <w:t>Jožef Stefan Institute, Ljubljana, Slovenia</w:t>
      </w:r>
    </w:p>
    <w:p w14:paraId="5DBEDE4D" w14:textId="77777777" w:rsidR="00806888" w:rsidRPr="00CC1806" w:rsidRDefault="00806888" w:rsidP="00806888">
      <w:pPr>
        <w:spacing w:after="0"/>
        <w:rPr>
          <w:sz w:val="16"/>
          <w:szCs w:val="16"/>
        </w:rPr>
      </w:pPr>
      <w:r w:rsidRPr="00CC1806">
        <w:rPr>
          <w:sz w:val="16"/>
          <w:szCs w:val="16"/>
          <w:vertAlign w:val="superscript"/>
        </w:rPr>
        <w:t>5</w:t>
      </w:r>
      <w:r w:rsidRPr="00CC1806">
        <w:rPr>
          <w:sz w:val="16"/>
          <w:szCs w:val="16"/>
        </w:rPr>
        <w:t>Jožef Stefan International Postgraduate School, Ljubljana, Slovenia</w:t>
      </w:r>
    </w:p>
    <w:p w14:paraId="7E6321DC" w14:textId="77777777" w:rsidR="00806888" w:rsidRPr="00CC1806" w:rsidRDefault="00806888" w:rsidP="00806888">
      <w:pPr>
        <w:spacing w:after="0"/>
        <w:rPr>
          <w:sz w:val="16"/>
          <w:szCs w:val="16"/>
        </w:rPr>
      </w:pPr>
      <w:r w:rsidRPr="00CC1806">
        <w:rPr>
          <w:sz w:val="16"/>
          <w:szCs w:val="16"/>
          <w:vertAlign w:val="superscript"/>
        </w:rPr>
        <w:t>6</w:t>
      </w:r>
      <w:r w:rsidRPr="00CC1806">
        <w:rPr>
          <w:sz w:val="16"/>
          <w:szCs w:val="16"/>
        </w:rPr>
        <w:t xml:space="preserve">Department of Exposure Science, Helmholtz Centre for Environmental Research – UFZ, </w:t>
      </w:r>
      <w:proofErr w:type="spellStart"/>
      <w:r w:rsidRPr="00CC1806">
        <w:rPr>
          <w:sz w:val="16"/>
          <w:szCs w:val="16"/>
        </w:rPr>
        <w:t>Permoserstr</w:t>
      </w:r>
      <w:proofErr w:type="spellEnd"/>
      <w:r w:rsidRPr="00CC1806">
        <w:rPr>
          <w:sz w:val="16"/>
          <w:szCs w:val="16"/>
        </w:rPr>
        <w:t>. 15, Leipzig, German</w:t>
      </w:r>
    </w:p>
    <w:p w14:paraId="3C16F8B9" w14:textId="77777777" w:rsidR="00806888" w:rsidRPr="00CC1806" w:rsidRDefault="00806888" w:rsidP="00806888">
      <w:pPr>
        <w:spacing w:after="0"/>
        <w:rPr>
          <w:sz w:val="16"/>
          <w:szCs w:val="16"/>
        </w:rPr>
      </w:pPr>
      <w:r w:rsidRPr="00CC1806">
        <w:rPr>
          <w:sz w:val="16"/>
          <w:szCs w:val="16"/>
          <w:vertAlign w:val="superscript"/>
        </w:rPr>
        <w:t>7</w:t>
      </w:r>
      <w:r w:rsidRPr="00CC1806">
        <w:rPr>
          <w:sz w:val="16"/>
          <w:szCs w:val="16"/>
        </w:rPr>
        <w:t>Oniris, INRAE, LABERCA, Nantes, France</w:t>
      </w:r>
    </w:p>
    <w:p w14:paraId="5850982A" w14:textId="77777777" w:rsidR="00806888" w:rsidRPr="00CC1806" w:rsidRDefault="00806888" w:rsidP="00806888">
      <w:pPr>
        <w:spacing w:after="0"/>
        <w:rPr>
          <w:sz w:val="16"/>
          <w:szCs w:val="16"/>
        </w:rPr>
      </w:pPr>
      <w:r w:rsidRPr="00CC1806">
        <w:rPr>
          <w:sz w:val="16"/>
          <w:szCs w:val="16"/>
          <w:vertAlign w:val="superscript"/>
        </w:rPr>
        <w:t>8</w:t>
      </w:r>
      <w:r w:rsidRPr="00CC1806">
        <w:rPr>
          <w:sz w:val="16"/>
          <w:szCs w:val="16"/>
        </w:rPr>
        <w:t xml:space="preserve">Laboratory of Pesticides' Toxicology, Scientific Directorate of Pesticides Control and </w:t>
      </w:r>
      <w:proofErr w:type="spellStart"/>
      <w:r w:rsidRPr="00CC1806">
        <w:rPr>
          <w:sz w:val="16"/>
          <w:szCs w:val="16"/>
        </w:rPr>
        <w:t>Phytopharmacy</w:t>
      </w:r>
      <w:proofErr w:type="spellEnd"/>
      <w:r w:rsidRPr="00CC1806">
        <w:rPr>
          <w:sz w:val="16"/>
          <w:szCs w:val="16"/>
        </w:rPr>
        <w:t xml:space="preserve">, </w:t>
      </w:r>
      <w:proofErr w:type="spellStart"/>
      <w:r w:rsidRPr="00CC1806">
        <w:rPr>
          <w:sz w:val="16"/>
          <w:szCs w:val="16"/>
        </w:rPr>
        <w:t>Benaki</w:t>
      </w:r>
      <w:proofErr w:type="spellEnd"/>
      <w:r w:rsidRPr="00CC1806">
        <w:rPr>
          <w:sz w:val="16"/>
          <w:szCs w:val="16"/>
        </w:rPr>
        <w:t xml:space="preserve"> </w:t>
      </w:r>
      <w:proofErr w:type="spellStart"/>
      <w:r w:rsidRPr="00CC1806">
        <w:rPr>
          <w:sz w:val="16"/>
          <w:szCs w:val="16"/>
        </w:rPr>
        <w:t>Phytopathological</w:t>
      </w:r>
      <w:proofErr w:type="spellEnd"/>
      <w:r w:rsidRPr="00CC1806">
        <w:rPr>
          <w:sz w:val="16"/>
          <w:szCs w:val="16"/>
        </w:rPr>
        <w:t xml:space="preserve"> Institute, 145 61 Kifissia, Greece</w:t>
      </w:r>
    </w:p>
    <w:p w14:paraId="26EA5DA0" w14:textId="77777777" w:rsidR="00806888" w:rsidRPr="00CC1806" w:rsidRDefault="00806888" w:rsidP="00806888">
      <w:pPr>
        <w:spacing w:after="0"/>
        <w:rPr>
          <w:sz w:val="16"/>
          <w:szCs w:val="16"/>
        </w:rPr>
      </w:pPr>
      <w:r w:rsidRPr="00CC1806">
        <w:rPr>
          <w:sz w:val="16"/>
          <w:szCs w:val="16"/>
          <w:vertAlign w:val="superscript"/>
        </w:rPr>
        <w:t>9</w:t>
      </w:r>
      <w:r w:rsidRPr="00CC1806">
        <w:rPr>
          <w:sz w:val="16"/>
          <w:szCs w:val="16"/>
        </w:rPr>
        <w:t>Ploufragan</w:t>
      </w:r>
      <w:r w:rsidRPr="00CC1806">
        <w:rPr>
          <w:rFonts w:ascii="Cambria Math" w:hAnsi="Cambria Math" w:cs="Cambria Math"/>
          <w:sz w:val="16"/>
          <w:szCs w:val="16"/>
        </w:rPr>
        <w:t>‑</w:t>
      </w:r>
      <w:r w:rsidRPr="00CC1806">
        <w:rPr>
          <w:sz w:val="16"/>
          <w:szCs w:val="16"/>
        </w:rPr>
        <w:t>Plouzan</w:t>
      </w:r>
      <w:r w:rsidRPr="00CC1806">
        <w:rPr>
          <w:rFonts w:ascii="Calibri" w:hAnsi="Calibri" w:cs="Calibri"/>
          <w:sz w:val="16"/>
          <w:szCs w:val="16"/>
        </w:rPr>
        <w:t>é</w:t>
      </w:r>
      <w:r w:rsidRPr="00CC1806">
        <w:rPr>
          <w:rFonts w:ascii="Cambria Math" w:hAnsi="Cambria Math" w:cs="Cambria Math"/>
          <w:sz w:val="16"/>
          <w:szCs w:val="16"/>
        </w:rPr>
        <w:t>‑</w:t>
      </w:r>
      <w:r w:rsidRPr="00CC1806">
        <w:rPr>
          <w:sz w:val="16"/>
          <w:szCs w:val="16"/>
        </w:rPr>
        <w:t>Niort Laboratory, Ruminant Diseases and Welfare Unit, French Agency for Food, Environmental and Occupational Health &amp; Safety, 60 Rue Pied de Fond, 28440, 79024 Niort, CS, France</w:t>
      </w:r>
    </w:p>
    <w:p w14:paraId="081678DA" w14:textId="77777777" w:rsidR="00806888" w:rsidRPr="00CC1806" w:rsidRDefault="00806888" w:rsidP="00806888">
      <w:pPr>
        <w:spacing w:after="0"/>
        <w:rPr>
          <w:sz w:val="16"/>
          <w:szCs w:val="16"/>
        </w:rPr>
      </w:pPr>
      <w:r w:rsidRPr="00CC1806">
        <w:rPr>
          <w:sz w:val="16"/>
          <w:szCs w:val="16"/>
          <w:vertAlign w:val="superscript"/>
        </w:rPr>
        <w:t>10</w:t>
      </w:r>
      <w:r w:rsidRPr="00CC1806">
        <w:rPr>
          <w:sz w:val="16"/>
          <w:szCs w:val="16"/>
        </w:rPr>
        <w:t>Department of Chemistry, Sapienza University, Piazzale Aldo Moro 5, 00185 Rome, Italy</w:t>
      </w:r>
    </w:p>
    <w:p w14:paraId="6126FFBC" w14:textId="77777777" w:rsidR="00806888" w:rsidRPr="00CC1806" w:rsidRDefault="00806888" w:rsidP="00806888">
      <w:pPr>
        <w:spacing w:after="0"/>
        <w:rPr>
          <w:sz w:val="16"/>
          <w:szCs w:val="16"/>
          <w:lang w:val="fr-FR"/>
        </w:rPr>
      </w:pPr>
      <w:r w:rsidRPr="00CC1806">
        <w:rPr>
          <w:sz w:val="16"/>
          <w:szCs w:val="16"/>
          <w:vertAlign w:val="superscript"/>
          <w:lang w:val="fr-FR"/>
        </w:rPr>
        <w:t>11</w:t>
      </w:r>
      <w:r w:rsidRPr="00CC1806">
        <w:rPr>
          <w:sz w:val="16"/>
          <w:szCs w:val="16"/>
          <w:lang w:val="fr-FR"/>
        </w:rPr>
        <w:t xml:space="preserve">Laboratoire national de santé, </w:t>
      </w:r>
      <w:proofErr w:type="spellStart"/>
      <w:r w:rsidRPr="00CC1806">
        <w:rPr>
          <w:sz w:val="16"/>
          <w:szCs w:val="16"/>
          <w:lang w:val="fr-FR"/>
        </w:rPr>
        <w:t>Department</w:t>
      </w:r>
      <w:proofErr w:type="spellEnd"/>
      <w:r w:rsidRPr="00CC1806">
        <w:rPr>
          <w:sz w:val="16"/>
          <w:szCs w:val="16"/>
          <w:lang w:val="fr-FR"/>
        </w:rPr>
        <w:t xml:space="preserve"> </w:t>
      </w:r>
      <w:proofErr w:type="spellStart"/>
      <w:r w:rsidRPr="00CC1806">
        <w:rPr>
          <w:sz w:val="16"/>
          <w:szCs w:val="16"/>
          <w:lang w:val="fr-FR"/>
        </w:rPr>
        <w:t>Health</w:t>
      </w:r>
      <w:proofErr w:type="spellEnd"/>
      <w:r w:rsidRPr="00CC1806">
        <w:rPr>
          <w:sz w:val="16"/>
          <w:szCs w:val="16"/>
          <w:lang w:val="fr-FR"/>
        </w:rPr>
        <w:t xml:space="preserve"> Protection, Dudelange, Luxembourg</w:t>
      </w:r>
    </w:p>
    <w:p w14:paraId="302DC682" w14:textId="77777777" w:rsidR="00806888" w:rsidRPr="00CC1806" w:rsidRDefault="00806888" w:rsidP="00806888">
      <w:pPr>
        <w:spacing w:after="0"/>
        <w:rPr>
          <w:sz w:val="16"/>
          <w:szCs w:val="16"/>
        </w:rPr>
      </w:pPr>
      <w:r w:rsidRPr="00CC1806">
        <w:rPr>
          <w:sz w:val="16"/>
          <w:szCs w:val="16"/>
          <w:vertAlign w:val="superscript"/>
        </w:rPr>
        <w:t>12</w:t>
      </w:r>
      <w:r w:rsidRPr="00CC1806">
        <w:rPr>
          <w:sz w:val="16"/>
          <w:szCs w:val="16"/>
        </w:rPr>
        <w:t>Environment and Health, Department of Public Health and Primary Care, KU Leuven, Leuven, Belgium</w:t>
      </w:r>
    </w:p>
    <w:p w14:paraId="672542B0" w14:textId="77777777" w:rsidR="00806888" w:rsidRPr="00CC1806" w:rsidRDefault="00806888" w:rsidP="00806888">
      <w:pPr>
        <w:spacing w:after="0"/>
        <w:rPr>
          <w:sz w:val="16"/>
          <w:szCs w:val="16"/>
        </w:rPr>
      </w:pPr>
      <w:r w:rsidRPr="00CC1806">
        <w:rPr>
          <w:sz w:val="16"/>
          <w:szCs w:val="16"/>
          <w:vertAlign w:val="superscript"/>
        </w:rPr>
        <w:t>13</w:t>
      </w:r>
      <w:r w:rsidRPr="00CC1806">
        <w:rPr>
          <w:sz w:val="16"/>
          <w:szCs w:val="16"/>
        </w:rPr>
        <w:t>Department of Health Protection, Health Directorate, Ministry of Health and Social Security, Strassen, Luxembourg</w:t>
      </w:r>
    </w:p>
    <w:p w14:paraId="1B7C557F" w14:textId="77777777" w:rsidR="00806888" w:rsidRPr="00CC1806" w:rsidRDefault="00806888" w:rsidP="00806888">
      <w:pPr>
        <w:spacing w:after="0"/>
        <w:rPr>
          <w:sz w:val="16"/>
          <w:szCs w:val="16"/>
        </w:rPr>
      </w:pPr>
      <w:r w:rsidRPr="00CC1806">
        <w:rPr>
          <w:sz w:val="16"/>
          <w:szCs w:val="16"/>
          <w:vertAlign w:val="superscript"/>
        </w:rPr>
        <w:t>14</w:t>
      </w:r>
      <w:r w:rsidRPr="00CC1806">
        <w:rPr>
          <w:sz w:val="16"/>
          <w:szCs w:val="16"/>
        </w:rPr>
        <w:t xml:space="preserve">Instituto de </w:t>
      </w:r>
      <w:proofErr w:type="spellStart"/>
      <w:r w:rsidRPr="00CC1806">
        <w:rPr>
          <w:sz w:val="16"/>
          <w:szCs w:val="16"/>
        </w:rPr>
        <w:t>Investigación</w:t>
      </w:r>
      <w:proofErr w:type="spellEnd"/>
      <w:r w:rsidRPr="00CC1806">
        <w:rPr>
          <w:sz w:val="16"/>
          <w:szCs w:val="16"/>
        </w:rPr>
        <w:t xml:space="preserve"> </w:t>
      </w:r>
      <w:proofErr w:type="spellStart"/>
      <w:r w:rsidRPr="00CC1806">
        <w:rPr>
          <w:sz w:val="16"/>
          <w:szCs w:val="16"/>
        </w:rPr>
        <w:t>Biosanitaria</w:t>
      </w:r>
      <w:proofErr w:type="spellEnd"/>
      <w:r w:rsidRPr="00CC1806">
        <w:rPr>
          <w:sz w:val="16"/>
          <w:szCs w:val="16"/>
        </w:rPr>
        <w:t xml:space="preserve"> de Granada (</w:t>
      </w:r>
      <w:proofErr w:type="spellStart"/>
      <w:r w:rsidRPr="00CC1806">
        <w:rPr>
          <w:sz w:val="16"/>
          <w:szCs w:val="16"/>
        </w:rPr>
        <w:t>ibs.GRANADA</w:t>
      </w:r>
      <w:proofErr w:type="spellEnd"/>
      <w:r w:rsidRPr="00CC1806">
        <w:rPr>
          <w:sz w:val="16"/>
          <w:szCs w:val="16"/>
        </w:rPr>
        <w:t>), 18016 Granada, Spain. &amp; Spanish Consortium for Research on Epidemiology and Public Health (CIBERESP), Madrid, Spain</w:t>
      </w:r>
    </w:p>
    <w:p w14:paraId="0BE8B0C6" w14:textId="77777777" w:rsidR="00806888" w:rsidRPr="00CC1806" w:rsidRDefault="00806888" w:rsidP="00806888">
      <w:pPr>
        <w:spacing w:after="0"/>
        <w:rPr>
          <w:sz w:val="16"/>
          <w:szCs w:val="16"/>
        </w:rPr>
      </w:pPr>
      <w:r w:rsidRPr="00CC1806">
        <w:rPr>
          <w:sz w:val="16"/>
          <w:szCs w:val="16"/>
          <w:vertAlign w:val="superscript"/>
        </w:rPr>
        <w:t>15</w:t>
      </w:r>
      <w:r w:rsidRPr="00CC1806">
        <w:rPr>
          <w:sz w:val="16"/>
          <w:szCs w:val="16"/>
        </w:rPr>
        <w:t xml:space="preserve">Biomedical Research Center (CIBM), Department Radiology and Physical Medicine, School of Medicine, University of Granada, 18016 Granada, Spain  </w:t>
      </w:r>
    </w:p>
    <w:p w14:paraId="78D241EA" w14:textId="77777777" w:rsidR="00806888" w:rsidRPr="00CC1806" w:rsidRDefault="00806888" w:rsidP="00806888">
      <w:pPr>
        <w:spacing w:after="0"/>
        <w:rPr>
          <w:sz w:val="16"/>
          <w:szCs w:val="16"/>
        </w:rPr>
      </w:pPr>
      <w:r w:rsidRPr="00CC1806">
        <w:rPr>
          <w:sz w:val="16"/>
          <w:szCs w:val="16"/>
          <w:vertAlign w:val="superscript"/>
        </w:rPr>
        <w:t>16</w:t>
      </w:r>
      <w:r w:rsidRPr="00CC1806">
        <w:rPr>
          <w:sz w:val="16"/>
          <w:szCs w:val="16"/>
        </w:rPr>
        <w:t>Aristotle University of Thessaloniki, Department of Chemical Engineering, Environmental Engineering Laboratory, University Campus, Thessaloniki 54124, Greece</w:t>
      </w:r>
    </w:p>
    <w:p w14:paraId="3537B1BC" w14:textId="77777777" w:rsidR="00806888" w:rsidRPr="00CC1806" w:rsidRDefault="00806888" w:rsidP="00806888">
      <w:pPr>
        <w:spacing w:after="0"/>
        <w:rPr>
          <w:sz w:val="16"/>
          <w:szCs w:val="16"/>
        </w:rPr>
      </w:pPr>
      <w:r w:rsidRPr="00CC1806">
        <w:rPr>
          <w:sz w:val="16"/>
          <w:szCs w:val="16"/>
          <w:vertAlign w:val="superscript"/>
        </w:rPr>
        <w:t>17</w:t>
      </w:r>
      <w:r w:rsidRPr="00CC1806">
        <w:rPr>
          <w:sz w:val="16"/>
          <w:szCs w:val="16"/>
        </w:rPr>
        <w:t xml:space="preserve">HERACLES Research Center on the Exposome and Health, Center for Interdisciplinary Research and Innovation, Balkan Center, Bldg. B, 10th km Thessaloniki – </w:t>
      </w:r>
      <w:proofErr w:type="spellStart"/>
      <w:r w:rsidRPr="00CC1806">
        <w:rPr>
          <w:sz w:val="16"/>
          <w:szCs w:val="16"/>
        </w:rPr>
        <w:t>Thermi</w:t>
      </w:r>
      <w:proofErr w:type="spellEnd"/>
      <w:r w:rsidRPr="00CC1806">
        <w:rPr>
          <w:sz w:val="16"/>
          <w:szCs w:val="16"/>
        </w:rPr>
        <w:t xml:space="preserve"> Road, 57001, Greece</w:t>
      </w:r>
    </w:p>
    <w:p w14:paraId="34AA395D" w14:textId="77777777" w:rsidR="00806888" w:rsidRPr="00CC1806" w:rsidRDefault="00806888" w:rsidP="00806888">
      <w:pPr>
        <w:spacing w:after="0"/>
        <w:rPr>
          <w:sz w:val="16"/>
          <w:szCs w:val="16"/>
        </w:rPr>
      </w:pPr>
      <w:r w:rsidRPr="00CC1806">
        <w:rPr>
          <w:sz w:val="16"/>
          <w:szCs w:val="16"/>
          <w:vertAlign w:val="superscript"/>
        </w:rPr>
        <w:t>18</w:t>
      </w:r>
      <w:r w:rsidRPr="00CC1806">
        <w:rPr>
          <w:sz w:val="16"/>
          <w:szCs w:val="16"/>
        </w:rPr>
        <w:t>Department of Environment and Health, Italian National Institute for Health (ISS), Rome, Italy</w:t>
      </w:r>
    </w:p>
    <w:p w14:paraId="016763E1" w14:textId="77777777" w:rsidR="00806888" w:rsidRPr="00CC1806" w:rsidRDefault="00806888" w:rsidP="00806888">
      <w:pPr>
        <w:spacing w:after="0"/>
        <w:rPr>
          <w:sz w:val="16"/>
          <w:szCs w:val="16"/>
        </w:rPr>
      </w:pPr>
      <w:r w:rsidRPr="00CC1806">
        <w:rPr>
          <w:sz w:val="16"/>
          <w:szCs w:val="16"/>
          <w:vertAlign w:val="superscript"/>
        </w:rPr>
        <w:t>19</w:t>
      </w:r>
      <w:r w:rsidRPr="00CC1806">
        <w:rPr>
          <w:sz w:val="16"/>
          <w:szCs w:val="16"/>
        </w:rPr>
        <w:t>School of Pharmacy, University of Eastern Finland, Kuopio, Finland</w:t>
      </w:r>
    </w:p>
    <w:p w14:paraId="766F5FF7" w14:textId="77777777" w:rsidR="00806888" w:rsidRPr="00CC1806" w:rsidRDefault="00806888" w:rsidP="00806888">
      <w:pPr>
        <w:spacing w:after="0"/>
        <w:rPr>
          <w:sz w:val="16"/>
          <w:szCs w:val="16"/>
        </w:rPr>
      </w:pPr>
      <w:r w:rsidRPr="00CC1806">
        <w:rPr>
          <w:sz w:val="16"/>
          <w:szCs w:val="16"/>
          <w:vertAlign w:val="superscript"/>
        </w:rPr>
        <w:t>20</w:t>
      </w:r>
      <w:r w:rsidRPr="00CC1806">
        <w:rPr>
          <w:sz w:val="16"/>
          <w:szCs w:val="16"/>
        </w:rPr>
        <w:t xml:space="preserve">RECETOX, Faculty of Science, Masaryk University, </w:t>
      </w:r>
      <w:proofErr w:type="spellStart"/>
      <w:r w:rsidRPr="00CC1806">
        <w:rPr>
          <w:sz w:val="16"/>
          <w:szCs w:val="16"/>
        </w:rPr>
        <w:t>Kotlarska</w:t>
      </w:r>
      <w:proofErr w:type="spellEnd"/>
      <w:r w:rsidRPr="00CC1806">
        <w:rPr>
          <w:sz w:val="16"/>
          <w:szCs w:val="16"/>
        </w:rPr>
        <w:t xml:space="preserve"> 2, Brno, Czech Republic</w:t>
      </w:r>
    </w:p>
    <w:p w14:paraId="29C16D89" w14:textId="77777777" w:rsidR="00806888" w:rsidRPr="00CC1806" w:rsidRDefault="00806888" w:rsidP="00806888">
      <w:pPr>
        <w:spacing w:after="0"/>
        <w:rPr>
          <w:sz w:val="16"/>
          <w:szCs w:val="16"/>
        </w:rPr>
      </w:pPr>
      <w:r w:rsidRPr="00CC1806">
        <w:rPr>
          <w:sz w:val="16"/>
          <w:szCs w:val="16"/>
          <w:vertAlign w:val="superscript"/>
        </w:rPr>
        <w:t>21</w:t>
      </w:r>
      <w:r w:rsidRPr="00CC1806">
        <w:rPr>
          <w:sz w:val="16"/>
          <w:szCs w:val="16"/>
        </w:rPr>
        <w:t>Czech node of the European Infrastructure for Human Exposome Research (EIRENE-CZ)</w:t>
      </w:r>
    </w:p>
    <w:p w14:paraId="7C93E7E0" w14:textId="77777777" w:rsidR="00806888" w:rsidRPr="00CC1806" w:rsidRDefault="00806888" w:rsidP="00806888">
      <w:pPr>
        <w:spacing w:after="0"/>
        <w:rPr>
          <w:sz w:val="16"/>
          <w:szCs w:val="16"/>
        </w:rPr>
      </w:pPr>
      <w:r w:rsidRPr="00CC1806">
        <w:rPr>
          <w:sz w:val="16"/>
          <w:szCs w:val="16"/>
          <w:vertAlign w:val="superscript"/>
        </w:rPr>
        <w:t>22</w:t>
      </w:r>
      <w:r w:rsidRPr="00CC1806">
        <w:rPr>
          <w:sz w:val="16"/>
          <w:szCs w:val="16"/>
        </w:rPr>
        <w:t xml:space="preserve">Warsaw University of Life Sciences, Institute of Human Nutrition Science, </w:t>
      </w:r>
      <w:proofErr w:type="spellStart"/>
      <w:r w:rsidRPr="00CC1806">
        <w:rPr>
          <w:sz w:val="16"/>
          <w:szCs w:val="16"/>
        </w:rPr>
        <w:t>Nowoursynowska</w:t>
      </w:r>
      <w:proofErr w:type="spellEnd"/>
      <w:r w:rsidRPr="00CC1806">
        <w:rPr>
          <w:sz w:val="16"/>
          <w:szCs w:val="16"/>
        </w:rPr>
        <w:t xml:space="preserve"> 166, 02-787 Warsaw, Poland</w:t>
      </w:r>
    </w:p>
    <w:p w14:paraId="513364AD" w14:textId="77777777" w:rsidR="00806888" w:rsidRPr="00CC1806" w:rsidRDefault="00806888" w:rsidP="00806888">
      <w:pPr>
        <w:spacing w:after="0"/>
        <w:rPr>
          <w:sz w:val="16"/>
          <w:szCs w:val="16"/>
        </w:rPr>
      </w:pPr>
      <w:r w:rsidRPr="00CC1806">
        <w:rPr>
          <w:sz w:val="16"/>
          <w:szCs w:val="16"/>
          <w:vertAlign w:val="superscript"/>
        </w:rPr>
        <w:t>23</w:t>
      </w:r>
      <w:r w:rsidRPr="00CC1806">
        <w:rPr>
          <w:sz w:val="16"/>
          <w:szCs w:val="16"/>
        </w:rPr>
        <w:t xml:space="preserve">Vrije Universiteit Amsterdam, Amsterdam Institute for Life and Environment (A-LIFE), Section Chemistry for Environment and Health, De </w:t>
      </w:r>
      <w:proofErr w:type="spellStart"/>
      <w:r w:rsidRPr="00CC1806">
        <w:rPr>
          <w:sz w:val="16"/>
          <w:szCs w:val="16"/>
        </w:rPr>
        <w:t>Boelelaan</w:t>
      </w:r>
      <w:proofErr w:type="spellEnd"/>
      <w:r w:rsidRPr="00CC1806">
        <w:rPr>
          <w:sz w:val="16"/>
          <w:szCs w:val="16"/>
        </w:rPr>
        <w:t xml:space="preserve"> 1085, 1081 HV Amsterdam, the Netherlands</w:t>
      </w:r>
    </w:p>
    <w:p w14:paraId="3BAA14B1" w14:textId="77777777" w:rsidR="00806888" w:rsidRPr="00CC1806" w:rsidRDefault="00806888" w:rsidP="00806888">
      <w:pPr>
        <w:spacing w:after="0"/>
        <w:rPr>
          <w:sz w:val="16"/>
          <w:szCs w:val="16"/>
        </w:rPr>
      </w:pPr>
      <w:r w:rsidRPr="00CC1806">
        <w:rPr>
          <w:sz w:val="16"/>
          <w:szCs w:val="16"/>
          <w:vertAlign w:val="superscript"/>
        </w:rPr>
        <w:t>24</w:t>
      </w:r>
      <w:r w:rsidRPr="00CC1806">
        <w:rPr>
          <w:sz w:val="16"/>
          <w:szCs w:val="16"/>
        </w:rPr>
        <w:t xml:space="preserve">Statistical Analysis Platform, French Agency for Food, Environmental and Occupational Health &amp; Safety, 10 Bis Rue Claude </w:t>
      </w:r>
      <w:proofErr w:type="spellStart"/>
      <w:r w:rsidRPr="00CC1806">
        <w:rPr>
          <w:sz w:val="16"/>
          <w:szCs w:val="16"/>
        </w:rPr>
        <w:t>Bourgelat</w:t>
      </w:r>
      <w:proofErr w:type="spellEnd"/>
      <w:r w:rsidRPr="00CC1806">
        <w:rPr>
          <w:sz w:val="16"/>
          <w:szCs w:val="16"/>
        </w:rPr>
        <w:t xml:space="preserve">, 35306 </w:t>
      </w:r>
      <w:proofErr w:type="spellStart"/>
      <w:r w:rsidRPr="00CC1806">
        <w:rPr>
          <w:sz w:val="16"/>
          <w:szCs w:val="16"/>
        </w:rPr>
        <w:t>Fougères</w:t>
      </w:r>
      <w:proofErr w:type="spellEnd"/>
      <w:r w:rsidRPr="00CC1806">
        <w:rPr>
          <w:sz w:val="16"/>
          <w:szCs w:val="16"/>
        </w:rPr>
        <w:t xml:space="preserve"> Laboratory, </w:t>
      </w:r>
      <w:proofErr w:type="spellStart"/>
      <w:r w:rsidRPr="00CC1806">
        <w:rPr>
          <w:sz w:val="16"/>
          <w:szCs w:val="16"/>
        </w:rPr>
        <w:t>Fougères</w:t>
      </w:r>
      <w:proofErr w:type="spellEnd"/>
      <w:r w:rsidRPr="00CC1806">
        <w:rPr>
          <w:sz w:val="16"/>
          <w:szCs w:val="16"/>
        </w:rPr>
        <w:t>, France</w:t>
      </w:r>
    </w:p>
    <w:p w14:paraId="06E8ADF6" w14:textId="77777777" w:rsidR="00806888" w:rsidRPr="00CC1806" w:rsidRDefault="00806888" w:rsidP="00806888">
      <w:pPr>
        <w:spacing w:after="0"/>
        <w:rPr>
          <w:sz w:val="16"/>
          <w:szCs w:val="16"/>
        </w:rPr>
      </w:pPr>
      <w:r w:rsidRPr="00CC1806">
        <w:rPr>
          <w:sz w:val="16"/>
          <w:szCs w:val="16"/>
          <w:vertAlign w:val="superscript"/>
        </w:rPr>
        <w:t>25</w:t>
      </w:r>
      <w:r w:rsidRPr="00CC1806">
        <w:rPr>
          <w:sz w:val="16"/>
          <w:szCs w:val="16"/>
        </w:rPr>
        <w:t>Wageningen Food Safety Research, part of Wageningen University and Research, Wageningen, The Netherlands</w:t>
      </w:r>
    </w:p>
    <w:p w14:paraId="276659CF" w14:textId="77777777" w:rsidR="00806888" w:rsidRPr="00CC1806" w:rsidRDefault="00806888" w:rsidP="00806888">
      <w:pPr>
        <w:spacing w:after="0"/>
        <w:rPr>
          <w:sz w:val="16"/>
          <w:szCs w:val="16"/>
        </w:rPr>
      </w:pPr>
      <w:r w:rsidRPr="00CC1806">
        <w:rPr>
          <w:sz w:val="16"/>
          <w:szCs w:val="16"/>
          <w:vertAlign w:val="superscript"/>
        </w:rPr>
        <w:t>26</w:t>
      </w:r>
      <w:r w:rsidRPr="00CC1806">
        <w:rPr>
          <w:sz w:val="16"/>
          <w:szCs w:val="16"/>
        </w:rPr>
        <w:t>Medical University of Innsbruck, Institute of Legal Medicine and Core Facility Metabolomics, Austria</w:t>
      </w:r>
    </w:p>
    <w:p w14:paraId="1C9030D2" w14:textId="77777777" w:rsidR="00806888" w:rsidRPr="00CC1806" w:rsidRDefault="00806888" w:rsidP="00806888">
      <w:pPr>
        <w:spacing w:after="0"/>
        <w:rPr>
          <w:sz w:val="16"/>
          <w:szCs w:val="16"/>
          <w:lang w:val="fr-FR"/>
        </w:rPr>
      </w:pPr>
      <w:r w:rsidRPr="00CC1806">
        <w:rPr>
          <w:sz w:val="16"/>
          <w:szCs w:val="16"/>
          <w:vertAlign w:val="superscript"/>
          <w:lang w:val="fr-FR"/>
        </w:rPr>
        <w:t>27</w:t>
      </w:r>
      <w:r w:rsidRPr="00CC1806">
        <w:rPr>
          <w:sz w:val="16"/>
          <w:szCs w:val="16"/>
          <w:lang w:val="fr-FR"/>
        </w:rPr>
        <w:t xml:space="preserve">Univ Toulouse, EI-Purpan, ENVT, INRAE, </w:t>
      </w:r>
      <w:proofErr w:type="spellStart"/>
      <w:r w:rsidRPr="00CC1806">
        <w:rPr>
          <w:sz w:val="16"/>
          <w:szCs w:val="16"/>
          <w:lang w:val="fr-FR"/>
        </w:rPr>
        <w:t>Toxalim</w:t>
      </w:r>
      <w:proofErr w:type="spellEnd"/>
      <w:r w:rsidRPr="00CC1806">
        <w:rPr>
          <w:sz w:val="16"/>
          <w:szCs w:val="16"/>
          <w:lang w:val="fr-FR"/>
        </w:rPr>
        <w:t>, Toulouse, France</w:t>
      </w:r>
    </w:p>
    <w:p w14:paraId="62AD9ADD" w14:textId="77777777" w:rsidR="00806888" w:rsidRPr="00CC1806" w:rsidRDefault="00806888" w:rsidP="00806888">
      <w:pPr>
        <w:spacing w:after="0"/>
        <w:rPr>
          <w:sz w:val="16"/>
          <w:szCs w:val="16"/>
        </w:rPr>
      </w:pPr>
      <w:r w:rsidRPr="00CC1806">
        <w:rPr>
          <w:sz w:val="16"/>
          <w:szCs w:val="16"/>
          <w:vertAlign w:val="superscript"/>
        </w:rPr>
        <w:t>28</w:t>
      </w:r>
      <w:r w:rsidRPr="00CC1806">
        <w:rPr>
          <w:sz w:val="16"/>
          <w:szCs w:val="16"/>
        </w:rPr>
        <w:t>Finnish Institute of Occupational Health, Oulu, Finland</w:t>
      </w:r>
    </w:p>
    <w:p w14:paraId="391B016D" w14:textId="77777777" w:rsidR="00806888" w:rsidRPr="00CC1806" w:rsidRDefault="00806888" w:rsidP="00806888">
      <w:pPr>
        <w:spacing w:after="0"/>
        <w:rPr>
          <w:sz w:val="16"/>
          <w:szCs w:val="16"/>
        </w:rPr>
      </w:pPr>
      <w:r w:rsidRPr="00CC1806">
        <w:rPr>
          <w:sz w:val="16"/>
          <w:szCs w:val="16"/>
          <w:vertAlign w:val="superscript"/>
        </w:rPr>
        <w:t>29</w:t>
      </w:r>
      <w:r w:rsidRPr="00CC1806">
        <w:rPr>
          <w:sz w:val="16"/>
          <w:szCs w:val="16"/>
        </w:rPr>
        <w:t xml:space="preserve">Luxembourg Centre for Systems Biomedicine (LCSB), University of Luxembourg, 6 avenue du Swing, 4367, </w:t>
      </w:r>
      <w:proofErr w:type="spellStart"/>
      <w:r w:rsidRPr="00CC1806">
        <w:rPr>
          <w:sz w:val="16"/>
          <w:szCs w:val="16"/>
        </w:rPr>
        <w:t>Belvaux</w:t>
      </w:r>
      <w:proofErr w:type="spellEnd"/>
      <w:r w:rsidRPr="00CC1806">
        <w:rPr>
          <w:sz w:val="16"/>
          <w:szCs w:val="16"/>
        </w:rPr>
        <w:t>, Luxembourg</w:t>
      </w:r>
    </w:p>
    <w:p w14:paraId="5C129713" w14:textId="77777777" w:rsidR="00806888" w:rsidRPr="00CC1806" w:rsidRDefault="00806888" w:rsidP="00806888">
      <w:pPr>
        <w:spacing w:after="0"/>
        <w:rPr>
          <w:sz w:val="16"/>
          <w:szCs w:val="16"/>
        </w:rPr>
      </w:pPr>
      <w:r w:rsidRPr="00CC1806">
        <w:rPr>
          <w:sz w:val="16"/>
          <w:szCs w:val="16"/>
          <w:vertAlign w:val="superscript"/>
        </w:rPr>
        <w:t>30</w:t>
      </w:r>
      <w:r w:rsidRPr="00CC1806">
        <w:rPr>
          <w:sz w:val="16"/>
          <w:szCs w:val="16"/>
        </w:rPr>
        <w:t xml:space="preserve">Muséum national </w:t>
      </w:r>
      <w:proofErr w:type="spellStart"/>
      <w:r w:rsidRPr="00CC1806">
        <w:rPr>
          <w:sz w:val="16"/>
          <w:szCs w:val="16"/>
        </w:rPr>
        <w:t>d’Histoire</w:t>
      </w:r>
      <w:proofErr w:type="spellEnd"/>
      <w:r w:rsidRPr="00CC1806">
        <w:rPr>
          <w:sz w:val="16"/>
          <w:szCs w:val="16"/>
        </w:rPr>
        <w:t xml:space="preserve"> naturelle, France</w:t>
      </w:r>
    </w:p>
    <w:p w14:paraId="503AA3FF" w14:textId="77777777" w:rsidR="00806888" w:rsidRPr="00CC1806" w:rsidRDefault="00806888" w:rsidP="00806888">
      <w:pPr>
        <w:spacing w:after="0"/>
        <w:rPr>
          <w:sz w:val="16"/>
          <w:szCs w:val="16"/>
        </w:rPr>
      </w:pPr>
      <w:r w:rsidRPr="00CC1806">
        <w:rPr>
          <w:sz w:val="16"/>
          <w:szCs w:val="16"/>
          <w:vertAlign w:val="superscript"/>
        </w:rPr>
        <w:t>31</w:t>
      </w:r>
      <w:r w:rsidRPr="00CC1806">
        <w:rPr>
          <w:sz w:val="16"/>
          <w:szCs w:val="16"/>
        </w:rPr>
        <w:t>Charles Sturt University, Australia</w:t>
      </w:r>
    </w:p>
    <w:p w14:paraId="74B23D48" w14:textId="77777777" w:rsidR="00806888" w:rsidRDefault="00806888" w:rsidP="00927CF0">
      <w:pPr>
        <w:spacing w:after="100"/>
        <w:rPr>
          <w:sz w:val="16"/>
          <w:szCs w:val="16"/>
          <w:lang w:val="fr-FR"/>
        </w:rPr>
      </w:pPr>
      <w:r w:rsidRPr="00CC1806">
        <w:rPr>
          <w:sz w:val="16"/>
          <w:szCs w:val="16"/>
          <w:vertAlign w:val="superscript"/>
          <w:lang w:val="fr-FR"/>
        </w:rPr>
        <w:t>32</w:t>
      </w:r>
      <w:r w:rsidRPr="00CC1806">
        <w:rPr>
          <w:sz w:val="16"/>
          <w:szCs w:val="16"/>
          <w:lang w:val="fr-FR"/>
        </w:rPr>
        <w:t xml:space="preserve">Université Paris-Saclay, Faculté de Pharmacie, </w:t>
      </w:r>
      <w:r>
        <w:rPr>
          <w:sz w:val="16"/>
          <w:szCs w:val="16"/>
          <w:lang w:val="fr-FR"/>
        </w:rPr>
        <w:t>France</w:t>
      </w:r>
    </w:p>
    <w:bookmarkEnd w:id="6"/>
    <w:p w14:paraId="631EA9BD" w14:textId="77777777" w:rsidR="00806888" w:rsidRPr="00927CF0" w:rsidRDefault="00806888" w:rsidP="00806888">
      <w:pPr>
        <w:rPr>
          <w:rStyle w:val="Hyperlink"/>
          <w:sz w:val="20"/>
          <w:szCs w:val="20"/>
        </w:rPr>
      </w:pPr>
      <w:r w:rsidRPr="00927CF0">
        <w:rPr>
          <w:sz w:val="20"/>
          <w:szCs w:val="20"/>
        </w:rPr>
        <w:t xml:space="preserve">*Corresponding author: Dr. </w:t>
      </w:r>
      <w:proofErr w:type="spellStart"/>
      <w:r w:rsidRPr="00927CF0">
        <w:rPr>
          <w:sz w:val="20"/>
          <w:szCs w:val="20"/>
        </w:rPr>
        <w:t>Baninia</w:t>
      </w:r>
      <w:proofErr w:type="spellEnd"/>
      <w:r w:rsidRPr="00927CF0">
        <w:rPr>
          <w:sz w:val="20"/>
          <w:szCs w:val="20"/>
        </w:rPr>
        <w:t xml:space="preserve"> </w:t>
      </w:r>
      <w:proofErr w:type="spellStart"/>
      <w:r w:rsidRPr="00927CF0">
        <w:rPr>
          <w:sz w:val="20"/>
          <w:szCs w:val="20"/>
        </w:rPr>
        <w:t>Habchi</w:t>
      </w:r>
      <w:proofErr w:type="spellEnd"/>
      <w:r w:rsidRPr="00927CF0">
        <w:rPr>
          <w:sz w:val="20"/>
          <w:szCs w:val="20"/>
        </w:rPr>
        <w:t xml:space="preserve">, INRS, Department of Toxicology and Biomonitoring, </w:t>
      </w:r>
      <w:proofErr w:type="spellStart"/>
      <w:r w:rsidRPr="00927CF0">
        <w:rPr>
          <w:sz w:val="20"/>
          <w:szCs w:val="20"/>
        </w:rPr>
        <w:t>Vandoeuvre</w:t>
      </w:r>
      <w:proofErr w:type="spellEnd"/>
      <w:r w:rsidRPr="00927CF0">
        <w:rPr>
          <w:sz w:val="20"/>
          <w:szCs w:val="20"/>
        </w:rPr>
        <w:t>-</w:t>
      </w:r>
      <w:proofErr w:type="spellStart"/>
      <w:r w:rsidRPr="00927CF0">
        <w:rPr>
          <w:sz w:val="20"/>
          <w:szCs w:val="20"/>
        </w:rPr>
        <w:t>Lès</w:t>
      </w:r>
      <w:proofErr w:type="spellEnd"/>
      <w:r w:rsidRPr="00927CF0">
        <w:rPr>
          <w:sz w:val="20"/>
          <w:szCs w:val="20"/>
        </w:rPr>
        <w:t xml:space="preserve">-Nancy, France. E-mail address: </w:t>
      </w:r>
      <w:hyperlink r:id="rId8" w:history="1">
        <w:r w:rsidRPr="00927CF0">
          <w:rPr>
            <w:rStyle w:val="Hyperlink"/>
            <w:sz w:val="20"/>
            <w:szCs w:val="20"/>
          </w:rPr>
          <w:t>baninia.habchi@inrs.fr</w:t>
        </w:r>
      </w:hyperlink>
      <w:bookmarkEnd w:id="3"/>
    </w:p>
    <w:p w14:paraId="5A5A0DD9" w14:textId="2B5B281D" w:rsidR="00275F56" w:rsidRPr="00224752" w:rsidRDefault="00224752" w:rsidP="00806888">
      <w:pPr>
        <w:rPr>
          <w:rFonts w:cstheme="minorHAnsi"/>
          <w:b/>
          <w:bCs/>
          <w:sz w:val="28"/>
          <w:szCs w:val="28"/>
        </w:rPr>
      </w:pPr>
      <w:r w:rsidRPr="00224752">
        <w:rPr>
          <w:b/>
          <w:bCs/>
          <w:sz w:val="28"/>
          <w:szCs w:val="28"/>
        </w:rPr>
        <w:lastRenderedPageBreak/>
        <w:t>Table of contents</w:t>
      </w:r>
    </w:p>
    <w:sdt>
      <w:sdtPr>
        <w:rPr>
          <w:rFonts w:eastAsiaTheme="minorHAnsi" w:cstheme="minorBidi"/>
          <w:b w:val="0"/>
          <w:sz w:val="22"/>
          <w:szCs w:val="22"/>
          <w:lang w:val="en-US" w:eastAsia="en-US"/>
        </w:rPr>
        <w:id w:val="-469209538"/>
        <w:docPartObj>
          <w:docPartGallery w:val="Table of Contents"/>
          <w:docPartUnique/>
        </w:docPartObj>
      </w:sdtPr>
      <w:sdtEndPr>
        <w:rPr>
          <w:bCs/>
        </w:rPr>
      </w:sdtEndPr>
      <w:sdtContent>
        <w:p w14:paraId="3F7D5245" w14:textId="4E3F2A05" w:rsidR="003F6EDA" w:rsidRDefault="003F6EDA">
          <w:pPr>
            <w:pStyle w:val="TOCHeading"/>
          </w:pPr>
        </w:p>
        <w:p w14:paraId="7B50919B" w14:textId="475DDEA8" w:rsidR="00F566DF" w:rsidRDefault="003F6EDA">
          <w:pPr>
            <w:pStyle w:val="TOC1"/>
            <w:tabs>
              <w:tab w:val="left" w:pos="440"/>
              <w:tab w:val="right" w:leader="dot" w:pos="9062"/>
            </w:tabs>
            <w:rPr>
              <w:rFonts w:eastAsiaTheme="minorEastAsia"/>
              <w:noProof/>
              <w:lang w:val="fr-FR" w:eastAsia="fr-FR"/>
            </w:rPr>
          </w:pPr>
          <w:r>
            <w:fldChar w:fldCharType="begin"/>
          </w:r>
          <w:r>
            <w:instrText xml:space="preserve"> TOC \o "1-3" \h \z \u </w:instrText>
          </w:r>
          <w:r>
            <w:fldChar w:fldCharType="separate"/>
          </w:r>
          <w:hyperlink w:anchor="_Toc229644304" w:history="1">
            <w:r w:rsidR="00F566DF" w:rsidRPr="00297C38">
              <w:rPr>
                <w:rStyle w:val="Hyperlink"/>
                <w:noProof/>
              </w:rPr>
              <w:t>1.</w:t>
            </w:r>
            <w:r w:rsidR="00F566DF">
              <w:rPr>
                <w:rFonts w:eastAsiaTheme="minorEastAsia"/>
                <w:noProof/>
                <w:lang w:val="fr-FR" w:eastAsia="fr-FR"/>
              </w:rPr>
              <w:tab/>
            </w:r>
            <w:r w:rsidR="00F566DF" w:rsidRPr="00297C38">
              <w:rPr>
                <w:rStyle w:val="Hyperlink"/>
                <w:noProof/>
              </w:rPr>
              <w:t>Background level and blank contamination assessment</w:t>
            </w:r>
            <w:r w:rsidR="00F566DF">
              <w:rPr>
                <w:noProof/>
                <w:webHidden/>
              </w:rPr>
              <w:tab/>
            </w:r>
            <w:r w:rsidR="00F566DF">
              <w:rPr>
                <w:noProof/>
                <w:webHidden/>
              </w:rPr>
              <w:fldChar w:fldCharType="begin"/>
            </w:r>
            <w:r w:rsidR="00F566DF">
              <w:rPr>
                <w:noProof/>
                <w:webHidden/>
              </w:rPr>
              <w:instrText xml:space="preserve"> PAGEREF _Toc229644304 \h </w:instrText>
            </w:r>
            <w:r w:rsidR="00F566DF">
              <w:rPr>
                <w:noProof/>
                <w:webHidden/>
              </w:rPr>
            </w:r>
            <w:r w:rsidR="00F566DF">
              <w:rPr>
                <w:noProof/>
                <w:webHidden/>
              </w:rPr>
              <w:fldChar w:fldCharType="separate"/>
            </w:r>
            <w:r w:rsidR="00F566DF">
              <w:rPr>
                <w:noProof/>
                <w:webHidden/>
              </w:rPr>
              <w:t>3</w:t>
            </w:r>
            <w:r w:rsidR="00F566DF">
              <w:rPr>
                <w:noProof/>
                <w:webHidden/>
              </w:rPr>
              <w:fldChar w:fldCharType="end"/>
            </w:r>
          </w:hyperlink>
        </w:p>
        <w:p w14:paraId="5CEEE15E" w14:textId="30C48BF7" w:rsidR="00F566DF" w:rsidRDefault="00727DF6">
          <w:pPr>
            <w:pStyle w:val="TOC1"/>
            <w:tabs>
              <w:tab w:val="left" w:pos="440"/>
              <w:tab w:val="right" w:leader="dot" w:pos="9062"/>
            </w:tabs>
            <w:rPr>
              <w:rFonts w:eastAsiaTheme="minorEastAsia"/>
              <w:noProof/>
              <w:lang w:val="fr-FR" w:eastAsia="fr-FR"/>
            </w:rPr>
          </w:pPr>
          <w:hyperlink w:anchor="_Toc229644305" w:history="1">
            <w:r w:rsidR="00F566DF" w:rsidRPr="00297C38">
              <w:rPr>
                <w:rStyle w:val="Hyperlink"/>
                <w:noProof/>
              </w:rPr>
              <w:t>2.</w:t>
            </w:r>
            <w:r w:rsidR="00F566DF">
              <w:rPr>
                <w:rFonts w:eastAsiaTheme="minorEastAsia"/>
                <w:noProof/>
                <w:lang w:val="fr-FR" w:eastAsia="fr-FR"/>
              </w:rPr>
              <w:tab/>
            </w:r>
            <w:r w:rsidR="00F566DF" w:rsidRPr="00297C38">
              <w:rPr>
                <w:rStyle w:val="Hyperlink"/>
                <w:noProof/>
              </w:rPr>
              <w:t>Detectability of QA/QC mix compounds</w:t>
            </w:r>
            <w:r w:rsidR="00F566DF">
              <w:rPr>
                <w:noProof/>
                <w:webHidden/>
              </w:rPr>
              <w:tab/>
            </w:r>
            <w:r w:rsidR="00F566DF">
              <w:rPr>
                <w:noProof/>
                <w:webHidden/>
              </w:rPr>
              <w:fldChar w:fldCharType="begin"/>
            </w:r>
            <w:r w:rsidR="00F566DF">
              <w:rPr>
                <w:noProof/>
                <w:webHidden/>
              </w:rPr>
              <w:instrText xml:space="preserve"> PAGEREF _Toc229644305 \h </w:instrText>
            </w:r>
            <w:r w:rsidR="00F566DF">
              <w:rPr>
                <w:noProof/>
                <w:webHidden/>
              </w:rPr>
            </w:r>
            <w:r w:rsidR="00F566DF">
              <w:rPr>
                <w:noProof/>
                <w:webHidden/>
              </w:rPr>
              <w:fldChar w:fldCharType="separate"/>
            </w:r>
            <w:r w:rsidR="00F566DF">
              <w:rPr>
                <w:noProof/>
                <w:webHidden/>
              </w:rPr>
              <w:t>4</w:t>
            </w:r>
            <w:r w:rsidR="00F566DF">
              <w:rPr>
                <w:noProof/>
                <w:webHidden/>
              </w:rPr>
              <w:fldChar w:fldCharType="end"/>
            </w:r>
          </w:hyperlink>
        </w:p>
        <w:p w14:paraId="5348A8F1" w14:textId="1A816A0C" w:rsidR="00F566DF" w:rsidRDefault="00727DF6">
          <w:pPr>
            <w:pStyle w:val="TOC1"/>
            <w:tabs>
              <w:tab w:val="left" w:pos="440"/>
              <w:tab w:val="right" w:leader="dot" w:pos="9062"/>
            </w:tabs>
            <w:rPr>
              <w:rFonts w:eastAsiaTheme="minorEastAsia"/>
              <w:noProof/>
              <w:lang w:val="fr-FR" w:eastAsia="fr-FR"/>
            </w:rPr>
          </w:pPr>
          <w:hyperlink w:anchor="_Toc229644306" w:history="1">
            <w:r w:rsidR="00F566DF" w:rsidRPr="00297C38">
              <w:rPr>
                <w:rStyle w:val="Hyperlink"/>
                <w:noProof/>
              </w:rPr>
              <w:t>3.</w:t>
            </w:r>
            <w:r w:rsidR="00F566DF">
              <w:rPr>
                <w:rFonts w:eastAsiaTheme="minorEastAsia"/>
                <w:noProof/>
                <w:lang w:val="fr-FR" w:eastAsia="fr-FR"/>
              </w:rPr>
              <w:tab/>
            </w:r>
            <w:r w:rsidR="00F566DF" w:rsidRPr="00297C38">
              <w:rPr>
                <w:rStyle w:val="Hyperlink"/>
                <w:noProof/>
              </w:rPr>
              <w:t>Impact of urine specific gravity on matrix-effects and detection</w:t>
            </w:r>
            <w:r w:rsidR="00F566DF">
              <w:rPr>
                <w:noProof/>
                <w:webHidden/>
              </w:rPr>
              <w:tab/>
            </w:r>
            <w:r w:rsidR="00F566DF">
              <w:rPr>
                <w:noProof/>
                <w:webHidden/>
              </w:rPr>
              <w:fldChar w:fldCharType="begin"/>
            </w:r>
            <w:r w:rsidR="00F566DF">
              <w:rPr>
                <w:noProof/>
                <w:webHidden/>
              </w:rPr>
              <w:instrText xml:space="preserve"> PAGEREF _Toc229644306 \h </w:instrText>
            </w:r>
            <w:r w:rsidR="00F566DF">
              <w:rPr>
                <w:noProof/>
                <w:webHidden/>
              </w:rPr>
            </w:r>
            <w:r w:rsidR="00F566DF">
              <w:rPr>
                <w:noProof/>
                <w:webHidden/>
              </w:rPr>
              <w:fldChar w:fldCharType="separate"/>
            </w:r>
            <w:r w:rsidR="00F566DF">
              <w:rPr>
                <w:noProof/>
                <w:webHidden/>
              </w:rPr>
              <w:t>6</w:t>
            </w:r>
            <w:r w:rsidR="00F566DF">
              <w:rPr>
                <w:noProof/>
                <w:webHidden/>
              </w:rPr>
              <w:fldChar w:fldCharType="end"/>
            </w:r>
          </w:hyperlink>
        </w:p>
        <w:p w14:paraId="2585FE91" w14:textId="73BEF9FE" w:rsidR="00F566DF" w:rsidRDefault="00727DF6">
          <w:pPr>
            <w:pStyle w:val="TOC1"/>
            <w:tabs>
              <w:tab w:val="left" w:pos="440"/>
              <w:tab w:val="right" w:leader="dot" w:pos="9062"/>
            </w:tabs>
            <w:rPr>
              <w:rFonts w:eastAsiaTheme="minorEastAsia"/>
              <w:noProof/>
              <w:lang w:val="fr-FR" w:eastAsia="fr-FR"/>
            </w:rPr>
          </w:pPr>
          <w:hyperlink w:anchor="_Toc229644307" w:history="1">
            <w:r w:rsidR="00F566DF" w:rsidRPr="00297C38">
              <w:rPr>
                <w:rStyle w:val="Hyperlink"/>
                <w:noProof/>
              </w:rPr>
              <w:t>4.</w:t>
            </w:r>
            <w:r w:rsidR="00F566DF">
              <w:rPr>
                <w:rFonts w:eastAsiaTheme="minorEastAsia"/>
                <w:noProof/>
                <w:lang w:val="fr-FR" w:eastAsia="fr-FR"/>
              </w:rPr>
              <w:tab/>
            </w:r>
            <w:r w:rsidR="00F566DF" w:rsidRPr="00297C38">
              <w:rPr>
                <w:rStyle w:val="Hyperlink"/>
                <w:noProof/>
              </w:rPr>
              <w:t>Comparative evaluation of analytical methods using an S-score system</w:t>
            </w:r>
            <w:r w:rsidR="00F566DF">
              <w:rPr>
                <w:noProof/>
                <w:webHidden/>
              </w:rPr>
              <w:tab/>
            </w:r>
            <w:r w:rsidR="00F566DF">
              <w:rPr>
                <w:noProof/>
                <w:webHidden/>
              </w:rPr>
              <w:fldChar w:fldCharType="begin"/>
            </w:r>
            <w:r w:rsidR="00F566DF">
              <w:rPr>
                <w:noProof/>
                <w:webHidden/>
              </w:rPr>
              <w:instrText xml:space="preserve"> PAGEREF _Toc229644307 \h </w:instrText>
            </w:r>
            <w:r w:rsidR="00F566DF">
              <w:rPr>
                <w:noProof/>
                <w:webHidden/>
              </w:rPr>
            </w:r>
            <w:r w:rsidR="00F566DF">
              <w:rPr>
                <w:noProof/>
                <w:webHidden/>
              </w:rPr>
              <w:fldChar w:fldCharType="separate"/>
            </w:r>
            <w:r w:rsidR="00F566DF">
              <w:rPr>
                <w:noProof/>
                <w:webHidden/>
              </w:rPr>
              <w:t>7</w:t>
            </w:r>
            <w:r w:rsidR="00F566DF">
              <w:rPr>
                <w:noProof/>
                <w:webHidden/>
              </w:rPr>
              <w:fldChar w:fldCharType="end"/>
            </w:r>
          </w:hyperlink>
        </w:p>
        <w:p w14:paraId="2083D26D" w14:textId="153AFB7E" w:rsidR="00F566DF" w:rsidRDefault="00727DF6">
          <w:pPr>
            <w:pStyle w:val="TOC1"/>
            <w:tabs>
              <w:tab w:val="left" w:pos="440"/>
              <w:tab w:val="right" w:leader="dot" w:pos="9062"/>
            </w:tabs>
            <w:rPr>
              <w:rFonts w:eastAsiaTheme="minorEastAsia"/>
              <w:noProof/>
              <w:lang w:val="fr-FR" w:eastAsia="fr-FR"/>
            </w:rPr>
          </w:pPr>
          <w:hyperlink w:anchor="_Toc229644308" w:history="1">
            <w:r w:rsidR="00F566DF" w:rsidRPr="00297C38">
              <w:rPr>
                <w:rStyle w:val="Hyperlink"/>
                <w:noProof/>
              </w:rPr>
              <w:t>5.</w:t>
            </w:r>
            <w:r w:rsidR="00F566DF">
              <w:rPr>
                <w:rFonts w:eastAsiaTheme="minorEastAsia"/>
                <w:noProof/>
                <w:lang w:val="fr-FR" w:eastAsia="fr-FR"/>
              </w:rPr>
              <w:tab/>
            </w:r>
            <w:r w:rsidR="00F566DF" w:rsidRPr="00297C38">
              <w:rPr>
                <w:rStyle w:val="Hyperlink"/>
                <w:noProof/>
              </w:rPr>
              <w:t>PARC-H02 – SOP for real sample analysis</w:t>
            </w:r>
            <w:r w:rsidR="00F566DF">
              <w:rPr>
                <w:noProof/>
                <w:webHidden/>
              </w:rPr>
              <w:tab/>
            </w:r>
            <w:r w:rsidR="00F566DF">
              <w:rPr>
                <w:noProof/>
                <w:webHidden/>
              </w:rPr>
              <w:fldChar w:fldCharType="begin"/>
            </w:r>
            <w:r w:rsidR="00F566DF">
              <w:rPr>
                <w:noProof/>
                <w:webHidden/>
              </w:rPr>
              <w:instrText xml:space="preserve"> PAGEREF _Toc229644308 \h </w:instrText>
            </w:r>
            <w:r w:rsidR="00F566DF">
              <w:rPr>
                <w:noProof/>
                <w:webHidden/>
              </w:rPr>
            </w:r>
            <w:r w:rsidR="00F566DF">
              <w:rPr>
                <w:noProof/>
                <w:webHidden/>
              </w:rPr>
              <w:fldChar w:fldCharType="separate"/>
            </w:r>
            <w:r w:rsidR="00F566DF">
              <w:rPr>
                <w:noProof/>
                <w:webHidden/>
              </w:rPr>
              <w:t>8</w:t>
            </w:r>
            <w:r w:rsidR="00F566DF">
              <w:rPr>
                <w:noProof/>
                <w:webHidden/>
              </w:rPr>
              <w:fldChar w:fldCharType="end"/>
            </w:r>
          </w:hyperlink>
        </w:p>
        <w:p w14:paraId="45C9ED58" w14:textId="7723867F" w:rsidR="003F6EDA" w:rsidRDefault="003F6EDA">
          <w:r>
            <w:rPr>
              <w:b/>
              <w:bCs/>
            </w:rPr>
            <w:fldChar w:fldCharType="end"/>
          </w:r>
        </w:p>
      </w:sdtContent>
    </w:sdt>
    <w:p w14:paraId="58A05399" w14:textId="19B40C3F" w:rsidR="00275F56" w:rsidRPr="003F6EDA" w:rsidRDefault="00275F56" w:rsidP="00D0523E">
      <w:pPr>
        <w:rPr>
          <w:rFonts w:cstheme="minorHAnsi"/>
          <w:lang w:val="fr-FR"/>
        </w:rPr>
      </w:pPr>
    </w:p>
    <w:p w14:paraId="04F4F409" w14:textId="77777777" w:rsidR="009B60FF" w:rsidRPr="003F6EDA" w:rsidRDefault="009B60FF">
      <w:pPr>
        <w:rPr>
          <w:b/>
          <w:bCs/>
          <w:i/>
          <w:iCs/>
          <w:lang w:val="fr-FR"/>
        </w:rPr>
      </w:pPr>
      <w:r w:rsidRPr="003F6EDA">
        <w:rPr>
          <w:b/>
          <w:bCs/>
          <w:i/>
          <w:iCs/>
          <w:lang w:val="fr-FR"/>
        </w:rPr>
        <w:br w:type="page"/>
      </w:r>
    </w:p>
    <w:p w14:paraId="2B468370" w14:textId="5C7E333F" w:rsidR="00275F56" w:rsidRPr="003F6EDA" w:rsidRDefault="009B60FF" w:rsidP="003F6EDA">
      <w:pPr>
        <w:pStyle w:val="Heading1"/>
        <w:numPr>
          <w:ilvl w:val="0"/>
          <w:numId w:val="13"/>
        </w:numPr>
      </w:pPr>
      <w:bookmarkStart w:id="7" w:name="_Toc229090342"/>
      <w:bookmarkStart w:id="8" w:name="_Toc229090605"/>
      <w:bookmarkStart w:id="9" w:name="_Toc229090666"/>
      <w:bookmarkStart w:id="10" w:name="_Toc229644304"/>
      <w:r w:rsidRPr="003F6EDA">
        <w:lastRenderedPageBreak/>
        <w:t>Background level and blank contamination assessment</w:t>
      </w:r>
      <w:bookmarkEnd w:id="7"/>
      <w:bookmarkEnd w:id="8"/>
      <w:bookmarkEnd w:id="9"/>
      <w:bookmarkEnd w:id="10"/>
    </w:p>
    <w:p w14:paraId="6643A643" w14:textId="683A1CC9" w:rsidR="0000678A" w:rsidRPr="0000678A" w:rsidRDefault="0000678A" w:rsidP="009B60FF">
      <w:pPr>
        <w:pStyle w:val="NormalWeb"/>
        <w:rPr>
          <w:lang w:val="en-US"/>
        </w:rPr>
      </w:pPr>
      <w:r w:rsidRPr="0000678A">
        <w:rPr>
          <w:noProof/>
        </w:rPr>
        <w:drawing>
          <wp:inline distT="0" distB="0" distL="0" distR="0" wp14:anchorId="2FD700BA" wp14:editId="66AE60C7">
            <wp:extent cx="5399207" cy="3240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9207" cy="3240000"/>
                    </a:xfrm>
                    <a:prstGeom prst="rect">
                      <a:avLst/>
                    </a:prstGeom>
                    <a:noFill/>
                    <a:ln>
                      <a:noFill/>
                    </a:ln>
                  </pic:spPr>
                </pic:pic>
              </a:graphicData>
            </a:graphic>
          </wp:inline>
        </w:drawing>
      </w:r>
    </w:p>
    <w:p w14:paraId="64661BF8" w14:textId="6F0978AD" w:rsidR="009604F1" w:rsidRPr="00FC0825" w:rsidRDefault="005B127A" w:rsidP="009B60FF">
      <w:pPr>
        <w:jc w:val="both"/>
      </w:pPr>
      <w:r w:rsidRPr="00FC0825">
        <w:rPr>
          <w:b/>
          <w:bCs/>
        </w:rPr>
        <w:t>Figure S1:</w:t>
      </w:r>
      <w:r w:rsidRPr="00FC0825">
        <w:t xml:space="preserve"> </w:t>
      </w:r>
      <w:r w:rsidR="0023710C" w:rsidRPr="00FC0825">
        <w:t xml:space="preserve">Number of </w:t>
      </w:r>
      <w:r w:rsidR="003D5D01" w:rsidRPr="00FC0825">
        <w:t>compounds</w:t>
      </w:r>
      <w:r w:rsidR="003D5D01" w:rsidRPr="00FC0825" w:rsidDel="003D5D01">
        <w:rPr>
          <w:rFonts w:eastAsia="Times New Roman" w:cstheme="minorHAnsi"/>
          <w:lang w:eastAsia="fr-FR"/>
        </w:rPr>
        <w:t xml:space="preserve"> </w:t>
      </w:r>
      <w:r w:rsidR="0023710C" w:rsidRPr="00FC0825">
        <w:t>detected by each method in procedural blank</w:t>
      </w:r>
      <w:r w:rsidR="00761577" w:rsidRPr="00FC0825">
        <w:t xml:space="preserve"> (gray color) </w:t>
      </w:r>
      <w:r w:rsidR="0023710C" w:rsidRPr="00FC0825">
        <w:t>and in</w:t>
      </w:r>
      <w:r w:rsidR="0061239A" w:rsidRPr="00FC0825">
        <w:t xml:space="preserve"> non-fortified</w:t>
      </w:r>
      <w:r w:rsidR="0023710C" w:rsidRPr="00FC0825">
        <w:t xml:space="preserve"> </w:t>
      </w:r>
      <w:r w:rsidR="00675C01" w:rsidRPr="00FC0825">
        <w:t xml:space="preserve">urine </w:t>
      </w:r>
      <w:r w:rsidR="0023710C" w:rsidRPr="00FC0825">
        <w:t>samples (</w:t>
      </w:r>
      <w:r w:rsidR="00761577" w:rsidRPr="00FC0825">
        <w:t>green color</w:t>
      </w:r>
      <w:r w:rsidR="0023710C" w:rsidRPr="00FC0825">
        <w:t xml:space="preserve">). The color bars reflect the number of </w:t>
      </w:r>
      <w:r w:rsidR="00615BA3" w:rsidRPr="00FC0825">
        <w:t xml:space="preserve">detected </w:t>
      </w:r>
      <w:r w:rsidR="00BA44BE" w:rsidRPr="00FC0825">
        <w:t>compounds</w:t>
      </w:r>
      <w:r w:rsidR="0023710C" w:rsidRPr="00FC0825">
        <w:t>.</w:t>
      </w:r>
      <w:r w:rsidR="009E691D" w:rsidRPr="00FC0825">
        <w:t xml:space="preserve"> While </w:t>
      </w:r>
      <w:r w:rsidR="00AA76DC" w:rsidRPr="00FC0825">
        <w:t xml:space="preserve">a relatively high number of </w:t>
      </w:r>
      <w:r w:rsidR="00BA44BE" w:rsidRPr="00FC0825">
        <w:t>compounds</w:t>
      </w:r>
      <w:r w:rsidR="00BA44BE" w:rsidRPr="00FC0825" w:rsidDel="00BA44BE">
        <w:t xml:space="preserve"> </w:t>
      </w:r>
      <w:r w:rsidR="00AA76DC" w:rsidRPr="00FC0825">
        <w:t xml:space="preserve">were reported in procedural blanks for </w:t>
      </w:r>
      <w:r w:rsidR="00AA76DC" w:rsidRPr="00FC0825">
        <w:rPr>
          <w:rFonts w:cstheme="minorHAnsi"/>
        </w:rPr>
        <w:t>HL-M1-U and RP-M6-U</w:t>
      </w:r>
      <w:r w:rsidR="00AA76DC" w:rsidRPr="00FC0825">
        <w:t>, comparison of signal intensities indicates that these compounds are predominantly present at trace levels, reflecting differences in analytical sensitivity. The lower signal intensities in blanks indicate a limited contribution of analytical contamination.</w:t>
      </w:r>
      <w:r w:rsidR="00936AE0" w:rsidRPr="00FC0825">
        <w:t xml:space="preserve"> The dashed line represents the maximum number of </w:t>
      </w:r>
      <w:r w:rsidR="00FC0825" w:rsidRPr="00FC0825">
        <w:t>compounds</w:t>
      </w:r>
      <w:r w:rsidR="00FC0825" w:rsidRPr="00FC0825" w:rsidDel="00BA44BE">
        <w:t xml:space="preserve"> </w:t>
      </w:r>
      <w:r w:rsidR="00936AE0" w:rsidRPr="00FC0825">
        <w:t>analyzed, corresponding to the 81 compounds in the QA/QC mix. This definition applies to all subsequent figures.</w:t>
      </w:r>
    </w:p>
    <w:p w14:paraId="17AE645A" w14:textId="4E6D1A16" w:rsidR="0000678A" w:rsidRPr="0000678A" w:rsidRDefault="0000678A" w:rsidP="0000678A">
      <w:pPr>
        <w:pStyle w:val="NormalWeb"/>
        <w:rPr>
          <w:lang w:val="en-US"/>
        </w:rPr>
      </w:pPr>
      <w:r w:rsidRPr="0000678A">
        <w:rPr>
          <w:lang w:val="en-US"/>
        </w:rPr>
        <w:t xml:space="preserve"> </w:t>
      </w:r>
      <w:r w:rsidRPr="0000678A">
        <w:rPr>
          <w:noProof/>
        </w:rPr>
        <w:drawing>
          <wp:inline distT="0" distB="0" distL="0" distR="0" wp14:anchorId="1335F2C0" wp14:editId="77350A94">
            <wp:extent cx="5399207" cy="32400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9207" cy="3240000"/>
                    </a:xfrm>
                    <a:prstGeom prst="rect">
                      <a:avLst/>
                    </a:prstGeom>
                    <a:noFill/>
                    <a:ln>
                      <a:noFill/>
                    </a:ln>
                  </pic:spPr>
                </pic:pic>
              </a:graphicData>
            </a:graphic>
          </wp:inline>
        </w:drawing>
      </w:r>
    </w:p>
    <w:p w14:paraId="404BAE03" w14:textId="66CEADAF" w:rsidR="008F27C8" w:rsidRPr="00FC0825" w:rsidRDefault="00B01AAE" w:rsidP="00E130BC">
      <w:pPr>
        <w:jc w:val="both"/>
      </w:pPr>
      <w:r w:rsidRPr="00FC0825">
        <w:rPr>
          <w:b/>
        </w:rPr>
        <w:lastRenderedPageBreak/>
        <w:t>Figure S2</w:t>
      </w:r>
      <w:r w:rsidR="00A20DC7" w:rsidRPr="00FC0825">
        <w:rPr>
          <w:b/>
        </w:rPr>
        <w:t xml:space="preserve">: </w:t>
      </w:r>
      <w:r w:rsidR="0023710C" w:rsidRPr="00FC0825">
        <w:t xml:space="preserve">Number of </w:t>
      </w:r>
      <w:r w:rsidR="003D5D01" w:rsidRPr="00FC0825">
        <w:t>compounds</w:t>
      </w:r>
      <w:r w:rsidR="003D5D01" w:rsidRPr="00FC0825" w:rsidDel="003D5D01">
        <w:t xml:space="preserve"> </w:t>
      </w:r>
      <w:r w:rsidR="0023710C" w:rsidRPr="00FC0825">
        <w:t>detected by each method in procedural blank</w:t>
      </w:r>
      <w:r w:rsidR="00761577" w:rsidRPr="00FC0825">
        <w:t xml:space="preserve"> (gray color)</w:t>
      </w:r>
      <w:r w:rsidR="0023710C" w:rsidRPr="00FC0825">
        <w:t xml:space="preserve"> and in</w:t>
      </w:r>
      <w:r w:rsidR="0061239A" w:rsidRPr="00FC0825">
        <w:t xml:space="preserve"> non-fortified</w:t>
      </w:r>
      <w:r w:rsidR="0023710C" w:rsidRPr="00FC0825">
        <w:t xml:space="preserve"> plasma sample (</w:t>
      </w:r>
      <w:r w:rsidR="00761577" w:rsidRPr="00FC0825">
        <w:t>green color</w:t>
      </w:r>
      <w:r w:rsidR="0023710C" w:rsidRPr="00FC0825">
        <w:t xml:space="preserve">). The color bars reflect the number of </w:t>
      </w:r>
      <w:r w:rsidR="00615BA3" w:rsidRPr="00FC0825">
        <w:t xml:space="preserve">detected </w:t>
      </w:r>
      <w:r w:rsidR="003D5D01" w:rsidRPr="00FC0825">
        <w:t>compounds</w:t>
      </w:r>
      <w:r w:rsidR="0023710C" w:rsidRPr="00FC0825">
        <w:t>.</w:t>
      </w:r>
      <w:r w:rsidR="009E691D" w:rsidRPr="00FC0825">
        <w:t xml:space="preserve"> </w:t>
      </w:r>
      <w:r w:rsidR="00AA76DC" w:rsidRPr="00FC0825">
        <w:t xml:space="preserve">While a relatively high number of </w:t>
      </w:r>
      <w:r w:rsidR="003D5D01" w:rsidRPr="00FC0825">
        <w:t>compounds</w:t>
      </w:r>
      <w:r w:rsidR="003D5D01" w:rsidRPr="00FC0825" w:rsidDel="003D5D01">
        <w:t xml:space="preserve"> </w:t>
      </w:r>
      <w:r w:rsidR="00AA76DC" w:rsidRPr="00FC0825">
        <w:t xml:space="preserve">were reported in procedural blanks for </w:t>
      </w:r>
      <w:r w:rsidR="00AA76DC" w:rsidRPr="00FC0825">
        <w:rPr>
          <w:rFonts w:cstheme="minorHAnsi"/>
        </w:rPr>
        <w:t>RP-M6-U</w:t>
      </w:r>
      <w:r w:rsidR="00AA76DC" w:rsidRPr="00FC0825">
        <w:t>, comparison of signal intensities indicates that these compounds are predominantly present at trace levels, reflecting differences in analytical sensitivity. The lower signal intensities in blanks indicate a limited contribution of analytical contamination</w:t>
      </w:r>
      <w:r w:rsidR="009E691D" w:rsidRPr="00FC0825">
        <w:t>.</w:t>
      </w:r>
    </w:p>
    <w:p w14:paraId="704E9F16" w14:textId="77777777" w:rsidR="00952A98" w:rsidRDefault="00952A98" w:rsidP="00E130BC">
      <w:pPr>
        <w:jc w:val="both"/>
        <w:rPr>
          <w:i/>
          <w:iCs/>
        </w:rPr>
      </w:pPr>
    </w:p>
    <w:p w14:paraId="66613658" w14:textId="38AF6D09" w:rsidR="003F6EDA" w:rsidRPr="003F6EDA" w:rsidRDefault="003F6EDA" w:rsidP="003F6EDA">
      <w:pPr>
        <w:pStyle w:val="Heading1"/>
        <w:numPr>
          <w:ilvl w:val="0"/>
          <w:numId w:val="13"/>
        </w:numPr>
      </w:pPr>
      <w:bookmarkStart w:id="11" w:name="_Toc229090606"/>
      <w:bookmarkStart w:id="12" w:name="_Toc229090667"/>
      <w:bookmarkStart w:id="13" w:name="_Toc229644305"/>
      <w:r w:rsidRPr="003F6EDA">
        <w:t>Detectability of QA/QC mix compounds</w:t>
      </w:r>
      <w:bookmarkEnd w:id="11"/>
      <w:bookmarkEnd w:id="12"/>
      <w:bookmarkEnd w:id="13"/>
      <w:r w:rsidRPr="003F6EDA">
        <w:t xml:space="preserve"> </w:t>
      </w:r>
    </w:p>
    <w:p w14:paraId="3B33D51D" w14:textId="3F3F7F9B" w:rsidR="009B60FF" w:rsidRPr="003F6EDA" w:rsidRDefault="009B60FF" w:rsidP="003F6EDA">
      <w:pPr>
        <w:pStyle w:val="Title"/>
      </w:pPr>
    </w:p>
    <w:tbl>
      <w:tblPr>
        <w:tblStyle w:val="TableGrid"/>
        <w:tblpPr w:leftFromText="141" w:rightFromText="141" w:horzAnchor="page" w:tblpX="901" w:tblpY="-570"/>
        <w:tblW w:w="10490" w:type="dxa"/>
        <w:tblLayout w:type="fixed"/>
        <w:tblLook w:val="04A0" w:firstRow="1" w:lastRow="0" w:firstColumn="1" w:lastColumn="0" w:noHBand="0" w:noVBand="1"/>
      </w:tblPr>
      <w:tblGrid>
        <w:gridCol w:w="3261"/>
        <w:gridCol w:w="7229"/>
      </w:tblGrid>
      <w:tr w:rsidR="00921A0E" w14:paraId="4D35D5C8" w14:textId="77777777" w:rsidTr="005E397B">
        <w:tc>
          <w:tcPr>
            <w:tcW w:w="3261" w:type="dxa"/>
          </w:tcPr>
          <w:p w14:paraId="61B90244" w14:textId="7482EF06" w:rsidR="00921A0E" w:rsidRPr="00C5508A" w:rsidRDefault="00C5508A" w:rsidP="0034123A">
            <w:pPr>
              <w:rPr>
                <w:bCs/>
              </w:rPr>
            </w:pPr>
            <w:r>
              <w:rPr>
                <w:bCs/>
              </w:rPr>
              <w:lastRenderedPageBreak/>
              <w:t>(a)</w:t>
            </w:r>
          </w:p>
          <w:p w14:paraId="77A393CB" w14:textId="770EE6BF" w:rsidR="00921A0E" w:rsidRDefault="007E70CE" w:rsidP="0034123A">
            <w:r w:rsidRPr="007E70CE">
              <w:rPr>
                <w:rFonts w:eastAsia="Times New Roman" w:cstheme="minorHAnsi"/>
                <w:bCs/>
                <w:i/>
                <w:noProof/>
                <w:lang w:eastAsia="fr-FR"/>
              </w:rPr>
              <w:drawing>
                <wp:inline distT="0" distB="0" distL="0" distR="0" wp14:anchorId="4FF64DD7" wp14:editId="7A4585A6">
                  <wp:extent cx="1584000" cy="1850136"/>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84000" cy="1850136"/>
                          </a:xfrm>
                          <a:prstGeom prst="rect">
                            <a:avLst/>
                          </a:prstGeom>
                        </pic:spPr>
                      </pic:pic>
                    </a:graphicData>
                  </a:graphic>
                </wp:inline>
              </w:drawing>
            </w:r>
          </w:p>
        </w:tc>
        <w:tc>
          <w:tcPr>
            <w:tcW w:w="7229" w:type="dxa"/>
          </w:tcPr>
          <w:tbl>
            <w:tblPr>
              <w:tblStyle w:val="TableGrid"/>
              <w:tblpPr w:leftFromText="141" w:rightFromText="141" w:vertAnchor="page" w:horzAnchor="margin" w:tblpY="237"/>
              <w:tblOverlap w:val="never"/>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2126"/>
            </w:tblGrid>
            <w:tr w:rsidR="00C5508A" w:rsidRPr="007E70CE" w14:paraId="6625C49E" w14:textId="77777777" w:rsidTr="007E70CE">
              <w:tc>
                <w:tcPr>
                  <w:tcW w:w="3544" w:type="dxa"/>
                </w:tcPr>
                <w:p w14:paraId="7003A566" w14:textId="77777777" w:rsidR="00C5508A" w:rsidRPr="007E70CE" w:rsidRDefault="00C5508A" w:rsidP="0034123A">
                  <w:pPr>
                    <w:rPr>
                      <w:sz w:val="16"/>
                      <w:szCs w:val="16"/>
                    </w:rPr>
                  </w:pPr>
                  <w:r w:rsidRPr="007E70CE">
                    <w:rPr>
                      <w:bCs/>
                      <w:noProof/>
                      <w:sz w:val="16"/>
                      <w:szCs w:val="16"/>
                    </w:rPr>
                    <w:t>LC-RP</w:t>
                  </w:r>
                </w:p>
              </w:tc>
              <w:tc>
                <w:tcPr>
                  <w:tcW w:w="2126" w:type="dxa"/>
                  <w:vAlign w:val="bottom"/>
                </w:tcPr>
                <w:p w14:paraId="56ED3C0E" w14:textId="77777777" w:rsidR="00C5508A" w:rsidRPr="007E70CE" w:rsidRDefault="00C5508A" w:rsidP="0034123A">
                  <w:pPr>
                    <w:rPr>
                      <w:sz w:val="16"/>
                      <w:szCs w:val="16"/>
                    </w:rPr>
                  </w:pPr>
                  <w:r w:rsidRPr="007E70CE">
                    <w:rPr>
                      <w:rFonts w:ascii="Calibri" w:hAnsi="Calibri" w:cs="Calibri"/>
                      <w:bCs/>
                      <w:color w:val="000000"/>
                      <w:sz w:val="16"/>
                      <w:szCs w:val="16"/>
                    </w:rPr>
                    <w:t>LC-HILIC</w:t>
                  </w:r>
                </w:p>
              </w:tc>
            </w:tr>
            <w:tr w:rsidR="00C5508A" w:rsidRPr="007E70CE" w14:paraId="4611EDA4" w14:textId="77777777" w:rsidTr="007E70CE">
              <w:tc>
                <w:tcPr>
                  <w:tcW w:w="3544" w:type="dxa"/>
                  <w:vAlign w:val="bottom"/>
                </w:tcPr>
                <w:p w14:paraId="51F4D1F1" w14:textId="77777777" w:rsidR="00C5508A" w:rsidRPr="007E70CE" w:rsidRDefault="00C5508A" w:rsidP="0034123A">
                  <w:pPr>
                    <w:rPr>
                      <w:sz w:val="16"/>
                      <w:szCs w:val="16"/>
                    </w:rPr>
                  </w:pPr>
                  <w:r w:rsidRPr="007E70CE">
                    <w:rPr>
                      <w:rFonts w:ascii="Calibri" w:hAnsi="Calibri" w:cs="Calibri"/>
                      <w:sz w:val="16"/>
                      <w:szCs w:val="16"/>
                    </w:rPr>
                    <w:t>Tris(2,3-dibromopropyl) phosphate (TDBPP)</w:t>
                  </w:r>
                </w:p>
              </w:tc>
              <w:tc>
                <w:tcPr>
                  <w:tcW w:w="2126" w:type="dxa"/>
                  <w:vAlign w:val="bottom"/>
                </w:tcPr>
                <w:p w14:paraId="3826DDA6" w14:textId="77777777" w:rsidR="00C5508A" w:rsidRPr="007E70CE" w:rsidRDefault="00C5508A" w:rsidP="0034123A">
                  <w:pPr>
                    <w:rPr>
                      <w:sz w:val="16"/>
                      <w:szCs w:val="16"/>
                    </w:rPr>
                  </w:pPr>
                  <w:r w:rsidRPr="007E70CE">
                    <w:rPr>
                      <w:rFonts w:ascii="Calibri" w:hAnsi="Calibri" w:cs="Calibri"/>
                      <w:sz w:val="16"/>
                      <w:szCs w:val="16"/>
                    </w:rPr>
                    <w:t>2,3,4,5-Tetrabromophenol</w:t>
                  </w:r>
                </w:p>
              </w:tc>
            </w:tr>
            <w:tr w:rsidR="00C5508A" w:rsidRPr="007E70CE" w14:paraId="67ED4920" w14:textId="77777777" w:rsidTr="007E70CE">
              <w:tc>
                <w:tcPr>
                  <w:tcW w:w="3544" w:type="dxa"/>
                  <w:vAlign w:val="bottom"/>
                </w:tcPr>
                <w:p w14:paraId="38D6793B" w14:textId="77777777" w:rsidR="00C5508A" w:rsidRPr="007E70CE" w:rsidRDefault="00C5508A" w:rsidP="0034123A">
                  <w:pPr>
                    <w:rPr>
                      <w:sz w:val="16"/>
                      <w:szCs w:val="16"/>
                    </w:rPr>
                  </w:pPr>
                  <w:r w:rsidRPr="007E70CE">
                    <w:rPr>
                      <w:rFonts w:ascii="Calibri" w:hAnsi="Calibri" w:cs="Calibri"/>
                      <w:sz w:val="16"/>
                      <w:szCs w:val="16"/>
                    </w:rPr>
                    <w:t xml:space="preserve">AMPA - </w:t>
                  </w:r>
                  <w:proofErr w:type="spellStart"/>
                  <w:r w:rsidRPr="007E70CE">
                    <w:rPr>
                      <w:rFonts w:ascii="Calibri" w:hAnsi="Calibri" w:cs="Calibri"/>
                      <w:sz w:val="16"/>
                      <w:szCs w:val="16"/>
                    </w:rPr>
                    <w:t>Aminomethyl</w:t>
                  </w:r>
                  <w:proofErr w:type="spellEnd"/>
                  <w:r w:rsidRPr="007E70CE">
                    <w:rPr>
                      <w:rFonts w:ascii="Calibri" w:hAnsi="Calibri" w:cs="Calibri"/>
                      <w:sz w:val="16"/>
                      <w:szCs w:val="16"/>
                    </w:rPr>
                    <w:t>)phosphonic acid</w:t>
                  </w:r>
                </w:p>
              </w:tc>
              <w:tc>
                <w:tcPr>
                  <w:tcW w:w="2126" w:type="dxa"/>
                  <w:vAlign w:val="bottom"/>
                </w:tcPr>
                <w:p w14:paraId="16F59F4F" w14:textId="77777777" w:rsidR="00C5508A" w:rsidRPr="007E70CE" w:rsidRDefault="00C5508A" w:rsidP="0034123A">
                  <w:pPr>
                    <w:rPr>
                      <w:sz w:val="16"/>
                      <w:szCs w:val="16"/>
                    </w:rPr>
                  </w:pPr>
                </w:p>
              </w:tc>
            </w:tr>
            <w:tr w:rsidR="00C5508A" w:rsidRPr="007E70CE" w14:paraId="4818FA88" w14:textId="77777777" w:rsidTr="007E70CE">
              <w:tc>
                <w:tcPr>
                  <w:tcW w:w="3544" w:type="dxa"/>
                  <w:vAlign w:val="bottom"/>
                </w:tcPr>
                <w:p w14:paraId="151B5002" w14:textId="77777777" w:rsidR="00C5508A" w:rsidRPr="007E70CE" w:rsidRDefault="00C5508A" w:rsidP="0034123A">
                  <w:pPr>
                    <w:rPr>
                      <w:sz w:val="16"/>
                      <w:szCs w:val="16"/>
                    </w:rPr>
                  </w:pPr>
                  <w:r w:rsidRPr="007E70CE">
                    <w:rPr>
                      <w:rFonts w:ascii="Calibri" w:hAnsi="Calibri" w:cs="Calibri"/>
                      <w:sz w:val="16"/>
                      <w:szCs w:val="16"/>
                    </w:rPr>
                    <w:t>Glyphosate</w:t>
                  </w:r>
                </w:p>
              </w:tc>
              <w:tc>
                <w:tcPr>
                  <w:tcW w:w="2126" w:type="dxa"/>
                </w:tcPr>
                <w:p w14:paraId="53D9081C" w14:textId="77777777" w:rsidR="00C5508A" w:rsidRPr="007E70CE" w:rsidRDefault="00C5508A" w:rsidP="0034123A">
                  <w:pPr>
                    <w:rPr>
                      <w:sz w:val="16"/>
                      <w:szCs w:val="16"/>
                    </w:rPr>
                  </w:pPr>
                </w:p>
              </w:tc>
            </w:tr>
            <w:tr w:rsidR="00C5508A" w:rsidRPr="007E70CE" w14:paraId="1EB4994E" w14:textId="77777777" w:rsidTr="007E70CE">
              <w:tc>
                <w:tcPr>
                  <w:tcW w:w="3544" w:type="dxa"/>
                  <w:vAlign w:val="bottom"/>
                </w:tcPr>
                <w:p w14:paraId="014FFD84" w14:textId="77777777" w:rsidR="00C5508A" w:rsidRPr="007E70CE" w:rsidRDefault="00C5508A" w:rsidP="0034123A">
                  <w:pPr>
                    <w:rPr>
                      <w:sz w:val="16"/>
                      <w:szCs w:val="16"/>
                    </w:rPr>
                  </w:pPr>
                  <w:r w:rsidRPr="007E70CE">
                    <w:rPr>
                      <w:rFonts w:ascii="Calibri" w:hAnsi="Calibri" w:cs="Calibri"/>
                      <w:sz w:val="16"/>
                      <w:szCs w:val="16"/>
                    </w:rPr>
                    <w:t>Sevoflurane</w:t>
                  </w:r>
                </w:p>
              </w:tc>
              <w:tc>
                <w:tcPr>
                  <w:tcW w:w="2126" w:type="dxa"/>
                </w:tcPr>
                <w:p w14:paraId="74BD56B7" w14:textId="77777777" w:rsidR="00C5508A" w:rsidRPr="007E70CE" w:rsidRDefault="00C5508A" w:rsidP="0034123A">
                  <w:pPr>
                    <w:rPr>
                      <w:sz w:val="16"/>
                      <w:szCs w:val="16"/>
                    </w:rPr>
                  </w:pPr>
                </w:p>
              </w:tc>
            </w:tr>
          </w:tbl>
          <w:p w14:paraId="5969DC50" w14:textId="0E4FEE4B" w:rsidR="00921A0E" w:rsidRDefault="00921A0E" w:rsidP="0034123A"/>
        </w:tc>
      </w:tr>
      <w:tr w:rsidR="00921A0E" w14:paraId="10027536" w14:textId="77777777" w:rsidTr="005E397B">
        <w:tc>
          <w:tcPr>
            <w:tcW w:w="3261" w:type="dxa"/>
          </w:tcPr>
          <w:p w14:paraId="4B2C864C" w14:textId="22C156D6" w:rsidR="00C5508A" w:rsidRPr="00C5508A" w:rsidRDefault="00C5508A" w:rsidP="0034123A">
            <w:pPr>
              <w:rPr>
                <w:bCs/>
              </w:rPr>
            </w:pPr>
            <w:r w:rsidRPr="00C5508A">
              <w:rPr>
                <w:bCs/>
              </w:rPr>
              <w:t>(b)</w:t>
            </w:r>
          </w:p>
          <w:p w14:paraId="25574900" w14:textId="1AF77C5D" w:rsidR="00921A0E" w:rsidRDefault="007E70CE" w:rsidP="0034123A">
            <w:r>
              <w:rPr>
                <w:noProof/>
              </w:rPr>
              <w:t xml:space="preserve"> </w:t>
            </w:r>
            <w:r w:rsidRPr="007E70CE">
              <w:rPr>
                <w:noProof/>
              </w:rPr>
              <w:drawing>
                <wp:inline distT="0" distB="0" distL="0" distR="0" wp14:anchorId="19C7EBE0" wp14:editId="72FAB58E">
                  <wp:extent cx="1584000" cy="1843724"/>
                  <wp:effectExtent l="0" t="0" r="0" b="444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84000" cy="1843724"/>
                          </a:xfrm>
                          <a:prstGeom prst="rect">
                            <a:avLst/>
                          </a:prstGeom>
                        </pic:spPr>
                      </pic:pic>
                    </a:graphicData>
                  </a:graphic>
                </wp:inline>
              </w:drawing>
            </w:r>
          </w:p>
        </w:tc>
        <w:tc>
          <w:tcPr>
            <w:tcW w:w="7229" w:type="dxa"/>
          </w:tcPr>
          <w:tbl>
            <w:tblPr>
              <w:tblStyle w:val="TableGrid"/>
              <w:tblpPr w:leftFromText="141" w:rightFromText="141" w:vertAnchor="page" w:horzAnchor="margin" w:tblpY="128"/>
              <w:tblOverlap w:val="never"/>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2126"/>
            </w:tblGrid>
            <w:tr w:rsidR="00C5508A" w:rsidRPr="007E70CE" w14:paraId="18FAB47B" w14:textId="77777777" w:rsidTr="007E70CE">
              <w:tc>
                <w:tcPr>
                  <w:tcW w:w="3828" w:type="dxa"/>
                </w:tcPr>
                <w:p w14:paraId="25D91A96" w14:textId="77777777" w:rsidR="00C5508A" w:rsidRPr="007E70CE" w:rsidRDefault="00C5508A" w:rsidP="0034123A">
                  <w:pPr>
                    <w:rPr>
                      <w:sz w:val="18"/>
                      <w:szCs w:val="18"/>
                    </w:rPr>
                  </w:pPr>
                  <w:r w:rsidRPr="007E70CE">
                    <w:rPr>
                      <w:bCs/>
                      <w:noProof/>
                      <w:sz w:val="18"/>
                      <w:szCs w:val="18"/>
                    </w:rPr>
                    <w:t>LC-RP</w:t>
                  </w:r>
                </w:p>
              </w:tc>
              <w:tc>
                <w:tcPr>
                  <w:tcW w:w="2126" w:type="dxa"/>
                  <w:vAlign w:val="bottom"/>
                </w:tcPr>
                <w:p w14:paraId="14DDB879" w14:textId="77777777" w:rsidR="00C5508A" w:rsidRPr="007E70CE" w:rsidRDefault="00C5508A" w:rsidP="0034123A">
                  <w:pPr>
                    <w:rPr>
                      <w:sz w:val="18"/>
                      <w:szCs w:val="18"/>
                    </w:rPr>
                  </w:pPr>
                  <w:r w:rsidRPr="007E70CE">
                    <w:rPr>
                      <w:bCs/>
                      <w:noProof/>
                      <w:sz w:val="18"/>
                      <w:szCs w:val="18"/>
                    </w:rPr>
                    <w:t xml:space="preserve">GC </w:t>
                  </w:r>
                </w:p>
              </w:tc>
            </w:tr>
            <w:tr w:rsidR="00C5508A" w:rsidRPr="007E70CE" w14:paraId="0713C9D5" w14:textId="77777777" w:rsidTr="007E70CE">
              <w:tc>
                <w:tcPr>
                  <w:tcW w:w="3828" w:type="dxa"/>
                  <w:vAlign w:val="bottom"/>
                </w:tcPr>
                <w:p w14:paraId="64EA80D6" w14:textId="77777777" w:rsidR="00C5508A" w:rsidRPr="007E70CE" w:rsidRDefault="00C5508A" w:rsidP="0034123A">
                  <w:pPr>
                    <w:rPr>
                      <w:sz w:val="18"/>
                      <w:szCs w:val="18"/>
                    </w:rPr>
                  </w:pPr>
                  <w:r w:rsidRPr="007E70CE">
                    <w:rPr>
                      <w:rFonts w:ascii="Calibri" w:hAnsi="Calibri" w:cs="Calibri"/>
                      <w:sz w:val="18"/>
                      <w:szCs w:val="18"/>
                    </w:rPr>
                    <w:t>Paclitaxel</w:t>
                  </w:r>
                </w:p>
              </w:tc>
              <w:tc>
                <w:tcPr>
                  <w:tcW w:w="2126" w:type="dxa"/>
                  <w:vAlign w:val="bottom"/>
                </w:tcPr>
                <w:p w14:paraId="135D8DC0" w14:textId="77777777" w:rsidR="00C5508A" w:rsidRPr="007E70CE" w:rsidRDefault="00C5508A" w:rsidP="0034123A">
                  <w:pPr>
                    <w:rPr>
                      <w:sz w:val="18"/>
                      <w:szCs w:val="18"/>
                    </w:rPr>
                  </w:pPr>
                  <w:r w:rsidRPr="007E70CE">
                    <w:rPr>
                      <w:rFonts w:ascii="Calibri" w:hAnsi="Calibri" w:cs="Calibri"/>
                      <w:sz w:val="18"/>
                      <w:szCs w:val="18"/>
                    </w:rPr>
                    <w:t>Benz[a]anthracene</w:t>
                  </w:r>
                </w:p>
              </w:tc>
            </w:tr>
            <w:tr w:rsidR="00C5508A" w:rsidRPr="007E70CE" w14:paraId="0981B69C" w14:textId="77777777" w:rsidTr="007E70CE">
              <w:tc>
                <w:tcPr>
                  <w:tcW w:w="3828" w:type="dxa"/>
                  <w:vAlign w:val="bottom"/>
                </w:tcPr>
                <w:p w14:paraId="1D32A402" w14:textId="77777777" w:rsidR="00C5508A" w:rsidRPr="007E70CE" w:rsidRDefault="00C5508A" w:rsidP="0034123A">
                  <w:pPr>
                    <w:rPr>
                      <w:rFonts w:ascii="Calibri" w:hAnsi="Calibri" w:cs="Calibri"/>
                      <w:sz w:val="18"/>
                      <w:szCs w:val="18"/>
                    </w:rPr>
                  </w:pPr>
                  <w:r w:rsidRPr="007E70CE">
                    <w:rPr>
                      <w:rFonts w:ascii="Calibri" w:hAnsi="Calibri" w:cs="Calibri"/>
                      <w:sz w:val="18"/>
                      <w:szCs w:val="18"/>
                    </w:rPr>
                    <w:t>Tris(1,3-dichloro-2-propyl) phosphate (TDCPP)</w:t>
                  </w:r>
                </w:p>
              </w:tc>
              <w:tc>
                <w:tcPr>
                  <w:tcW w:w="2126" w:type="dxa"/>
                  <w:vAlign w:val="bottom"/>
                </w:tcPr>
                <w:p w14:paraId="3ACA99F9" w14:textId="0772552B" w:rsidR="00C5508A" w:rsidRPr="007E70CE" w:rsidRDefault="007955A4" w:rsidP="0034123A">
                  <w:pPr>
                    <w:rPr>
                      <w:sz w:val="18"/>
                      <w:szCs w:val="18"/>
                    </w:rPr>
                  </w:pPr>
                  <w:r>
                    <w:rPr>
                      <w:rFonts w:ascii="Calibri" w:hAnsi="Calibri" w:cs="Calibri"/>
                      <w:sz w:val="18"/>
                      <w:szCs w:val="18"/>
                    </w:rPr>
                    <w:t>B</w:t>
                  </w:r>
                  <w:r w:rsidR="00C5508A" w:rsidRPr="007E70CE">
                    <w:rPr>
                      <w:rFonts w:ascii="Calibri" w:hAnsi="Calibri" w:cs="Calibri"/>
                      <w:sz w:val="18"/>
                      <w:szCs w:val="18"/>
                    </w:rPr>
                    <w:t>enzo[a]pyrene</w:t>
                  </w:r>
                </w:p>
              </w:tc>
            </w:tr>
            <w:tr w:rsidR="00C5508A" w:rsidRPr="007E70CE" w14:paraId="20390091" w14:textId="77777777" w:rsidTr="007E70CE">
              <w:tc>
                <w:tcPr>
                  <w:tcW w:w="3828" w:type="dxa"/>
                  <w:vAlign w:val="bottom"/>
                </w:tcPr>
                <w:p w14:paraId="50472748" w14:textId="77777777" w:rsidR="00C5508A" w:rsidRPr="007E70CE" w:rsidRDefault="00C5508A" w:rsidP="0034123A">
                  <w:pPr>
                    <w:rPr>
                      <w:rFonts w:ascii="Calibri" w:hAnsi="Calibri" w:cs="Calibri"/>
                      <w:sz w:val="18"/>
                      <w:szCs w:val="18"/>
                    </w:rPr>
                  </w:pPr>
                  <w:r w:rsidRPr="007E70CE">
                    <w:rPr>
                      <w:rFonts w:ascii="Calibri" w:hAnsi="Calibri" w:cs="Calibri"/>
                      <w:sz w:val="18"/>
                      <w:szCs w:val="18"/>
                    </w:rPr>
                    <w:t>Triclosan</w:t>
                  </w:r>
                </w:p>
              </w:tc>
              <w:tc>
                <w:tcPr>
                  <w:tcW w:w="2126" w:type="dxa"/>
                  <w:vAlign w:val="bottom"/>
                </w:tcPr>
                <w:p w14:paraId="54BAE03A" w14:textId="77777777" w:rsidR="00C5508A" w:rsidRPr="007E70CE" w:rsidRDefault="00C5508A" w:rsidP="0034123A">
                  <w:pPr>
                    <w:rPr>
                      <w:sz w:val="18"/>
                      <w:szCs w:val="18"/>
                    </w:rPr>
                  </w:pPr>
                  <w:proofErr w:type="spellStart"/>
                  <w:r w:rsidRPr="007E70CE">
                    <w:rPr>
                      <w:rFonts w:ascii="Calibri" w:hAnsi="Calibri" w:cs="Calibri"/>
                      <w:sz w:val="18"/>
                      <w:szCs w:val="18"/>
                    </w:rPr>
                    <w:t>Indeno</w:t>
                  </w:r>
                  <w:proofErr w:type="spellEnd"/>
                  <w:r w:rsidRPr="007E70CE">
                    <w:rPr>
                      <w:rFonts w:ascii="Calibri" w:hAnsi="Calibri" w:cs="Calibri"/>
                      <w:sz w:val="18"/>
                      <w:szCs w:val="18"/>
                    </w:rPr>
                    <w:t>[1,2,3-cd]pyrene</w:t>
                  </w:r>
                </w:p>
              </w:tc>
            </w:tr>
            <w:tr w:rsidR="00C5508A" w:rsidRPr="007E70CE" w14:paraId="320164C0" w14:textId="77777777" w:rsidTr="007E70CE">
              <w:tc>
                <w:tcPr>
                  <w:tcW w:w="3828" w:type="dxa"/>
                  <w:vAlign w:val="bottom"/>
                </w:tcPr>
                <w:p w14:paraId="45D778F1" w14:textId="77777777" w:rsidR="00C5508A" w:rsidRPr="007E70CE" w:rsidRDefault="00C5508A" w:rsidP="0034123A">
                  <w:pPr>
                    <w:rPr>
                      <w:rFonts w:ascii="Calibri" w:hAnsi="Calibri" w:cs="Calibri"/>
                      <w:sz w:val="18"/>
                      <w:szCs w:val="18"/>
                    </w:rPr>
                  </w:pPr>
                  <w:r w:rsidRPr="007E70CE">
                    <w:rPr>
                      <w:rFonts w:ascii="Calibri" w:hAnsi="Calibri" w:cs="Calibri"/>
                      <w:sz w:val="18"/>
                      <w:szCs w:val="18"/>
                    </w:rPr>
                    <w:t>2,6-Diethylaniline</w:t>
                  </w:r>
                </w:p>
              </w:tc>
              <w:tc>
                <w:tcPr>
                  <w:tcW w:w="2126" w:type="dxa"/>
                  <w:vAlign w:val="bottom"/>
                </w:tcPr>
                <w:p w14:paraId="76478D37" w14:textId="77777777" w:rsidR="00C5508A" w:rsidRPr="007E70CE" w:rsidRDefault="00C5508A" w:rsidP="0034123A">
                  <w:pPr>
                    <w:rPr>
                      <w:sz w:val="18"/>
                      <w:szCs w:val="18"/>
                    </w:rPr>
                  </w:pPr>
                </w:p>
              </w:tc>
            </w:tr>
            <w:tr w:rsidR="00C5508A" w:rsidRPr="007E70CE" w14:paraId="27FF9F88" w14:textId="77777777" w:rsidTr="007E70CE">
              <w:tc>
                <w:tcPr>
                  <w:tcW w:w="3828" w:type="dxa"/>
                  <w:vAlign w:val="bottom"/>
                </w:tcPr>
                <w:p w14:paraId="7A82F7A2" w14:textId="77777777" w:rsidR="00C5508A" w:rsidRPr="007E70CE" w:rsidRDefault="00C5508A" w:rsidP="0034123A">
                  <w:pPr>
                    <w:rPr>
                      <w:rFonts w:ascii="Calibri" w:hAnsi="Calibri" w:cs="Calibri"/>
                      <w:sz w:val="18"/>
                      <w:szCs w:val="18"/>
                    </w:rPr>
                  </w:pPr>
                  <w:r w:rsidRPr="007E70CE">
                    <w:rPr>
                      <w:rFonts w:ascii="Calibri" w:hAnsi="Calibri" w:cs="Calibri"/>
                      <w:sz w:val="18"/>
                      <w:szCs w:val="18"/>
                    </w:rPr>
                    <w:t>Tris(2,3-dibromopropyl) phosphate (TDBPP)</w:t>
                  </w:r>
                </w:p>
              </w:tc>
              <w:tc>
                <w:tcPr>
                  <w:tcW w:w="2126" w:type="dxa"/>
                  <w:vAlign w:val="bottom"/>
                </w:tcPr>
                <w:p w14:paraId="0D62F28C" w14:textId="77777777" w:rsidR="00C5508A" w:rsidRPr="007E70CE" w:rsidRDefault="00C5508A" w:rsidP="0034123A">
                  <w:pPr>
                    <w:rPr>
                      <w:sz w:val="18"/>
                      <w:szCs w:val="18"/>
                    </w:rPr>
                  </w:pPr>
                </w:p>
              </w:tc>
            </w:tr>
            <w:tr w:rsidR="00C5508A" w:rsidRPr="007E70CE" w14:paraId="20AE78BF" w14:textId="77777777" w:rsidTr="007E70CE">
              <w:tc>
                <w:tcPr>
                  <w:tcW w:w="3828" w:type="dxa"/>
                  <w:vAlign w:val="bottom"/>
                </w:tcPr>
                <w:p w14:paraId="1497E080" w14:textId="77777777" w:rsidR="00C5508A" w:rsidRPr="007E70CE" w:rsidRDefault="00C5508A" w:rsidP="0034123A">
                  <w:pPr>
                    <w:rPr>
                      <w:rFonts w:ascii="Calibri" w:hAnsi="Calibri" w:cs="Calibri"/>
                      <w:sz w:val="18"/>
                      <w:szCs w:val="18"/>
                    </w:rPr>
                  </w:pPr>
                  <w:r w:rsidRPr="007E70CE">
                    <w:rPr>
                      <w:rFonts w:ascii="Calibri" w:hAnsi="Calibri" w:cs="Calibri"/>
                      <w:sz w:val="18"/>
                      <w:szCs w:val="18"/>
                    </w:rPr>
                    <w:t>alpha-hexabromocyclododecane</w:t>
                  </w:r>
                </w:p>
              </w:tc>
              <w:tc>
                <w:tcPr>
                  <w:tcW w:w="2126" w:type="dxa"/>
                  <w:vAlign w:val="bottom"/>
                </w:tcPr>
                <w:p w14:paraId="218C5BE7" w14:textId="77777777" w:rsidR="00C5508A" w:rsidRPr="007E70CE" w:rsidRDefault="00C5508A" w:rsidP="0034123A">
                  <w:pPr>
                    <w:rPr>
                      <w:sz w:val="18"/>
                      <w:szCs w:val="18"/>
                    </w:rPr>
                  </w:pPr>
                </w:p>
              </w:tc>
            </w:tr>
            <w:tr w:rsidR="00C5508A" w:rsidRPr="007E70CE" w14:paraId="1404D77A" w14:textId="77777777" w:rsidTr="007E70CE">
              <w:tc>
                <w:tcPr>
                  <w:tcW w:w="3828" w:type="dxa"/>
                  <w:vAlign w:val="bottom"/>
                </w:tcPr>
                <w:p w14:paraId="605B0A55" w14:textId="77777777" w:rsidR="00C5508A" w:rsidRPr="007E70CE" w:rsidRDefault="00C5508A" w:rsidP="0034123A">
                  <w:pPr>
                    <w:rPr>
                      <w:sz w:val="18"/>
                      <w:szCs w:val="18"/>
                    </w:rPr>
                  </w:pPr>
                  <w:r w:rsidRPr="007E70CE">
                    <w:rPr>
                      <w:rFonts w:ascii="Calibri" w:hAnsi="Calibri" w:cs="Calibri"/>
                      <w:sz w:val="18"/>
                      <w:szCs w:val="18"/>
                    </w:rPr>
                    <w:t>Deoxynivalenol (DON)</w:t>
                  </w:r>
                </w:p>
              </w:tc>
              <w:tc>
                <w:tcPr>
                  <w:tcW w:w="2126" w:type="dxa"/>
                  <w:vAlign w:val="bottom"/>
                </w:tcPr>
                <w:p w14:paraId="1FA83BA4" w14:textId="77777777" w:rsidR="00C5508A" w:rsidRPr="007E70CE" w:rsidRDefault="00C5508A" w:rsidP="0034123A">
                  <w:pPr>
                    <w:rPr>
                      <w:sz w:val="18"/>
                      <w:szCs w:val="18"/>
                    </w:rPr>
                  </w:pPr>
                </w:p>
              </w:tc>
            </w:tr>
            <w:tr w:rsidR="00C5508A" w:rsidRPr="007E70CE" w14:paraId="5CFD744E" w14:textId="77777777" w:rsidTr="007E70CE">
              <w:tc>
                <w:tcPr>
                  <w:tcW w:w="3828" w:type="dxa"/>
                  <w:vAlign w:val="bottom"/>
                </w:tcPr>
                <w:p w14:paraId="18CB0F15" w14:textId="77777777" w:rsidR="00C5508A" w:rsidRPr="007E70CE" w:rsidRDefault="00C5508A" w:rsidP="0034123A">
                  <w:pPr>
                    <w:rPr>
                      <w:sz w:val="18"/>
                      <w:szCs w:val="18"/>
                    </w:rPr>
                  </w:pPr>
                  <w:r w:rsidRPr="007E70CE">
                    <w:rPr>
                      <w:rFonts w:ascii="Calibri" w:hAnsi="Calibri" w:cs="Calibri"/>
                      <w:sz w:val="18"/>
                      <w:szCs w:val="18"/>
                    </w:rPr>
                    <w:t>alpha-</w:t>
                  </w:r>
                  <w:proofErr w:type="spellStart"/>
                  <w:r w:rsidRPr="007E70CE">
                    <w:rPr>
                      <w:rFonts w:ascii="Calibri" w:hAnsi="Calibri" w:cs="Calibri"/>
                      <w:sz w:val="18"/>
                      <w:szCs w:val="18"/>
                    </w:rPr>
                    <w:t>Fluoro</w:t>
                  </w:r>
                  <w:proofErr w:type="spellEnd"/>
                  <w:r w:rsidRPr="007E70CE">
                    <w:rPr>
                      <w:rFonts w:ascii="Calibri" w:hAnsi="Calibri" w:cs="Calibri"/>
                      <w:sz w:val="18"/>
                      <w:szCs w:val="18"/>
                    </w:rPr>
                    <w:t>-beta-alanine</w:t>
                  </w:r>
                </w:p>
              </w:tc>
              <w:tc>
                <w:tcPr>
                  <w:tcW w:w="2126" w:type="dxa"/>
                  <w:vAlign w:val="bottom"/>
                </w:tcPr>
                <w:p w14:paraId="410E4F1A" w14:textId="77777777" w:rsidR="00C5508A" w:rsidRPr="007E70CE" w:rsidRDefault="00C5508A" w:rsidP="0034123A">
                  <w:pPr>
                    <w:rPr>
                      <w:sz w:val="18"/>
                      <w:szCs w:val="18"/>
                    </w:rPr>
                  </w:pPr>
                </w:p>
              </w:tc>
            </w:tr>
            <w:tr w:rsidR="00C5508A" w:rsidRPr="007E70CE" w14:paraId="1FA0F481" w14:textId="77777777" w:rsidTr="007E70CE">
              <w:tc>
                <w:tcPr>
                  <w:tcW w:w="3828" w:type="dxa"/>
                  <w:vAlign w:val="bottom"/>
                </w:tcPr>
                <w:p w14:paraId="0263C8B4" w14:textId="77777777" w:rsidR="00C5508A" w:rsidRPr="007E70CE" w:rsidRDefault="00C5508A" w:rsidP="0034123A">
                  <w:pPr>
                    <w:rPr>
                      <w:sz w:val="18"/>
                      <w:szCs w:val="18"/>
                    </w:rPr>
                  </w:pPr>
                  <w:r w:rsidRPr="007E70CE">
                    <w:rPr>
                      <w:rFonts w:ascii="Calibri" w:hAnsi="Calibri" w:cs="Calibri"/>
                      <w:sz w:val="18"/>
                      <w:szCs w:val="18"/>
                    </w:rPr>
                    <w:t>Cytarabine</w:t>
                  </w:r>
                </w:p>
              </w:tc>
              <w:tc>
                <w:tcPr>
                  <w:tcW w:w="2126" w:type="dxa"/>
                  <w:vAlign w:val="bottom"/>
                </w:tcPr>
                <w:p w14:paraId="4917583D" w14:textId="77777777" w:rsidR="00C5508A" w:rsidRPr="007E70CE" w:rsidRDefault="00C5508A" w:rsidP="0034123A">
                  <w:pPr>
                    <w:rPr>
                      <w:sz w:val="18"/>
                      <w:szCs w:val="18"/>
                    </w:rPr>
                  </w:pPr>
                </w:p>
              </w:tc>
            </w:tr>
            <w:tr w:rsidR="00C5508A" w:rsidRPr="007E70CE" w14:paraId="72FCC1FA" w14:textId="77777777" w:rsidTr="007E70CE">
              <w:tc>
                <w:tcPr>
                  <w:tcW w:w="3828" w:type="dxa"/>
                  <w:vAlign w:val="bottom"/>
                </w:tcPr>
                <w:p w14:paraId="7CD0C942" w14:textId="77777777" w:rsidR="00C5508A" w:rsidRPr="007E70CE" w:rsidRDefault="00C5508A" w:rsidP="0034123A">
                  <w:pPr>
                    <w:rPr>
                      <w:sz w:val="18"/>
                      <w:szCs w:val="18"/>
                    </w:rPr>
                  </w:pPr>
                  <w:r w:rsidRPr="007E70CE">
                    <w:rPr>
                      <w:rFonts w:ascii="Calibri" w:hAnsi="Calibri" w:cs="Calibri"/>
                      <w:sz w:val="18"/>
                      <w:szCs w:val="18"/>
                    </w:rPr>
                    <w:t>5-azacytidine</w:t>
                  </w:r>
                </w:p>
              </w:tc>
              <w:tc>
                <w:tcPr>
                  <w:tcW w:w="2126" w:type="dxa"/>
                  <w:vAlign w:val="bottom"/>
                </w:tcPr>
                <w:p w14:paraId="70C5E55B" w14:textId="77777777" w:rsidR="00C5508A" w:rsidRPr="007E70CE" w:rsidRDefault="00C5508A" w:rsidP="0034123A">
                  <w:pPr>
                    <w:rPr>
                      <w:sz w:val="18"/>
                      <w:szCs w:val="18"/>
                    </w:rPr>
                  </w:pPr>
                </w:p>
              </w:tc>
            </w:tr>
            <w:tr w:rsidR="00C5508A" w:rsidRPr="007E70CE" w14:paraId="7BB79131" w14:textId="77777777" w:rsidTr="007E70CE">
              <w:tc>
                <w:tcPr>
                  <w:tcW w:w="3828" w:type="dxa"/>
                  <w:vAlign w:val="bottom"/>
                </w:tcPr>
                <w:p w14:paraId="65AA7FA4" w14:textId="77777777" w:rsidR="00C5508A" w:rsidRPr="007E70CE" w:rsidRDefault="00C5508A" w:rsidP="0034123A">
                  <w:pPr>
                    <w:rPr>
                      <w:sz w:val="18"/>
                      <w:szCs w:val="18"/>
                    </w:rPr>
                  </w:pPr>
                  <w:r w:rsidRPr="007E70CE">
                    <w:rPr>
                      <w:rFonts w:ascii="Calibri" w:hAnsi="Calibri" w:cs="Calibri"/>
                      <w:sz w:val="18"/>
                      <w:szCs w:val="18"/>
                    </w:rPr>
                    <w:t>Sevoflurane</w:t>
                  </w:r>
                </w:p>
              </w:tc>
              <w:tc>
                <w:tcPr>
                  <w:tcW w:w="2126" w:type="dxa"/>
                  <w:vAlign w:val="bottom"/>
                </w:tcPr>
                <w:p w14:paraId="58EF9F1A" w14:textId="77777777" w:rsidR="00C5508A" w:rsidRPr="007E70CE" w:rsidRDefault="00C5508A" w:rsidP="0034123A">
                  <w:pPr>
                    <w:rPr>
                      <w:sz w:val="18"/>
                      <w:szCs w:val="18"/>
                    </w:rPr>
                  </w:pPr>
                </w:p>
              </w:tc>
            </w:tr>
          </w:tbl>
          <w:p w14:paraId="20985BB2" w14:textId="77777777" w:rsidR="00921A0E" w:rsidRDefault="00921A0E" w:rsidP="0034123A"/>
        </w:tc>
      </w:tr>
      <w:tr w:rsidR="00921A0E" w:rsidRPr="005E397B" w14:paraId="62DEE7BA" w14:textId="77777777" w:rsidTr="005E397B">
        <w:tc>
          <w:tcPr>
            <w:tcW w:w="3261" w:type="dxa"/>
          </w:tcPr>
          <w:p w14:paraId="6E28BB3C" w14:textId="5B6CFAF2" w:rsidR="00C5508A" w:rsidRPr="00C5508A" w:rsidRDefault="00C5508A" w:rsidP="0034123A">
            <w:pPr>
              <w:rPr>
                <w:bCs/>
                <w:noProof/>
              </w:rPr>
            </w:pPr>
            <w:r w:rsidRPr="00C5508A">
              <w:rPr>
                <w:bCs/>
                <w:noProof/>
              </w:rPr>
              <w:t>(c)</w:t>
            </w:r>
          </w:p>
          <w:p w14:paraId="49575F46" w14:textId="61271E4C" w:rsidR="00921A0E" w:rsidRDefault="007E70CE" w:rsidP="0034123A">
            <w:r>
              <w:rPr>
                <w:noProof/>
              </w:rPr>
              <w:t xml:space="preserve"> </w:t>
            </w:r>
            <w:r w:rsidRPr="007E70CE">
              <w:rPr>
                <w:noProof/>
              </w:rPr>
              <w:drawing>
                <wp:inline distT="0" distB="0" distL="0" distR="0" wp14:anchorId="285C6626" wp14:editId="3DA05712">
                  <wp:extent cx="1584000" cy="1825735"/>
                  <wp:effectExtent l="0" t="0" r="0" b="317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84000" cy="1825735"/>
                          </a:xfrm>
                          <a:prstGeom prst="rect">
                            <a:avLst/>
                          </a:prstGeom>
                        </pic:spPr>
                      </pic:pic>
                    </a:graphicData>
                  </a:graphic>
                </wp:inline>
              </w:drawing>
            </w:r>
          </w:p>
        </w:tc>
        <w:tc>
          <w:tcPr>
            <w:tcW w:w="7229" w:type="dxa"/>
          </w:tcPr>
          <w:tbl>
            <w:tblPr>
              <w:tblStyle w:val="GridTable1Light"/>
              <w:tblpPr w:leftFromText="141" w:rightFromText="141" w:vertAnchor="page" w:horzAnchor="margin" w:tblpY="1"/>
              <w:tblOverlap w:val="never"/>
              <w:tblW w:w="6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992"/>
              <w:gridCol w:w="2127"/>
            </w:tblGrid>
            <w:tr w:rsidR="005E397B" w:rsidRPr="005E397B" w14:paraId="326F8647" w14:textId="77777777" w:rsidTr="005E397B">
              <w:trPr>
                <w:cnfStyle w:val="100000000000" w:firstRow="1" w:lastRow="0"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3544" w:type="dxa"/>
                  <w:tcBorders>
                    <w:bottom w:val="none" w:sz="0" w:space="0" w:color="auto"/>
                  </w:tcBorders>
                </w:tcPr>
                <w:p w14:paraId="3A7DF74B" w14:textId="77777777" w:rsidR="005E397B" w:rsidRPr="00935F42" w:rsidRDefault="005E397B" w:rsidP="0034123A">
                  <w:pPr>
                    <w:rPr>
                      <w:rFonts w:cstheme="minorHAnsi"/>
                      <w:sz w:val="18"/>
                      <w:szCs w:val="18"/>
                    </w:rPr>
                  </w:pPr>
                  <w:r w:rsidRPr="00935F42">
                    <w:rPr>
                      <w:rFonts w:cstheme="minorHAnsi"/>
                      <w:sz w:val="18"/>
                      <w:szCs w:val="18"/>
                    </w:rPr>
                    <w:t>LC-RP</w:t>
                  </w:r>
                </w:p>
              </w:tc>
              <w:tc>
                <w:tcPr>
                  <w:tcW w:w="992" w:type="dxa"/>
                  <w:tcBorders>
                    <w:bottom w:val="none" w:sz="0" w:space="0" w:color="auto"/>
                  </w:tcBorders>
                </w:tcPr>
                <w:p w14:paraId="0D84D77C" w14:textId="77777777" w:rsidR="005E397B" w:rsidRPr="00935F42" w:rsidRDefault="005E397B" w:rsidP="0034123A">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935F42">
                    <w:rPr>
                      <w:rFonts w:cstheme="minorHAnsi"/>
                      <w:sz w:val="18"/>
                      <w:szCs w:val="18"/>
                    </w:rPr>
                    <w:t>LC-HILIC</w:t>
                  </w:r>
                </w:p>
              </w:tc>
              <w:tc>
                <w:tcPr>
                  <w:tcW w:w="2127" w:type="dxa"/>
                  <w:tcBorders>
                    <w:bottom w:val="none" w:sz="0" w:space="0" w:color="auto"/>
                  </w:tcBorders>
                </w:tcPr>
                <w:p w14:paraId="3C4B5E5A" w14:textId="77777777" w:rsidR="005E397B" w:rsidRPr="00935F42" w:rsidRDefault="005E397B" w:rsidP="0034123A">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935F42">
                    <w:rPr>
                      <w:rFonts w:cstheme="minorHAnsi"/>
                      <w:sz w:val="18"/>
                      <w:szCs w:val="18"/>
                    </w:rPr>
                    <w:t xml:space="preserve">GC </w:t>
                  </w:r>
                </w:p>
              </w:tc>
            </w:tr>
            <w:tr w:rsidR="005E397B" w:rsidRPr="005E397B" w14:paraId="3C81B3F8" w14:textId="77777777" w:rsidTr="005E397B">
              <w:trPr>
                <w:trHeight w:val="6337"/>
              </w:trPr>
              <w:tc>
                <w:tcPr>
                  <w:cnfStyle w:val="001000000000" w:firstRow="0" w:lastRow="0" w:firstColumn="1" w:lastColumn="0" w:oddVBand="0" w:evenVBand="0" w:oddHBand="0" w:evenHBand="0" w:firstRowFirstColumn="0" w:firstRowLastColumn="0" w:lastRowFirstColumn="0" w:lastRowLastColumn="0"/>
                  <w:tcW w:w="3544" w:type="dxa"/>
                </w:tcPr>
                <w:p w14:paraId="7B7F14A0" w14:textId="77777777" w:rsidR="005E397B" w:rsidRPr="005E397B" w:rsidRDefault="005E397B" w:rsidP="0034123A">
                  <w:pPr>
                    <w:rPr>
                      <w:rFonts w:cstheme="minorHAnsi"/>
                      <w:b w:val="0"/>
                      <w:sz w:val="18"/>
                      <w:szCs w:val="18"/>
                    </w:rPr>
                  </w:pPr>
                  <w:r w:rsidRPr="005E397B">
                    <w:rPr>
                      <w:rFonts w:cstheme="minorHAnsi"/>
                      <w:b w:val="0"/>
                      <w:sz w:val="18"/>
                      <w:szCs w:val="18"/>
                    </w:rPr>
                    <w:t>2,4-Dihydroxybenzophenone</w:t>
                  </w:r>
                </w:p>
                <w:p w14:paraId="55473F3A" w14:textId="77777777" w:rsidR="005E397B" w:rsidRPr="005E397B" w:rsidRDefault="005E397B" w:rsidP="0034123A">
                  <w:pPr>
                    <w:rPr>
                      <w:rFonts w:cstheme="minorHAnsi"/>
                      <w:b w:val="0"/>
                      <w:sz w:val="18"/>
                      <w:szCs w:val="18"/>
                    </w:rPr>
                  </w:pPr>
                  <w:r w:rsidRPr="005E397B">
                    <w:rPr>
                      <w:rFonts w:cstheme="minorHAnsi"/>
                      <w:b w:val="0"/>
                      <w:sz w:val="18"/>
                      <w:szCs w:val="18"/>
                    </w:rPr>
                    <w:t>3,5,6-Trichloro-2-pyridinol</w:t>
                  </w:r>
                </w:p>
                <w:p w14:paraId="29516CB6" w14:textId="77777777" w:rsidR="005E397B" w:rsidRPr="005E397B" w:rsidRDefault="005E397B" w:rsidP="0034123A">
                  <w:pPr>
                    <w:rPr>
                      <w:rFonts w:cstheme="minorHAnsi"/>
                      <w:b w:val="0"/>
                      <w:sz w:val="18"/>
                      <w:szCs w:val="18"/>
                    </w:rPr>
                  </w:pPr>
                  <w:proofErr w:type="spellStart"/>
                  <w:r w:rsidRPr="005E397B">
                    <w:rPr>
                      <w:rFonts w:cstheme="minorHAnsi"/>
                      <w:b w:val="0"/>
                      <w:sz w:val="18"/>
                      <w:szCs w:val="18"/>
                    </w:rPr>
                    <w:t>Chlorfenvinphos</w:t>
                  </w:r>
                  <w:proofErr w:type="spellEnd"/>
                </w:p>
                <w:p w14:paraId="33C45763" w14:textId="77777777" w:rsidR="005E397B" w:rsidRPr="005E397B" w:rsidRDefault="005E397B" w:rsidP="0034123A">
                  <w:pPr>
                    <w:rPr>
                      <w:rFonts w:cstheme="minorHAnsi"/>
                      <w:b w:val="0"/>
                      <w:sz w:val="18"/>
                      <w:szCs w:val="18"/>
                    </w:rPr>
                  </w:pPr>
                  <w:r w:rsidRPr="005E397B">
                    <w:rPr>
                      <w:rFonts w:cstheme="minorHAnsi"/>
                      <w:b w:val="0"/>
                      <w:sz w:val="18"/>
                      <w:szCs w:val="18"/>
                    </w:rPr>
                    <w:t>2,3,4,5-Tetrachlorophenol</w:t>
                  </w:r>
                </w:p>
                <w:p w14:paraId="0E593F91" w14:textId="77777777" w:rsidR="005E397B" w:rsidRPr="005E397B" w:rsidRDefault="005E397B" w:rsidP="0034123A">
                  <w:pPr>
                    <w:rPr>
                      <w:rFonts w:cstheme="minorHAnsi"/>
                      <w:b w:val="0"/>
                      <w:sz w:val="18"/>
                      <w:szCs w:val="18"/>
                    </w:rPr>
                  </w:pPr>
                  <w:r w:rsidRPr="005E397B">
                    <w:rPr>
                      <w:rFonts w:cstheme="minorHAnsi"/>
                      <w:b w:val="0"/>
                      <w:sz w:val="18"/>
                      <w:szCs w:val="18"/>
                    </w:rPr>
                    <w:t>Mono-2-ethylhexyl phthalate (MEHP)</w:t>
                  </w:r>
                </w:p>
                <w:p w14:paraId="10E865E9" w14:textId="77777777" w:rsidR="005E397B" w:rsidRPr="005E397B" w:rsidRDefault="005E397B" w:rsidP="0034123A">
                  <w:pPr>
                    <w:rPr>
                      <w:rFonts w:cstheme="minorHAnsi"/>
                      <w:b w:val="0"/>
                      <w:sz w:val="18"/>
                      <w:szCs w:val="18"/>
                    </w:rPr>
                  </w:pPr>
                  <w:r w:rsidRPr="005E397B">
                    <w:rPr>
                      <w:rFonts w:cstheme="minorHAnsi"/>
                      <w:b w:val="0"/>
                      <w:sz w:val="18"/>
                      <w:szCs w:val="18"/>
                    </w:rPr>
                    <w:t>Fipronil</w:t>
                  </w:r>
                </w:p>
                <w:p w14:paraId="3E9A5304" w14:textId="77777777" w:rsidR="005E397B" w:rsidRPr="005E397B" w:rsidRDefault="005E397B" w:rsidP="0034123A">
                  <w:pPr>
                    <w:rPr>
                      <w:rFonts w:cstheme="minorHAnsi"/>
                      <w:b w:val="0"/>
                      <w:sz w:val="18"/>
                      <w:szCs w:val="18"/>
                    </w:rPr>
                  </w:pPr>
                  <w:r w:rsidRPr="005E397B">
                    <w:rPr>
                      <w:rFonts w:cstheme="minorHAnsi"/>
                      <w:b w:val="0"/>
                      <w:sz w:val="18"/>
                      <w:szCs w:val="18"/>
                    </w:rPr>
                    <w:t>Triclosan</w:t>
                  </w:r>
                </w:p>
                <w:p w14:paraId="416FA335" w14:textId="77777777" w:rsidR="005E397B" w:rsidRPr="005E397B" w:rsidRDefault="005E397B" w:rsidP="0034123A">
                  <w:pPr>
                    <w:rPr>
                      <w:rFonts w:cstheme="minorHAnsi"/>
                      <w:b w:val="0"/>
                      <w:sz w:val="18"/>
                      <w:szCs w:val="18"/>
                    </w:rPr>
                  </w:pPr>
                  <w:r w:rsidRPr="005E397B">
                    <w:rPr>
                      <w:rFonts w:cstheme="minorHAnsi"/>
                      <w:b w:val="0"/>
                      <w:sz w:val="18"/>
                      <w:szCs w:val="18"/>
                    </w:rPr>
                    <w:t>Cyclophosphamide</w:t>
                  </w:r>
                </w:p>
                <w:p w14:paraId="72D51186" w14:textId="77777777" w:rsidR="005E397B" w:rsidRPr="005E397B" w:rsidRDefault="005E397B" w:rsidP="0034123A">
                  <w:pPr>
                    <w:rPr>
                      <w:rFonts w:cstheme="minorHAnsi"/>
                      <w:b w:val="0"/>
                      <w:sz w:val="18"/>
                      <w:szCs w:val="18"/>
                    </w:rPr>
                  </w:pPr>
                  <w:proofErr w:type="spellStart"/>
                  <w:r w:rsidRPr="005E397B">
                    <w:rPr>
                      <w:rFonts w:cstheme="minorHAnsi"/>
                      <w:b w:val="0"/>
                      <w:sz w:val="18"/>
                      <w:szCs w:val="18"/>
                    </w:rPr>
                    <w:t>Bentazone</w:t>
                  </w:r>
                  <w:proofErr w:type="spellEnd"/>
                </w:p>
                <w:p w14:paraId="730E49BF" w14:textId="77777777" w:rsidR="005E397B" w:rsidRPr="005E397B" w:rsidRDefault="005E397B" w:rsidP="0034123A">
                  <w:pPr>
                    <w:rPr>
                      <w:rFonts w:cstheme="minorHAnsi"/>
                      <w:b w:val="0"/>
                      <w:sz w:val="18"/>
                      <w:szCs w:val="18"/>
                    </w:rPr>
                  </w:pPr>
                  <w:r w:rsidRPr="005E397B">
                    <w:rPr>
                      <w:rFonts w:cstheme="minorHAnsi"/>
                      <w:b w:val="0"/>
                      <w:sz w:val="18"/>
                      <w:szCs w:val="18"/>
                    </w:rPr>
                    <w:t>3-Phenoxybenzoic acid</w:t>
                  </w:r>
                </w:p>
                <w:p w14:paraId="06301F33" w14:textId="77777777" w:rsidR="005E397B" w:rsidRPr="005E397B" w:rsidRDefault="005E397B" w:rsidP="0034123A">
                  <w:pPr>
                    <w:rPr>
                      <w:rFonts w:cstheme="minorHAnsi"/>
                      <w:b w:val="0"/>
                      <w:sz w:val="18"/>
                      <w:szCs w:val="18"/>
                    </w:rPr>
                  </w:pPr>
                  <w:r w:rsidRPr="005E397B">
                    <w:rPr>
                      <w:rFonts w:cstheme="minorHAnsi"/>
                      <w:b w:val="0"/>
                      <w:sz w:val="18"/>
                      <w:szCs w:val="18"/>
                    </w:rPr>
                    <w:t>Tris(1,3-dichloro-2-propyl) phosphate (TDCPP)</w:t>
                  </w:r>
                </w:p>
                <w:p w14:paraId="7F298FE9" w14:textId="77777777" w:rsidR="005E397B" w:rsidRPr="005E397B" w:rsidRDefault="005E397B" w:rsidP="0034123A">
                  <w:pPr>
                    <w:rPr>
                      <w:rFonts w:cstheme="minorHAnsi"/>
                      <w:b w:val="0"/>
                      <w:sz w:val="18"/>
                      <w:szCs w:val="18"/>
                    </w:rPr>
                  </w:pPr>
                  <w:r w:rsidRPr="005E397B">
                    <w:rPr>
                      <w:rFonts w:cstheme="minorHAnsi"/>
                      <w:b w:val="0"/>
                      <w:sz w:val="18"/>
                      <w:szCs w:val="18"/>
                    </w:rPr>
                    <w:t>Paclitaxel</w:t>
                  </w:r>
                </w:p>
                <w:p w14:paraId="7882DA2C" w14:textId="77777777" w:rsidR="005E397B" w:rsidRPr="005E397B" w:rsidRDefault="005E397B" w:rsidP="0034123A">
                  <w:pPr>
                    <w:rPr>
                      <w:rFonts w:cstheme="minorHAnsi"/>
                      <w:b w:val="0"/>
                      <w:sz w:val="18"/>
                      <w:szCs w:val="18"/>
                    </w:rPr>
                  </w:pPr>
                  <w:r w:rsidRPr="005E397B">
                    <w:rPr>
                      <w:rFonts w:cstheme="minorHAnsi"/>
                      <w:b w:val="0"/>
                      <w:sz w:val="18"/>
                      <w:szCs w:val="18"/>
                    </w:rPr>
                    <w:t>2,6-Diethylaniline</w:t>
                  </w:r>
                </w:p>
                <w:p w14:paraId="4EF8C5FD" w14:textId="77777777" w:rsidR="005E397B" w:rsidRPr="005E397B" w:rsidRDefault="005E397B" w:rsidP="0034123A">
                  <w:pPr>
                    <w:rPr>
                      <w:rFonts w:cstheme="minorHAnsi"/>
                      <w:b w:val="0"/>
                      <w:sz w:val="18"/>
                      <w:szCs w:val="18"/>
                    </w:rPr>
                  </w:pPr>
                  <w:r w:rsidRPr="005E397B">
                    <w:rPr>
                      <w:rFonts w:cstheme="minorHAnsi"/>
                      <w:b w:val="0"/>
                      <w:sz w:val="18"/>
                      <w:szCs w:val="18"/>
                    </w:rPr>
                    <w:t>2,4-Dibromophenol</w:t>
                  </w:r>
                </w:p>
                <w:p w14:paraId="38D06C6D" w14:textId="77777777" w:rsidR="005E397B" w:rsidRPr="005E397B" w:rsidRDefault="005E397B" w:rsidP="0034123A">
                  <w:pPr>
                    <w:rPr>
                      <w:rFonts w:cstheme="minorHAnsi"/>
                      <w:b w:val="0"/>
                      <w:sz w:val="18"/>
                      <w:szCs w:val="18"/>
                    </w:rPr>
                  </w:pPr>
                  <w:r w:rsidRPr="005E397B">
                    <w:rPr>
                      <w:rFonts w:cstheme="minorHAnsi"/>
                      <w:b w:val="0"/>
                      <w:sz w:val="18"/>
                      <w:szCs w:val="18"/>
                    </w:rPr>
                    <w:t>Tris(2,3-dibromopropyl) phosphate (TDBPP)</w:t>
                  </w:r>
                </w:p>
                <w:p w14:paraId="2EDC728E" w14:textId="77777777" w:rsidR="005E397B" w:rsidRPr="005E397B" w:rsidRDefault="005E397B" w:rsidP="0034123A">
                  <w:pPr>
                    <w:rPr>
                      <w:rFonts w:cstheme="minorHAnsi"/>
                      <w:b w:val="0"/>
                      <w:sz w:val="18"/>
                      <w:szCs w:val="18"/>
                    </w:rPr>
                  </w:pPr>
                  <w:r w:rsidRPr="005E397B">
                    <w:rPr>
                      <w:rFonts w:cstheme="minorHAnsi"/>
                      <w:b w:val="0"/>
                      <w:sz w:val="18"/>
                      <w:szCs w:val="18"/>
                    </w:rPr>
                    <w:t>Etoposide</w:t>
                  </w:r>
                </w:p>
                <w:p w14:paraId="5A238D12" w14:textId="77777777" w:rsidR="005E397B" w:rsidRPr="005E397B" w:rsidRDefault="005E397B" w:rsidP="0034123A">
                  <w:pPr>
                    <w:rPr>
                      <w:rFonts w:cstheme="minorHAnsi"/>
                      <w:b w:val="0"/>
                      <w:sz w:val="18"/>
                      <w:szCs w:val="18"/>
                    </w:rPr>
                  </w:pPr>
                  <w:r w:rsidRPr="005E397B">
                    <w:rPr>
                      <w:rFonts w:cstheme="minorHAnsi"/>
                      <w:b w:val="0"/>
                      <w:sz w:val="18"/>
                      <w:szCs w:val="18"/>
                    </w:rPr>
                    <w:t>4-Nitrophenol</w:t>
                  </w:r>
                </w:p>
                <w:p w14:paraId="20E7E36D" w14:textId="77777777" w:rsidR="005E397B" w:rsidRPr="005E397B" w:rsidRDefault="005E397B" w:rsidP="0034123A">
                  <w:pPr>
                    <w:rPr>
                      <w:rFonts w:cstheme="minorHAnsi"/>
                      <w:b w:val="0"/>
                      <w:sz w:val="18"/>
                      <w:szCs w:val="18"/>
                    </w:rPr>
                  </w:pPr>
                  <w:r w:rsidRPr="005E397B">
                    <w:rPr>
                      <w:rFonts w:cstheme="minorHAnsi"/>
                      <w:b w:val="0"/>
                      <w:sz w:val="18"/>
                      <w:szCs w:val="18"/>
                    </w:rPr>
                    <w:t>Butylparaben</w:t>
                  </w:r>
                </w:p>
                <w:p w14:paraId="7B0C980C" w14:textId="77777777" w:rsidR="005E397B" w:rsidRPr="005E397B" w:rsidRDefault="005E397B" w:rsidP="0034123A">
                  <w:pPr>
                    <w:rPr>
                      <w:rFonts w:cstheme="minorHAnsi"/>
                      <w:b w:val="0"/>
                      <w:sz w:val="18"/>
                      <w:szCs w:val="18"/>
                    </w:rPr>
                  </w:pPr>
                  <w:r w:rsidRPr="005E397B">
                    <w:rPr>
                      <w:rFonts w:cstheme="minorHAnsi"/>
                      <w:b w:val="0"/>
                      <w:sz w:val="18"/>
                      <w:szCs w:val="18"/>
                    </w:rPr>
                    <w:t>Deoxynivalenol (DON)</w:t>
                  </w:r>
                </w:p>
                <w:p w14:paraId="2D320131" w14:textId="77777777" w:rsidR="005E397B" w:rsidRPr="005E397B" w:rsidRDefault="005E397B" w:rsidP="0034123A">
                  <w:pPr>
                    <w:rPr>
                      <w:rFonts w:cstheme="minorHAnsi"/>
                      <w:b w:val="0"/>
                      <w:sz w:val="18"/>
                      <w:szCs w:val="18"/>
                    </w:rPr>
                  </w:pPr>
                  <w:proofErr w:type="spellStart"/>
                  <w:r w:rsidRPr="005E397B">
                    <w:rPr>
                      <w:rFonts w:cstheme="minorHAnsi"/>
                      <w:b w:val="0"/>
                      <w:sz w:val="18"/>
                      <w:szCs w:val="18"/>
                    </w:rPr>
                    <w:t>Fumonisin</w:t>
                  </w:r>
                  <w:proofErr w:type="spellEnd"/>
                  <w:r w:rsidRPr="005E397B">
                    <w:rPr>
                      <w:rFonts w:cstheme="minorHAnsi"/>
                      <w:b w:val="0"/>
                      <w:sz w:val="18"/>
                      <w:szCs w:val="18"/>
                    </w:rPr>
                    <w:t xml:space="preserve"> b1 (FB1)</w:t>
                  </w:r>
                </w:p>
                <w:p w14:paraId="72647FF3" w14:textId="77777777" w:rsidR="005E397B" w:rsidRPr="005E397B" w:rsidRDefault="005E397B" w:rsidP="0034123A">
                  <w:pPr>
                    <w:rPr>
                      <w:rFonts w:cstheme="minorHAnsi"/>
                      <w:b w:val="0"/>
                      <w:sz w:val="18"/>
                      <w:szCs w:val="18"/>
                    </w:rPr>
                  </w:pPr>
                  <w:r w:rsidRPr="005E397B">
                    <w:rPr>
                      <w:rFonts w:cstheme="minorHAnsi"/>
                      <w:b w:val="0"/>
                      <w:sz w:val="18"/>
                      <w:szCs w:val="18"/>
                    </w:rPr>
                    <w:t>Methotrexate</w:t>
                  </w:r>
                </w:p>
                <w:p w14:paraId="148D949A" w14:textId="77777777" w:rsidR="005E397B" w:rsidRPr="005E397B" w:rsidRDefault="005E397B" w:rsidP="0034123A">
                  <w:pPr>
                    <w:rPr>
                      <w:rFonts w:cstheme="minorHAnsi"/>
                      <w:b w:val="0"/>
                      <w:sz w:val="18"/>
                      <w:szCs w:val="18"/>
                    </w:rPr>
                  </w:pPr>
                  <w:r w:rsidRPr="005E397B">
                    <w:rPr>
                      <w:rFonts w:cstheme="minorHAnsi"/>
                      <w:b w:val="0"/>
                      <w:sz w:val="18"/>
                      <w:szCs w:val="18"/>
                    </w:rPr>
                    <w:t>Aminopterin</w:t>
                  </w:r>
                </w:p>
                <w:p w14:paraId="168A8D39" w14:textId="77777777" w:rsidR="005E397B" w:rsidRPr="005E397B" w:rsidRDefault="005E397B" w:rsidP="0034123A">
                  <w:pPr>
                    <w:rPr>
                      <w:rFonts w:cstheme="minorHAnsi"/>
                      <w:b w:val="0"/>
                      <w:sz w:val="18"/>
                      <w:szCs w:val="18"/>
                    </w:rPr>
                  </w:pPr>
                  <w:r w:rsidRPr="005E397B">
                    <w:rPr>
                      <w:rFonts w:cstheme="minorHAnsi"/>
                      <w:b w:val="0"/>
                      <w:sz w:val="18"/>
                      <w:szCs w:val="18"/>
                    </w:rPr>
                    <w:t>Ciprofloxacin</w:t>
                  </w:r>
                </w:p>
                <w:p w14:paraId="5C587CCD" w14:textId="77777777" w:rsidR="005E397B" w:rsidRPr="005E397B" w:rsidRDefault="005E397B" w:rsidP="0034123A">
                  <w:pPr>
                    <w:rPr>
                      <w:rFonts w:cstheme="minorHAnsi"/>
                      <w:b w:val="0"/>
                      <w:sz w:val="18"/>
                      <w:szCs w:val="18"/>
                    </w:rPr>
                  </w:pPr>
                  <w:r w:rsidRPr="005E397B">
                    <w:rPr>
                      <w:rFonts w:cstheme="minorHAnsi"/>
                      <w:b w:val="0"/>
                      <w:sz w:val="18"/>
                      <w:szCs w:val="18"/>
                    </w:rPr>
                    <w:t>Bisphenol S monoglucuronide / Bisphenol S Bis-b-d-Glucuronide</w:t>
                  </w:r>
                </w:p>
                <w:p w14:paraId="49B8AE0C" w14:textId="77777777" w:rsidR="005E397B" w:rsidRPr="005E397B" w:rsidRDefault="005E397B" w:rsidP="0034123A">
                  <w:pPr>
                    <w:rPr>
                      <w:rFonts w:cstheme="minorHAnsi"/>
                      <w:b w:val="0"/>
                      <w:sz w:val="18"/>
                      <w:szCs w:val="18"/>
                    </w:rPr>
                  </w:pPr>
                  <w:r w:rsidRPr="005E397B">
                    <w:rPr>
                      <w:rFonts w:cstheme="minorHAnsi"/>
                      <w:b w:val="0"/>
                      <w:sz w:val="18"/>
                      <w:szCs w:val="18"/>
                    </w:rPr>
                    <w:t>Bisphenol A</w:t>
                  </w:r>
                </w:p>
                <w:p w14:paraId="4CF9D993" w14:textId="77777777" w:rsidR="005E397B" w:rsidRPr="005E397B" w:rsidRDefault="005E397B" w:rsidP="0034123A">
                  <w:pPr>
                    <w:rPr>
                      <w:rFonts w:cstheme="minorHAnsi"/>
                      <w:b w:val="0"/>
                      <w:sz w:val="18"/>
                      <w:szCs w:val="18"/>
                    </w:rPr>
                  </w:pPr>
                  <w:r w:rsidRPr="005E397B">
                    <w:rPr>
                      <w:rFonts w:cstheme="minorHAnsi"/>
                      <w:b w:val="0"/>
                      <w:sz w:val="18"/>
                      <w:szCs w:val="18"/>
                    </w:rPr>
                    <w:t>alpha-hexabromocyclododecane</w:t>
                  </w:r>
                </w:p>
                <w:p w14:paraId="281CC6BA" w14:textId="77777777" w:rsidR="005E397B" w:rsidRPr="005E397B" w:rsidRDefault="005E397B" w:rsidP="0034123A">
                  <w:pPr>
                    <w:rPr>
                      <w:rFonts w:cstheme="minorHAnsi"/>
                      <w:b w:val="0"/>
                      <w:sz w:val="18"/>
                      <w:szCs w:val="18"/>
                    </w:rPr>
                  </w:pPr>
                  <w:r w:rsidRPr="005E397B">
                    <w:rPr>
                      <w:rFonts w:cstheme="minorHAnsi"/>
                      <w:b w:val="0"/>
                      <w:sz w:val="18"/>
                      <w:szCs w:val="18"/>
                    </w:rPr>
                    <w:t xml:space="preserve">AMPA - </w:t>
                  </w:r>
                  <w:proofErr w:type="spellStart"/>
                  <w:r w:rsidRPr="005E397B">
                    <w:rPr>
                      <w:rFonts w:cstheme="minorHAnsi"/>
                      <w:b w:val="0"/>
                      <w:sz w:val="18"/>
                      <w:szCs w:val="18"/>
                    </w:rPr>
                    <w:t>Aminomethyl</w:t>
                  </w:r>
                  <w:proofErr w:type="spellEnd"/>
                  <w:r w:rsidRPr="005E397B">
                    <w:rPr>
                      <w:rFonts w:cstheme="minorHAnsi"/>
                      <w:b w:val="0"/>
                      <w:sz w:val="18"/>
                      <w:szCs w:val="18"/>
                    </w:rPr>
                    <w:t>)phosphonic acid</w:t>
                  </w:r>
                </w:p>
                <w:p w14:paraId="73009DBE" w14:textId="77777777" w:rsidR="005E397B" w:rsidRPr="005E397B" w:rsidRDefault="005E397B" w:rsidP="0034123A">
                  <w:pPr>
                    <w:rPr>
                      <w:rFonts w:cstheme="minorHAnsi"/>
                      <w:b w:val="0"/>
                      <w:sz w:val="18"/>
                      <w:szCs w:val="18"/>
                    </w:rPr>
                  </w:pPr>
                  <w:proofErr w:type="spellStart"/>
                  <w:r w:rsidRPr="005E397B">
                    <w:rPr>
                      <w:rFonts w:cstheme="minorHAnsi"/>
                      <w:b w:val="0"/>
                      <w:sz w:val="18"/>
                      <w:szCs w:val="18"/>
                    </w:rPr>
                    <w:t>Dihydrocaffeic</w:t>
                  </w:r>
                  <w:proofErr w:type="spellEnd"/>
                  <w:r w:rsidRPr="005E397B">
                    <w:rPr>
                      <w:rFonts w:cstheme="minorHAnsi"/>
                      <w:b w:val="0"/>
                      <w:sz w:val="18"/>
                      <w:szCs w:val="18"/>
                    </w:rPr>
                    <w:t xml:space="preserve"> acid 3-sulfate </w:t>
                  </w:r>
                </w:p>
                <w:p w14:paraId="79B0697F" w14:textId="77777777" w:rsidR="005E397B" w:rsidRPr="005E397B" w:rsidRDefault="005E397B" w:rsidP="0034123A">
                  <w:pPr>
                    <w:rPr>
                      <w:rFonts w:cstheme="minorHAnsi"/>
                      <w:b w:val="0"/>
                      <w:sz w:val="18"/>
                      <w:szCs w:val="18"/>
                    </w:rPr>
                  </w:pPr>
                  <w:r w:rsidRPr="005E397B">
                    <w:rPr>
                      <w:rFonts w:cstheme="minorHAnsi"/>
                      <w:b w:val="0"/>
                      <w:sz w:val="18"/>
                      <w:szCs w:val="18"/>
                    </w:rPr>
                    <w:t>Ibuprofen</w:t>
                  </w:r>
                </w:p>
              </w:tc>
              <w:tc>
                <w:tcPr>
                  <w:tcW w:w="992" w:type="dxa"/>
                </w:tcPr>
                <w:p w14:paraId="7FCC277E" w14:textId="77777777" w:rsidR="005E397B" w:rsidRPr="005E397B" w:rsidRDefault="005E397B" w:rsidP="0034123A">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E397B">
                    <w:rPr>
                      <w:rFonts w:cstheme="minorHAnsi"/>
                      <w:sz w:val="18"/>
                      <w:szCs w:val="18"/>
                    </w:rPr>
                    <w:t>Paraquat</w:t>
                  </w:r>
                </w:p>
              </w:tc>
              <w:tc>
                <w:tcPr>
                  <w:tcW w:w="2127" w:type="dxa"/>
                </w:tcPr>
                <w:p w14:paraId="5613FE70" w14:textId="77777777" w:rsidR="005E397B" w:rsidRPr="005E397B" w:rsidRDefault="005E397B" w:rsidP="0034123A">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E397B">
                    <w:rPr>
                      <w:rFonts w:cstheme="minorHAnsi"/>
                      <w:sz w:val="18"/>
                      <w:szCs w:val="18"/>
                    </w:rPr>
                    <w:t>Benz[a]anthracene</w:t>
                  </w:r>
                </w:p>
                <w:p w14:paraId="5814FDA8" w14:textId="019686A6" w:rsidR="005E397B" w:rsidRPr="005E397B" w:rsidRDefault="007955A4" w:rsidP="0034123A">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B</w:t>
                  </w:r>
                  <w:r w:rsidR="005E397B" w:rsidRPr="005E397B">
                    <w:rPr>
                      <w:rFonts w:cstheme="minorHAnsi"/>
                      <w:sz w:val="18"/>
                      <w:szCs w:val="18"/>
                    </w:rPr>
                    <w:t>enzo[a]pyrene</w:t>
                  </w:r>
                </w:p>
                <w:p w14:paraId="3853F03F" w14:textId="77777777" w:rsidR="005E397B" w:rsidRPr="005E397B" w:rsidRDefault="005E397B" w:rsidP="0034123A">
                  <w:pPr>
                    <w:cnfStyle w:val="000000000000" w:firstRow="0" w:lastRow="0" w:firstColumn="0" w:lastColumn="0" w:oddVBand="0" w:evenVBand="0" w:oddHBand="0" w:evenHBand="0" w:firstRowFirstColumn="0" w:firstRowLastColumn="0" w:lastRowFirstColumn="0" w:lastRowLastColumn="0"/>
                    <w:rPr>
                      <w:rFonts w:cstheme="minorHAnsi"/>
                      <w:sz w:val="18"/>
                      <w:szCs w:val="18"/>
                    </w:rPr>
                  </w:pPr>
                  <w:proofErr w:type="spellStart"/>
                  <w:r w:rsidRPr="005E397B">
                    <w:rPr>
                      <w:rFonts w:cstheme="minorHAnsi"/>
                      <w:sz w:val="18"/>
                      <w:szCs w:val="18"/>
                    </w:rPr>
                    <w:t>Indeno</w:t>
                  </w:r>
                  <w:proofErr w:type="spellEnd"/>
                  <w:r w:rsidRPr="005E397B">
                    <w:rPr>
                      <w:rFonts w:cstheme="minorHAnsi"/>
                      <w:sz w:val="18"/>
                      <w:szCs w:val="18"/>
                    </w:rPr>
                    <w:t>[1,2,3-cd]pyrene</w:t>
                  </w:r>
                </w:p>
                <w:p w14:paraId="07346F0A" w14:textId="77777777" w:rsidR="005E397B" w:rsidRPr="005E397B" w:rsidRDefault="005E397B" w:rsidP="0034123A">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E397B">
                    <w:rPr>
                      <w:rFonts w:cstheme="minorHAnsi"/>
                      <w:sz w:val="18"/>
                      <w:szCs w:val="18"/>
                    </w:rPr>
                    <w:t>2,2',4,4',5,5'-Hexachlorobiphenyl</w:t>
                  </w:r>
                </w:p>
                <w:p w14:paraId="0194976C" w14:textId="77777777" w:rsidR="005E397B" w:rsidRPr="005E397B" w:rsidRDefault="005E397B" w:rsidP="0034123A">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E397B">
                    <w:rPr>
                      <w:rFonts w:cstheme="minorHAnsi"/>
                      <w:sz w:val="18"/>
                      <w:szCs w:val="18"/>
                    </w:rPr>
                    <w:t>(PCB-153)</w:t>
                  </w:r>
                </w:p>
              </w:tc>
            </w:tr>
          </w:tbl>
          <w:p w14:paraId="37EEE549" w14:textId="77777777" w:rsidR="00921A0E" w:rsidRPr="005E397B" w:rsidRDefault="00921A0E" w:rsidP="0034123A">
            <w:pPr>
              <w:rPr>
                <w:rFonts w:cstheme="minorHAnsi"/>
                <w:sz w:val="18"/>
                <w:szCs w:val="18"/>
              </w:rPr>
            </w:pPr>
          </w:p>
        </w:tc>
      </w:tr>
    </w:tbl>
    <w:p w14:paraId="11565605" w14:textId="5C6511FA" w:rsidR="006D143D" w:rsidRPr="0023710C" w:rsidRDefault="006D143D" w:rsidP="0034123A">
      <w:pPr>
        <w:spacing w:before="100"/>
      </w:pPr>
      <w:r w:rsidRPr="0034123A">
        <w:rPr>
          <w:b/>
          <w:bCs/>
        </w:rPr>
        <w:t>Figure S3:</w:t>
      </w:r>
      <w:r w:rsidRPr="0023710C">
        <w:t xml:space="preserve"> </w:t>
      </w:r>
      <w:r>
        <w:t xml:space="preserve">Comparison of compound detection between RP, HILIC and GC methods in </w:t>
      </w:r>
      <w:r w:rsidRPr="006D143D">
        <w:rPr>
          <w:bCs/>
        </w:rPr>
        <w:t xml:space="preserve">(a) </w:t>
      </w:r>
      <w:r>
        <w:t xml:space="preserve">the QA/QC mixture, </w:t>
      </w:r>
      <w:r w:rsidRPr="006D143D">
        <w:rPr>
          <w:bCs/>
        </w:rPr>
        <w:t>(b)</w:t>
      </w:r>
      <w:r>
        <w:t xml:space="preserve"> urine samples and </w:t>
      </w:r>
      <w:r w:rsidRPr="006D143D">
        <w:rPr>
          <w:bCs/>
        </w:rPr>
        <w:t>(c)</w:t>
      </w:r>
      <w:r>
        <w:t xml:space="preserve"> plasma samples.</w:t>
      </w:r>
    </w:p>
    <w:p w14:paraId="5262C24C" w14:textId="667BBD62" w:rsidR="009B60FF" w:rsidRDefault="009B60FF"/>
    <w:p w14:paraId="6063FC5E" w14:textId="3041B86B" w:rsidR="009B60FF" w:rsidRPr="003F6EDA" w:rsidRDefault="009B60FF" w:rsidP="003F6EDA">
      <w:pPr>
        <w:pStyle w:val="Heading1"/>
        <w:numPr>
          <w:ilvl w:val="0"/>
          <w:numId w:val="13"/>
        </w:numPr>
      </w:pPr>
      <w:bookmarkStart w:id="14" w:name="_Toc229090668"/>
      <w:bookmarkStart w:id="15" w:name="_Toc229644306"/>
      <w:r w:rsidRPr="003F6EDA">
        <w:lastRenderedPageBreak/>
        <w:t>Impact of urine specific gravity on matrix-effects and detection</w:t>
      </w:r>
      <w:bookmarkEnd w:id="14"/>
      <w:bookmarkEnd w:id="15"/>
    </w:p>
    <w:p w14:paraId="341D3AC2" w14:textId="77777777" w:rsidR="009B60FF" w:rsidRDefault="009B60FF"/>
    <w:p w14:paraId="0471AD50" w14:textId="77777777" w:rsidR="00F85142" w:rsidRDefault="003A7486" w:rsidP="00AA2D44">
      <w:pPr>
        <w:jc w:val="center"/>
        <w:rPr>
          <w:rFonts w:ascii="Times New Roman" w:eastAsia="Times New Roman" w:hAnsi="Times New Roman" w:cs="Times New Roman"/>
          <w:sz w:val="24"/>
          <w:szCs w:val="24"/>
          <w:lang w:val="fr-FR" w:eastAsia="fr-FR"/>
        </w:rPr>
      </w:pPr>
      <w:r w:rsidRPr="003A7486">
        <w:rPr>
          <w:noProof/>
        </w:rPr>
        <w:drawing>
          <wp:inline distT="0" distB="0" distL="0" distR="0" wp14:anchorId="313FAC75" wp14:editId="13B62DC7">
            <wp:extent cx="3976206" cy="7454188"/>
            <wp:effectExtent l="0" t="0" r="571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83464" cy="7467794"/>
                    </a:xfrm>
                    <a:prstGeom prst="rect">
                      <a:avLst/>
                    </a:prstGeom>
                    <a:noFill/>
                    <a:ln>
                      <a:noFill/>
                    </a:ln>
                  </pic:spPr>
                </pic:pic>
              </a:graphicData>
            </a:graphic>
          </wp:inline>
        </w:drawing>
      </w:r>
    </w:p>
    <w:p w14:paraId="139717B2" w14:textId="09697143" w:rsidR="00AE42F5" w:rsidRDefault="00AE42F5" w:rsidP="009B60FF">
      <w:r w:rsidRPr="00AE42F5">
        <w:rPr>
          <w:b/>
        </w:rPr>
        <w:t xml:space="preserve">Figure S4: </w:t>
      </w:r>
      <w:r w:rsidRPr="00AE42F5">
        <w:t xml:space="preserve">Number of </w:t>
      </w:r>
      <w:r w:rsidR="003D5D01" w:rsidRPr="003D5D01">
        <w:t>compounds</w:t>
      </w:r>
      <w:r w:rsidR="003D5D01" w:rsidRPr="003D5D01" w:rsidDel="003D5D01">
        <w:t xml:space="preserve"> </w:t>
      </w:r>
      <w:r w:rsidRPr="00AE42F5">
        <w:t xml:space="preserve">detected by each method in urine samples, shown for each specific gravity (LSG, MSG and HSG) level and for each </w:t>
      </w:r>
      <w:r w:rsidR="008A068A">
        <w:t>spiking level</w:t>
      </w:r>
      <w:r w:rsidR="008A068A" w:rsidRPr="00AE42F5">
        <w:t xml:space="preserve"> </w:t>
      </w:r>
      <w:r w:rsidRPr="00AE42F5">
        <w:t>(5, 20, and 100 ng/mL</w:t>
      </w:r>
      <w:r w:rsidR="008A068A">
        <w:t xml:space="preserve"> in urine</w:t>
      </w:r>
      <w:r w:rsidRPr="00AE42F5">
        <w:t>).</w:t>
      </w:r>
    </w:p>
    <w:p w14:paraId="44677DFC" w14:textId="77777777" w:rsidR="00AE42F5" w:rsidRDefault="00AE42F5" w:rsidP="00AE42F5">
      <w:pPr>
        <w:spacing w:after="0"/>
        <w:jc w:val="center"/>
        <w:rPr>
          <w:rStyle w:val="Strong"/>
        </w:rPr>
      </w:pPr>
    </w:p>
    <w:p w14:paraId="68F6F913" w14:textId="2D2AD6E1" w:rsidR="000F2BC6" w:rsidRPr="000F2BC6" w:rsidRDefault="000F2BC6" w:rsidP="000F2BC6">
      <w:pPr>
        <w:pStyle w:val="NormalWeb"/>
      </w:pPr>
      <w:r w:rsidRPr="000F2BC6">
        <w:rPr>
          <w:noProof/>
        </w:rPr>
        <w:lastRenderedPageBreak/>
        <w:drawing>
          <wp:inline distT="0" distB="0" distL="0" distR="0" wp14:anchorId="6A01FA94" wp14:editId="698E8FD2">
            <wp:extent cx="5760720" cy="345694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3456940"/>
                    </a:xfrm>
                    <a:prstGeom prst="rect">
                      <a:avLst/>
                    </a:prstGeom>
                    <a:noFill/>
                    <a:ln>
                      <a:noFill/>
                    </a:ln>
                  </pic:spPr>
                </pic:pic>
              </a:graphicData>
            </a:graphic>
          </wp:inline>
        </w:drawing>
      </w:r>
    </w:p>
    <w:p w14:paraId="6727AC23" w14:textId="6F0024E4" w:rsidR="00086CFA" w:rsidRDefault="00FD3676" w:rsidP="009B60FF">
      <w:r w:rsidRPr="00AC643D">
        <w:rPr>
          <w:b/>
        </w:rPr>
        <w:t>Figure S</w:t>
      </w:r>
      <w:r w:rsidR="00AE42F5">
        <w:rPr>
          <w:b/>
        </w:rPr>
        <w:t>5</w:t>
      </w:r>
      <w:r w:rsidRPr="00AC643D">
        <w:rPr>
          <w:b/>
        </w:rPr>
        <w:t>:</w:t>
      </w:r>
      <w:r w:rsidR="007D0DD1" w:rsidRPr="00AC643D">
        <w:rPr>
          <w:b/>
        </w:rPr>
        <w:t xml:space="preserve"> </w:t>
      </w:r>
      <w:r w:rsidR="007D0DD1" w:rsidRPr="00AC643D">
        <w:t xml:space="preserve">Number of </w:t>
      </w:r>
      <w:r w:rsidR="003D5D01" w:rsidRPr="003D5D01">
        <w:t>compounds</w:t>
      </w:r>
      <w:r w:rsidR="003D5D01" w:rsidRPr="003D5D01" w:rsidDel="003D5D01">
        <w:t xml:space="preserve"> </w:t>
      </w:r>
      <w:r w:rsidR="007D0DD1" w:rsidRPr="00AC643D">
        <w:t xml:space="preserve">detected by each method in plasma samples, shown for each </w:t>
      </w:r>
      <w:r w:rsidR="008A068A">
        <w:t>spiking level</w:t>
      </w:r>
      <w:r w:rsidR="007D0DD1" w:rsidRPr="00AC643D">
        <w:t xml:space="preserve"> (5, 20, and 100</w:t>
      </w:r>
      <w:r w:rsidR="008A068A">
        <w:t xml:space="preserve"> ng/mL in plasma</w:t>
      </w:r>
      <w:r w:rsidR="007D0DD1" w:rsidRPr="00AC643D">
        <w:t>).</w:t>
      </w:r>
    </w:p>
    <w:p w14:paraId="297BB2FE" w14:textId="098E8CC6" w:rsidR="009B60FF" w:rsidRDefault="009B60FF" w:rsidP="009B60FF"/>
    <w:p w14:paraId="29FFF354" w14:textId="5A603791" w:rsidR="009B60FF" w:rsidRPr="003F6EDA" w:rsidRDefault="009B60FF" w:rsidP="003F6EDA">
      <w:pPr>
        <w:pStyle w:val="Heading1"/>
        <w:numPr>
          <w:ilvl w:val="0"/>
          <w:numId w:val="13"/>
        </w:numPr>
      </w:pPr>
      <w:bookmarkStart w:id="16" w:name="_Toc229644307"/>
      <w:r w:rsidRPr="003F6EDA">
        <w:t>Comparative evaluation of analytical methods using an S-score system</w:t>
      </w:r>
      <w:bookmarkEnd w:id="16"/>
    </w:p>
    <w:p w14:paraId="249B2500" w14:textId="3DA6C2B8" w:rsidR="0069350D" w:rsidRPr="0069350D" w:rsidRDefault="0069350D" w:rsidP="0069350D">
      <w:pPr>
        <w:spacing w:before="100" w:beforeAutospacing="1" w:after="100" w:afterAutospacing="1" w:line="240" w:lineRule="auto"/>
        <w:rPr>
          <w:rFonts w:ascii="Times New Roman" w:eastAsia="Times New Roman" w:hAnsi="Times New Roman" w:cs="Times New Roman"/>
          <w:sz w:val="24"/>
          <w:szCs w:val="24"/>
          <w:lang w:val="fr-FR" w:eastAsia="fr-FR"/>
        </w:rPr>
      </w:pPr>
      <w:r w:rsidRPr="0069350D">
        <w:rPr>
          <w:rFonts w:ascii="Times New Roman" w:eastAsia="Times New Roman" w:hAnsi="Times New Roman" w:cs="Times New Roman"/>
          <w:noProof/>
          <w:sz w:val="24"/>
          <w:szCs w:val="24"/>
          <w:lang w:val="fr-FR" w:eastAsia="fr-FR"/>
        </w:rPr>
        <w:drawing>
          <wp:inline distT="0" distB="0" distL="0" distR="0" wp14:anchorId="577452D9" wp14:editId="6EBD3941">
            <wp:extent cx="5760720" cy="2304415"/>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2304415"/>
                    </a:xfrm>
                    <a:prstGeom prst="rect">
                      <a:avLst/>
                    </a:prstGeom>
                    <a:noFill/>
                    <a:ln>
                      <a:noFill/>
                    </a:ln>
                  </pic:spPr>
                </pic:pic>
              </a:graphicData>
            </a:graphic>
          </wp:inline>
        </w:drawing>
      </w:r>
    </w:p>
    <w:p w14:paraId="796CFE32" w14:textId="788FDABE" w:rsidR="009604F1" w:rsidRDefault="005623F9" w:rsidP="00611B45">
      <w:pPr>
        <w:jc w:val="both"/>
        <w:rPr>
          <w:b/>
          <w:bCs/>
          <w:iCs/>
          <w:u w:val="single"/>
        </w:rPr>
      </w:pPr>
      <w:r w:rsidRPr="00AC643D">
        <w:rPr>
          <w:b/>
        </w:rPr>
        <w:t>Figure S</w:t>
      </w:r>
      <w:r>
        <w:rPr>
          <w:b/>
        </w:rPr>
        <w:t>6</w:t>
      </w:r>
      <w:r w:rsidRPr="00AC643D">
        <w:rPr>
          <w:b/>
        </w:rPr>
        <w:t xml:space="preserve">: </w:t>
      </w:r>
      <w:r w:rsidR="00611B45" w:rsidRPr="00F5711B">
        <w:t>S-</w:t>
      </w:r>
      <w:r w:rsidR="00611B45" w:rsidRPr="0036690F">
        <w:t>scores</w:t>
      </w:r>
      <w:r w:rsidR="00611B45" w:rsidRPr="00F5711B">
        <w:t xml:space="preserve"> designed to evaluate binary qualitative results using four scoring methods, which may or may not be combined to produce a summary score. Evaluation method n° 3 was selected: an integer value of 1 indicates that 100% of the </w:t>
      </w:r>
      <w:r w:rsidR="00FC0825" w:rsidRPr="00FC0825">
        <w:t>compounds</w:t>
      </w:r>
      <w:r w:rsidR="00FC0825" w:rsidRPr="00BA44BE" w:rsidDel="00BA44BE">
        <w:rPr>
          <w:i/>
          <w:iCs/>
        </w:rPr>
        <w:t xml:space="preserve"> </w:t>
      </w:r>
      <w:r w:rsidR="00611B45" w:rsidRPr="00F5711B">
        <w:t xml:space="preserve">were detected, while an integer value of 2 indicates that at least one </w:t>
      </w:r>
      <w:r w:rsidR="005327E0">
        <w:t>compound</w:t>
      </w:r>
      <w:r w:rsidR="005327E0" w:rsidRPr="00F5711B">
        <w:t xml:space="preserve"> </w:t>
      </w:r>
      <w:r w:rsidR="00611B45" w:rsidRPr="00F5711B">
        <w:t xml:space="preserve">was not detected. The decimal part corresponds to the percentage of incorrect results among the 81 </w:t>
      </w:r>
      <w:r w:rsidR="00FC0825" w:rsidRPr="00FC0825">
        <w:t>compounds</w:t>
      </w:r>
      <w:r w:rsidR="00FC0825" w:rsidRPr="00FC0825" w:rsidDel="00BA44BE">
        <w:t xml:space="preserve"> </w:t>
      </w:r>
      <w:r w:rsidR="00611B45" w:rsidRPr="00F5711B">
        <w:t xml:space="preserve">analyzed. </w:t>
      </w:r>
      <w:r w:rsidRPr="005623F9">
        <w:t>S-</w:t>
      </w:r>
      <w:r w:rsidR="00F566DF">
        <w:t>s</w:t>
      </w:r>
      <w:r w:rsidRPr="005623F9">
        <w:t xml:space="preserve">cores calculated for the different </w:t>
      </w:r>
      <w:r>
        <w:t xml:space="preserve">analytical </w:t>
      </w:r>
      <w:r w:rsidRPr="005623F9">
        <w:t>methods at the three fortification</w:t>
      </w:r>
      <w:r>
        <w:t xml:space="preserve"> level</w:t>
      </w:r>
      <w:r w:rsidRPr="005623F9">
        <w:t xml:space="preserve">s </w:t>
      </w:r>
      <w:r>
        <w:t>(</w:t>
      </w:r>
      <w:r w:rsidRPr="005623F9">
        <w:t xml:space="preserve">LL, ML and HL </w:t>
      </w:r>
      <w:r>
        <w:t xml:space="preserve">corresponding to </w:t>
      </w:r>
      <w:r w:rsidRPr="005623F9">
        <w:t>5, 20, and 100 ng/mL)</w:t>
      </w:r>
      <w:r>
        <w:t xml:space="preserve">. In urine samples, S-scores are shown for each </w:t>
      </w:r>
      <w:r w:rsidRPr="00AE42F5">
        <w:rPr>
          <w:bCs/>
        </w:rPr>
        <w:t xml:space="preserve">specific gravity </w:t>
      </w:r>
      <w:r>
        <w:rPr>
          <w:bCs/>
        </w:rPr>
        <w:t xml:space="preserve">matrix </w:t>
      </w:r>
      <w:r w:rsidRPr="00AE42F5">
        <w:rPr>
          <w:bCs/>
        </w:rPr>
        <w:t>(LSG, MSG and HSG).</w:t>
      </w:r>
      <w:r w:rsidR="009604F1" w:rsidRPr="00BF36B3">
        <w:rPr>
          <w:b/>
          <w:bCs/>
          <w:noProof/>
          <w:lang w:eastAsia="fr-FR"/>
        </w:rPr>
        <w:br w:type="page"/>
      </w:r>
    </w:p>
    <w:p w14:paraId="58F83487" w14:textId="57495DB5" w:rsidR="009B60FF" w:rsidRDefault="009B60FF" w:rsidP="003F6EDA">
      <w:pPr>
        <w:pStyle w:val="Heading1"/>
        <w:numPr>
          <w:ilvl w:val="0"/>
          <w:numId w:val="13"/>
        </w:numPr>
      </w:pPr>
      <w:bookmarkStart w:id="17" w:name="_Toc229644308"/>
      <w:r w:rsidRPr="003F6EDA">
        <w:lastRenderedPageBreak/>
        <w:t>PARC-H02 – SOP for real sample analysis</w:t>
      </w:r>
      <w:bookmarkEnd w:id="17"/>
    </w:p>
    <w:p w14:paraId="349CC2E5" w14:textId="77777777" w:rsidR="003F6EDA" w:rsidRPr="003F6EDA" w:rsidRDefault="003F6EDA" w:rsidP="003F6EDA"/>
    <w:p w14:paraId="1A3A4D46" w14:textId="6D85CA99" w:rsidR="00066D40" w:rsidRPr="00CA55AC" w:rsidRDefault="00066D40" w:rsidP="00066D40">
      <w:pPr>
        <w:spacing w:after="0"/>
        <w:jc w:val="both"/>
        <w:rPr>
          <w:rFonts w:cstheme="minorHAnsi"/>
          <w:i/>
          <w:iCs/>
          <w:lang w:eastAsia="fr-FR"/>
        </w:rPr>
      </w:pPr>
      <w:bookmarkStart w:id="18" w:name="_Hlk228997483"/>
      <w:r w:rsidRPr="00CA55AC">
        <w:rPr>
          <w:rFonts w:cstheme="minorHAnsi"/>
          <w:i/>
          <w:iCs/>
          <w:lang w:eastAsia="fr-FR"/>
        </w:rPr>
        <w:t>This SOP</w:t>
      </w:r>
      <w:r w:rsidR="00F94D15">
        <w:rPr>
          <w:rFonts w:cstheme="minorHAnsi"/>
          <w:i/>
          <w:iCs/>
          <w:lang w:eastAsia="fr-FR"/>
        </w:rPr>
        <w:t>,</w:t>
      </w:r>
      <w:r w:rsidRPr="00CA55AC">
        <w:rPr>
          <w:rFonts w:cstheme="minorHAnsi"/>
          <w:i/>
          <w:iCs/>
          <w:lang w:eastAsia="fr-FR"/>
        </w:rPr>
        <w:t xml:space="preserve"> </w:t>
      </w:r>
      <w:r w:rsidR="00F94D15">
        <w:rPr>
          <w:rFonts w:cstheme="minorHAnsi"/>
          <w:i/>
          <w:iCs/>
          <w:lang w:eastAsia="fr-FR"/>
        </w:rPr>
        <w:t xml:space="preserve">considered as </w:t>
      </w:r>
      <w:r w:rsidR="00F94D15" w:rsidRPr="00F94D15">
        <w:rPr>
          <w:rFonts w:cstheme="minorHAnsi"/>
          <w:i/>
          <w:iCs/>
          <w:lang w:eastAsia="fr-FR"/>
        </w:rPr>
        <w:t>a project-specific operational guidance</w:t>
      </w:r>
      <w:r w:rsidR="00F94D15" w:rsidRPr="00CA55AC">
        <w:rPr>
          <w:rFonts w:cstheme="minorHAnsi"/>
          <w:i/>
          <w:iCs/>
          <w:lang w:eastAsia="fr-FR"/>
        </w:rPr>
        <w:t xml:space="preserve"> </w:t>
      </w:r>
      <w:r w:rsidRPr="00CA55AC">
        <w:rPr>
          <w:rFonts w:cstheme="minorHAnsi"/>
          <w:i/>
          <w:iCs/>
          <w:lang w:eastAsia="fr-FR"/>
        </w:rPr>
        <w:t>summarizes:</w:t>
      </w:r>
    </w:p>
    <w:bookmarkEnd w:id="18"/>
    <w:p w14:paraId="49B346E7" w14:textId="41623053" w:rsidR="00066D40" w:rsidRPr="00CA55AC" w:rsidRDefault="00066D40" w:rsidP="00066D40">
      <w:pPr>
        <w:spacing w:after="0"/>
        <w:jc w:val="both"/>
        <w:rPr>
          <w:rFonts w:cstheme="minorHAnsi"/>
          <w:i/>
          <w:iCs/>
          <w:lang w:eastAsia="fr-FR"/>
        </w:rPr>
      </w:pPr>
      <w:r w:rsidRPr="00CA55AC">
        <w:rPr>
          <w:rFonts w:cstheme="minorHAnsi"/>
          <w:i/>
          <w:iCs/>
          <w:lang w:eastAsia="fr-FR"/>
        </w:rPr>
        <w:t>The sequence and file-naming rules (as described in the</w:t>
      </w:r>
      <w:r>
        <w:rPr>
          <w:rFonts w:cstheme="minorHAnsi"/>
          <w:i/>
          <w:iCs/>
          <w:lang w:eastAsia="fr-FR"/>
        </w:rPr>
        <w:t xml:space="preserve"> </w:t>
      </w:r>
      <w:r w:rsidRPr="00CA55AC">
        <w:rPr>
          <w:rFonts w:cstheme="minorHAnsi"/>
          <w:i/>
          <w:iCs/>
          <w:lang w:eastAsia="fr-FR"/>
        </w:rPr>
        <w:t>Supporting Information table file</w:t>
      </w:r>
      <w:r>
        <w:rPr>
          <w:rFonts w:cstheme="minorHAnsi"/>
          <w:i/>
          <w:iCs/>
          <w:lang w:eastAsia="fr-FR"/>
        </w:rPr>
        <w:t xml:space="preserve"> - </w:t>
      </w:r>
      <w:r w:rsidRPr="0061239A">
        <w:rPr>
          <w:rFonts w:cstheme="minorHAnsi"/>
          <w:i/>
          <w:iCs/>
          <w:lang w:eastAsia="fr-FR"/>
        </w:rPr>
        <w:t xml:space="preserve">Table </w:t>
      </w:r>
      <w:r w:rsidR="00A7583D" w:rsidRPr="0061239A">
        <w:rPr>
          <w:rFonts w:cstheme="minorHAnsi"/>
          <w:i/>
          <w:iCs/>
          <w:lang w:eastAsia="fr-FR"/>
        </w:rPr>
        <w:t>S</w:t>
      </w:r>
      <w:r w:rsidR="00BF4E47">
        <w:rPr>
          <w:rFonts w:cstheme="minorHAnsi"/>
          <w:i/>
          <w:iCs/>
          <w:lang w:eastAsia="fr-FR"/>
        </w:rPr>
        <w:t>20</w:t>
      </w:r>
      <w:r w:rsidRPr="00CA55AC">
        <w:rPr>
          <w:rFonts w:cstheme="minorHAnsi"/>
          <w:i/>
          <w:iCs/>
          <w:lang w:eastAsia="fr-FR"/>
        </w:rPr>
        <w:t>)</w:t>
      </w:r>
    </w:p>
    <w:p w14:paraId="7DB3E8E7" w14:textId="77777777" w:rsidR="00066D40" w:rsidRPr="00CA55AC" w:rsidRDefault="00066D40" w:rsidP="00066D40">
      <w:pPr>
        <w:spacing w:after="0"/>
        <w:jc w:val="both"/>
        <w:rPr>
          <w:rFonts w:cstheme="minorHAnsi"/>
          <w:i/>
          <w:iCs/>
          <w:lang w:eastAsia="fr-FR"/>
        </w:rPr>
      </w:pPr>
      <w:r w:rsidRPr="00CA55AC">
        <w:rPr>
          <w:rFonts w:cstheme="minorHAnsi"/>
          <w:i/>
          <w:iCs/>
          <w:lang w:eastAsia="fr-FR"/>
        </w:rPr>
        <w:t>The samples that partners will receive</w:t>
      </w:r>
    </w:p>
    <w:p w14:paraId="79FACFB7" w14:textId="77777777" w:rsidR="00066D40" w:rsidRPr="00CA55AC" w:rsidRDefault="00066D40" w:rsidP="00066D40">
      <w:pPr>
        <w:spacing w:after="0"/>
        <w:jc w:val="both"/>
        <w:rPr>
          <w:rFonts w:cstheme="minorHAnsi"/>
          <w:i/>
          <w:iCs/>
          <w:lang w:eastAsia="fr-FR"/>
        </w:rPr>
      </w:pPr>
      <w:r w:rsidRPr="00CA55AC">
        <w:rPr>
          <w:rFonts w:cstheme="minorHAnsi"/>
          <w:i/>
          <w:iCs/>
          <w:lang w:eastAsia="fr-FR"/>
        </w:rPr>
        <w:t>The samples each partner must prepare</w:t>
      </w:r>
    </w:p>
    <w:p w14:paraId="25FF8B9B" w14:textId="028264B6" w:rsidR="00066D40" w:rsidRPr="003F04C6" w:rsidRDefault="00066D40" w:rsidP="00066D40">
      <w:pPr>
        <w:pBdr>
          <w:bottom w:val="single" w:sz="6" w:space="1" w:color="auto"/>
        </w:pBdr>
        <w:spacing w:after="0"/>
        <w:jc w:val="both"/>
        <w:rPr>
          <w:rFonts w:cstheme="minorHAnsi"/>
          <w:i/>
          <w:iCs/>
          <w:lang w:eastAsia="fr-FR"/>
        </w:rPr>
      </w:pPr>
      <w:r w:rsidRPr="003F04C6">
        <w:rPr>
          <w:rFonts w:cstheme="minorHAnsi"/>
          <w:i/>
          <w:iCs/>
          <w:lang w:eastAsia="fr-FR"/>
        </w:rPr>
        <w:t xml:space="preserve">The minimum requirements for sample preparation and </w:t>
      </w:r>
      <w:r>
        <w:rPr>
          <w:rFonts w:cstheme="minorHAnsi"/>
          <w:i/>
          <w:iCs/>
          <w:lang w:eastAsia="fr-FR"/>
        </w:rPr>
        <w:t>analysis</w:t>
      </w:r>
      <w:r w:rsidRPr="003F04C6">
        <w:rPr>
          <w:rFonts w:cstheme="minorHAnsi"/>
          <w:i/>
          <w:iCs/>
          <w:lang w:eastAsia="fr-FR"/>
        </w:rPr>
        <w:t xml:space="preserve"> across laboratories</w:t>
      </w:r>
    </w:p>
    <w:p w14:paraId="579B70FB" w14:textId="77777777" w:rsidR="00066D40" w:rsidRPr="00591A0C" w:rsidRDefault="00066D40" w:rsidP="00066D40">
      <w:pPr>
        <w:spacing w:before="200" w:after="0"/>
        <w:jc w:val="both"/>
        <w:rPr>
          <w:rFonts w:cstheme="minorHAnsi"/>
          <w:b/>
          <w:bCs/>
          <w:u w:val="single"/>
          <w:lang w:eastAsia="fr-FR"/>
        </w:rPr>
      </w:pPr>
      <w:r w:rsidRPr="00591A0C">
        <w:rPr>
          <w:rFonts w:cstheme="minorHAnsi"/>
          <w:b/>
          <w:bCs/>
          <w:u w:val="single"/>
          <w:lang w:eastAsia="fr-FR"/>
        </w:rPr>
        <w:t>1. Samples provided to partners</w:t>
      </w:r>
    </w:p>
    <w:p w14:paraId="014A2574" w14:textId="56B1E31A" w:rsidR="00066D40" w:rsidRPr="00066D40" w:rsidRDefault="00066D40" w:rsidP="00DC6422">
      <w:pPr>
        <w:pStyle w:val="NormalWeb"/>
        <w:jc w:val="both"/>
        <w:rPr>
          <w:rFonts w:asciiTheme="minorHAnsi" w:hAnsiTheme="minorHAnsi" w:cstheme="minorHAnsi"/>
          <w:sz w:val="22"/>
          <w:szCs w:val="22"/>
          <w:lang w:val="en-US"/>
        </w:rPr>
      </w:pPr>
      <w:r w:rsidRPr="00066D40">
        <w:rPr>
          <w:rFonts w:asciiTheme="minorHAnsi" w:hAnsiTheme="minorHAnsi" w:cstheme="minorHAnsi"/>
          <w:sz w:val="22"/>
          <w:szCs w:val="22"/>
          <w:lang w:val="en-US"/>
        </w:rPr>
        <w:t xml:space="preserve">Partners will receive the following materials. All </w:t>
      </w:r>
      <w:r w:rsidR="00DC6422" w:rsidRPr="00DC6422">
        <w:rPr>
          <w:rFonts w:asciiTheme="minorHAnsi" w:hAnsiTheme="minorHAnsi" w:cstheme="minorHAnsi"/>
          <w:sz w:val="22"/>
          <w:szCs w:val="22"/>
          <w:lang w:val="en-US"/>
        </w:rPr>
        <w:t>steps must be performed, but the exact details are left up to the individual laboratories, though they must be captured in laboratory records/notebooks.</w:t>
      </w:r>
    </w:p>
    <w:p w14:paraId="148B8592" w14:textId="3F622E04" w:rsidR="00066D40" w:rsidRPr="00591A0C" w:rsidRDefault="00066D40" w:rsidP="00066D40">
      <w:pPr>
        <w:spacing w:after="0"/>
        <w:jc w:val="both"/>
        <w:rPr>
          <w:rFonts w:cstheme="minorHAnsi"/>
          <w:lang w:eastAsia="fr-FR"/>
        </w:rPr>
      </w:pPr>
      <w:r w:rsidRPr="00591A0C">
        <w:rPr>
          <w:rFonts w:cstheme="minorHAnsi"/>
          <w:b/>
          <w:bCs/>
          <w:lang w:eastAsia="fr-FR"/>
        </w:rPr>
        <w:t>NORMAN standard</w:t>
      </w:r>
      <w:r w:rsidRPr="00591A0C" w:rsidDel="00401E59">
        <w:rPr>
          <w:rFonts w:cstheme="minorHAnsi"/>
          <w:b/>
          <w:bCs/>
          <w:lang w:eastAsia="fr-FR"/>
        </w:rPr>
        <w:t xml:space="preserve"> </w:t>
      </w:r>
      <w:r w:rsidRPr="00591A0C">
        <w:rPr>
          <w:rFonts w:cstheme="minorHAnsi"/>
          <w:lang w:eastAsia="fr-FR"/>
        </w:rPr>
        <w:t xml:space="preserve">(1 µg/mL); partners have already received this mix during the H02 </w:t>
      </w:r>
      <w:r w:rsidRPr="00591A0C">
        <w:rPr>
          <w:rFonts w:cstheme="minorHAnsi"/>
        </w:rPr>
        <w:t>interlaboratory study</w:t>
      </w:r>
      <w:r w:rsidRPr="00591A0C" w:rsidDel="00401E59">
        <w:rPr>
          <w:rFonts w:cstheme="minorHAnsi"/>
          <w:lang w:eastAsia="fr-FR"/>
        </w:rPr>
        <w:t xml:space="preserve"> </w:t>
      </w:r>
      <w:r w:rsidRPr="00591A0C">
        <w:rPr>
          <w:rFonts w:cstheme="minorHAnsi"/>
          <w:lang w:eastAsia="fr-FR"/>
        </w:rPr>
        <w:t>→ dilute to 200 ng/mL before injection</w:t>
      </w:r>
      <w:r w:rsidR="003F6337">
        <w:rPr>
          <w:rFonts w:cstheme="minorHAnsi"/>
          <w:lang w:eastAsia="fr-FR"/>
        </w:rPr>
        <w:t xml:space="preserve"> </w:t>
      </w:r>
      <w:r w:rsidR="003F6337" w:rsidRPr="003F6337">
        <w:rPr>
          <w:rFonts w:cstheme="minorHAnsi"/>
          <w:lang w:eastAsia="fr-FR"/>
        </w:rPr>
        <w:t>with the appropriate solvent according to each partner’s method</w:t>
      </w:r>
      <w:r w:rsidRPr="00591A0C">
        <w:rPr>
          <w:rFonts w:cstheme="minorHAnsi"/>
          <w:lang w:eastAsia="fr-FR"/>
        </w:rPr>
        <w:t xml:space="preserve">. </w:t>
      </w:r>
    </w:p>
    <w:p w14:paraId="478FEEE2" w14:textId="01623996" w:rsidR="00066D40" w:rsidRPr="00591A0C" w:rsidRDefault="00066D40" w:rsidP="00066D40">
      <w:pPr>
        <w:spacing w:after="0"/>
        <w:jc w:val="both"/>
        <w:rPr>
          <w:rFonts w:cstheme="minorHAnsi"/>
          <w:lang w:eastAsia="fr-FR"/>
        </w:rPr>
      </w:pPr>
      <w:r w:rsidRPr="00591A0C">
        <w:rPr>
          <w:rFonts w:cstheme="minorHAnsi"/>
          <w:b/>
          <w:bCs/>
          <w:lang w:eastAsia="fr-FR"/>
        </w:rPr>
        <w:t xml:space="preserve">H02-QC solvent standard </w:t>
      </w:r>
      <w:r w:rsidRPr="00591A0C">
        <w:rPr>
          <w:rFonts w:cstheme="minorHAnsi"/>
          <w:lang w:eastAsia="fr-FR"/>
        </w:rPr>
        <w:t>(25 standards, 1</w:t>
      </w:r>
      <w:r w:rsidR="00BE7261">
        <w:rPr>
          <w:rFonts w:cstheme="minorHAnsi"/>
          <w:lang w:eastAsia="fr-FR"/>
        </w:rPr>
        <w:t>0</w:t>
      </w:r>
      <w:r w:rsidRPr="00591A0C">
        <w:rPr>
          <w:rFonts w:cstheme="minorHAnsi"/>
          <w:lang w:eastAsia="fr-FR"/>
        </w:rPr>
        <w:t xml:space="preserve"> </w:t>
      </w:r>
      <w:r w:rsidRPr="00CA3B04">
        <w:rPr>
          <w:rFonts w:ascii="Times New Roman" w:hAnsi="Times New Roman" w:cs="Times New Roman"/>
          <w:sz w:val="24"/>
          <w:szCs w:val="24"/>
          <w:lang w:eastAsia="fr-FR"/>
        </w:rPr>
        <w:t>µ</w:t>
      </w:r>
      <w:r w:rsidRPr="00591A0C">
        <w:rPr>
          <w:rFonts w:cstheme="minorHAnsi"/>
          <w:lang w:eastAsia="fr-FR"/>
        </w:rPr>
        <w:t xml:space="preserve">g/mL) → </w:t>
      </w:r>
      <w:r w:rsidRPr="00BE7261">
        <w:rPr>
          <w:rFonts w:cstheme="minorHAnsi"/>
          <w:lang w:eastAsia="fr-FR"/>
        </w:rPr>
        <w:t xml:space="preserve">prepared by INRS </w:t>
      </w:r>
      <w:r w:rsidR="0019059F" w:rsidRPr="00BE7261">
        <w:rPr>
          <w:rFonts w:cstheme="minorHAnsi"/>
          <w:lang w:eastAsia="fr-FR"/>
        </w:rPr>
        <w:t>(</w:t>
      </w:r>
      <w:r w:rsidR="00BE7261" w:rsidRPr="00BE7261">
        <w:rPr>
          <w:rFonts w:cstheme="minorHAnsi"/>
          <w:lang w:eastAsia="fr-FR"/>
        </w:rPr>
        <w:t>The French National Research and Safety Institute for the Prevention of Occupational accidents and Diseases</w:t>
      </w:r>
      <w:r w:rsidR="0019059F" w:rsidRPr="00BE7261">
        <w:rPr>
          <w:rFonts w:cstheme="minorHAnsi"/>
          <w:lang w:eastAsia="fr-FR"/>
        </w:rPr>
        <w:t xml:space="preserve">) </w:t>
      </w:r>
      <w:r w:rsidRPr="00BE7261">
        <w:rPr>
          <w:rFonts w:cstheme="minorHAnsi"/>
        </w:rPr>
        <w:t xml:space="preserve">at </w:t>
      </w:r>
      <w:r w:rsidRPr="00BE7261">
        <w:rPr>
          <w:rFonts w:cstheme="minorHAnsi"/>
          <w:lang w:eastAsia="fr-FR"/>
        </w:rPr>
        <w:t>1</w:t>
      </w:r>
      <w:r w:rsidR="0019059F" w:rsidRPr="00BE7261">
        <w:rPr>
          <w:rFonts w:cstheme="minorHAnsi"/>
          <w:lang w:eastAsia="fr-FR"/>
        </w:rPr>
        <w:t>0</w:t>
      </w:r>
      <w:r w:rsidRPr="00BE7261">
        <w:rPr>
          <w:rFonts w:cstheme="minorHAnsi"/>
          <w:lang w:eastAsia="fr-FR"/>
        </w:rPr>
        <w:t xml:space="preserve"> µg/</w:t>
      </w:r>
      <w:r w:rsidR="0019059F" w:rsidRPr="00BE7261">
        <w:rPr>
          <w:rFonts w:cstheme="minorHAnsi"/>
          <w:lang w:eastAsia="fr-FR"/>
        </w:rPr>
        <w:t>mL</w:t>
      </w:r>
      <w:r w:rsidRPr="00BE7261">
        <w:rPr>
          <w:rFonts w:cstheme="minorHAnsi"/>
          <w:lang w:eastAsia="fr-FR"/>
        </w:rPr>
        <w:t>→ dilute to</w:t>
      </w:r>
      <w:r w:rsidRPr="002578CE">
        <w:rPr>
          <w:rFonts w:cstheme="minorHAnsi"/>
          <w:lang w:eastAsia="fr-FR"/>
        </w:rPr>
        <w:t xml:space="preserve"> 100 ng/mL before injection</w:t>
      </w:r>
      <w:r w:rsidR="003F6337">
        <w:rPr>
          <w:rFonts w:cstheme="minorHAnsi"/>
          <w:lang w:eastAsia="fr-FR"/>
        </w:rPr>
        <w:t xml:space="preserve"> </w:t>
      </w:r>
      <w:r w:rsidR="003F6337" w:rsidRPr="003F6337">
        <w:rPr>
          <w:rFonts w:cstheme="minorHAnsi"/>
          <w:lang w:eastAsia="fr-FR"/>
        </w:rPr>
        <w:t>with the appropriate solvent according to each partner’s method</w:t>
      </w:r>
      <w:r w:rsidRPr="002578CE">
        <w:rPr>
          <w:rFonts w:cstheme="minorHAnsi"/>
          <w:lang w:eastAsia="fr-FR"/>
        </w:rPr>
        <w:t>.</w:t>
      </w:r>
    </w:p>
    <w:p w14:paraId="77CC25F5" w14:textId="400924A0" w:rsidR="00066D40" w:rsidRPr="00591A0C" w:rsidRDefault="00066D40" w:rsidP="00066D40">
      <w:pPr>
        <w:spacing w:after="0"/>
        <w:jc w:val="both"/>
        <w:rPr>
          <w:rFonts w:cstheme="minorHAnsi"/>
          <w:lang w:eastAsia="fr-FR"/>
        </w:rPr>
      </w:pPr>
      <w:r w:rsidRPr="00591A0C">
        <w:rPr>
          <w:rFonts w:cstheme="minorHAnsi"/>
          <w:b/>
          <w:bCs/>
          <w:lang w:eastAsia="fr-FR"/>
        </w:rPr>
        <w:t xml:space="preserve">T02-QC solvent standard </w:t>
      </w:r>
      <w:r w:rsidRPr="00591A0C">
        <w:rPr>
          <w:rFonts w:cstheme="minorHAnsi"/>
          <w:lang w:eastAsia="fr-FR"/>
        </w:rPr>
        <w:t xml:space="preserve">(10 µg/mL) → dilute 1:100 </w:t>
      </w:r>
      <w:r w:rsidR="003F6337" w:rsidRPr="003F6337">
        <w:rPr>
          <w:rFonts w:cstheme="minorHAnsi"/>
          <w:lang w:eastAsia="fr-FR"/>
        </w:rPr>
        <w:t>with the appropriate solvent according to each partner’s method</w:t>
      </w:r>
      <w:r w:rsidR="003F6337" w:rsidRPr="00591A0C">
        <w:rPr>
          <w:rFonts w:cstheme="minorHAnsi"/>
          <w:lang w:eastAsia="fr-FR"/>
        </w:rPr>
        <w:t xml:space="preserve"> </w:t>
      </w:r>
      <w:r w:rsidRPr="00591A0C">
        <w:rPr>
          <w:rFonts w:cstheme="minorHAnsi"/>
          <w:lang w:eastAsia="fr-FR"/>
        </w:rPr>
        <w:t>to prepare the T02-QC solvent sta</w:t>
      </w:r>
      <w:r w:rsidRPr="00591A0C">
        <w:rPr>
          <w:rFonts w:cstheme="minorHAnsi"/>
        </w:rPr>
        <w:t xml:space="preserve">ndard at </w:t>
      </w:r>
      <w:r w:rsidRPr="00591A0C">
        <w:rPr>
          <w:rStyle w:val="Strong"/>
          <w:rFonts w:cstheme="minorHAnsi"/>
        </w:rPr>
        <w:t>100 ng/mL</w:t>
      </w:r>
      <w:r w:rsidRPr="00591A0C">
        <w:rPr>
          <w:rFonts w:cstheme="minorHAnsi"/>
          <w:lang w:eastAsia="fr-FR"/>
        </w:rPr>
        <w:t xml:space="preserve"> and the T02-QC solvent sample (check sequence). Use to spike QC-2 (50 ng/mL in biological matrix) and QC-1 (5 ng/mL in biological matrix).</w:t>
      </w:r>
    </w:p>
    <w:p w14:paraId="6DD92608" w14:textId="4AD3EE1A" w:rsidR="00066D40" w:rsidRPr="00591A0C" w:rsidRDefault="00066D40" w:rsidP="00066D40">
      <w:pPr>
        <w:spacing w:after="0"/>
        <w:jc w:val="both"/>
        <w:rPr>
          <w:rFonts w:cstheme="minorHAnsi"/>
          <w:lang w:eastAsia="fr-FR"/>
        </w:rPr>
      </w:pPr>
      <w:r w:rsidRPr="00591A0C">
        <w:rPr>
          <w:rFonts w:cstheme="minorHAnsi"/>
          <w:b/>
          <w:bCs/>
          <w:lang w:eastAsia="fr-FR"/>
        </w:rPr>
        <w:t>Ref-Matrix</w:t>
      </w:r>
      <w:r w:rsidR="00AA2D44">
        <w:rPr>
          <w:rFonts w:cstheme="minorHAnsi"/>
          <w:b/>
          <w:bCs/>
          <w:lang w:eastAsia="fr-FR"/>
        </w:rPr>
        <w:t xml:space="preserve"> </w:t>
      </w:r>
      <w:r w:rsidRPr="00591A0C">
        <w:rPr>
          <w:rFonts w:cstheme="minorHAnsi"/>
          <w:b/>
          <w:bCs/>
          <w:lang w:eastAsia="fr-FR"/>
        </w:rPr>
        <w:t>QC-HL</w:t>
      </w:r>
      <w:r w:rsidRPr="00591A0C" w:rsidDel="00401E59">
        <w:rPr>
          <w:rFonts w:cstheme="minorHAnsi"/>
          <w:b/>
          <w:bCs/>
          <w:lang w:eastAsia="fr-FR"/>
        </w:rPr>
        <w:t xml:space="preserve"> </w:t>
      </w:r>
      <w:r w:rsidRPr="00591A0C">
        <w:rPr>
          <w:rFonts w:cstheme="minorHAnsi"/>
          <w:lang w:eastAsia="fr-FR"/>
        </w:rPr>
        <w:t>prepared at INRS, spiked at 50 ng/mL in biological matrix with the H02 QC mix → Process and analyze exactly as real samples</w:t>
      </w:r>
      <w:r w:rsidR="0019059F">
        <w:rPr>
          <w:rFonts w:cstheme="minorHAnsi"/>
          <w:lang w:eastAsia="fr-FR"/>
        </w:rPr>
        <w:t>.</w:t>
      </w:r>
    </w:p>
    <w:p w14:paraId="3E94EED4" w14:textId="448E60C0" w:rsidR="00066D40" w:rsidRPr="00591A0C" w:rsidRDefault="00066D40" w:rsidP="00066D40">
      <w:pPr>
        <w:spacing w:after="0"/>
        <w:jc w:val="both"/>
        <w:rPr>
          <w:rFonts w:cstheme="minorHAnsi"/>
          <w:lang w:eastAsia="fr-FR"/>
        </w:rPr>
      </w:pPr>
      <w:r w:rsidRPr="00591A0C">
        <w:rPr>
          <w:rFonts w:cstheme="minorHAnsi"/>
          <w:b/>
          <w:bCs/>
          <w:lang w:eastAsia="fr-FR"/>
        </w:rPr>
        <w:t xml:space="preserve">Internal labelled </w:t>
      </w:r>
      <w:r w:rsidR="00843D9E" w:rsidRPr="00843D9E">
        <w:rPr>
          <w:rFonts w:cstheme="minorHAnsi"/>
          <w:b/>
          <w:bCs/>
          <w:lang w:eastAsia="fr-FR"/>
        </w:rPr>
        <w:t>markers</w:t>
      </w:r>
      <w:r w:rsidR="00843D9E" w:rsidRPr="00591A0C" w:rsidDel="00843D9E">
        <w:rPr>
          <w:rFonts w:cstheme="minorHAnsi"/>
          <w:b/>
          <w:bCs/>
          <w:lang w:eastAsia="fr-FR"/>
        </w:rPr>
        <w:t xml:space="preserve"> </w:t>
      </w:r>
      <w:r w:rsidRPr="00591A0C">
        <w:rPr>
          <w:rFonts w:cstheme="minorHAnsi"/>
          <w:lang w:eastAsia="fr-FR"/>
        </w:rPr>
        <w:t xml:space="preserve">(10 </w:t>
      </w:r>
      <w:r w:rsidR="00F566DF" w:rsidRPr="00591A0C">
        <w:rPr>
          <w:rFonts w:cstheme="minorHAnsi"/>
          <w:lang w:eastAsia="fr-FR"/>
        </w:rPr>
        <w:t>µg</w:t>
      </w:r>
      <w:r w:rsidRPr="00591A0C">
        <w:rPr>
          <w:rFonts w:cstheme="minorHAnsi"/>
          <w:lang w:eastAsia="fr-FR"/>
        </w:rPr>
        <w:t>/mL) =&gt; add to all samples (real</w:t>
      </w:r>
      <w:r w:rsidR="0019059F">
        <w:rPr>
          <w:rFonts w:cstheme="minorHAnsi"/>
          <w:lang w:eastAsia="fr-FR"/>
        </w:rPr>
        <w:t xml:space="preserve"> study</w:t>
      </w:r>
      <w:r w:rsidRPr="00591A0C">
        <w:rPr>
          <w:rFonts w:cstheme="minorHAnsi"/>
          <w:lang w:eastAsia="fr-FR"/>
        </w:rPr>
        <w:t xml:space="preserve"> samples, QC-2, QC-1, matrix blanks, field blanks, procedural blanks) </w:t>
      </w:r>
      <w:r w:rsidRPr="00591A0C">
        <w:rPr>
          <w:rFonts w:cstheme="minorHAnsi"/>
          <w:u w:val="single"/>
          <w:lang w:eastAsia="fr-FR"/>
        </w:rPr>
        <w:t xml:space="preserve">at the beginning of the extraction process </w:t>
      </w:r>
      <w:r w:rsidRPr="00591A0C">
        <w:rPr>
          <w:rFonts w:cstheme="minorHAnsi"/>
          <w:lang w:eastAsia="fr-FR"/>
        </w:rPr>
        <w:t>→ The final concentration in sample must be 100 ng/</w:t>
      </w:r>
      <w:proofErr w:type="spellStart"/>
      <w:r w:rsidRPr="00591A0C">
        <w:rPr>
          <w:rFonts w:cstheme="minorHAnsi"/>
          <w:lang w:eastAsia="fr-FR"/>
        </w:rPr>
        <w:t>mL</w:t>
      </w:r>
      <w:r w:rsidR="0019059F">
        <w:rPr>
          <w:rFonts w:cstheme="minorHAnsi"/>
          <w:lang w:eastAsia="fr-FR"/>
        </w:rPr>
        <w:t>.</w:t>
      </w:r>
      <w:proofErr w:type="spellEnd"/>
    </w:p>
    <w:p w14:paraId="729B0079" w14:textId="52F9F5BE" w:rsidR="00066D40" w:rsidRPr="00591A0C" w:rsidRDefault="00066D40" w:rsidP="00066D40">
      <w:pPr>
        <w:spacing w:after="0"/>
        <w:jc w:val="both"/>
        <w:rPr>
          <w:rFonts w:cstheme="minorHAnsi"/>
          <w:lang w:eastAsia="fr-FR"/>
        </w:rPr>
      </w:pPr>
      <w:r w:rsidRPr="00591A0C">
        <w:rPr>
          <w:rFonts w:cstheme="minorHAnsi"/>
          <w:b/>
          <w:bCs/>
          <w:lang w:eastAsia="fr-FR"/>
        </w:rPr>
        <w:t xml:space="preserve">External labelled </w:t>
      </w:r>
      <w:r w:rsidR="00843D9E" w:rsidRPr="00843D9E">
        <w:rPr>
          <w:rFonts w:cstheme="minorHAnsi"/>
          <w:b/>
          <w:bCs/>
          <w:lang w:eastAsia="fr-FR"/>
        </w:rPr>
        <w:t>markers</w:t>
      </w:r>
      <w:r w:rsidR="00843D9E" w:rsidRPr="00591A0C" w:rsidDel="00843D9E">
        <w:rPr>
          <w:rFonts w:cstheme="minorHAnsi"/>
          <w:b/>
          <w:bCs/>
          <w:lang w:eastAsia="fr-FR"/>
        </w:rPr>
        <w:t xml:space="preserve"> </w:t>
      </w:r>
      <w:r w:rsidRPr="00591A0C">
        <w:rPr>
          <w:rFonts w:cstheme="minorHAnsi"/>
          <w:lang w:eastAsia="fr-FR"/>
        </w:rPr>
        <w:t xml:space="preserve">(10 </w:t>
      </w:r>
      <w:r w:rsidR="00F566DF" w:rsidRPr="00591A0C">
        <w:rPr>
          <w:rFonts w:cstheme="minorHAnsi"/>
          <w:lang w:eastAsia="fr-FR"/>
        </w:rPr>
        <w:t>µg</w:t>
      </w:r>
      <w:r w:rsidRPr="00591A0C">
        <w:rPr>
          <w:rFonts w:cstheme="minorHAnsi"/>
          <w:lang w:eastAsia="fr-FR"/>
        </w:rPr>
        <w:t xml:space="preserve">/mL) → add to all extracts </w:t>
      </w:r>
      <w:r w:rsidRPr="00591A0C">
        <w:rPr>
          <w:rFonts w:cstheme="minorHAnsi"/>
          <w:u w:val="single"/>
          <w:lang w:eastAsia="fr-FR"/>
        </w:rPr>
        <w:t>after</w:t>
      </w:r>
      <w:r w:rsidRPr="00591A0C">
        <w:rPr>
          <w:rStyle w:val="Strong"/>
          <w:rFonts w:cstheme="minorHAnsi"/>
          <w:u w:val="single"/>
        </w:rPr>
        <w:t xml:space="preserve"> completion of the extraction procedure</w:t>
      </w:r>
      <w:r w:rsidRPr="00591A0C">
        <w:rPr>
          <w:rFonts w:cstheme="minorHAnsi"/>
          <w:lang w:eastAsia="fr-FR"/>
        </w:rPr>
        <w:t xml:space="preserve"> directly in the reconstitution solvent </w:t>
      </w:r>
      <w:r w:rsidR="00246EE1">
        <w:rPr>
          <w:rFonts w:cstheme="minorHAnsi"/>
          <w:lang w:eastAsia="fr-FR"/>
        </w:rPr>
        <w:t xml:space="preserve">before analysis </w:t>
      </w:r>
      <w:r w:rsidRPr="00591A0C">
        <w:rPr>
          <w:rFonts w:cstheme="minorHAnsi"/>
          <w:lang w:eastAsia="fr-FR"/>
        </w:rPr>
        <w:t>→ The final concentration in the extract must be 50 ng/</w:t>
      </w:r>
      <w:proofErr w:type="spellStart"/>
      <w:r w:rsidRPr="00591A0C">
        <w:rPr>
          <w:rFonts w:cstheme="minorHAnsi"/>
          <w:lang w:eastAsia="fr-FR"/>
        </w:rPr>
        <w:t>mL</w:t>
      </w:r>
      <w:r w:rsidR="0019059F">
        <w:rPr>
          <w:rFonts w:cstheme="minorHAnsi"/>
          <w:lang w:eastAsia="fr-FR"/>
        </w:rPr>
        <w:t>.</w:t>
      </w:r>
      <w:proofErr w:type="spellEnd"/>
    </w:p>
    <w:p w14:paraId="7B9219B6" w14:textId="5A55543C" w:rsidR="00066D40" w:rsidRPr="00591A0C" w:rsidRDefault="00066D40" w:rsidP="00066D40">
      <w:pPr>
        <w:spacing w:after="0"/>
        <w:jc w:val="both"/>
        <w:rPr>
          <w:rFonts w:cstheme="minorHAnsi"/>
          <w:b/>
          <w:bCs/>
          <w:lang w:eastAsia="fr-FR"/>
        </w:rPr>
      </w:pPr>
      <w:r w:rsidRPr="00591A0C">
        <w:rPr>
          <w:rFonts w:cstheme="minorHAnsi"/>
          <w:b/>
          <w:bCs/>
          <w:lang w:eastAsia="fr-FR"/>
        </w:rPr>
        <w:t xml:space="preserve">Real </w:t>
      </w:r>
      <w:r w:rsidR="0019059F">
        <w:rPr>
          <w:rFonts w:cstheme="minorHAnsi"/>
          <w:b/>
          <w:bCs/>
          <w:lang w:eastAsia="fr-FR"/>
        </w:rPr>
        <w:t xml:space="preserve">study </w:t>
      </w:r>
      <w:r w:rsidRPr="00591A0C">
        <w:rPr>
          <w:rFonts w:cstheme="minorHAnsi"/>
          <w:b/>
          <w:bCs/>
          <w:lang w:eastAsia="fr-FR"/>
        </w:rPr>
        <w:t>samples from 4.1 partners</w:t>
      </w:r>
      <w:r w:rsidRPr="00591A0C">
        <w:rPr>
          <w:rFonts w:cstheme="minorHAnsi"/>
          <w:lang w:eastAsia="fr-FR"/>
        </w:rPr>
        <w:t xml:space="preserve"> =&gt; to be</w:t>
      </w:r>
      <w:r w:rsidRPr="00591A0C">
        <w:rPr>
          <w:rFonts w:cstheme="minorHAnsi"/>
          <w:b/>
          <w:bCs/>
          <w:lang w:eastAsia="fr-FR"/>
        </w:rPr>
        <w:t xml:space="preserve"> </w:t>
      </w:r>
      <w:r w:rsidRPr="00591A0C">
        <w:rPr>
          <w:rFonts w:cstheme="minorHAnsi"/>
        </w:rPr>
        <w:t>analyzed according to the capacity of each partner.</w:t>
      </w:r>
    </w:p>
    <w:p w14:paraId="2EF14478" w14:textId="77777777" w:rsidR="00066D40" w:rsidRPr="00591A0C" w:rsidRDefault="00066D40" w:rsidP="00066D40">
      <w:pPr>
        <w:spacing w:before="200" w:after="0"/>
        <w:jc w:val="both"/>
        <w:rPr>
          <w:rFonts w:cstheme="minorHAnsi"/>
          <w:b/>
          <w:bCs/>
          <w:u w:val="single"/>
          <w:lang w:eastAsia="fr-FR"/>
        </w:rPr>
      </w:pPr>
      <w:r w:rsidRPr="00591A0C">
        <w:rPr>
          <w:rFonts w:cstheme="minorHAnsi"/>
          <w:b/>
          <w:bCs/>
          <w:u w:val="single"/>
          <w:lang w:eastAsia="fr-FR"/>
        </w:rPr>
        <w:t>2. Samples partners must prepare</w:t>
      </w:r>
    </w:p>
    <w:p w14:paraId="78DC720D" w14:textId="77777777" w:rsidR="00066D40" w:rsidRPr="00591A0C" w:rsidRDefault="00066D40" w:rsidP="00066D40">
      <w:pPr>
        <w:spacing w:after="0"/>
        <w:jc w:val="both"/>
        <w:rPr>
          <w:rFonts w:cstheme="minorHAnsi"/>
          <w:lang w:eastAsia="fr-FR"/>
        </w:rPr>
      </w:pPr>
      <w:r w:rsidRPr="00591A0C">
        <w:rPr>
          <w:rFonts w:cstheme="minorHAnsi"/>
          <w:lang w:eastAsia="fr-FR"/>
        </w:rPr>
        <w:t>Each partner laboratory is responsible for preparing the following materials:</w:t>
      </w:r>
    </w:p>
    <w:p w14:paraId="3C106159" w14:textId="4C009FD9" w:rsidR="00066D40" w:rsidRPr="00591A0C" w:rsidRDefault="00066D40" w:rsidP="00066D40">
      <w:pPr>
        <w:autoSpaceDE w:val="0"/>
        <w:autoSpaceDN w:val="0"/>
        <w:adjustRightInd w:val="0"/>
        <w:spacing w:after="0" w:line="240" w:lineRule="auto"/>
        <w:jc w:val="both"/>
        <w:rPr>
          <w:rFonts w:cstheme="minorHAnsi"/>
          <w:lang w:eastAsia="fr-FR"/>
        </w:rPr>
      </w:pPr>
      <w:r w:rsidRPr="00591A0C">
        <w:rPr>
          <w:rFonts w:cstheme="minorHAnsi"/>
          <w:b/>
          <w:bCs/>
          <w:lang w:eastAsia="fr-FR"/>
        </w:rPr>
        <w:t xml:space="preserve">Pooled non-spiked matrix: </w:t>
      </w:r>
      <w:r w:rsidRPr="00591A0C">
        <w:rPr>
          <w:rFonts w:cstheme="minorHAnsi"/>
          <w:lang w:eastAsia="fr-FR"/>
        </w:rPr>
        <w:t xml:space="preserve">lab-specific pooled QC urine or plasma prepared from the 4.1 biological samples analyzed by each lab. Before starting the extractions, partners should prepare the </w:t>
      </w:r>
      <w:r w:rsidRPr="00591A0C">
        <w:rPr>
          <w:rFonts w:cstheme="minorHAnsi"/>
          <w:i/>
          <w:iCs/>
          <w:lang w:eastAsia="fr-FR"/>
        </w:rPr>
        <w:t>Pooled Non-Spiked Matrix</w:t>
      </w:r>
      <w:r w:rsidRPr="00591A0C">
        <w:rPr>
          <w:rFonts w:cstheme="minorHAnsi"/>
          <w:lang w:eastAsia="fr-FR"/>
        </w:rPr>
        <w:t xml:space="preserve"> using all samples. They should calculate the required volume for all sequences and prepare this pool once. Once the pooled matrix is prepared, they should aliquot it into the required number of aliquots to prepare the </w:t>
      </w:r>
      <w:r w:rsidRPr="00591A0C">
        <w:rPr>
          <w:rFonts w:cstheme="minorHAnsi"/>
          <w:i/>
          <w:iCs/>
          <w:lang w:eastAsia="fr-FR"/>
        </w:rPr>
        <w:t>non-spiked pool, QC-2 HL, and QC-1 LL</w:t>
      </w:r>
      <w:r w:rsidRPr="00591A0C">
        <w:rPr>
          <w:rFonts w:cstheme="minorHAnsi"/>
          <w:lang w:eastAsia="fr-FR"/>
        </w:rPr>
        <w:t xml:space="preserve"> for all sequences. These aliquots are then used to prepare each batch of biological samples. </w:t>
      </w:r>
      <w:r w:rsidR="00216F49">
        <w:rPr>
          <w:rFonts w:cstheme="minorHAnsi"/>
          <w:lang w:eastAsia="fr-FR"/>
        </w:rPr>
        <w:t>F</w:t>
      </w:r>
      <w:r w:rsidRPr="00591A0C">
        <w:rPr>
          <w:rFonts w:cstheme="minorHAnsi"/>
          <w:lang w:eastAsia="fr-FR"/>
        </w:rPr>
        <w:t>or a sequence of 100 biological samples, partners should prepare three pooled non-spiked matrices and six QC-2</w:t>
      </w:r>
      <w:r w:rsidR="00E03680">
        <w:rPr>
          <w:rFonts w:cstheme="minorHAnsi"/>
          <w:lang w:eastAsia="fr-FR"/>
        </w:rPr>
        <w:t xml:space="preserve"> HL</w:t>
      </w:r>
      <w:r w:rsidRPr="00591A0C">
        <w:rPr>
          <w:rFonts w:cstheme="minorHAnsi"/>
          <w:lang w:eastAsia="fr-FR"/>
        </w:rPr>
        <w:t xml:space="preserve"> and six QC-</w:t>
      </w:r>
      <w:r w:rsidRPr="00264108">
        <w:rPr>
          <w:rFonts w:cstheme="minorHAnsi"/>
          <w:lang w:eastAsia="fr-FR"/>
        </w:rPr>
        <w:t xml:space="preserve">1 </w:t>
      </w:r>
      <w:r w:rsidR="00E03680" w:rsidRPr="00264108">
        <w:rPr>
          <w:rFonts w:cstheme="minorHAnsi"/>
          <w:lang w:eastAsia="fr-FR"/>
        </w:rPr>
        <w:t xml:space="preserve">LL </w:t>
      </w:r>
      <w:r w:rsidRPr="00591A0C">
        <w:rPr>
          <w:rFonts w:cstheme="minorHAnsi"/>
          <w:lang w:eastAsia="fr-FR"/>
        </w:rPr>
        <w:t>samples (15 pooled matrices in total).</w:t>
      </w:r>
    </w:p>
    <w:p w14:paraId="5B735A4A" w14:textId="77777777" w:rsidR="00066D40" w:rsidRPr="00591A0C" w:rsidRDefault="00066D40" w:rsidP="00066D40">
      <w:pPr>
        <w:autoSpaceDE w:val="0"/>
        <w:autoSpaceDN w:val="0"/>
        <w:adjustRightInd w:val="0"/>
        <w:spacing w:after="0" w:line="240" w:lineRule="auto"/>
        <w:jc w:val="both"/>
        <w:rPr>
          <w:rFonts w:cstheme="minorHAnsi"/>
          <w:lang w:eastAsia="fr-FR"/>
        </w:rPr>
      </w:pPr>
      <w:r w:rsidRPr="00591A0C">
        <w:rPr>
          <w:rFonts w:cstheme="minorHAnsi"/>
          <w:lang w:eastAsia="fr-FR"/>
        </w:rPr>
        <w:t>If 1 mL of urine is required per sample, 15 mL of pooled urine matrix is needed. With 100 urine samples, this corresponds to pooling 150 µL from each sample.</w:t>
      </w:r>
    </w:p>
    <w:p w14:paraId="735BA33E" w14:textId="785F4339" w:rsidR="00066D40" w:rsidRPr="00591A0C" w:rsidRDefault="00066D40" w:rsidP="00066D40">
      <w:pPr>
        <w:spacing w:after="0"/>
        <w:jc w:val="both"/>
        <w:rPr>
          <w:rFonts w:cstheme="minorHAnsi"/>
          <w:lang w:eastAsia="fr-FR"/>
        </w:rPr>
      </w:pPr>
      <w:r w:rsidRPr="00591A0C">
        <w:rPr>
          <w:rFonts w:cstheme="minorHAnsi"/>
          <w:b/>
          <w:bCs/>
          <w:lang w:eastAsia="fr-FR"/>
        </w:rPr>
        <w:t xml:space="preserve">QC-2 </w:t>
      </w:r>
      <w:r w:rsidR="00E03680">
        <w:rPr>
          <w:rFonts w:cstheme="minorHAnsi"/>
          <w:b/>
          <w:bCs/>
          <w:lang w:eastAsia="fr-FR"/>
        </w:rPr>
        <w:t xml:space="preserve">HL </w:t>
      </w:r>
      <w:r w:rsidRPr="00591A0C">
        <w:rPr>
          <w:rFonts w:cstheme="minorHAnsi"/>
          <w:b/>
          <w:bCs/>
          <w:lang w:eastAsia="fr-FR"/>
        </w:rPr>
        <w:t>(50 ng/mL in urine or plasma):</w:t>
      </w:r>
      <w:r w:rsidRPr="00591A0C">
        <w:rPr>
          <w:rFonts w:cstheme="minorHAnsi"/>
          <w:lang w:eastAsia="fr-FR"/>
        </w:rPr>
        <w:t xml:space="preserve"> </w:t>
      </w:r>
      <w:r w:rsidRPr="00591A0C">
        <w:rPr>
          <w:rFonts w:cstheme="minorHAnsi"/>
        </w:rPr>
        <w:t>Prepared by spiking the pooled matrix with the T02 QC mix</w:t>
      </w:r>
      <w:r w:rsidRPr="00591A0C">
        <w:rPr>
          <w:rFonts w:cstheme="minorHAnsi"/>
          <w:lang w:eastAsia="fr-FR"/>
        </w:rPr>
        <w:t xml:space="preserve"> (check sequence)</w:t>
      </w:r>
      <w:r w:rsidR="0019059F">
        <w:rPr>
          <w:rFonts w:cstheme="minorHAnsi"/>
          <w:lang w:eastAsia="fr-FR"/>
        </w:rPr>
        <w:t>.</w:t>
      </w:r>
    </w:p>
    <w:p w14:paraId="1D9283FA" w14:textId="6DA56263" w:rsidR="00066D40" w:rsidRPr="00591A0C" w:rsidRDefault="00066D40" w:rsidP="00066D40">
      <w:pPr>
        <w:spacing w:after="0"/>
        <w:jc w:val="both"/>
        <w:rPr>
          <w:rFonts w:cstheme="minorHAnsi"/>
          <w:lang w:eastAsia="fr-FR"/>
        </w:rPr>
      </w:pPr>
      <w:r w:rsidRPr="00591A0C">
        <w:rPr>
          <w:rFonts w:cstheme="minorHAnsi"/>
          <w:b/>
          <w:bCs/>
          <w:lang w:eastAsia="fr-FR"/>
        </w:rPr>
        <w:lastRenderedPageBreak/>
        <w:t xml:space="preserve">QC-1 </w:t>
      </w:r>
      <w:r w:rsidR="00E03680">
        <w:rPr>
          <w:rFonts w:cstheme="minorHAnsi"/>
          <w:b/>
          <w:bCs/>
          <w:lang w:eastAsia="fr-FR"/>
        </w:rPr>
        <w:t xml:space="preserve">LL </w:t>
      </w:r>
      <w:r w:rsidRPr="00591A0C">
        <w:rPr>
          <w:rFonts w:cstheme="minorHAnsi"/>
          <w:b/>
          <w:bCs/>
          <w:lang w:eastAsia="fr-FR"/>
        </w:rPr>
        <w:t>(5 ng/mL in urine or plasma):</w:t>
      </w:r>
      <w:r w:rsidRPr="00591A0C">
        <w:rPr>
          <w:rFonts w:cstheme="minorHAnsi"/>
          <w:lang w:eastAsia="fr-FR"/>
        </w:rPr>
        <w:t xml:space="preserve"> </w:t>
      </w:r>
      <w:r w:rsidRPr="00591A0C">
        <w:rPr>
          <w:rFonts w:cstheme="minorHAnsi"/>
        </w:rPr>
        <w:t>Prepared by spiking the pooled matrix with the T02 QC mix</w:t>
      </w:r>
      <w:r w:rsidRPr="00591A0C">
        <w:rPr>
          <w:rFonts w:cstheme="minorHAnsi"/>
          <w:lang w:eastAsia="fr-FR"/>
        </w:rPr>
        <w:t xml:space="preserve"> (check sequence).</w:t>
      </w:r>
    </w:p>
    <w:p w14:paraId="18DDCA71" w14:textId="62A28205" w:rsidR="00066D40" w:rsidRPr="00D277F8" w:rsidRDefault="00066D40" w:rsidP="00066D40">
      <w:pPr>
        <w:spacing w:after="0"/>
        <w:jc w:val="both"/>
        <w:rPr>
          <w:rFonts w:cstheme="minorHAnsi"/>
          <w:lang w:eastAsia="fr-FR"/>
        </w:rPr>
      </w:pPr>
      <w:r w:rsidRPr="00D277F8">
        <w:rPr>
          <w:rFonts w:cstheme="minorHAnsi"/>
          <w:b/>
          <w:bCs/>
          <w:lang w:eastAsia="fr-FR"/>
        </w:rPr>
        <w:t>Procedural blank</w:t>
      </w:r>
      <w:r w:rsidRPr="00D277F8">
        <w:rPr>
          <w:rFonts w:cstheme="minorHAnsi"/>
          <w:lang w:eastAsia="fr-FR"/>
        </w:rPr>
        <w:t xml:space="preserve">: A procedural blank is prepared using the full in-house sample-preparation workflow, with the addition of internal and external </w:t>
      </w:r>
      <w:r w:rsidR="00843D9E" w:rsidRPr="00843D9E">
        <w:rPr>
          <w:rFonts w:cstheme="minorHAnsi"/>
          <w:lang w:eastAsia="fr-FR"/>
        </w:rPr>
        <w:t>labelled markers</w:t>
      </w:r>
      <w:r w:rsidR="00843D9E" w:rsidRPr="00591A0C" w:rsidDel="00843D9E">
        <w:rPr>
          <w:rFonts w:cstheme="minorHAnsi"/>
          <w:b/>
          <w:bCs/>
          <w:lang w:eastAsia="fr-FR"/>
        </w:rPr>
        <w:t xml:space="preserve"> </w:t>
      </w:r>
      <w:r w:rsidRPr="00591A0C">
        <w:rPr>
          <w:rFonts w:cstheme="minorHAnsi"/>
          <w:lang w:eastAsia="fr-FR"/>
        </w:rPr>
        <w:t>but without biological matrix (for example, replacing urine or plasma by an equivalent volume of ultrapure water). If a 100-sample sequence is prepared in multiple batches (e.g., three batches of</w:t>
      </w:r>
      <w:r w:rsidR="00264108">
        <w:rPr>
          <w:rFonts w:cstheme="minorHAnsi"/>
          <w:lang w:eastAsia="fr-FR"/>
        </w:rPr>
        <w:t xml:space="preserve"> ~</w:t>
      </w:r>
      <w:r w:rsidRPr="00591A0C">
        <w:rPr>
          <w:rFonts w:cstheme="minorHAnsi"/>
          <w:lang w:eastAsia="fr-FR"/>
        </w:rPr>
        <w:t>40 samples), one procedural blank must be prepared per batch or at least 3 procedural blank</w:t>
      </w:r>
      <w:r>
        <w:rPr>
          <w:rFonts w:cstheme="minorHAnsi"/>
          <w:lang w:eastAsia="fr-FR"/>
        </w:rPr>
        <w:t>s</w:t>
      </w:r>
      <w:r w:rsidRPr="00D277F8">
        <w:rPr>
          <w:rFonts w:cstheme="minorHAnsi"/>
          <w:lang w:eastAsia="fr-FR"/>
        </w:rPr>
        <w:t xml:space="preserve"> </w:t>
      </w:r>
      <w:r>
        <w:rPr>
          <w:rFonts w:cstheme="minorHAnsi"/>
          <w:lang w:eastAsia="fr-FR"/>
        </w:rPr>
        <w:t>per</w:t>
      </w:r>
      <w:r w:rsidRPr="00D277F8">
        <w:rPr>
          <w:rFonts w:cstheme="minorHAnsi"/>
          <w:lang w:eastAsia="fr-FR"/>
        </w:rPr>
        <w:t xml:space="preserve"> analytical sequence. All resulting procedural blanks are then pooled to create a single homogeneous procedural blank representing the entire sequence. This pooled procedural blank (1 vial) is injected twice</w:t>
      </w:r>
      <w:r w:rsidR="0019059F">
        <w:rPr>
          <w:rFonts w:cstheme="minorHAnsi"/>
          <w:lang w:eastAsia="fr-FR"/>
        </w:rPr>
        <w:t xml:space="preserve">, </w:t>
      </w:r>
      <w:r w:rsidRPr="00D277F8">
        <w:rPr>
          <w:rFonts w:cstheme="minorHAnsi"/>
          <w:lang w:eastAsia="fr-FR"/>
        </w:rPr>
        <w:t xml:space="preserve">once at the beginning and once at the end of the analytical sequence. A new pooled procedural blank must be prepared for each separate sequence of 100 biological </w:t>
      </w:r>
      <w:r w:rsidR="0019059F">
        <w:rPr>
          <w:rFonts w:cstheme="minorHAnsi"/>
          <w:lang w:eastAsia="fr-FR"/>
        </w:rPr>
        <w:t>samples</w:t>
      </w:r>
      <w:r w:rsidRPr="00D277F8">
        <w:rPr>
          <w:rFonts w:cstheme="minorHAnsi"/>
          <w:lang w:eastAsia="fr-FR"/>
        </w:rPr>
        <w:t>.</w:t>
      </w:r>
    </w:p>
    <w:p w14:paraId="0FAC0282" w14:textId="0E0113E1" w:rsidR="00066D40" w:rsidRPr="00D277F8" w:rsidRDefault="00066D40" w:rsidP="00066D40">
      <w:pPr>
        <w:spacing w:after="0"/>
        <w:jc w:val="both"/>
        <w:rPr>
          <w:rFonts w:cstheme="minorHAnsi"/>
          <w:lang w:eastAsia="fr-FR"/>
        </w:rPr>
      </w:pPr>
      <w:r w:rsidRPr="00D277F8">
        <w:rPr>
          <w:rFonts w:cstheme="minorHAnsi"/>
          <w:b/>
          <w:bCs/>
          <w:lang w:eastAsia="fr-FR"/>
        </w:rPr>
        <w:t>Field blanks</w:t>
      </w:r>
      <w:r w:rsidRPr="00D277F8">
        <w:rPr>
          <w:rFonts w:cstheme="minorHAnsi"/>
          <w:lang w:eastAsia="fr-FR"/>
        </w:rPr>
        <w:t>: Prepared only if applicable, depending on the sampling procedures used by 4.1 partners (</w:t>
      </w:r>
      <w:r w:rsidR="00F566DF">
        <w:rPr>
          <w:rFonts w:cstheme="minorHAnsi"/>
          <w:lang w:eastAsia="fr-FR"/>
        </w:rPr>
        <w:t xml:space="preserve">the </w:t>
      </w:r>
      <w:r w:rsidR="00F566DF" w:rsidRPr="00F5711B">
        <w:rPr>
          <w:rFonts w:cstheme="minorHAnsi"/>
          <w:lang w:eastAsia="fr-FR"/>
        </w:rPr>
        <w:t>French National Research and Safety Institute for the Prevention of Occupational Accidents and Diseases</w:t>
      </w:r>
      <w:r w:rsidR="00F566DF" w:rsidRPr="00D277F8">
        <w:rPr>
          <w:rFonts w:cstheme="minorHAnsi"/>
          <w:lang w:eastAsia="fr-FR"/>
        </w:rPr>
        <w:t xml:space="preserve"> </w:t>
      </w:r>
      <w:r w:rsidR="00F566DF">
        <w:rPr>
          <w:rFonts w:cstheme="minorHAnsi"/>
          <w:lang w:eastAsia="fr-FR"/>
        </w:rPr>
        <w:t>(</w:t>
      </w:r>
      <w:r w:rsidRPr="00D277F8">
        <w:rPr>
          <w:rFonts w:cstheme="minorHAnsi"/>
          <w:lang w:eastAsia="fr-FR"/>
        </w:rPr>
        <w:t>INRS</w:t>
      </w:r>
      <w:r w:rsidR="00F566DF">
        <w:rPr>
          <w:rFonts w:cstheme="minorHAnsi"/>
          <w:lang w:eastAsia="fr-FR"/>
        </w:rPr>
        <w:t>)</w:t>
      </w:r>
      <w:r w:rsidRPr="00D277F8">
        <w:rPr>
          <w:rFonts w:cstheme="minorHAnsi"/>
          <w:lang w:eastAsia="fr-FR"/>
        </w:rPr>
        <w:t xml:space="preserve"> should check with 4.1 partners).</w:t>
      </w:r>
    </w:p>
    <w:p w14:paraId="54E8E435" w14:textId="77777777" w:rsidR="00066D40" w:rsidRPr="00D277F8" w:rsidRDefault="00066D40" w:rsidP="00066D40">
      <w:pPr>
        <w:spacing w:after="0"/>
        <w:jc w:val="both"/>
        <w:rPr>
          <w:rFonts w:cstheme="minorHAnsi"/>
          <w:lang w:eastAsia="fr-FR"/>
        </w:rPr>
      </w:pPr>
      <w:r w:rsidRPr="00D277F8">
        <w:rPr>
          <w:rFonts w:cstheme="minorHAnsi"/>
          <w:b/>
          <w:bCs/>
          <w:lang w:eastAsia="fr-FR"/>
        </w:rPr>
        <w:t xml:space="preserve">Samples: </w:t>
      </w:r>
      <w:r w:rsidRPr="00D277F8">
        <w:rPr>
          <w:rFonts w:cstheme="minorHAnsi"/>
          <w:lang w:eastAsia="fr-FR"/>
        </w:rPr>
        <w:t>Real study samples to be processed according to each partner’s capacity and workflow capacity.</w:t>
      </w:r>
    </w:p>
    <w:p w14:paraId="05879AD3" w14:textId="77777777" w:rsidR="00066D40" w:rsidRPr="00D277F8" w:rsidRDefault="00066D40" w:rsidP="00066D40">
      <w:pPr>
        <w:spacing w:after="0"/>
        <w:jc w:val="both"/>
        <w:rPr>
          <w:rFonts w:cstheme="minorHAnsi"/>
          <w:b/>
          <w:bCs/>
          <w:lang w:eastAsia="fr-FR"/>
        </w:rPr>
      </w:pPr>
    </w:p>
    <w:p w14:paraId="4B9AB331" w14:textId="69A9FDFA" w:rsidR="00246EE1" w:rsidRPr="00D277F8" w:rsidRDefault="00066D40" w:rsidP="00066D40">
      <w:pPr>
        <w:spacing w:before="200" w:after="0"/>
        <w:jc w:val="both"/>
        <w:rPr>
          <w:rFonts w:cstheme="minorHAnsi"/>
          <w:b/>
          <w:bCs/>
          <w:u w:val="single"/>
          <w:lang w:eastAsia="fr-FR"/>
        </w:rPr>
      </w:pPr>
      <w:r w:rsidRPr="00D277F8">
        <w:rPr>
          <w:rFonts w:cstheme="minorHAnsi"/>
          <w:b/>
          <w:bCs/>
          <w:u w:val="single"/>
          <w:lang w:eastAsia="fr-FR"/>
        </w:rPr>
        <w:t xml:space="preserve">3. Minimum </w:t>
      </w:r>
      <w:r>
        <w:rPr>
          <w:rFonts w:cstheme="minorHAnsi"/>
          <w:b/>
          <w:bCs/>
          <w:u w:val="single"/>
          <w:lang w:eastAsia="fr-FR"/>
        </w:rPr>
        <w:t>requirements</w:t>
      </w:r>
      <w:r w:rsidRPr="00D277F8">
        <w:rPr>
          <w:rFonts w:cstheme="minorHAnsi"/>
          <w:b/>
          <w:bCs/>
          <w:u w:val="single"/>
          <w:lang w:eastAsia="fr-FR"/>
        </w:rPr>
        <w:t xml:space="preserve"> (mandatory for all partners)</w:t>
      </w:r>
    </w:p>
    <w:p w14:paraId="0D50FDA5" w14:textId="4A7CAF06" w:rsidR="00246EE1" w:rsidRPr="00D277F8" w:rsidRDefault="00066D40" w:rsidP="00066D40">
      <w:pPr>
        <w:spacing w:after="0"/>
        <w:jc w:val="both"/>
        <w:rPr>
          <w:rFonts w:cstheme="minorHAnsi"/>
          <w:lang w:eastAsia="fr-FR"/>
        </w:rPr>
      </w:pPr>
      <w:bookmarkStart w:id="19" w:name="_Hlk229330385"/>
      <w:r w:rsidRPr="00D277F8">
        <w:rPr>
          <w:rFonts w:cstheme="minorHAnsi"/>
          <w:b/>
          <w:bCs/>
          <w:lang w:eastAsia="fr-FR"/>
        </w:rPr>
        <w:t>Solvent selection</w:t>
      </w:r>
      <w:r w:rsidRPr="00D277F8">
        <w:rPr>
          <w:rFonts w:cstheme="minorHAnsi"/>
          <w:lang w:eastAsia="fr-FR"/>
        </w:rPr>
        <w:t xml:space="preserve"> (</w:t>
      </w:r>
      <w:r w:rsidR="0019059F">
        <w:rPr>
          <w:rFonts w:cstheme="minorHAnsi"/>
          <w:lang w:eastAsia="fr-FR"/>
        </w:rPr>
        <w:t xml:space="preserve">extraction and </w:t>
      </w:r>
      <w:r w:rsidRPr="00D277F8">
        <w:rPr>
          <w:rFonts w:cstheme="minorHAnsi"/>
          <w:lang w:eastAsia="fr-FR"/>
        </w:rPr>
        <w:t xml:space="preserve">LC </w:t>
      </w:r>
      <w:r w:rsidR="0019059F">
        <w:rPr>
          <w:rFonts w:cstheme="minorHAnsi"/>
          <w:lang w:eastAsia="fr-FR"/>
        </w:rPr>
        <w:t>mobile phases</w:t>
      </w:r>
      <w:r w:rsidRPr="00D277F8">
        <w:rPr>
          <w:rFonts w:cstheme="minorHAnsi"/>
          <w:lang w:eastAsia="fr-FR"/>
        </w:rPr>
        <w:t xml:space="preserve">): </w:t>
      </w:r>
      <w:bookmarkEnd w:id="19"/>
      <w:r w:rsidRPr="00D277F8">
        <w:rPr>
          <w:rFonts w:cstheme="minorHAnsi"/>
          <w:lang w:eastAsia="fr-FR"/>
        </w:rPr>
        <w:t>use solvents with broad polarity coverage (</w:t>
      </w:r>
      <w:r w:rsidRPr="00D277F8">
        <w:rPr>
          <w:rFonts w:cstheme="minorHAnsi"/>
          <w:i/>
          <w:iCs/>
          <w:lang w:eastAsia="fr-FR"/>
        </w:rPr>
        <w:t>e.g.,</w:t>
      </w:r>
      <w:r w:rsidRPr="00D277F8">
        <w:rPr>
          <w:rFonts w:cstheme="minorHAnsi"/>
          <w:lang w:eastAsia="fr-FR"/>
        </w:rPr>
        <w:t xml:space="preserve"> </w:t>
      </w:r>
      <w:r w:rsidR="00246EE1">
        <w:rPr>
          <w:rFonts w:cstheme="minorHAnsi"/>
        </w:rPr>
        <w:t xml:space="preserve">mixtures of </w:t>
      </w:r>
      <w:r w:rsidRPr="00D277F8">
        <w:rPr>
          <w:rFonts w:cstheme="minorHAnsi"/>
          <w:lang w:eastAsia="fr-FR"/>
        </w:rPr>
        <w:t>methanol</w:t>
      </w:r>
      <w:r w:rsidR="00246EE1">
        <w:rPr>
          <w:rFonts w:cstheme="minorHAnsi"/>
          <w:lang w:eastAsia="fr-FR"/>
        </w:rPr>
        <w:t xml:space="preserve"> </w:t>
      </w:r>
      <w:r>
        <w:rPr>
          <w:rFonts w:cstheme="minorHAnsi"/>
          <w:lang w:eastAsia="fr-FR"/>
        </w:rPr>
        <w:t>or</w:t>
      </w:r>
      <w:r w:rsidRPr="00D277F8">
        <w:rPr>
          <w:rFonts w:cstheme="minorHAnsi"/>
          <w:lang w:eastAsia="fr-FR"/>
        </w:rPr>
        <w:t xml:space="preserve"> acetonitrile</w:t>
      </w:r>
      <w:r w:rsidR="00246EE1">
        <w:rPr>
          <w:rFonts w:cstheme="minorHAnsi"/>
          <w:lang w:eastAsia="fr-FR"/>
        </w:rPr>
        <w:t xml:space="preserve"> </w:t>
      </w:r>
      <w:r w:rsidR="00246EE1">
        <w:rPr>
          <w:rFonts w:cstheme="minorHAnsi"/>
        </w:rPr>
        <w:t xml:space="preserve">with </w:t>
      </w:r>
      <w:r w:rsidR="00246EE1" w:rsidRPr="004C76D0">
        <w:rPr>
          <w:rFonts w:cstheme="minorHAnsi"/>
        </w:rPr>
        <w:t>water</w:t>
      </w:r>
      <w:r w:rsidRPr="00D277F8">
        <w:rPr>
          <w:rFonts w:cstheme="minorHAnsi"/>
          <w:lang w:eastAsia="fr-FR"/>
        </w:rPr>
        <w:t>) to maximize analyte recovery and minimize methodological bias.</w:t>
      </w:r>
    </w:p>
    <w:p w14:paraId="6AE83B82" w14:textId="446ED601" w:rsidR="00066D40" w:rsidRPr="00D277F8" w:rsidRDefault="00066D40" w:rsidP="00066D40">
      <w:pPr>
        <w:spacing w:after="0"/>
        <w:jc w:val="both"/>
        <w:rPr>
          <w:rFonts w:eastAsia="Times New Roman" w:cstheme="minorHAnsi"/>
          <w:lang w:eastAsia="fr-FR"/>
        </w:rPr>
      </w:pPr>
      <w:r w:rsidRPr="00D277F8">
        <w:rPr>
          <w:rFonts w:cstheme="minorHAnsi"/>
          <w:b/>
          <w:bCs/>
          <w:lang w:eastAsia="fr-FR"/>
        </w:rPr>
        <w:t>Deconjugation:</w:t>
      </w:r>
      <w:r w:rsidRPr="00D277F8">
        <w:rPr>
          <w:rFonts w:eastAsia="Times New Roman" w:cstheme="minorHAnsi"/>
          <w:lang w:eastAsia="fr-FR"/>
        </w:rPr>
        <w:t xml:space="preserve"> </w:t>
      </w:r>
      <w:r w:rsidR="00B35164">
        <w:rPr>
          <w:rFonts w:eastAsia="Times New Roman" w:cstheme="minorHAnsi"/>
          <w:lang w:eastAsia="fr-FR"/>
        </w:rPr>
        <w:t xml:space="preserve">should </w:t>
      </w:r>
      <w:r w:rsidRPr="00D277F8">
        <w:rPr>
          <w:rFonts w:eastAsia="Times New Roman" w:cstheme="minorHAnsi"/>
          <w:lang w:eastAsia="fr-FR"/>
        </w:rPr>
        <w:t>be strictly avoided during sample preparation by all participating partners</w:t>
      </w:r>
      <w:r w:rsidR="009E0769">
        <w:rPr>
          <w:rFonts w:eastAsia="Times New Roman" w:cstheme="minorHAnsi"/>
          <w:lang w:eastAsia="fr-FR"/>
        </w:rPr>
        <w:t xml:space="preserve">, </w:t>
      </w:r>
      <w:r w:rsidRPr="00D277F8">
        <w:rPr>
          <w:rFonts w:eastAsia="Times New Roman" w:cstheme="minorHAnsi"/>
          <w:lang w:eastAsia="fr-FR"/>
        </w:rPr>
        <w:t xml:space="preserve">to ensure optimal comparability of analytical results across laboratories. </w:t>
      </w:r>
    </w:p>
    <w:p w14:paraId="6A3FE555" w14:textId="77777777" w:rsidR="00066D40" w:rsidRPr="00887982" w:rsidRDefault="00066D40" w:rsidP="00066D40">
      <w:pPr>
        <w:spacing w:after="0"/>
        <w:jc w:val="both"/>
        <w:rPr>
          <w:rFonts w:cstheme="minorHAnsi"/>
          <w:lang w:eastAsia="fr-FR"/>
        </w:rPr>
      </w:pPr>
      <w:r w:rsidRPr="00D277F8">
        <w:rPr>
          <w:rFonts w:cstheme="minorHAnsi"/>
          <w:b/>
          <w:bCs/>
          <w:lang w:eastAsia="fr-FR"/>
        </w:rPr>
        <w:t>SPE:</w:t>
      </w:r>
      <w:r w:rsidRPr="00D277F8">
        <w:rPr>
          <w:rFonts w:cstheme="minorHAnsi"/>
          <w:lang w:eastAsia="fr-FR"/>
        </w:rPr>
        <w:t xml:space="preserve"> should not be performed systematically unless clearly required. </w:t>
      </w:r>
    </w:p>
    <w:p w14:paraId="304DD881" w14:textId="2C53520C" w:rsidR="00066D40" w:rsidRPr="00D277F8" w:rsidRDefault="00066D40" w:rsidP="00066D40">
      <w:pPr>
        <w:spacing w:after="0"/>
        <w:jc w:val="both"/>
        <w:rPr>
          <w:rFonts w:cstheme="minorHAnsi"/>
          <w:lang w:eastAsia="fr-FR"/>
        </w:rPr>
      </w:pPr>
      <w:r w:rsidRPr="00D277F8">
        <w:rPr>
          <w:rFonts w:cstheme="minorHAnsi"/>
          <w:b/>
          <w:bCs/>
          <w:lang w:eastAsia="fr-FR"/>
        </w:rPr>
        <w:t xml:space="preserve">Add internal and external </w:t>
      </w:r>
      <w:r w:rsidR="00843D9E" w:rsidRPr="00591A0C">
        <w:rPr>
          <w:rFonts w:cstheme="minorHAnsi"/>
          <w:b/>
          <w:bCs/>
          <w:lang w:eastAsia="fr-FR"/>
        </w:rPr>
        <w:t xml:space="preserve">labelled </w:t>
      </w:r>
      <w:r w:rsidR="00843D9E" w:rsidRPr="00843D9E">
        <w:rPr>
          <w:rFonts w:cstheme="minorHAnsi"/>
          <w:b/>
          <w:bCs/>
          <w:lang w:eastAsia="fr-FR"/>
        </w:rPr>
        <w:t>markers</w:t>
      </w:r>
      <w:r w:rsidR="00843D9E" w:rsidRPr="00591A0C" w:rsidDel="00843D9E">
        <w:rPr>
          <w:rFonts w:cstheme="minorHAnsi"/>
          <w:b/>
          <w:bCs/>
          <w:lang w:eastAsia="fr-FR"/>
        </w:rPr>
        <w:t xml:space="preserve"> </w:t>
      </w:r>
      <w:r w:rsidRPr="00D277F8">
        <w:rPr>
          <w:rFonts w:cstheme="minorHAnsi"/>
          <w:b/>
          <w:bCs/>
          <w:lang w:eastAsia="fr-FR"/>
        </w:rPr>
        <w:t>to all samples</w:t>
      </w:r>
      <w:r w:rsidRPr="00D277F8">
        <w:rPr>
          <w:rFonts w:cstheme="minorHAnsi"/>
          <w:lang w:eastAsia="fr-FR"/>
        </w:rPr>
        <w:t xml:space="preserve">, including all QC </w:t>
      </w:r>
      <w:r>
        <w:rPr>
          <w:rFonts w:cstheme="minorHAnsi"/>
          <w:lang w:eastAsia="fr-FR"/>
        </w:rPr>
        <w:t>and</w:t>
      </w:r>
      <w:r w:rsidRPr="00D277F8">
        <w:rPr>
          <w:rFonts w:cstheme="minorHAnsi"/>
          <w:lang w:eastAsia="fr-FR"/>
        </w:rPr>
        <w:t xml:space="preserve"> blank</w:t>
      </w:r>
      <w:r>
        <w:rPr>
          <w:rFonts w:cstheme="minorHAnsi"/>
          <w:lang w:eastAsia="fr-FR"/>
        </w:rPr>
        <w:t xml:space="preserve"> </w:t>
      </w:r>
      <w:r w:rsidRPr="00D277F8">
        <w:rPr>
          <w:rFonts w:cstheme="minorHAnsi"/>
          <w:lang w:eastAsia="fr-FR"/>
        </w:rPr>
        <w:t>s</w:t>
      </w:r>
      <w:r>
        <w:rPr>
          <w:rFonts w:cstheme="minorHAnsi"/>
          <w:lang w:eastAsia="fr-FR"/>
        </w:rPr>
        <w:t>amples</w:t>
      </w:r>
      <w:r w:rsidRPr="00D277F8">
        <w:rPr>
          <w:rFonts w:cstheme="minorHAnsi"/>
          <w:lang w:eastAsia="fr-FR"/>
        </w:rPr>
        <w:t>.</w:t>
      </w:r>
    </w:p>
    <w:p w14:paraId="3577928C" w14:textId="17B30C39" w:rsidR="00066D40" w:rsidRPr="00D277F8" w:rsidRDefault="00066D40" w:rsidP="00066D40">
      <w:pPr>
        <w:spacing w:after="0"/>
        <w:jc w:val="both"/>
        <w:rPr>
          <w:rFonts w:cstheme="minorHAnsi"/>
          <w:lang w:eastAsia="fr-FR"/>
        </w:rPr>
      </w:pPr>
      <w:r w:rsidRPr="00D277F8">
        <w:rPr>
          <w:rFonts w:cstheme="minorHAnsi"/>
          <w:b/>
          <w:bCs/>
          <w:lang w:eastAsia="fr-FR"/>
        </w:rPr>
        <w:t>Follow the injection sequence</w:t>
      </w:r>
      <w:r w:rsidRPr="00D277F8">
        <w:rPr>
          <w:rFonts w:cstheme="minorHAnsi"/>
          <w:lang w:eastAsia="fr-FR"/>
        </w:rPr>
        <w:t xml:space="preserve"> exactly as described in the Excel sequence table</w:t>
      </w:r>
      <w:r w:rsidR="00A7583D">
        <w:rPr>
          <w:rFonts w:cstheme="minorHAnsi"/>
          <w:lang w:eastAsia="fr-FR"/>
        </w:rPr>
        <w:t xml:space="preserve"> (</w:t>
      </w:r>
      <w:r w:rsidR="00A7583D" w:rsidRPr="0061239A">
        <w:rPr>
          <w:rFonts w:cstheme="minorHAnsi"/>
          <w:i/>
          <w:iCs/>
          <w:lang w:eastAsia="fr-FR"/>
        </w:rPr>
        <w:t>Table S</w:t>
      </w:r>
      <w:r w:rsidR="00BF4E47">
        <w:rPr>
          <w:rFonts w:cstheme="minorHAnsi"/>
          <w:i/>
          <w:iCs/>
          <w:lang w:eastAsia="fr-FR"/>
        </w:rPr>
        <w:t>20</w:t>
      </w:r>
      <w:r w:rsidR="00A7583D">
        <w:rPr>
          <w:rFonts w:cstheme="minorHAnsi"/>
          <w:i/>
          <w:iCs/>
          <w:lang w:eastAsia="fr-FR"/>
        </w:rPr>
        <w:t>)</w:t>
      </w:r>
      <w:r w:rsidRPr="00D277F8">
        <w:rPr>
          <w:rFonts w:cstheme="minorHAnsi"/>
          <w:lang w:eastAsia="fr-FR"/>
        </w:rPr>
        <w:t>.</w:t>
      </w:r>
    </w:p>
    <w:p w14:paraId="473DDBDA" w14:textId="17613C0E" w:rsidR="00066D40" w:rsidRPr="00D277F8" w:rsidRDefault="00066D40" w:rsidP="00066D40">
      <w:pPr>
        <w:spacing w:after="0"/>
        <w:jc w:val="both"/>
        <w:rPr>
          <w:rFonts w:cstheme="minorHAnsi"/>
          <w:lang w:eastAsia="fr-FR"/>
        </w:rPr>
      </w:pPr>
      <w:r w:rsidRPr="00D277F8">
        <w:rPr>
          <w:rFonts w:cstheme="minorHAnsi"/>
          <w:b/>
          <w:bCs/>
          <w:lang w:eastAsia="fr-FR"/>
        </w:rPr>
        <w:t>File naming rules</w:t>
      </w:r>
      <w:r w:rsidRPr="00D277F8">
        <w:rPr>
          <w:rFonts w:cstheme="minorHAnsi"/>
          <w:lang w:eastAsia="fr-FR"/>
        </w:rPr>
        <w:t xml:space="preserve">: use the following format </w:t>
      </w:r>
      <w:proofErr w:type="spellStart"/>
      <w:r w:rsidRPr="00B35164">
        <w:rPr>
          <w:rFonts w:cstheme="minorHAnsi"/>
          <w:i/>
          <w:iCs/>
          <w:lang w:eastAsia="fr-FR"/>
        </w:rPr>
        <w:t>YYYYMMDD_XXX_SAMPLE_IonMode_Instrument_Lab</w:t>
      </w:r>
      <w:proofErr w:type="spellEnd"/>
      <w:r>
        <w:rPr>
          <w:rFonts w:cstheme="minorHAnsi"/>
          <w:lang w:eastAsia="fr-FR"/>
        </w:rPr>
        <w:t xml:space="preserve"> </w:t>
      </w:r>
      <w:r>
        <w:t>where XXX = injection order</w:t>
      </w:r>
      <w:r>
        <w:rPr>
          <w:rFonts w:cstheme="minorHAnsi"/>
          <w:lang w:eastAsia="fr-FR"/>
        </w:rPr>
        <w:t>.</w:t>
      </w:r>
    </w:p>
    <w:p w14:paraId="10BDE540" w14:textId="1CAC16DA" w:rsidR="00A37A29" w:rsidRPr="007A4530" w:rsidRDefault="00066D40" w:rsidP="007A4530">
      <w:pPr>
        <w:spacing w:after="0"/>
        <w:jc w:val="both"/>
        <w:rPr>
          <w:rFonts w:cstheme="minorHAnsi"/>
          <w:lang w:eastAsia="fr-FR"/>
        </w:rPr>
      </w:pPr>
      <w:r w:rsidRPr="00D277F8">
        <w:rPr>
          <w:rFonts w:cstheme="minorHAnsi"/>
          <w:b/>
          <w:bCs/>
          <w:lang w:eastAsia="fr-FR"/>
        </w:rPr>
        <w:t>Each partner must perform all steps</w:t>
      </w:r>
      <w:r w:rsidRPr="00D277F8">
        <w:rPr>
          <w:rFonts w:cstheme="minorHAnsi"/>
          <w:lang w:eastAsia="fr-FR"/>
        </w:rPr>
        <w:t xml:space="preserve">, including: sample preparation, data acquisition, data processing, feature extraction and identification (based on their in-house SOP/databases and a common suspect list from </w:t>
      </w:r>
      <w:r w:rsidR="009E0769" w:rsidRPr="00D277F8">
        <w:rPr>
          <w:rFonts w:cstheme="minorHAnsi"/>
          <w:lang w:eastAsia="fr-FR"/>
        </w:rPr>
        <w:t xml:space="preserve">project </w:t>
      </w:r>
      <w:r w:rsidRPr="00D277F8">
        <w:rPr>
          <w:rFonts w:cstheme="minorHAnsi"/>
          <w:lang w:eastAsia="fr-FR"/>
        </w:rPr>
        <w:t>4.1 that will be shared during 2026</w:t>
      </w:r>
      <w:r>
        <w:rPr>
          <w:rFonts w:cstheme="minorHAnsi"/>
          <w:lang w:eastAsia="fr-FR"/>
        </w:rPr>
        <w:t xml:space="preserve"> </w:t>
      </w:r>
      <w:r w:rsidRPr="00887982">
        <w:rPr>
          <w:rFonts w:cstheme="minorHAnsi"/>
          <w:lang w:eastAsia="fr-FR"/>
        </w:rPr>
        <w:t xml:space="preserve">+ addition of </w:t>
      </w:r>
      <w:r w:rsidRPr="00887982">
        <w:rPr>
          <w:rFonts w:eastAsia="Times New Roman" w:cstheme="minorHAnsi"/>
          <w:lang w:eastAsia="fr-FR"/>
        </w:rPr>
        <w:t>conjugated form</w:t>
      </w:r>
      <w:r w:rsidRPr="00D277F8">
        <w:rPr>
          <w:rFonts w:eastAsia="Times New Roman" w:cstheme="minorHAnsi"/>
          <w:lang w:eastAsia="fr-FR"/>
        </w:rPr>
        <w:t>s</w:t>
      </w:r>
      <w:r w:rsidRPr="00D277F8">
        <w:rPr>
          <w:rFonts w:cstheme="minorHAnsi"/>
          <w:lang w:eastAsia="fr-FR"/>
        </w:rPr>
        <w:t>).</w:t>
      </w:r>
      <w:r w:rsidR="00BD4CB3">
        <w:rPr>
          <w:rFonts w:cstheme="minorHAnsi"/>
          <w:lang w:eastAsia="fr-FR"/>
        </w:rPr>
        <w:t xml:space="preserve"> </w:t>
      </w:r>
      <w:r w:rsidR="00A37A29" w:rsidRPr="00A37A29">
        <w:rPr>
          <w:rFonts w:cstheme="minorHAnsi"/>
          <w:lang w:eastAsia="fr-FR"/>
        </w:rPr>
        <w:t>In addition, each laboratory will perform an initial statistical analysis using basic multivariate approaches, including at least Principal Component Analysis (PCA) and Partial Least Squares Discriminant Analysis (PLS-DA), to ensure that each partner can generate an internally interpretable dataset. Subsequently, all datasets will be centrally collected and subjected to harmonized multivariate and statistical analyses by a designated central partner, using the same approaches, enabling comprehensive cross-study comparison, group discrimination assessment, consistency and complementarity across all datasets.</w:t>
      </w:r>
    </w:p>
    <w:p w14:paraId="2BF5F71F" w14:textId="77777777" w:rsidR="007A4530" w:rsidRPr="00D277F8" w:rsidRDefault="007A4530" w:rsidP="00066D40">
      <w:pPr>
        <w:spacing w:after="0"/>
        <w:jc w:val="both"/>
        <w:rPr>
          <w:rFonts w:cstheme="minorHAnsi"/>
          <w:lang w:eastAsia="fr-FR"/>
        </w:rPr>
      </w:pPr>
    </w:p>
    <w:p w14:paraId="3AEBD692" w14:textId="0DA485DE" w:rsidR="00066D40" w:rsidRPr="00D277F8" w:rsidRDefault="00066D40" w:rsidP="00066D40">
      <w:pPr>
        <w:spacing w:after="0"/>
        <w:jc w:val="both"/>
        <w:rPr>
          <w:rFonts w:cstheme="minorHAnsi"/>
          <w:lang w:eastAsia="fr-FR"/>
        </w:rPr>
      </w:pPr>
      <w:r w:rsidRPr="00D277F8">
        <w:rPr>
          <w:rFonts w:cstheme="minorHAnsi"/>
          <w:b/>
          <w:bCs/>
          <w:lang w:eastAsia="fr-FR"/>
        </w:rPr>
        <w:t>A unified reporting template</w:t>
      </w:r>
      <w:r w:rsidRPr="00D277F8">
        <w:rPr>
          <w:rFonts w:cstheme="minorHAnsi"/>
          <w:lang w:eastAsia="fr-FR"/>
        </w:rPr>
        <w:t xml:space="preserve"> will be developed jointly with </w:t>
      </w:r>
      <w:r w:rsidR="00B35164">
        <w:rPr>
          <w:rFonts w:cstheme="minorHAnsi"/>
          <w:lang w:eastAsia="fr-FR"/>
        </w:rPr>
        <w:t xml:space="preserve">project </w:t>
      </w:r>
      <w:r w:rsidRPr="00D277F8">
        <w:rPr>
          <w:rFonts w:cstheme="minorHAnsi"/>
          <w:lang w:eastAsia="fr-FR"/>
        </w:rPr>
        <w:t>H01. Partners will report all data following this template (planned for September 2026).</w:t>
      </w:r>
    </w:p>
    <w:p w14:paraId="08B88CCE" w14:textId="77777777" w:rsidR="001E4DEB" w:rsidRPr="001E4DEB" w:rsidRDefault="001E4DEB" w:rsidP="00C0371A">
      <w:pPr>
        <w:rPr>
          <w:b/>
          <w:i/>
        </w:rPr>
      </w:pPr>
    </w:p>
    <w:sectPr w:rsidR="001E4DEB" w:rsidRPr="001E4DEB" w:rsidSect="00C0371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3353A" w14:textId="77777777" w:rsidR="007C3031" w:rsidRDefault="007C3031" w:rsidP="00271931">
      <w:pPr>
        <w:spacing w:after="0" w:line="240" w:lineRule="auto"/>
      </w:pPr>
      <w:r>
        <w:separator/>
      </w:r>
    </w:p>
  </w:endnote>
  <w:endnote w:type="continuationSeparator" w:id="0">
    <w:p w14:paraId="4DF31095" w14:textId="77777777" w:rsidR="007C3031" w:rsidRDefault="007C3031" w:rsidP="00271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76FB3" w14:textId="77777777" w:rsidR="007C3031" w:rsidRDefault="007C3031" w:rsidP="00271931">
      <w:pPr>
        <w:spacing w:after="0" w:line="240" w:lineRule="auto"/>
      </w:pPr>
      <w:r>
        <w:separator/>
      </w:r>
    </w:p>
  </w:footnote>
  <w:footnote w:type="continuationSeparator" w:id="0">
    <w:p w14:paraId="6F7E2C97" w14:textId="77777777" w:rsidR="007C3031" w:rsidRDefault="007C3031" w:rsidP="002719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24C67"/>
    <w:multiLevelType w:val="hybridMultilevel"/>
    <w:tmpl w:val="917CE35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802543C"/>
    <w:multiLevelType w:val="hybridMultilevel"/>
    <w:tmpl w:val="9CBC5A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7012D94"/>
    <w:multiLevelType w:val="hybridMultilevel"/>
    <w:tmpl w:val="9CBC5A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B845D87"/>
    <w:multiLevelType w:val="hybridMultilevel"/>
    <w:tmpl w:val="9CBC5A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2F1BCD"/>
    <w:multiLevelType w:val="hybridMultilevel"/>
    <w:tmpl w:val="8F2AB10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946238F"/>
    <w:multiLevelType w:val="multilevel"/>
    <w:tmpl w:val="D35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6E47B6"/>
    <w:multiLevelType w:val="hybridMultilevel"/>
    <w:tmpl w:val="D896722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37C2E80"/>
    <w:multiLevelType w:val="multilevel"/>
    <w:tmpl w:val="8594F74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440366FB"/>
    <w:multiLevelType w:val="hybridMultilevel"/>
    <w:tmpl w:val="1A385E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F59405A"/>
    <w:multiLevelType w:val="hybridMultilevel"/>
    <w:tmpl w:val="9CBC5A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E8F3F9A"/>
    <w:multiLevelType w:val="hybridMultilevel"/>
    <w:tmpl w:val="EBD29706"/>
    <w:lvl w:ilvl="0" w:tplc="6E4E1BD0">
      <w:start w:val="1"/>
      <w:numFmt w:val="decimal"/>
      <w:pStyle w:val="Style10"/>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07F19F1"/>
    <w:multiLevelType w:val="hybridMultilevel"/>
    <w:tmpl w:val="18526E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6D47760"/>
    <w:multiLevelType w:val="hybridMultilevel"/>
    <w:tmpl w:val="9CBC5A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7"/>
  </w:num>
  <w:num w:numId="3">
    <w:abstractNumId w:val="2"/>
  </w:num>
  <w:num w:numId="4">
    <w:abstractNumId w:val="3"/>
  </w:num>
  <w:num w:numId="5">
    <w:abstractNumId w:val="12"/>
  </w:num>
  <w:num w:numId="6">
    <w:abstractNumId w:val="9"/>
  </w:num>
  <w:num w:numId="7">
    <w:abstractNumId w:val="1"/>
  </w:num>
  <w:num w:numId="8">
    <w:abstractNumId w:val="10"/>
  </w:num>
  <w:num w:numId="9">
    <w:abstractNumId w:val="10"/>
  </w:num>
  <w:num w:numId="10">
    <w:abstractNumId w:val="4"/>
  </w:num>
  <w:num w:numId="11">
    <w:abstractNumId w:val="11"/>
  </w:num>
  <w:num w:numId="12">
    <w:abstractNumId w:val="0"/>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GB" w:vendorID="64" w:dllVersion="4096"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C0"/>
    <w:rsid w:val="0000678A"/>
    <w:rsid w:val="00007C76"/>
    <w:rsid w:val="00015501"/>
    <w:rsid w:val="00035870"/>
    <w:rsid w:val="00037E13"/>
    <w:rsid w:val="0004724C"/>
    <w:rsid w:val="00057FD6"/>
    <w:rsid w:val="00066D40"/>
    <w:rsid w:val="00072467"/>
    <w:rsid w:val="00086CFA"/>
    <w:rsid w:val="00094E70"/>
    <w:rsid w:val="000A5E07"/>
    <w:rsid w:val="000C0D38"/>
    <w:rsid w:val="000E7C1C"/>
    <w:rsid w:val="000F2BC6"/>
    <w:rsid w:val="000F6912"/>
    <w:rsid w:val="00111BFE"/>
    <w:rsid w:val="00142811"/>
    <w:rsid w:val="00146436"/>
    <w:rsid w:val="001657EE"/>
    <w:rsid w:val="001754E4"/>
    <w:rsid w:val="001769A6"/>
    <w:rsid w:val="00177F08"/>
    <w:rsid w:val="001805AB"/>
    <w:rsid w:val="0019059F"/>
    <w:rsid w:val="00191409"/>
    <w:rsid w:val="001B10A4"/>
    <w:rsid w:val="001B53CD"/>
    <w:rsid w:val="001B624F"/>
    <w:rsid w:val="001D4148"/>
    <w:rsid w:val="001E4DEB"/>
    <w:rsid w:val="001E4DFA"/>
    <w:rsid w:val="001F739C"/>
    <w:rsid w:val="00216F49"/>
    <w:rsid w:val="00224752"/>
    <w:rsid w:val="0023710C"/>
    <w:rsid w:val="00244B89"/>
    <w:rsid w:val="00246EE1"/>
    <w:rsid w:val="00264108"/>
    <w:rsid w:val="00264322"/>
    <w:rsid w:val="00266B6A"/>
    <w:rsid w:val="00271931"/>
    <w:rsid w:val="00275F56"/>
    <w:rsid w:val="00297247"/>
    <w:rsid w:val="002A146E"/>
    <w:rsid w:val="002A5EE2"/>
    <w:rsid w:val="002B7AE1"/>
    <w:rsid w:val="002C28E6"/>
    <w:rsid w:val="002C4B42"/>
    <w:rsid w:val="002D0227"/>
    <w:rsid w:val="002E0B64"/>
    <w:rsid w:val="002F2A4B"/>
    <w:rsid w:val="0030748B"/>
    <w:rsid w:val="0034123A"/>
    <w:rsid w:val="00344A34"/>
    <w:rsid w:val="003509CB"/>
    <w:rsid w:val="0035256F"/>
    <w:rsid w:val="003642DC"/>
    <w:rsid w:val="00377EB5"/>
    <w:rsid w:val="00380DDC"/>
    <w:rsid w:val="00386372"/>
    <w:rsid w:val="00387A4F"/>
    <w:rsid w:val="003A7486"/>
    <w:rsid w:val="003B79B5"/>
    <w:rsid w:val="003D5D01"/>
    <w:rsid w:val="003F3329"/>
    <w:rsid w:val="003F3F3A"/>
    <w:rsid w:val="003F6337"/>
    <w:rsid w:val="003F6EDA"/>
    <w:rsid w:val="00404F74"/>
    <w:rsid w:val="004065C0"/>
    <w:rsid w:val="00407645"/>
    <w:rsid w:val="004255DD"/>
    <w:rsid w:val="00461E05"/>
    <w:rsid w:val="0046554D"/>
    <w:rsid w:val="00467D12"/>
    <w:rsid w:val="0048443B"/>
    <w:rsid w:val="0049463D"/>
    <w:rsid w:val="004A58D1"/>
    <w:rsid w:val="004B1DD2"/>
    <w:rsid w:val="004C0188"/>
    <w:rsid w:val="004C2B7B"/>
    <w:rsid w:val="004E152F"/>
    <w:rsid w:val="0050142A"/>
    <w:rsid w:val="00517BD0"/>
    <w:rsid w:val="005327E0"/>
    <w:rsid w:val="00546825"/>
    <w:rsid w:val="00552DC2"/>
    <w:rsid w:val="005623F9"/>
    <w:rsid w:val="00582F42"/>
    <w:rsid w:val="00591B9A"/>
    <w:rsid w:val="005A38D6"/>
    <w:rsid w:val="005A6B97"/>
    <w:rsid w:val="005B127A"/>
    <w:rsid w:val="005C24C1"/>
    <w:rsid w:val="005E397B"/>
    <w:rsid w:val="005F1536"/>
    <w:rsid w:val="005F69A4"/>
    <w:rsid w:val="00611B45"/>
    <w:rsid w:val="0061239A"/>
    <w:rsid w:val="00612D52"/>
    <w:rsid w:val="00614775"/>
    <w:rsid w:val="00615BA3"/>
    <w:rsid w:val="006244E7"/>
    <w:rsid w:val="006252E7"/>
    <w:rsid w:val="00655DC1"/>
    <w:rsid w:val="0065749B"/>
    <w:rsid w:val="006579DD"/>
    <w:rsid w:val="00664D3E"/>
    <w:rsid w:val="00665532"/>
    <w:rsid w:val="00675C01"/>
    <w:rsid w:val="00693262"/>
    <w:rsid w:val="0069350D"/>
    <w:rsid w:val="00697CEA"/>
    <w:rsid w:val="006B25A0"/>
    <w:rsid w:val="006B3C1D"/>
    <w:rsid w:val="006D143D"/>
    <w:rsid w:val="006E6933"/>
    <w:rsid w:val="00717C6D"/>
    <w:rsid w:val="00727DF6"/>
    <w:rsid w:val="007516B2"/>
    <w:rsid w:val="00761577"/>
    <w:rsid w:val="007955A4"/>
    <w:rsid w:val="007A0D9A"/>
    <w:rsid w:val="007A2067"/>
    <w:rsid w:val="007A4530"/>
    <w:rsid w:val="007A47D8"/>
    <w:rsid w:val="007A551C"/>
    <w:rsid w:val="007B789A"/>
    <w:rsid w:val="007C3031"/>
    <w:rsid w:val="007D0DD1"/>
    <w:rsid w:val="007E2304"/>
    <w:rsid w:val="007E70CE"/>
    <w:rsid w:val="00801B15"/>
    <w:rsid w:val="00806888"/>
    <w:rsid w:val="00813E0B"/>
    <w:rsid w:val="00843D9E"/>
    <w:rsid w:val="00845DD8"/>
    <w:rsid w:val="00850115"/>
    <w:rsid w:val="00850693"/>
    <w:rsid w:val="00855EF5"/>
    <w:rsid w:val="00860E93"/>
    <w:rsid w:val="008612FA"/>
    <w:rsid w:val="0088317C"/>
    <w:rsid w:val="00895E92"/>
    <w:rsid w:val="0089630A"/>
    <w:rsid w:val="00896B6F"/>
    <w:rsid w:val="008A068A"/>
    <w:rsid w:val="008A2C81"/>
    <w:rsid w:val="008A46DE"/>
    <w:rsid w:val="008B5F0A"/>
    <w:rsid w:val="008D6006"/>
    <w:rsid w:val="008E2236"/>
    <w:rsid w:val="008E37E5"/>
    <w:rsid w:val="008E6880"/>
    <w:rsid w:val="008F27C8"/>
    <w:rsid w:val="00906901"/>
    <w:rsid w:val="00910672"/>
    <w:rsid w:val="00921A0E"/>
    <w:rsid w:val="00927CF0"/>
    <w:rsid w:val="00934C51"/>
    <w:rsid w:val="00935F42"/>
    <w:rsid w:val="00936AE0"/>
    <w:rsid w:val="00947344"/>
    <w:rsid w:val="00952A98"/>
    <w:rsid w:val="009604F1"/>
    <w:rsid w:val="0096463E"/>
    <w:rsid w:val="00976DD3"/>
    <w:rsid w:val="00993D70"/>
    <w:rsid w:val="00994CC7"/>
    <w:rsid w:val="009A2D64"/>
    <w:rsid w:val="009A728B"/>
    <w:rsid w:val="009A752A"/>
    <w:rsid w:val="009B6083"/>
    <w:rsid w:val="009B60FF"/>
    <w:rsid w:val="009C0E20"/>
    <w:rsid w:val="009C38B4"/>
    <w:rsid w:val="009D7045"/>
    <w:rsid w:val="009D762E"/>
    <w:rsid w:val="009E0769"/>
    <w:rsid w:val="009E691D"/>
    <w:rsid w:val="009E7A13"/>
    <w:rsid w:val="009E7EC0"/>
    <w:rsid w:val="009F26D5"/>
    <w:rsid w:val="009F5FDB"/>
    <w:rsid w:val="00A20DC7"/>
    <w:rsid w:val="00A35302"/>
    <w:rsid w:val="00A37A29"/>
    <w:rsid w:val="00A46BF3"/>
    <w:rsid w:val="00A47160"/>
    <w:rsid w:val="00A663F7"/>
    <w:rsid w:val="00A7583D"/>
    <w:rsid w:val="00A806A7"/>
    <w:rsid w:val="00A85852"/>
    <w:rsid w:val="00A87ACF"/>
    <w:rsid w:val="00AA2D44"/>
    <w:rsid w:val="00AA76DC"/>
    <w:rsid w:val="00AA7EFB"/>
    <w:rsid w:val="00AC643D"/>
    <w:rsid w:val="00AD18E4"/>
    <w:rsid w:val="00AE0FB5"/>
    <w:rsid w:val="00AE42F5"/>
    <w:rsid w:val="00B01AAE"/>
    <w:rsid w:val="00B0236C"/>
    <w:rsid w:val="00B1502E"/>
    <w:rsid w:val="00B26759"/>
    <w:rsid w:val="00B27573"/>
    <w:rsid w:val="00B330F7"/>
    <w:rsid w:val="00B35164"/>
    <w:rsid w:val="00B63696"/>
    <w:rsid w:val="00B755DA"/>
    <w:rsid w:val="00BA44BE"/>
    <w:rsid w:val="00BD4CB3"/>
    <w:rsid w:val="00BD73EF"/>
    <w:rsid w:val="00BE42D7"/>
    <w:rsid w:val="00BE7261"/>
    <w:rsid w:val="00BF2AA0"/>
    <w:rsid w:val="00BF36B3"/>
    <w:rsid w:val="00BF36CE"/>
    <w:rsid w:val="00BF458A"/>
    <w:rsid w:val="00BF4E47"/>
    <w:rsid w:val="00C0371A"/>
    <w:rsid w:val="00C04E19"/>
    <w:rsid w:val="00C06574"/>
    <w:rsid w:val="00C10363"/>
    <w:rsid w:val="00C136BC"/>
    <w:rsid w:val="00C34B8A"/>
    <w:rsid w:val="00C36346"/>
    <w:rsid w:val="00C419D7"/>
    <w:rsid w:val="00C41B91"/>
    <w:rsid w:val="00C457A1"/>
    <w:rsid w:val="00C45EA4"/>
    <w:rsid w:val="00C461E8"/>
    <w:rsid w:val="00C4742D"/>
    <w:rsid w:val="00C5508A"/>
    <w:rsid w:val="00C95057"/>
    <w:rsid w:val="00CB6A28"/>
    <w:rsid w:val="00CC15CF"/>
    <w:rsid w:val="00CF4423"/>
    <w:rsid w:val="00D0523E"/>
    <w:rsid w:val="00D34DD4"/>
    <w:rsid w:val="00D71584"/>
    <w:rsid w:val="00DB3059"/>
    <w:rsid w:val="00DC077C"/>
    <w:rsid w:val="00DC6422"/>
    <w:rsid w:val="00DD1D3D"/>
    <w:rsid w:val="00DD655C"/>
    <w:rsid w:val="00DE187F"/>
    <w:rsid w:val="00DE441B"/>
    <w:rsid w:val="00DF111D"/>
    <w:rsid w:val="00DF3519"/>
    <w:rsid w:val="00E03680"/>
    <w:rsid w:val="00E130BC"/>
    <w:rsid w:val="00E41A90"/>
    <w:rsid w:val="00E60FD5"/>
    <w:rsid w:val="00E661B5"/>
    <w:rsid w:val="00E66238"/>
    <w:rsid w:val="00E719D3"/>
    <w:rsid w:val="00E845CC"/>
    <w:rsid w:val="00E84C49"/>
    <w:rsid w:val="00EA3103"/>
    <w:rsid w:val="00EB0D52"/>
    <w:rsid w:val="00EB4B1B"/>
    <w:rsid w:val="00ED08AD"/>
    <w:rsid w:val="00ED645D"/>
    <w:rsid w:val="00ED7FCD"/>
    <w:rsid w:val="00EE6647"/>
    <w:rsid w:val="00F23212"/>
    <w:rsid w:val="00F257E6"/>
    <w:rsid w:val="00F52BBC"/>
    <w:rsid w:val="00F566DF"/>
    <w:rsid w:val="00F5711B"/>
    <w:rsid w:val="00F613E0"/>
    <w:rsid w:val="00F711C9"/>
    <w:rsid w:val="00F7706A"/>
    <w:rsid w:val="00F80E5A"/>
    <w:rsid w:val="00F82079"/>
    <w:rsid w:val="00F85142"/>
    <w:rsid w:val="00F94616"/>
    <w:rsid w:val="00F94D15"/>
    <w:rsid w:val="00FA27D7"/>
    <w:rsid w:val="00FC0825"/>
    <w:rsid w:val="00FD36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4AEEA"/>
  <w15:chartTrackingRefBased/>
  <w15:docId w15:val="{27841F79-35F6-4433-B24C-DCEA71A8F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3F6EDA"/>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semiHidden/>
    <w:unhideWhenUsed/>
    <w:qFormat/>
    <w:rsid w:val="009B60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96463E"/>
    <w:pPr>
      <w:keepNext/>
      <w:keepLines/>
      <w:spacing w:before="100" w:after="100"/>
      <w:outlineLvl w:val="2"/>
    </w:pPr>
    <w:rPr>
      <w:rFonts w:ascii="Calibri" w:eastAsiaTheme="majorEastAsia" w:hAnsi="Calibri"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5B127A"/>
    <w:rPr>
      <w:sz w:val="16"/>
      <w:szCs w:val="16"/>
    </w:rPr>
  </w:style>
  <w:style w:type="paragraph" w:styleId="CommentText">
    <w:name w:val="annotation text"/>
    <w:basedOn w:val="Normal"/>
    <w:link w:val="CommentTextChar"/>
    <w:uiPriority w:val="99"/>
    <w:unhideWhenUsed/>
    <w:qFormat/>
    <w:rsid w:val="005B127A"/>
    <w:pPr>
      <w:spacing w:line="240" w:lineRule="auto"/>
    </w:pPr>
    <w:rPr>
      <w:sz w:val="20"/>
      <w:szCs w:val="20"/>
    </w:rPr>
  </w:style>
  <w:style w:type="character" w:customStyle="1" w:styleId="CommentTextChar">
    <w:name w:val="Comment Text Char"/>
    <w:basedOn w:val="DefaultParagraphFont"/>
    <w:link w:val="CommentText"/>
    <w:uiPriority w:val="99"/>
    <w:qFormat/>
    <w:rsid w:val="005B127A"/>
    <w:rPr>
      <w:sz w:val="20"/>
      <w:szCs w:val="20"/>
      <w:lang w:val="en-US"/>
    </w:rPr>
  </w:style>
  <w:style w:type="paragraph" w:styleId="BalloonText">
    <w:name w:val="Balloon Text"/>
    <w:basedOn w:val="Normal"/>
    <w:link w:val="BalloonTextChar"/>
    <w:uiPriority w:val="99"/>
    <w:semiHidden/>
    <w:unhideWhenUsed/>
    <w:rsid w:val="005B12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27A"/>
    <w:rPr>
      <w:rFonts w:ascii="Segoe UI" w:hAnsi="Segoe UI" w:cs="Segoe UI"/>
      <w:sz w:val="18"/>
      <w:szCs w:val="18"/>
      <w:lang w:val="en-US"/>
    </w:rPr>
  </w:style>
  <w:style w:type="character" w:styleId="Strong">
    <w:name w:val="Strong"/>
    <w:basedOn w:val="DefaultParagraphFont"/>
    <w:uiPriority w:val="22"/>
    <w:qFormat/>
    <w:rsid w:val="005B127A"/>
    <w:rPr>
      <w:b/>
      <w:bCs/>
    </w:rPr>
  </w:style>
  <w:style w:type="character" w:styleId="Hyperlink">
    <w:name w:val="Hyperlink"/>
    <w:basedOn w:val="DefaultParagraphFont"/>
    <w:uiPriority w:val="99"/>
    <w:unhideWhenUsed/>
    <w:rsid w:val="005B127A"/>
    <w:rPr>
      <w:color w:val="0563C1" w:themeColor="hyperlink"/>
      <w:u w:val="single"/>
    </w:rPr>
  </w:style>
  <w:style w:type="character" w:styleId="Emphasis">
    <w:name w:val="Emphasis"/>
    <w:basedOn w:val="DefaultParagraphFont"/>
    <w:uiPriority w:val="20"/>
    <w:qFormat/>
    <w:rsid w:val="003642DC"/>
    <w:rPr>
      <w:i/>
      <w:iCs/>
    </w:rPr>
  </w:style>
  <w:style w:type="paragraph" w:styleId="CommentSubject">
    <w:name w:val="annotation subject"/>
    <w:basedOn w:val="CommentText"/>
    <w:next w:val="CommentText"/>
    <w:link w:val="CommentSubjectChar"/>
    <w:uiPriority w:val="99"/>
    <w:semiHidden/>
    <w:unhideWhenUsed/>
    <w:rsid w:val="004E152F"/>
    <w:rPr>
      <w:b/>
      <w:bCs/>
    </w:rPr>
  </w:style>
  <w:style w:type="character" w:customStyle="1" w:styleId="CommentSubjectChar">
    <w:name w:val="Comment Subject Char"/>
    <w:basedOn w:val="CommentTextChar"/>
    <w:link w:val="CommentSubject"/>
    <w:uiPriority w:val="99"/>
    <w:semiHidden/>
    <w:rsid w:val="004E152F"/>
    <w:rPr>
      <w:b/>
      <w:bCs/>
      <w:sz w:val="20"/>
      <w:szCs w:val="20"/>
      <w:lang w:val="en-US"/>
    </w:rPr>
  </w:style>
  <w:style w:type="paragraph" w:styleId="Caption">
    <w:name w:val="caption"/>
    <w:basedOn w:val="Normal"/>
    <w:next w:val="Normal"/>
    <w:uiPriority w:val="35"/>
    <w:unhideWhenUsed/>
    <w:qFormat/>
    <w:rsid w:val="008A2C81"/>
    <w:pPr>
      <w:spacing w:after="200" w:line="240" w:lineRule="auto"/>
    </w:pPr>
    <w:rPr>
      <w:i/>
      <w:iCs/>
      <w:color w:val="44546A" w:themeColor="text2"/>
      <w:sz w:val="18"/>
      <w:szCs w:val="18"/>
    </w:rPr>
  </w:style>
  <w:style w:type="paragraph" w:styleId="NormalWeb">
    <w:name w:val="Normal (Web)"/>
    <w:basedOn w:val="Normal"/>
    <w:uiPriority w:val="99"/>
    <w:unhideWhenUsed/>
    <w:rsid w:val="00B6369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Revision">
    <w:name w:val="Revision"/>
    <w:hidden/>
    <w:uiPriority w:val="99"/>
    <w:semiHidden/>
    <w:rsid w:val="00612D52"/>
    <w:pPr>
      <w:spacing w:after="0" w:line="240" w:lineRule="auto"/>
    </w:pPr>
    <w:rPr>
      <w:lang w:val="en-US"/>
    </w:rPr>
  </w:style>
  <w:style w:type="paragraph" w:styleId="Header">
    <w:name w:val="header"/>
    <w:basedOn w:val="Normal"/>
    <w:link w:val="HeaderChar"/>
    <w:uiPriority w:val="99"/>
    <w:unhideWhenUsed/>
    <w:rsid w:val="002719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71931"/>
    <w:rPr>
      <w:lang w:val="en-US"/>
    </w:rPr>
  </w:style>
  <w:style w:type="paragraph" w:styleId="Footer">
    <w:name w:val="footer"/>
    <w:basedOn w:val="Normal"/>
    <w:link w:val="FooterChar"/>
    <w:uiPriority w:val="99"/>
    <w:unhideWhenUsed/>
    <w:rsid w:val="002719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71931"/>
    <w:rPr>
      <w:lang w:val="en-US"/>
    </w:rPr>
  </w:style>
  <w:style w:type="character" w:customStyle="1" w:styleId="Heading1Char">
    <w:name w:val="Heading 1 Char"/>
    <w:basedOn w:val="DefaultParagraphFont"/>
    <w:link w:val="Heading1"/>
    <w:uiPriority w:val="9"/>
    <w:rsid w:val="003F6EDA"/>
    <w:rPr>
      <w:rFonts w:eastAsiaTheme="majorEastAsia" w:cstheme="majorBidi"/>
      <w:b/>
      <w:sz w:val="28"/>
      <w:szCs w:val="32"/>
      <w:lang w:val="en-US"/>
    </w:rPr>
  </w:style>
  <w:style w:type="paragraph" w:styleId="TOCHeading">
    <w:name w:val="TOC Heading"/>
    <w:basedOn w:val="Heading1"/>
    <w:next w:val="Normal"/>
    <w:uiPriority w:val="39"/>
    <w:unhideWhenUsed/>
    <w:qFormat/>
    <w:rsid w:val="00275F56"/>
    <w:pPr>
      <w:outlineLvl w:val="9"/>
    </w:pPr>
    <w:rPr>
      <w:lang w:val="fr-FR" w:eastAsia="fr-FR"/>
    </w:rPr>
  </w:style>
  <w:style w:type="paragraph" w:customStyle="1" w:styleId="Style1">
    <w:name w:val="Style1"/>
    <w:basedOn w:val="Heading1"/>
    <w:qFormat/>
    <w:rsid w:val="00275F56"/>
    <w:rPr>
      <w:sz w:val="22"/>
    </w:rPr>
  </w:style>
  <w:style w:type="paragraph" w:styleId="TOC1">
    <w:name w:val="toc 1"/>
    <w:basedOn w:val="Normal"/>
    <w:next w:val="Normal"/>
    <w:autoRedefine/>
    <w:uiPriority w:val="39"/>
    <w:unhideWhenUsed/>
    <w:rsid w:val="00275F56"/>
    <w:pPr>
      <w:spacing w:after="100"/>
    </w:pPr>
  </w:style>
  <w:style w:type="paragraph" w:customStyle="1" w:styleId="Style2">
    <w:name w:val="Style2"/>
    <w:basedOn w:val="Heading1"/>
    <w:qFormat/>
    <w:rsid w:val="00275F56"/>
    <w:rPr>
      <w:sz w:val="22"/>
    </w:rPr>
  </w:style>
  <w:style w:type="paragraph" w:customStyle="1" w:styleId="Style3">
    <w:name w:val="Style3"/>
    <w:basedOn w:val="Heading1"/>
    <w:qFormat/>
    <w:rsid w:val="00275F56"/>
    <w:rPr>
      <w:i/>
      <w:sz w:val="22"/>
    </w:rPr>
  </w:style>
  <w:style w:type="paragraph" w:customStyle="1" w:styleId="Style4">
    <w:name w:val="Style4"/>
    <w:basedOn w:val="Heading1"/>
    <w:qFormat/>
    <w:rsid w:val="00AC643D"/>
    <w:rPr>
      <w:b w:val="0"/>
      <w:sz w:val="22"/>
    </w:rPr>
  </w:style>
  <w:style w:type="paragraph" w:customStyle="1" w:styleId="Style5">
    <w:name w:val="Style5"/>
    <w:basedOn w:val="Style4"/>
    <w:qFormat/>
    <w:rsid w:val="00AC643D"/>
    <w:pPr>
      <w:jc w:val="both"/>
    </w:pPr>
    <w:rPr>
      <w:b/>
    </w:rPr>
  </w:style>
  <w:style w:type="paragraph" w:customStyle="1" w:styleId="Style6">
    <w:name w:val="Style6"/>
    <w:basedOn w:val="Heading1"/>
    <w:qFormat/>
    <w:rsid w:val="00AC643D"/>
    <w:rPr>
      <w:sz w:val="22"/>
    </w:rPr>
  </w:style>
  <w:style w:type="paragraph" w:customStyle="1" w:styleId="Style7">
    <w:name w:val="Style7"/>
    <w:basedOn w:val="Heading1"/>
    <w:qFormat/>
    <w:rsid w:val="00AC643D"/>
    <w:rPr>
      <w:bCs/>
      <w:iCs/>
      <w:sz w:val="22"/>
    </w:rPr>
  </w:style>
  <w:style w:type="paragraph" w:customStyle="1" w:styleId="Style8">
    <w:name w:val="Style8"/>
    <w:basedOn w:val="Heading1"/>
    <w:qFormat/>
    <w:rsid w:val="00AC643D"/>
    <w:rPr>
      <w:rFonts w:cstheme="minorBidi"/>
      <w:i/>
      <w:sz w:val="22"/>
      <w:szCs w:val="22"/>
    </w:rPr>
  </w:style>
  <w:style w:type="table" w:styleId="TableGrid">
    <w:name w:val="Table Grid"/>
    <w:basedOn w:val="TableNormal"/>
    <w:uiPriority w:val="39"/>
    <w:rsid w:val="008F2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5E397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rsid w:val="0096463E"/>
    <w:rPr>
      <w:rFonts w:ascii="Calibri" w:eastAsiaTheme="majorEastAsia" w:hAnsi="Calibri" w:cstheme="majorBidi"/>
      <w:color w:val="000000" w:themeColor="text1"/>
      <w:szCs w:val="24"/>
      <w:lang w:val="en-US"/>
    </w:rPr>
  </w:style>
  <w:style w:type="paragraph" w:styleId="ListParagraph">
    <w:name w:val="List Paragraph"/>
    <w:basedOn w:val="Normal"/>
    <w:uiPriority w:val="34"/>
    <w:qFormat/>
    <w:rsid w:val="009B60FF"/>
    <w:pPr>
      <w:ind w:left="720"/>
      <w:contextualSpacing/>
    </w:pPr>
  </w:style>
  <w:style w:type="character" w:customStyle="1" w:styleId="Heading2Char">
    <w:name w:val="Heading 2 Char"/>
    <w:basedOn w:val="DefaultParagraphFont"/>
    <w:link w:val="Heading2"/>
    <w:uiPriority w:val="9"/>
    <w:semiHidden/>
    <w:rsid w:val="009B60FF"/>
    <w:rPr>
      <w:rFonts w:asciiTheme="majorHAnsi" w:eastAsiaTheme="majorEastAsia" w:hAnsiTheme="majorHAnsi" w:cstheme="majorBidi"/>
      <w:color w:val="2E74B5" w:themeColor="accent1" w:themeShade="BF"/>
      <w:sz w:val="26"/>
      <w:szCs w:val="26"/>
      <w:lang w:val="en-US"/>
    </w:rPr>
  </w:style>
  <w:style w:type="paragraph" w:styleId="Title">
    <w:name w:val="Title"/>
    <w:basedOn w:val="Normal"/>
    <w:next w:val="Normal"/>
    <w:link w:val="TitleChar"/>
    <w:uiPriority w:val="10"/>
    <w:qFormat/>
    <w:rsid w:val="003F6EDA"/>
    <w:pPr>
      <w:spacing w:after="0" w:line="240" w:lineRule="auto"/>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3F6EDA"/>
    <w:rPr>
      <w:rFonts w:eastAsiaTheme="majorEastAsia" w:cstheme="majorBidi"/>
      <w:b/>
      <w:spacing w:val="-10"/>
      <w:kern w:val="28"/>
      <w:sz w:val="28"/>
      <w:szCs w:val="56"/>
      <w:lang w:val="en-US"/>
    </w:rPr>
  </w:style>
  <w:style w:type="paragraph" w:customStyle="1" w:styleId="Style9">
    <w:name w:val="Style9"/>
    <w:basedOn w:val="Title"/>
    <w:qFormat/>
    <w:rsid w:val="0034123A"/>
    <w:rPr>
      <w:b w:val="0"/>
      <w:sz w:val="8"/>
    </w:rPr>
  </w:style>
  <w:style w:type="paragraph" w:customStyle="1" w:styleId="Style10">
    <w:name w:val="Style10"/>
    <w:basedOn w:val="Heading1"/>
    <w:qFormat/>
    <w:rsid w:val="0034123A"/>
    <w:pPr>
      <w:numPr>
        <w:numId w:val="8"/>
      </w:numPr>
    </w:pPr>
    <w:rPr>
      <w:b w:val="0"/>
    </w:rPr>
  </w:style>
  <w:style w:type="paragraph" w:customStyle="1" w:styleId="Style11">
    <w:name w:val="Style11"/>
    <w:basedOn w:val="Title"/>
    <w:qFormat/>
    <w:rsid w:val="0034123A"/>
    <w:rPr>
      <w:b w:val="0"/>
    </w:rPr>
  </w:style>
  <w:style w:type="paragraph" w:customStyle="1" w:styleId="Style12">
    <w:name w:val="Style12"/>
    <w:basedOn w:val="Style11"/>
    <w:qFormat/>
    <w:rsid w:val="0034123A"/>
  </w:style>
  <w:style w:type="paragraph" w:customStyle="1" w:styleId="Style13">
    <w:name w:val="Style13"/>
    <w:basedOn w:val="Title"/>
    <w:qFormat/>
    <w:rsid w:val="0034123A"/>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91492">
      <w:bodyDiv w:val="1"/>
      <w:marLeft w:val="0"/>
      <w:marRight w:val="0"/>
      <w:marTop w:val="0"/>
      <w:marBottom w:val="0"/>
      <w:divBdr>
        <w:top w:val="none" w:sz="0" w:space="0" w:color="auto"/>
        <w:left w:val="none" w:sz="0" w:space="0" w:color="auto"/>
        <w:bottom w:val="none" w:sz="0" w:space="0" w:color="auto"/>
        <w:right w:val="none" w:sz="0" w:space="0" w:color="auto"/>
      </w:divBdr>
    </w:div>
    <w:div w:id="132911375">
      <w:bodyDiv w:val="1"/>
      <w:marLeft w:val="0"/>
      <w:marRight w:val="0"/>
      <w:marTop w:val="0"/>
      <w:marBottom w:val="0"/>
      <w:divBdr>
        <w:top w:val="none" w:sz="0" w:space="0" w:color="auto"/>
        <w:left w:val="none" w:sz="0" w:space="0" w:color="auto"/>
        <w:bottom w:val="none" w:sz="0" w:space="0" w:color="auto"/>
        <w:right w:val="none" w:sz="0" w:space="0" w:color="auto"/>
      </w:divBdr>
    </w:div>
    <w:div w:id="190186792">
      <w:bodyDiv w:val="1"/>
      <w:marLeft w:val="0"/>
      <w:marRight w:val="0"/>
      <w:marTop w:val="0"/>
      <w:marBottom w:val="0"/>
      <w:divBdr>
        <w:top w:val="none" w:sz="0" w:space="0" w:color="auto"/>
        <w:left w:val="none" w:sz="0" w:space="0" w:color="auto"/>
        <w:bottom w:val="none" w:sz="0" w:space="0" w:color="auto"/>
        <w:right w:val="none" w:sz="0" w:space="0" w:color="auto"/>
      </w:divBdr>
    </w:div>
    <w:div w:id="197132549">
      <w:bodyDiv w:val="1"/>
      <w:marLeft w:val="0"/>
      <w:marRight w:val="0"/>
      <w:marTop w:val="0"/>
      <w:marBottom w:val="0"/>
      <w:divBdr>
        <w:top w:val="none" w:sz="0" w:space="0" w:color="auto"/>
        <w:left w:val="none" w:sz="0" w:space="0" w:color="auto"/>
        <w:bottom w:val="none" w:sz="0" w:space="0" w:color="auto"/>
        <w:right w:val="none" w:sz="0" w:space="0" w:color="auto"/>
      </w:divBdr>
    </w:div>
    <w:div w:id="376050712">
      <w:bodyDiv w:val="1"/>
      <w:marLeft w:val="0"/>
      <w:marRight w:val="0"/>
      <w:marTop w:val="0"/>
      <w:marBottom w:val="0"/>
      <w:divBdr>
        <w:top w:val="none" w:sz="0" w:space="0" w:color="auto"/>
        <w:left w:val="none" w:sz="0" w:space="0" w:color="auto"/>
        <w:bottom w:val="none" w:sz="0" w:space="0" w:color="auto"/>
        <w:right w:val="none" w:sz="0" w:space="0" w:color="auto"/>
      </w:divBdr>
    </w:div>
    <w:div w:id="490290344">
      <w:bodyDiv w:val="1"/>
      <w:marLeft w:val="0"/>
      <w:marRight w:val="0"/>
      <w:marTop w:val="0"/>
      <w:marBottom w:val="0"/>
      <w:divBdr>
        <w:top w:val="none" w:sz="0" w:space="0" w:color="auto"/>
        <w:left w:val="none" w:sz="0" w:space="0" w:color="auto"/>
        <w:bottom w:val="none" w:sz="0" w:space="0" w:color="auto"/>
        <w:right w:val="none" w:sz="0" w:space="0" w:color="auto"/>
      </w:divBdr>
      <w:divsChild>
        <w:div w:id="1715739497">
          <w:marLeft w:val="0"/>
          <w:marRight w:val="0"/>
          <w:marTop w:val="0"/>
          <w:marBottom w:val="0"/>
          <w:divBdr>
            <w:top w:val="none" w:sz="0" w:space="0" w:color="auto"/>
            <w:left w:val="none" w:sz="0" w:space="0" w:color="auto"/>
            <w:bottom w:val="none" w:sz="0" w:space="0" w:color="auto"/>
            <w:right w:val="none" w:sz="0" w:space="0" w:color="auto"/>
          </w:divBdr>
          <w:divsChild>
            <w:div w:id="2121026990">
              <w:marLeft w:val="0"/>
              <w:marRight w:val="0"/>
              <w:marTop w:val="0"/>
              <w:marBottom w:val="0"/>
              <w:divBdr>
                <w:top w:val="none" w:sz="0" w:space="0" w:color="auto"/>
                <w:left w:val="none" w:sz="0" w:space="0" w:color="auto"/>
                <w:bottom w:val="none" w:sz="0" w:space="0" w:color="auto"/>
                <w:right w:val="none" w:sz="0" w:space="0" w:color="auto"/>
              </w:divBdr>
            </w:div>
            <w:div w:id="66748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444985">
      <w:bodyDiv w:val="1"/>
      <w:marLeft w:val="0"/>
      <w:marRight w:val="0"/>
      <w:marTop w:val="0"/>
      <w:marBottom w:val="0"/>
      <w:divBdr>
        <w:top w:val="none" w:sz="0" w:space="0" w:color="auto"/>
        <w:left w:val="none" w:sz="0" w:space="0" w:color="auto"/>
        <w:bottom w:val="none" w:sz="0" w:space="0" w:color="auto"/>
        <w:right w:val="none" w:sz="0" w:space="0" w:color="auto"/>
      </w:divBdr>
    </w:div>
    <w:div w:id="1177426507">
      <w:bodyDiv w:val="1"/>
      <w:marLeft w:val="0"/>
      <w:marRight w:val="0"/>
      <w:marTop w:val="0"/>
      <w:marBottom w:val="0"/>
      <w:divBdr>
        <w:top w:val="none" w:sz="0" w:space="0" w:color="auto"/>
        <w:left w:val="none" w:sz="0" w:space="0" w:color="auto"/>
        <w:bottom w:val="none" w:sz="0" w:space="0" w:color="auto"/>
        <w:right w:val="none" w:sz="0" w:space="0" w:color="auto"/>
      </w:divBdr>
    </w:div>
    <w:div w:id="1191839295">
      <w:bodyDiv w:val="1"/>
      <w:marLeft w:val="0"/>
      <w:marRight w:val="0"/>
      <w:marTop w:val="0"/>
      <w:marBottom w:val="0"/>
      <w:divBdr>
        <w:top w:val="none" w:sz="0" w:space="0" w:color="auto"/>
        <w:left w:val="none" w:sz="0" w:space="0" w:color="auto"/>
        <w:bottom w:val="none" w:sz="0" w:space="0" w:color="auto"/>
        <w:right w:val="none" w:sz="0" w:space="0" w:color="auto"/>
      </w:divBdr>
    </w:div>
    <w:div w:id="1535079322">
      <w:bodyDiv w:val="1"/>
      <w:marLeft w:val="0"/>
      <w:marRight w:val="0"/>
      <w:marTop w:val="0"/>
      <w:marBottom w:val="0"/>
      <w:divBdr>
        <w:top w:val="none" w:sz="0" w:space="0" w:color="auto"/>
        <w:left w:val="none" w:sz="0" w:space="0" w:color="auto"/>
        <w:bottom w:val="none" w:sz="0" w:space="0" w:color="auto"/>
        <w:right w:val="none" w:sz="0" w:space="0" w:color="auto"/>
      </w:divBdr>
    </w:div>
    <w:div w:id="1576283805">
      <w:bodyDiv w:val="1"/>
      <w:marLeft w:val="0"/>
      <w:marRight w:val="0"/>
      <w:marTop w:val="0"/>
      <w:marBottom w:val="0"/>
      <w:divBdr>
        <w:top w:val="none" w:sz="0" w:space="0" w:color="auto"/>
        <w:left w:val="none" w:sz="0" w:space="0" w:color="auto"/>
        <w:bottom w:val="none" w:sz="0" w:space="0" w:color="auto"/>
        <w:right w:val="none" w:sz="0" w:space="0" w:color="auto"/>
      </w:divBdr>
    </w:div>
    <w:div w:id="1901481539">
      <w:bodyDiv w:val="1"/>
      <w:marLeft w:val="0"/>
      <w:marRight w:val="0"/>
      <w:marTop w:val="0"/>
      <w:marBottom w:val="0"/>
      <w:divBdr>
        <w:top w:val="none" w:sz="0" w:space="0" w:color="auto"/>
        <w:left w:val="none" w:sz="0" w:space="0" w:color="auto"/>
        <w:bottom w:val="none" w:sz="0" w:space="0" w:color="auto"/>
        <w:right w:val="none" w:sz="0" w:space="0" w:color="auto"/>
      </w:divBdr>
    </w:div>
    <w:div w:id="2071344236">
      <w:bodyDiv w:val="1"/>
      <w:marLeft w:val="0"/>
      <w:marRight w:val="0"/>
      <w:marTop w:val="0"/>
      <w:marBottom w:val="0"/>
      <w:divBdr>
        <w:top w:val="none" w:sz="0" w:space="0" w:color="auto"/>
        <w:left w:val="none" w:sz="0" w:space="0" w:color="auto"/>
        <w:bottom w:val="none" w:sz="0" w:space="0" w:color="auto"/>
        <w:right w:val="none" w:sz="0" w:space="0" w:color="auto"/>
      </w:divBdr>
    </w:div>
    <w:div w:id="208151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ninia.habchi@inrs.fr"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D7F06-7752-4AFE-82B8-93135AA52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2365</Words>
  <Characters>13483</Characters>
  <Application>Microsoft Office Word</Application>
  <DocSecurity>0</DocSecurity>
  <Lines>112</Lines>
  <Paragraphs>31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INRS</Company>
  <LinksUpToDate>false</LinksUpToDate>
  <CharactersWithSpaces>15817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Baninia HABCHI</dc:creator>
  <cp:keywords/>
  <dc:description/>
  <cp:lastModifiedBy>Kavitha B</cp:lastModifiedBy>
  <cp:revision>9</cp:revision>
  <dcterms:created xsi:type="dcterms:W3CDTF">2026-05-19T19:26:00Z</dcterms:created>
  <dcterms:modified xsi:type="dcterms:W3CDTF">2026-06-26T03:53:00Z</dcterms:modified>
</cp:coreProperties>
</file>