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6F9B" w14:textId="77777777" w:rsidR="0047019F" w:rsidRDefault="0047019F" w:rsidP="0047019F">
      <w:pPr>
        <w:rPr>
          <w:lang w:val="en-US"/>
        </w:rPr>
      </w:pPr>
    </w:p>
    <w:p w14:paraId="7AF03E15" w14:textId="77777777" w:rsidR="0047019F" w:rsidRDefault="0047019F" w:rsidP="0047019F">
      <w:pPr>
        <w:rPr>
          <w:lang w:val="en-US"/>
        </w:rPr>
      </w:pPr>
      <w:r>
        <w:rPr>
          <w:noProof/>
          <w:lang w:eastAsia="en-IN"/>
        </w:rPr>
        <w:drawing>
          <wp:inline distT="0" distB="0" distL="0" distR="0" wp14:anchorId="28229ED1" wp14:editId="5333700C">
            <wp:extent cx="4572000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AB558" w14:textId="77777777" w:rsidR="0047019F" w:rsidRDefault="0047019F" w:rsidP="0047019F">
      <w:pPr>
        <w:rPr>
          <w:lang w:val="en-US"/>
        </w:rPr>
      </w:pPr>
    </w:p>
    <w:p w14:paraId="7D5BEBC6" w14:textId="77777777" w:rsidR="0047019F" w:rsidRDefault="0047019F" w:rsidP="0047019F">
      <w:pPr>
        <w:rPr>
          <w:lang w:val="en-US"/>
        </w:rPr>
      </w:pPr>
      <w:r>
        <w:rPr>
          <w:lang w:val="en-US"/>
        </w:rPr>
        <w:t>Graph 1. Percentage of population affected (in weeks) following a dose of COVID-19 vaccination.</w:t>
      </w:r>
    </w:p>
    <w:p w14:paraId="4A71000B" w14:textId="77777777" w:rsidR="0047019F" w:rsidRDefault="0047019F" w:rsidP="0047019F">
      <w:pPr>
        <w:rPr>
          <w:lang w:val="en-US"/>
        </w:rPr>
      </w:pPr>
    </w:p>
    <w:p w14:paraId="6C1B7C3C" w14:textId="77777777" w:rsidR="0047019F" w:rsidRDefault="0047019F" w:rsidP="0047019F">
      <w:pPr>
        <w:rPr>
          <w:lang w:val="en-US"/>
        </w:rPr>
      </w:pPr>
    </w:p>
    <w:p w14:paraId="757A0C9E" w14:textId="77777777" w:rsidR="0047019F" w:rsidRDefault="0047019F" w:rsidP="0047019F">
      <w:pPr>
        <w:rPr>
          <w:lang w:val="en-US"/>
        </w:rPr>
      </w:pPr>
    </w:p>
    <w:p w14:paraId="66430F4B" w14:textId="77777777" w:rsidR="0047019F" w:rsidRDefault="0047019F" w:rsidP="0047019F">
      <w:pPr>
        <w:rPr>
          <w:lang w:val="en-US"/>
        </w:rPr>
      </w:pPr>
      <w:r>
        <w:rPr>
          <w:noProof/>
          <w:lang w:eastAsia="en-IN"/>
        </w:rPr>
        <w:drawing>
          <wp:inline distT="0" distB="0" distL="0" distR="0" wp14:anchorId="775E5812" wp14:editId="796590F6">
            <wp:extent cx="5731510" cy="23742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EA0DD" w14:textId="77777777" w:rsidR="0047019F" w:rsidRDefault="0047019F" w:rsidP="0047019F">
      <w:pPr>
        <w:rPr>
          <w:lang w:val="en-US"/>
        </w:rPr>
      </w:pPr>
    </w:p>
    <w:p w14:paraId="075E185A" w14:textId="77777777" w:rsidR="0047019F" w:rsidRDefault="0047019F" w:rsidP="0047019F">
      <w:pPr>
        <w:rPr>
          <w:lang w:val="en-US"/>
        </w:rPr>
      </w:pPr>
      <w:r>
        <w:rPr>
          <w:lang w:val="en-US"/>
        </w:rPr>
        <w:t>Graph 2. Type of occurrence of inflammatory manifestations following dose of vaccine.</w:t>
      </w:r>
    </w:p>
    <w:p w14:paraId="3FD8F4E9" w14:textId="77777777" w:rsidR="0047019F" w:rsidRDefault="0047019F" w:rsidP="0047019F">
      <w:pPr>
        <w:rPr>
          <w:lang w:val="en-US"/>
        </w:rPr>
      </w:pPr>
    </w:p>
    <w:p w14:paraId="01385BAD" w14:textId="77777777" w:rsidR="0047019F" w:rsidRDefault="0047019F" w:rsidP="0047019F">
      <w:pPr>
        <w:rPr>
          <w:lang w:val="en-US"/>
        </w:rPr>
      </w:pPr>
      <w:r>
        <w:rPr>
          <w:noProof/>
          <w:lang w:eastAsia="en-IN"/>
        </w:rPr>
        <w:lastRenderedPageBreak/>
        <w:drawing>
          <wp:inline distT="0" distB="0" distL="0" distR="0" wp14:anchorId="48773942" wp14:editId="20DC779D">
            <wp:extent cx="4572000" cy="2743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1A4D5" w14:textId="77777777" w:rsidR="0047019F" w:rsidRDefault="0047019F" w:rsidP="0047019F">
      <w:pPr>
        <w:rPr>
          <w:lang w:val="en-US"/>
        </w:rPr>
      </w:pPr>
    </w:p>
    <w:p w14:paraId="27BD66EF" w14:textId="77777777" w:rsidR="0047019F" w:rsidRPr="00A00EDE" w:rsidRDefault="0047019F" w:rsidP="0047019F">
      <w:pPr>
        <w:rPr>
          <w:lang w:val="en-US"/>
        </w:rPr>
      </w:pPr>
      <w:r>
        <w:rPr>
          <w:lang w:val="en-US"/>
        </w:rPr>
        <w:t>Graph 3. Etiological diagnosis and type of occurrence showing that cases with autoimmune uveitis primarily showed recurrence of inflammation and rarely presented with a first episode of disease.</w:t>
      </w:r>
    </w:p>
    <w:p w14:paraId="516E16CF" w14:textId="77777777" w:rsidR="001F2D6A" w:rsidRDefault="001F2D6A"/>
    <w:sectPr w:rsidR="001F2D6A" w:rsidSect="00AF10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9F"/>
    <w:rsid w:val="001F2D6A"/>
    <w:rsid w:val="002D1315"/>
    <w:rsid w:val="0047019F"/>
    <w:rsid w:val="009F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5E2A6D"/>
  <w15:chartTrackingRefBased/>
  <w15:docId w15:val="{F4CC3ADD-8888-384B-B784-3A2631CB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2022-11-03T11:33:00Z</dcterms:created>
  <dcterms:modified xsi:type="dcterms:W3CDTF">2022-11-03T11:33:00Z</dcterms:modified>
</cp:coreProperties>
</file>