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931CB" w14:textId="77777777" w:rsidR="00EA0ADD" w:rsidRPr="00EA72E7" w:rsidRDefault="00EA0ADD" w:rsidP="00EA0ADD">
      <w:pPr>
        <w:pStyle w:val="Bibliography"/>
        <w:ind w:left="0" w:firstLine="0"/>
        <w:rPr>
          <w:rFonts w:ascii="Times New Roman" w:hAnsi="Times New Roman" w:cs="Times New Roman"/>
          <w:b/>
          <w:bCs/>
        </w:rPr>
      </w:pPr>
      <w:r w:rsidRPr="00EA72E7">
        <w:rPr>
          <w:rFonts w:ascii="Times New Roman" w:hAnsi="Times New Roman" w:cs="Times New Roman"/>
          <w:b/>
          <w:bCs/>
        </w:rPr>
        <w:t>Append</w:t>
      </w:r>
      <w:r>
        <w:rPr>
          <w:rFonts w:ascii="Times New Roman" w:hAnsi="Times New Roman" w:cs="Times New Roman"/>
          <w:b/>
          <w:bCs/>
        </w:rPr>
        <w:t>ices</w:t>
      </w:r>
    </w:p>
    <w:p w14:paraId="1988009B" w14:textId="77777777" w:rsidR="00EA0ADD" w:rsidRPr="00EA72E7" w:rsidRDefault="00EA0ADD" w:rsidP="00EA0ADD">
      <w:pPr>
        <w:pStyle w:val="NoSpacing"/>
        <w:spacing w:line="480" w:lineRule="auto"/>
        <w:rPr>
          <w:rFonts w:ascii="Times New Roman" w:hAnsi="Times New Roman" w:cs="Times New Roman"/>
          <w:b/>
          <w:bCs/>
        </w:rPr>
      </w:pPr>
      <w:r w:rsidRPr="00EA72E7">
        <w:rPr>
          <w:rFonts w:ascii="Times New Roman" w:hAnsi="Times New Roman" w:cs="Times New Roman"/>
          <w:b/>
          <w:bCs/>
        </w:rPr>
        <w:t>Appendix A. Description of institutional treatment for acute retinal necrosis (ARN)</w:t>
      </w:r>
    </w:p>
    <w:p w14:paraId="118BF535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To be used under supervision of a vitreoretinal and/or uveitis subspecialist</w:t>
      </w:r>
    </w:p>
    <w:p w14:paraId="414A9CE3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EA72E7">
        <w:rPr>
          <w:rFonts w:ascii="Times New Roman" w:eastAsia="Times New Roman" w:hAnsi="Times New Roman" w:cs="Times New Roman"/>
          <w:b/>
          <w:bCs/>
        </w:rPr>
        <w:t>1. Clinical Objectives</w:t>
      </w:r>
    </w:p>
    <w:p w14:paraId="667197DD" w14:textId="77777777" w:rsidR="00EA0ADD" w:rsidRPr="00EA72E7" w:rsidRDefault="00EA0ADD" w:rsidP="00EA0ADD">
      <w:pPr>
        <w:pStyle w:val="NoSpacing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Achieve rapid halt of viral replication and retinal necrosis.</w:t>
      </w:r>
    </w:p>
    <w:p w14:paraId="2EDBEC9A" w14:textId="77777777" w:rsidR="00EA0ADD" w:rsidRPr="00EA72E7" w:rsidRDefault="00EA0ADD" w:rsidP="00EA0ADD">
      <w:pPr>
        <w:pStyle w:val="NoSpacing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Prevent fellow-eye involvement (present in up to 30% of untreated cases).</w:t>
      </w:r>
    </w:p>
    <w:p w14:paraId="46109853" w14:textId="77777777" w:rsidR="00EA0ADD" w:rsidRPr="00EA72E7" w:rsidRDefault="00EA0ADD" w:rsidP="00EA0ADD">
      <w:pPr>
        <w:pStyle w:val="NoSpacing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Minimize the risk of rhegmatogenous retinal detachment (RRD).</w:t>
      </w:r>
    </w:p>
    <w:p w14:paraId="05B093D4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EA72E7">
        <w:rPr>
          <w:rFonts w:ascii="Times New Roman" w:eastAsia="Times New Roman" w:hAnsi="Times New Roman" w:cs="Times New Roman"/>
          <w:b/>
          <w:bCs/>
        </w:rPr>
        <w:t xml:space="preserve">2. Diagnostic Criteria </w:t>
      </w:r>
    </w:p>
    <w:p w14:paraId="6223E02A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The diagnosis of ARN requires Peripheral Necrotizing Retinitis AND at least one of the following:</w:t>
      </w:r>
    </w:p>
    <w:p w14:paraId="155B9549" w14:textId="77777777" w:rsidR="00EA0ADD" w:rsidRPr="00EA72E7" w:rsidRDefault="00EA0ADD" w:rsidP="00EA0ADD">
      <w:pPr>
        <w:pStyle w:val="NoSpacing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Positive PCR for Herpes Simplex Virus (HSV-1 or HSV-2) or Varicella-Zoster Virus (VZV) from an intraocular fluid specimen (aqueous or vitreous).</w:t>
      </w:r>
    </w:p>
    <w:p w14:paraId="757AC5D1" w14:textId="77777777" w:rsidR="00EA0ADD" w:rsidRPr="00EA72E7" w:rsidRDefault="00EA0ADD" w:rsidP="00EA0ADD">
      <w:pPr>
        <w:pStyle w:val="NoSpacing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Characteristic clinical appearance, defined by:</w:t>
      </w:r>
    </w:p>
    <w:p w14:paraId="0203DAE4" w14:textId="77777777" w:rsidR="00EA0ADD" w:rsidRPr="00EA72E7" w:rsidRDefault="00EA0ADD" w:rsidP="00EA0ADD">
      <w:pPr>
        <w:pStyle w:val="NoSpacing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Circumferential or confluent retinitis.</w:t>
      </w:r>
    </w:p>
    <w:p w14:paraId="68F108F5" w14:textId="77777777" w:rsidR="00EA0ADD" w:rsidRPr="00EA72E7" w:rsidRDefault="00EA0ADD" w:rsidP="00EA0ADD">
      <w:pPr>
        <w:pStyle w:val="NoSpacing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Evidence of retinal vascular inflammation (e.g., periarteritis or occlusive vasculopathy).</w:t>
      </w:r>
    </w:p>
    <w:p w14:paraId="01F19EB0" w14:textId="77777777" w:rsidR="00EA0ADD" w:rsidRPr="00EA72E7" w:rsidRDefault="00EA0ADD" w:rsidP="00EA0ADD">
      <w:pPr>
        <w:pStyle w:val="NoSpacing"/>
        <w:numPr>
          <w:ilvl w:val="1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Greater than minimal vitritis (unless the patient is immunocompromised).</w:t>
      </w:r>
    </w:p>
    <w:p w14:paraId="2D617DD6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EA72E7">
        <w:rPr>
          <w:rFonts w:ascii="Times New Roman" w:eastAsia="Times New Roman" w:hAnsi="Times New Roman" w:cs="Times New Roman"/>
          <w:b/>
          <w:bCs/>
        </w:rPr>
        <w:t>3. Standard Investigations</w:t>
      </w:r>
    </w:p>
    <w:p w14:paraId="1025418E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Upon suspicion of ARN, the following investigations should be initiated immediately:</w:t>
      </w:r>
    </w:p>
    <w:p w14:paraId="0050A1A8" w14:textId="77777777" w:rsidR="00EA0ADD" w:rsidRPr="00EA72E7" w:rsidRDefault="00EA0ADD" w:rsidP="00EA0ADD">
      <w:pPr>
        <w:pStyle w:val="NoSpacing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Ocular Diagnostics</w:t>
      </w:r>
    </w:p>
    <w:p w14:paraId="30565EEF" w14:textId="77777777" w:rsidR="00EA0ADD" w:rsidRDefault="00EA0ADD" w:rsidP="00EA0ADD">
      <w:pPr>
        <w:pStyle w:val="NoSpacing"/>
        <w:numPr>
          <w:ilvl w:val="1"/>
          <w:numId w:val="3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Intraocular Fluid Analysis: Diagnostic AC paracentesis or vitreous tap for Viral PCR (</w:t>
      </w:r>
      <w:r>
        <w:rPr>
          <w:rFonts w:ascii="Times New Roman" w:eastAsia="Times New Roman" w:hAnsi="Times New Roman" w:cs="Times New Roman"/>
        </w:rPr>
        <w:t xml:space="preserve">such as </w:t>
      </w:r>
      <w:r w:rsidRPr="00EA72E7">
        <w:rPr>
          <w:rFonts w:ascii="Times New Roman" w:eastAsia="Times New Roman" w:hAnsi="Times New Roman" w:cs="Times New Roman"/>
        </w:rPr>
        <w:t>HSV-1, HSV-2, VZV, CMV</w:t>
      </w:r>
      <w:r>
        <w:rPr>
          <w:rFonts w:ascii="Times New Roman" w:eastAsia="Times New Roman" w:hAnsi="Times New Roman" w:cs="Times New Roman"/>
        </w:rPr>
        <w:t xml:space="preserve"> depending on volume of sample acquired</w:t>
      </w:r>
      <w:r w:rsidRPr="00EA72E7">
        <w:rPr>
          <w:rFonts w:ascii="Times New Roman" w:eastAsia="Times New Roman" w:hAnsi="Times New Roman" w:cs="Times New Roman"/>
        </w:rPr>
        <w:t xml:space="preserve">). </w:t>
      </w:r>
    </w:p>
    <w:p w14:paraId="7C84B370" w14:textId="77777777" w:rsidR="00EA0ADD" w:rsidRPr="00EA72E7" w:rsidRDefault="00EA0ADD" w:rsidP="00EA0ADD">
      <w:pPr>
        <w:pStyle w:val="NoSpacing"/>
        <w:numPr>
          <w:ilvl w:val="1"/>
          <w:numId w:val="3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  <w:i/>
          <w:iCs/>
        </w:rPr>
        <w:lastRenderedPageBreak/>
        <w:t>Note: Treatment must not be delayed for PCR results.</w:t>
      </w:r>
    </w:p>
    <w:p w14:paraId="09E4DC42" w14:textId="77777777" w:rsidR="00EA0ADD" w:rsidRDefault="00EA0ADD" w:rsidP="00EA0ADD">
      <w:pPr>
        <w:pStyle w:val="NoSpacing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Imaging:</w:t>
      </w:r>
    </w:p>
    <w:p w14:paraId="2BE27A2A" w14:textId="77777777" w:rsidR="00EA0ADD" w:rsidRPr="00EA72E7" w:rsidRDefault="00EA0ADD" w:rsidP="00EA0ADD">
      <w:pPr>
        <w:pStyle w:val="NoSpacing"/>
        <w:numPr>
          <w:ilvl w:val="1"/>
          <w:numId w:val="3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 xml:space="preserve">Ultra-widefield fundus </w:t>
      </w:r>
      <w:r>
        <w:rPr>
          <w:rFonts w:ascii="Times New Roman" w:eastAsia="Times New Roman" w:hAnsi="Times New Roman" w:cs="Times New Roman"/>
        </w:rPr>
        <w:t>imaging</w:t>
      </w:r>
      <w:r w:rsidRPr="00EA72E7">
        <w:rPr>
          <w:rFonts w:ascii="Times New Roman" w:eastAsia="Times New Roman" w:hAnsi="Times New Roman" w:cs="Times New Roman"/>
        </w:rPr>
        <w:t xml:space="preserve"> (e.g., Optos) for documentation and monitoring of "leading edge" progression.</w:t>
      </w:r>
    </w:p>
    <w:p w14:paraId="2A755ADA" w14:textId="77777777" w:rsidR="00EA0ADD" w:rsidRPr="00EA72E7" w:rsidRDefault="00EA0ADD" w:rsidP="00EA0ADD">
      <w:pPr>
        <w:pStyle w:val="NoSpacing"/>
        <w:numPr>
          <w:ilvl w:val="1"/>
          <w:numId w:val="3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Optical Coherence Tomography (OCT) of the macula and optic nerve to assess for edema or involvement.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Note: will depend on media clarity</w:t>
      </w:r>
    </w:p>
    <w:p w14:paraId="732B1C82" w14:textId="77777777" w:rsidR="00EA0ADD" w:rsidRDefault="00EA0ADD" w:rsidP="00EA0ADD">
      <w:pPr>
        <w:pStyle w:val="NoSpacing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 tests to consider:</w:t>
      </w:r>
    </w:p>
    <w:p w14:paraId="57F193B9" w14:textId="77777777" w:rsidR="00EA0ADD" w:rsidRPr="00EA72E7" w:rsidRDefault="00EA0ADD" w:rsidP="00EA0ADD">
      <w:pPr>
        <w:pStyle w:val="NoSpacing"/>
        <w:numPr>
          <w:ilvl w:val="1"/>
          <w:numId w:val="3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Fluorescein Angiography (FA) if occlusive vasculitis or ischemia requires quantification.</w:t>
      </w:r>
    </w:p>
    <w:p w14:paraId="69BCFAA5" w14:textId="77777777" w:rsidR="00EA0ADD" w:rsidRPr="00EA72E7" w:rsidRDefault="00EA0ADD" w:rsidP="00EA0ADD">
      <w:pPr>
        <w:pStyle w:val="NoSpacing"/>
        <w:numPr>
          <w:ilvl w:val="1"/>
          <w:numId w:val="3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 xml:space="preserve">Systemic </w:t>
      </w:r>
      <w:r>
        <w:rPr>
          <w:rFonts w:ascii="Times New Roman" w:eastAsia="Times New Roman" w:hAnsi="Times New Roman" w:cs="Times New Roman"/>
        </w:rPr>
        <w:t>w</w:t>
      </w:r>
      <w:r w:rsidRPr="00EA72E7">
        <w:rPr>
          <w:rFonts w:ascii="Times New Roman" w:eastAsia="Times New Roman" w:hAnsi="Times New Roman" w:cs="Times New Roman"/>
        </w:rPr>
        <w:t xml:space="preserve">orkup </w:t>
      </w:r>
      <w:r>
        <w:rPr>
          <w:rFonts w:ascii="Times New Roman" w:eastAsia="Times New Roman" w:hAnsi="Times New Roman" w:cs="Times New Roman"/>
        </w:rPr>
        <w:t>t</w:t>
      </w:r>
      <w:r w:rsidRPr="00EA72E7">
        <w:rPr>
          <w:rFonts w:ascii="Times New Roman" w:eastAsia="Times New Roman" w:hAnsi="Times New Roman" w:cs="Times New Roman"/>
        </w:rPr>
        <w:t xml:space="preserve">o rule out differentials and assess </w:t>
      </w:r>
      <w:r>
        <w:rPr>
          <w:rFonts w:ascii="Times New Roman" w:eastAsia="Times New Roman" w:hAnsi="Times New Roman" w:cs="Times New Roman"/>
        </w:rPr>
        <w:t>risk of treatment side effects</w:t>
      </w:r>
    </w:p>
    <w:p w14:paraId="11E86F00" w14:textId="77777777" w:rsidR="00EA0ADD" w:rsidRPr="00EA72E7" w:rsidRDefault="00EA0ADD" w:rsidP="00EA0ADD">
      <w:pPr>
        <w:pStyle w:val="NoSpacing"/>
        <w:numPr>
          <w:ilvl w:val="2"/>
          <w:numId w:val="3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Baseline Labs: CBC, Electrolytes, Urea, and Creatinine (essential for antiviral dosing).</w:t>
      </w:r>
    </w:p>
    <w:p w14:paraId="1CF70B6C" w14:textId="77777777" w:rsidR="00EA0ADD" w:rsidRPr="00EA72E7" w:rsidRDefault="00EA0ADD" w:rsidP="00EA0ADD">
      <w:pPr>
        <w:pStyle w:val="NoSpacing"/>
        <w:numPr>
          <w:ilvl w:val="2"/>
          <w:numId w:val="3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Rule-out Panel: HIV (p24 antigen/antibody), Syphilis (RPR/TPPA), QuantiFERON-Gold (TB), and Toxoplasma serology (IgG/IgM).</w:t>
      </w:r>
    </w:p>
    <w:p w14:paraId="4C7DFF75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EA72E7">
        <w:rPr>
          <w:rFonts w:ascii="Times New Roman" w:eastAsia="Times New Roman" w:hAnsi="Times New Roman" w:cs="Times New Roman"/>
          <w:b/>
          <w:bCs/>
        </w:rPr>
        <w:t>4. Treatment Protocol</w:t>
      </w:r>
    </w:p>
    <w:p w14:paraId="18BE0173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Phase I: Induction (Days 1 to 10–14)</w:t>
      </w:r>
    </w:p>
    <w:p w14:paraId="4C4A595D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 xml:space="preserve">All patients should receive combination </w:t>
      </w:r>
      <w:r>
        <w:rPr>
          <w:rFonts w:ascii="Times New Roman" w:eastAsia="Times New Roman" w:hAnsi="Times New Roman" w:cs="Times New Roman"/>
        </w:rPr>
        <w:t xml:space="preserve">antiviral </w:t>
      </w:r>
      <w:r w:rsidRPr="00EA72E7">
        <w:rPr>
          <w:rFonts w:ascii="Times New Roman" w:eastAsia="Times New Roman" w:hAnsi="Times New Roman" w:cs="Times New Roman"/>
        </w:rPr>
        <w:t>therapy (Systemic + Intravitreal) at the time of diagnosis.</w:t>
      </w:r>
    </w:p>
    <w:p w14:paraId="5B5334A7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A. Intravitreal Therapy (Local Control)</w:t>
      </w:r>
    </w:p>
    <w:p w14:paraId="2217CBC7" w14:textId="77777777" w:rsidR="00EA0ADD" w:rsidRPr="00EA72E7" w:rsidRDefault="00EA0ADD" w:rsidP="00EA0ADD">
      <w:pPr>
        <w:pStyle w:val="NoSpacing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Agents: Foscarnet (2.4 mg/0.1 mL) or Ganciclovir (2.0 mg/0.1 mL).</w:t>
      </w:r>
    </w:p>
    <w:p w14:paraId="05F1545C" w14:textId="77777777" w:rsidR="00EA0ADD" w:rsidRPr="00EA72E7" w:rsidRDefault="00EA0ADD" w:rsidP="00EA0ADD">
      <w:pPr>
        <w:pStyle w:val="NoSpacing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Frequency: Twice weekly until retinitis is consolidated/inactive.</w:t>
      </w:r>
    </w:p>
    <w:p w14:paraId="163DF057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B. Systemic Therapy (Systemic Control &amp; Fellow Eye Protection)</w:t>
      </w:r>
    </w:p>
    <w:p w14:paraId="613A05CE" w14:textId="77777777" w:rsidR="00EA0ADD" w:rsidRPr="00EA72E7" w:rsidRDefault="00EA0ADD" w:rsidP="00EA0ADD">
      <w:pPr>
        <w:pStyle w:val="NoSpacing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lastRenderedPageBreak/>
        <w:t>Option 1 (Inpatient/Severe): IV Acyclovir 10 mg/kg to 15 mg/kg every 8 hours for 7 to 14 days.</w:t>
      </w:r>
    </w:p>
    <w:p w14:paraId="09FDA5A0" w14:textId="77777777" w:rsidR="00EA0ADD" w:rsidRDefault="00EA0ADD" w:rsidP="00EA0ADD">
      <w:pPr>
        <w:pStyle w:val="NoSpacing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Option 2 (Outpatient/Moderate): Oral Valacyclovir 2 g three times daily (6 g total daily) for 10 to 14 days.</w:t>
      </w:r>
    </w:p>
    <w:p w14:paraId="62C7B347" w14:textId="77777777" w:rsidR="00EA0ADD" w:rsidRPr="00EA72E7" w:rsidRDefault="00EA0ADD" w:rsidP="00EA0ADD">
      <w:pPr>
        <w:pStyle w:val="NoSpacing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  <w:i/>
          <w:iCs/>
        </w:rPr>
        <w:t>Note:</w:t>
      </w:r>
      <w:r w:rsidRPr="00EA72E7">
        <w:rPr>
          <w:rFonts w:ascii="Times New Roman" w:eastAsia="Times New Roman" w:hAnsi="Times New Roman" w:cs="Times New Roman"/>
        </w:rPr>
        <w:t xml:space="preserve"> Adjust all dosages based on renal clearance (CrCl).</w:t>
      </w:r>
    </w:p>
    <w:p w14:paraId="2235A7ED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Phase II: Maintenance (Weeks 2 to 12+)</w:t>
      </w:r>
    </w:p>
    <w:p w14:paraId="7F77EF9B" w14:textId="77777777" w:rsidR="00EA0ADD" w:rsidRPr="00EA72E7" w:rsidRDefault="00EA0ADD" w:rsidP="00EA0ADD">
      <w:pPr>
        <w:pStyle w:val="NoSpacing"/>
        <w:numPr>
          <w:ilvl w:val="0"/>
          <w:numId w:val="6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Transition to</w:t>
      </w:r>
      <w:r>
        <w:rPr>
          <w:rFonts w:ascii="Times New Roman" w:eastAsia="Times New Roman" w:hAnsi="Times New Roman" w:cs="Times New Roman"/>
        </w:rPr>
        <w:t xml:space="preserve"> maintenance</w:t>
      </w:r>
      <w:r w:rsidRPr="00EA72E7">
        <w:rPr>
          <w:rFonts w:ascii="Times New Roman" w:eastAsia="Times New Roman" w:hAnsi="Times New Roman" w:cs="Times New Roman"/>
        </w:rPr>
        <w:t xml:space="preserve"> oral therapy once retinitis shows signs of regression (blurring of margins, thinning of necrotic areas).</w:t>
      </w:r>
    </w:p>
    <w:p w14:paraId="37301C93" w14:textId="77777777" w:rsidR="00EA0ADD" w:rsidRPr="00EA72E7" w:rsidRDefault="00EA0ADD" w:rsidP="00EA0ADD">
      <w:pPr>
        <w:pStyle w:val="NoSpacing"/>
        <w:numPr>
          <w:ilvl w:val="0"/>
          <w:numId w:val="6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Standard Regimen: Oral Valacyclovir 1 g three times daily for 6 weeks</w:t>
      </w:r>
      <w:r>
        <w:rPr>
          <w:rFonts w:ascii="Times New Roman" w:eastAsia="Times New Roman" w:hAnsi="Times New Roman" w:cs="Times New Roman"/>
        </w:rPr>
        <w:t xml:space="preserve"> but can alter based on treatment response</w:t>
      </w:r>
    </w:p>
    <w:p w14:paraId="4BC4F244" w14:textId="77777777" w:rsidR="00EA0ADD" w:rsidRPr="00EA72E7" w:rsidRDefault="00EA0ADD" w:rsidP="00EA0ADD">
      <w:pPr>
        <w:pStyle w:val="NoSpacing"/>
        <w:numPr>
          <w:ilvl w:val="0"/>
          <w:numId w:val="6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 xml:space="preserve">Taper/Long-term: Consider reduction to 1 g daily </w:t>
      </w:r>
      <w:r>
        <w:rPr>
          <w:rFonts w:ascii="Times New Roman" w:eastAsia="Times New Roman" w:hAnsi="Times New Roman" w:cs="Times New Roman"/>
        </w:rPr>
        <w:t>indefinitely</w:t>
      </w:r>
      <w:r w:rsidRPr="00EA72E7">
        <w:rPr>
          <w:rFonts w:ascii="Times New Roman" w:eastAsia="Times New Roman" w:hAnsi="Times New Roman" w:cs="Times New Roman"/>
        </w:rPr>
        <w:t xml:space="preserve"> depending on clinical response and immune status.</w:t>
      </w:r>
    </w:p>
    <w:p w14:paraId="5D8F03C0" w14:textId="77777777" w:rsidR="00EA0ADD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EA72E7">
        <w:rPr>
          <w:rFonts w:ascii="Times New Roman" w:eastAsia="Times New Roman" w:hAnsi="Times New Roman" w:cs="Times New Roman"/>
          <w:b/>
          <w:bCs/>
        </w:rPr>
        <w:t>5. Adjunctive Management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28FCFEA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  <w:i/>
          <w:iCs/>
          <w:u w:val="single"/>
        </w:rPr>
      </w:pPr>
      <w:r w:rsidRPr="00EA72E7">
        <w:rPr>
          <w:rFonts w:ascii="Times New Roman" w:eastAsia="Times New Roman" w:hAnsi="Times New Roman" w:cs="Times New Roman"/>
          <w:i/>
          <w:iCs/>
          <w:u w:val="single"/>
        </w:rPr>
        <w:t>Note: use as needed</w:t>
      </w:r>
    </w:p>
    <w:p w14:paraId="722824D0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Corticosteroids</w:t>
      </w:r>
    </w:p>
    <w:p w14:paraId="0919337B" w14:textId="77777777" w:rsidR="00EA0ADD" w:rsidRPr="00EA72E7" w:rsidRDefault="00EA0ADD" w:rsidP="00EA0ADD">
      <w:pPr>
        <w:pStyle w:val="NoSpacing"/>
        <w:numPr>
          <w:ilvl w:val="0"/>
          <w:numId w:val="7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Systemic: Oral Prednisone (0.5 mg/kg to 1 mg/kg daily).</w:t>
      </w:r>
    </w:p>
    <w:p w14:paraId="26D8A929" w14:textId="77777777" w:rsidR="00EA0ADD" w:rsidRPr="00EA72E7" w:rsidRDefault="00EA0ADD" w:rsidP="00EA0ADD">
      <w:pPr>
        <w:pStyle w:val="NoSpacing"/>
        <w:numPr>
          <w:ilvl w:val="0"/>
          <w:numId w:val="7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Timing: Initiate 24 to 48 hours after the start of antiviral therapy.</w:t>
      </w:r>
    </w:p>
    <w:p w14:paraId="60DE5B91" w14:textId="77777777" w:rsidR="00EA0ADD" w:rsidRPr="00EA72E7" w:rsidRDefault="00EA0ADD" w:rsidP="00EA0ADD">
      <w:pPr>
        <w:pStyle w:val="NoSpacing"/>
        <w:numPr>
          <w:ilvl w:val="0"/>
          <w:numId w:val="7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Purpose: To manage vitritis and reduce the risk of secondary tractional complications.</w:t>
      </w:r>
    </w:p>
    <w:p w14:paraId="4D6BA311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Surgical Intervention</w:t>
      </w:r>
    </w:p>
    <w:p w14:paraId="355B9167" w14:textId="77777777" w:rsidR="00EA0ADD" w:rsidRPr="00EA72E7" w:rsidRDefault="00EA0ADD" w:rsidP="00EA0ADD">
      <w:pPr>
        <w:pStyle w:val="NoSpacing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Prophylactic Laser: Consider barrier laser photocoagulation posterior to the areas of necrosis once media clears</w:t>
      </w:r>
      <w:r>
        <w:rPr>
          <w:rFonts w:ascii="Times New Roman" w:eastAsia="Times New Roman" w:hAnsi="Times New Roman" w:cs="Times New Roman"/>
        </w:rPr>
        <w:t>.</w:t>
      </w:r>
    </w:p>
    <w:p w14:paraId="14E5E82C" w14:textId="77777777" w:rsidR="00EA0ADD" w:rsidRPr="00EA72E7" w:rsidRDefault="00EA0ADD" w:rsidP="00EA0ADD">
      <w:pPr>
        <w:pStyle w:val="NoSpacing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 xml:space="preserve">Pars Plana Vitrectomy (PPV): Indicated for </w:t>
      </w:r>
      <w:r>
        <w:rPr>
          <w:rFonts w:ascii="Times New Roman" w:eastAsia="Times New Roman" w:hAnsi="Times New Roman" w:cs="Times New Roman"/>
        </w:rPr>
        <w:t>retinal detachment</w:t>
      </w:r>
      <w:r w:rsidRPr="00EA72E7">
        <w:rPr>
          <w:rFonts w:ascii="Times New Roman" w:eastAsia="Times New Roman" w:hAnsi="Times New Roman" w:cs="Times New Roman"/>
        </w:rPr>
        <w:t>, dense vitritis obscuring the view, or in selected cases of rapidly progressive necrosis (early PPV).</w:t>
      </w:r>
    </w:p>
    <w:p w14:paraId="5308ABF6" w14:textId="77777777" w:rsidR="00EA0ADD" w:rsidRPr="00EA72E7" w:rsidRDefault="00EA0ADD" w:rsidP="00EA0ADD">
      <w:pPr>
        <w:pStyle w:val="NoSpacing"/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EA72E7">
        <w:rPr>
          <w:rFonts w:ascii="Times New Roman" w:eastAsia="Times New Roman" w:hAnsi="Times New Roman" w:cs="Times New Roman"/>
          <w:b/>
          <w:bCs/>
        </w:rPr>
        <w:lastRenderedPageBreak/>
        <w:t>6. Monitoring Schedule</w:t>
      </w:r>
    </w:p>
    <w:p w14:paraId="0EB9DD41" w14:textId="77777777" w:rsidR="00EA0ADD" w:rsidRPr="00EA72E7" w:rsidRDefault="00EA0ADD" w:rsidP="00EA0ADD">
      <w:pPr>
        <w:pStyle w:val="NoSpacing"/>
        <w:numPr>
          <w:ilvl w:val="0"/>
          <w:numId w:val="9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 xml:space="preserve">Induction: Clinical exam every 2 to 3 days (coinciding with </w:t>
      </w:r>
      <w:r>
        <w:rPr>
          <w:rFonts w:ascii="Times New Roman" w:eastAsia="Times New Roman" w:hAnsi="Times New Roman" w:cs="Times New Roman"/>
        </w:rPr>
        <w:t>intravitreal</w:t>
      </w:r>
      <w:r w:rsidRPr="00EA72E7">
        <w:rPr>
          <w:rFonts w:ascii="Times New Roman" w:eastAsia="Times New Roman" w:hAnsi="Times New Roman" w:cs="Times New Roman"/>
        </w:rPr>
        <w:t xml:space="preserve"> injections).</w:t>
      </w:r>
    </w:p>
    <w:p w14:paraId="0B69B4C6" w14:textId="77777777" w:rsidR="00EA0ADD" w:rsidRPr="00EA72E7" w:rsidRDefault="00EA0ADD" w:rsidP="00EA0ADD">
      <w:pPr>
        <w:pStyle w:val="NoSpacing"/>
        <w:numPr>
          <w:ilvl w:val="0"/>
          <w:numId w:val="9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Maintenance: Weekly for 1 month, then every 2 to 4 weeks until the 3-month mark.</w:t>
      </w:r>
    </w:p>
    <w:p w14:paraId="7148BF35" w14:textId="77777777" w:rsidR="00EA0ADD" w:rsidRPr="00EA72E7" w:rsidRDefault="00EA0ADD" w:rsidP="00EA0ADD">
      <w:pPr>
        <w:pStyle w:val="NoSpacing"/>
        <w:numPr>
          <w:ilvl w:val="0"/>
          <w:numId w:val="9"/>
        </w:numPr>
        <w:spacing w:line="480" w:lineRule="auto"/>
        <w:rPr>
          <w:rFonts w:ascii="Times New Roman" w:eastAsia="Times New Roman" w:hAnsi="Times New Roman" w:cs="Times New Roman"/>
        </w:rPr>
      </w:pPr>
      <w:r w:rsidRPr="00EA72E7">
        <w:rPr>
          <w:rFonts w:ascii="Times New Roman" w:eastAsia="Times New Roman" w:hAnsi="Times New Roman" w:cs="Times New Roman"/>
        </w:rPr>
        <w:t>Dilation: Mandatory 360-degree depressed exam at every visit to monitor for retinal breaks at the junction of necrotic and healthy retina.</w:t>
      </w:r>
    </w:p>
    <w:p w14:paraId="0EDC45B3" w14:textId="77777777" w:rsidR="00EA0ADD" w:rsidRPr="00EA72E7" w:rsidRDefault="00EA0ADD" w:rsidP="00EA0ADD">
      <w:pPr>
        <w:rPr>
          <w:rFonts w:ascii="Times New Roman" w:hAnsi="Times New Roman" w:cs="Times New Roman"/>
        </w:rPr>
      </w:pPr>
      <w:r w:rsidRPr="00EA72E7">
        <w:rPr>
          <w:rFonts w:ascii="Times New Roman" w:hAnsi="Times New Roman" w:cs="Times New Roman"/>
        </w:rPr>
        <w:br w:type="page"/>
      </w:r>
    </w:p>
    <w:p w14:paraId="336A97CE" w14:textId="77777777" w:rsidR="00EA0ADD" w:rsidRDefault="00EA0ADD" w:rsidP="00EA0AD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Appendix B. Qualitative description of fundus exam for patients presenting with acute retinal necrosis </w:t>
      </w:r>
    </w:p>
    <w:p w14:paraId="1B4E8105" w14:textId="77777777" w:rsidR="00EA0ADD" w:rsidRDefault="00EA0ADD" w:rsidP="00EA0ADD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6"/>
        <w:gridCol w:w="6235"/>
      </w:tblGrid>
      <w:tr w:rsidR="00EA0ADD" w:rsidRPr="00232E79" w14:paraId="6072437D" w14:textId="77777777" w:rsidTr="00DC56D3">
        <w:tc>
          <w:tcPr>
            <w:tcW w:w="3116" w:type="dxa"/>
          </w:tcPr>
          <w:p w14:paraId="2DB865B9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 xml:space="preserve">Patient number  </w:t>
            </w:r>
          </w:p>
        </w:tc>
        <w:tc>
          <w:tcPr>
            <w:tcW w:w="6235" w:type="dxa"/>
          </w:tcPr>
          <w:p w14:paraId="162339EF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Description</w:t>
            </w:r>
          </w:p>
        </w:tc>
      </w:tr>
      <w:tr w:rsidR="00EA0ADD" w14:paraId="0C2E1DAF" w14:textId="77777777" w:rsidTr="00DC56D3">
        <w:tc>
          <w:tcPr>
            <w:tcW w:w="3116" w:type="dxa"/>
          </w:tcPr>
          <w:p w14:paraId="1A93FF0F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1</w:t>
            </w:r>
          </w:p>
        </w:tc>
        <w:tc>
          <w:tcPr>
            <w:tcW w:w="6235" w:type="dxa"/>
            <w:vAlign w:val="bottom"/>
          </w:tcPr>
          <w:p w14:paraId="3AACA476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>Multiple foci of peripheral retinal whitening in the inferior 180 degrees</w:t>
            </w:r>
          </w:p>
        </w:tc>
      </w:tr>
      <w:tr w:rsidR="00EA0ADD" w14:paraId="699045C5" w14:textId="77777777" w:rsidTr="00DC56D3">
        <w:tc>
          <w:tcPr>
            <w:tcW w:w="3116" w:type="dxa"/>
          </w:tcPr>
          <w:p w14:paraId="60357BBE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2</w:t>
            </w:r>
          </w:p>
        </w:tc>
        <w:tc>
          <w:tcPr>
            <w:tcW w:w="6235" w:type="dxa"/>
            <w:vAlign w:val="bottom"/>
          </w:tcPr>
          <w:p w14:paraId="7ED91890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>Superior and temporal retinal whitening</w:t>
            </w:r>
          </w:p>
        </w:tc>
      </w:tr>
      <w:tr w:rsidR="00EA0ADD" w14:paraId="280411D2" w14:textId="77777777" w:rsidTr="00DC56D3">
        <w:tc>
          <w:tcPr>
            <w:tcW w:w="3116" w:type="dxa"/>
          </w:tcPr>
          <w:p w14:paraId="5ED18156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3</w:t>
            </w:r>
          </w:p>
        </w:tc>
        <w:tc>
          <w:tcPr>
            <w:tcW w:w="6235" w:type="dxa"/>
            <w:vAlign w:val="bottom"/>
          </w:tcPr>
          <w:p w14:paraId="265BBA3A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>Inferotemporal retinal whitening, serous elevation inferiorly and superiorly</w:t>
            </w:r>
          </w:p>
        </w:tc>
      </w:tr>
      <w:tr w:rsidR="00EA0ADD" w14:paraId="2CC47625" w14:textId="77777777" w:rsidTr="00DC56D3">
        <w:tc>
          <w:tcPr>
            <w:tcW w:w="3116" w:type="dxa"/>
          </w:tcPr>
          <w:p w14:paraId="3F2C7B75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4 (eye 1)</w:t>
            </w:r>
          </w:p>
        </w:tc>
        <w:tc>
          <w:tcPr>
            <w:tcW w:w="6235" w:type="dxa"/>
            <w:vAlign w:val="bottom"/>
          </w:tcPr>
          <w:p w14:paraId="28890D00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proofErr w:type="gramStart"/>
            <w:r w:rsidRPr="00EA72E7">
              <w:rPr>
                <w:rFonts w:ascii="Times New Roman" w:hAnsi="Times New Roman" w:cs="Times New Roman"/>
                <w:color w:val="000000"/>
              </w:rPr>
              <w:t>360 degree</w:t>
            </w:r>
            <w:proofErr w:type="gramEnd"/>
            <w:r w:rsidRPr="00EA72E7">
              <w:rPr>
                <w:rFonts w:ascii="Times New Roman" w:hAnsi="Times New Roman" w:cs="Times New Roman"/>
                <w:color w:val="000000"/>
              </w:rPr>
              <w:t xml:space="preserve"> large patches of retinal whitening</w:t>
            </w:r>
          </w:p>
        </w:tc>
      </w:tr>
      <w:tr w:rsidR="00EA0ADD" w14:paraId="74C51423" w14:textId="77777777" w:rsidTr="00DC56D3">
        <w:tc>
          <w:tcPr>
            <w:tcW w:w="3116" w:type="dxa"/>
          </w:tcPr>
          <w:p w14:paraId="07F52550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4 (eye 2)</w:t>
            </w:r>
          </w:p>
        </w:tc>
        <w:tc>
          <w:tcPr>
            <w:tcW w:w="6235" w:type="dxa"/>
            <w:vAlign w:val="bottom"/>
          </w:tcPr>
          <w:p w14:paraId="62A5268F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 xml:space="preserve">Superotemporal patch of </w:t>
            </w:r>
            <w:r w:rsidRPr="004D78F5">
              <w:rPr>
                <w:rFonts w:ascii="Times New Roman" w:hAnsi="Times New Roman" w:cs="Times New Roman"/>
                <w:color w:val="000000"/>
              </w:rPr>
              <w:t>hemorrhage</w:t>
            </w:r>
          </w:p>
        </w:tc>
      </w:tr>
      <w:tr w:rsidR="00EA0ADD" w14:paraId="3BFB9416" w14:textId="77777777" w:rsidTr="00DC56D3">
        <w:tc>
          <w:tcPr>
            <w:tcW w:w="3116" w:type="dxa"/>
          </w:tcPr>
          <w:p w14:paraId="47A27AE6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5</w:t>
            </w:r>
          </w:p>
        </w:tc>
        <w:tc>
          <w:tcPr>
            <w:tcW w:w="6235" w:type="dxa"/>
            <w:vAlign w:val="bottom"/>
          </w:tcPr>
          <w:p w14:paraId="3F51B0E2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>Inferonasal peripheral retinal whitening</w:t>
            </w:r>
          </w:p>
        </w:tc>
      </w:tr>
      <w:tr w:rsidR="00EA0ADD" w14:paraId="6AEFC592" w14:textId="77777777" w:rsidTr="00DC56D3">
        <w:tc>
          <w:tcPr>
            <w:tcW w:w="3116" w:type="dxa"/>
          </w:tcPr>
          <w:p w14:paraId="3D6CDC7F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6</w:t>
            </w:r>
          </w:p>
        </w:tc>
        <w:tc>
          <w:tcPr>
            <w:tcW w:w="6235" w:type="dxa"/>
            <w:vAlign w:val="bottom"/>
          </w:tcPr>
          <w:p w14:paraId="1453B913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360 degree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patchy </w:t>
            </w:r>
            <w:r w:rsidRPr="00EA72E7">
              <w:rPr>
                <w:rFonts w:ascii="Times New Roman" w:hAnsi="Times New Roman" w:cs="Times New Roman"/>
                <w:color w:val="000000"/>
              </w:rPr>
              <w:t>eripheral retinal whitening</w:t>
            </w:r>
          </w:p>
        </w:tc>
      </w:tr>
      <w:tr w:rsidR="00EA0ADD" w14:paraId="639A1597" w14:textId="77777777" w:rsidTr="00DC56D3">
        <w:tc>
          <w:tcPr>
            <w:tcW w:w="3116" w:type="dxa"/>
          </w:tcPr>
          <w:p w14:paraId="0B7B70AC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7 (eye 1)</w:t>
            </w:r>
          </w:p>
        </w:tc>
        <w:tc>
          <w:tcPr>
            <w:tcW w:w="6235" w:type="dxa"/>
            <w:vAlign w:val="bottom"/>
          </w:tcPr>
          <w:p w14:paraId="199E2910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>Vascular sheathing, peripheral vessel sclerosis, retinal hemorrhages</w:t>
            </w:r>
          </w:p>
        </w:tc>
      </w:tr>
      <w:tr w:rsidR="00EA0ADD" w14:paraId="278C721C" w14:textId="77777777" w:rsidTr="00DC56D3">
        <w:tc>
          <w:tcPr>
            <w:tcW w:w="3116" w:type="dxa"/>
          </w:tcPr>
          <w:p w14:paraId="293B2656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7 (eye 2)</w:t>
            </w:r>
          </w:p>
        </w:tc>
        <w:tc>
          <w:tcPr>
            <w:tcW w:w="6235" w:type="dxa"/>
            <w:vAlign w:val="bottom"/>
          </w:tcPr>
          <w:p w14:paraId="5D3A7AF8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>Vascular sheathing, peripheral vessel sclerosis, retinal hemorrhages</w:t>
            </w:r>
          </w:p>
        </w:tc>
      </w:tr>
      <w:tr w:rsidR="00EA0ADD" w14:paraId="1F206D83" w14:textId="77777777" w:rsidTr="00DC56D3">
        <w:tc>
          <w:tcPr>
            <w:tcW w:w="3116" w:type="dxa"/>
          </w:tcPr>
          <w:p w14:paraId="520252DE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8</w:t>
            </w:r>
          </w:p>
        </w:tc>
        <w:tc>
          <w:tcPr>
            <w:tcW w:w="6235" w:type="dxa"/>
            <w:vAlign w:val="bottom"/>
          </w:tcPr>
          <w:p w14:paraId="3E31FF6A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proofErr w:type="gramStart"/>
            <w:r w:rsidRPr="00EA72E7">
              <w:rPr>
                <w:rFonts w:ascii="Times New Roman" w:hAnsi="Times New Roman" w:cs="Times New Roman"/>
                <w:color w:val="000000"/>
              </w:rPr>
              <w:t>360 degree</w:t>
            </w:r>
            <w:proofErr w:type="gramEnd"/>
            <w:r w:rsidRPr="00EA72E7">
              <w:rPr>
                <w:rFonts w:ascii="Times New Roman" w:hAnsi="Times New Roman" w:cs="Times New Roman"/>
                <w:color w:val="000000"/>
              </w:rPr>
              <w:t xml:space="preserve"> patchy peripheral retinal whitening</w:t>
            </w:r>
          </w:p>
        </w:tc>
      </w:tr>
      <w:tr w:rsidR="00EA0ADD" w14:paraId="6DFED6A9" w14:textId="77777777" w:rsidTr="00DC56D3">
        <w:tc>
          <w:tcPr>
            <w:tcW w:w="3116" w:type="dxa"/>
          </w:tcPr>
          <w:p w14:paraId="3A15F290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9</w:t>
            </w:r>
          </w:p>
        </w:tc>
        <w:tc>
          <w:tcPr>
            <w:tcW w:w="6235" w:type="dxa"/>
            <w:vAlign w:val="bottom"/>
          </w:tcPr>
          <w:p w14:paraId="77074C16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 xml:space="preserve">Vascular sheathing, </w:t>
            </w:r>
            <w:proofErr w:type="gramStart"/>
            <w:r w:rsidRPr="00EA72E7">
              <w:rPr>
                <w:rFonts w:ascii="Times New Roman" w:hAnsi="Times New Roman" w:cs="Times New Roman"/>
                <w:color w:val="000000"/>
              </w:rPr>
              <w:t>360 degree</w:t>
            </w:r>
            <w:proofErr w:type="gramEnd"/>
            <w:r w:rsidRPr="00EA72E7">
              <w:rPr>
                <w:rFonts w:ascii="Times New Roman" w:hAnsi="Times New Roman" w:cs="Times New Roman"/>
                <w:color w:val="000000"/>
              </w:rPr>
              <w:t xml:space="preserve"> retinal whitening</w:t>
            </w:r>
          </w:p>
        </w:tc>
      </w:tr>
      <w:tr w:rsidR="00EA0ADD" w14:paraId="454CCEE4" w14:textId="77777777" w:rsidTr="00DC56D3">
        <w:tc>
          <w:tcPr>
            <w:tcW w:w="3116" w:type="dxa"/>
          </w:tcPr>
          <w:p w14:paraId="647DF62C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10</w:t>
            </w:r>
          </w:p>
        </w:tc>
        <w:tc>
          <w:tcPr>
            <w:tcW w:w="6235" w:type="dxa"/>
            <w:vAlign w:val="bottom"/>
          </w:tcPr>
          <w:p w14:paraId="4F59DBA9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>Multiple foci of peripheral retinal whitening 360 degrees</w:t>
            </w:r>
          </w:p>
        </w:tc>
      </w:tr>
      <w:tr w:rsidR="00EA0ADD" w14:paraId="4E69CB43" w14:textId="77777777" w:rsidTr="00DC56D3">
        <w:tc>
          <w:tcPr>
            <w:tcW w:w="3116" w:type="dxa"/>
          </w:tcPr>
          <w:p w14:paraId="2EA9DB45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11</w:t>
            </w:r>
          </w:p>
        </w:tc>
        <w:tc>
          <w:tcPr>
            <w:tcW w:w="6235" w:type="dxa"/>
            <w:vAlign w:val="bottom"/>
          </w:tcPr>
          <w:p w14:paraId="454DA2C2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>Multiple foci of peripheral retinal whitening 360 degrees, temporal retinal detachment</w:t>
            </w:r>
          </w:p>
        </w:tc>
      </w:tr>
      <w:tr w:rsidR="00EA0ADD" w14:paraId="1B9D1091" w14:textId="77777777" w:rsidTr="00DC56D3">
        <w:tc>
          <w:tcPr>
            <w:tcW w:w="3116" w:type="dxa"/>
          </w:tcPr>
          <w:p w14:paraId="4BA79A90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12</w:t>
            </w:r>
          </w:p>
        </w:tc>
        <w:tc>
          <w:tcPr>
            <w:tcW w:w="6235" w:type="dxa"/>
            <w:vAlign w:val="bottom"/>
          </w:tcPr>
          <w:p w14:paraId="77E15C41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>Inferotemporal peripheral retinal whitening</w:t>
            </w:r>
          </w:p>
        </w:tc>
      </w:tr>
      <w:tr w:rsidR="00EA0ADD" w14:paraId="71449447" w14:textId="77777777" w:rsidTr="00DC56D3">
        <w:tc>
          <w:tcPr>
            <w:tcW w:w="3116" w:type="dxa"/>
          </w:tcPr>
          <w:p w14:paraId="73915454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13</w:t>
            </w:r>
          </w:p>
        </w:tc>
        <w:tc>
          <w:tcPr>
            <w:tcW w:w="6235" w:type="dxa"/>
            <w:vAlign w:val="bottom"/>
          </w:tcPr>
          <w:p w14:paraId="295D0990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>Multiple foci of peripheral retinal whitening superior, inferior and temporal</w:t>
            </w:r>
          </w:p>
        </w:tc>
      </w:tr>
      <w:tr w:rsidR="00EA0ADD" w14:paraId="66D4DFA3" w14:textId="77777777" w:rsidTr="00DC56D3">
        <w:tc>
          <w:tcPr>
            <w:tcW w:w="3116" w:type="dxa"/>
          </w:tcPr>
          <w:p w14:paraId="6EF9661F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</w:rPr>
              <w:t>Patient 14</w:t>
            </w:r>
          </w:p>
        </w:tc>
        <w:tc>
          <w:tcPr>
            <w:tcW w:w="6235" w:type="dxa"/>
            <w:vAlign w:val="bottom"/>
          </w:tcPr>
          <w:p w14:paraId="70CF96B0" w14:textId="77777777" w:rsidR="00EA0ADD" w:rsidRPr="004D78F5" w:rsidRDefault="00EA0ADD" w:rsidP="00DC56D3">
            <w:pPr>
              <w:pStyle w:val="NoSpacing"/>
              <w:rPr>
                <w:rFonts w:ascii="Times New Roman" w:hAnsi="Times New Roman" w:cs="Times New Roman"/>
              </w:rPr>
            </w:pPr>
            <w:r w:rsidRPr="00EA72E7">
              <w:rPr>
                <w:rFonts w:ascii="Times New Roman" w:hAnsi="Times New Roman" w:cs="Times New Roman"/>
                <w:color w:val="000000"/>
              </w:rPr>
              <w:t>Retinal whitening temporal</w:t>
            </w:r>
          </w:p>
        </w:tc>
      </w:tr>
    </w:tbl>
    <w:p w14:paraId="0F945A3E" w14:textId="77777777" w:rsidR="00EA0ADD" w:rsidRDefault="00EA0ADD" w:rsidP="00EA0AD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956B0D3" w14:textId="77777777" w:rsidR="00EA0ADD" w:rsidRPr="003F1197" w:rsidRDefault="00EA0ADD" w:rsidP="00EA0AD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Appendix C.</w:t>
      </w:r>
      <w:r w:rsidRPr="003F1197">
        <w:rPr>
          <w:rFonts w:ascii="Times New Roman" w:hAnsi="Times New Roman" w:cs="Times New Roman"/>
          <w:b/>
          <w:bCs/>
        </w:rPr>
        <w:t xml:space="preserve"> Comparison of patients with severe vision loss or retinal detachment following acute retinal necrosis </w:t>
      </w:r>
    </w:p>
    <w:p w14:paraId="1DCA6040" w14:textId="77777777" w:rsidR="00EA0ADD" w:rsidRDefault="00EA0ADD" w:rsidP="00EA0AD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1299"/>
        <w:gridCol w:w="1295"/>
        <w:gridCol w:w="1306"/>
        <w:gridCol w:w="1299"/>
        <w:gridCol w:w="1295"/>
        <w:gridCol w:w="1306"/>
      </w:tblGrid>
      <w:tr w:rsidR="00EA0ADD" w14:paraId="2844A4D9" w14:textId="77777777" w:rsidTr="00DC56D3">
        <w:tc>
          <w:tcPr>
            <w:tcW w:w="1550" w:type="dxa"/>
          </w:tcPr>
          <w:p w14:paraId="77DB49AB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gridSpan w:val="3"/>
          </w:tcPr>
          <w:p w14:paraId="32A61DD5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Severe vision loss</w:t>
            </w:r>
          </w:p>
        </w:tc>
        <w:tc>
          <w:tcPr>
            <w:tcW w:w="3900" w:type="dxa"/>
            <w:gridSpan w:val="3"/>
          </w:tcPr>
          <w:p w14:paraId="29D33FD5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Retinal detachment</w:t>
            </w:r>
          </w:p>
        </w:tc>
      </w:tr>
      <w:tr w:rsidR="00EA0ADD" w14:paraId="30E40B26" w14:textId="77777777" w:rsidTr="00DC56D3">
        <w:tc>
          <w:tcPr>
            <w:tcW w:w="1550" w:type="dxa"/>
          </w:tcPr>
          <w:p w14:paraId="6C74E3D5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5B555BC3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(n=8) </w:t>
            </w:r>
          </w:p>
        </w:tc>
        <w:tc>
          <w:tcPr>
            <w:tcW w:w="1295" w:type="dxa"/>
          </w:tcPr>
          <w:p w14:paraId="74AE2B91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(n=8)</w:t>
            </w:r>
          </w:p>
        </w:tc>
        <w:tc>
          <w:tcPr>
            <w:tcW w:w="1306" w:type="dxa"/>
          </w:tcPr>
          <w:p w14:paraId="58CA50D0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299" w:type="dxa"/>
          </w:tcPr>
          <w:p w14:paraId="648B0E35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 (n=7)</w:t>
            </w:r>
          </w:p>
        </w:tc>
        <w:tc>
          <w:tcPr>
            <w:tcW w:w="1295" w:type="dxa"/>
          </w:tcPr>
          <w:p w14:paraId="45ACEE81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(n=9)</w:t>
            </w:r>
          </w:p>
        </w:tc>
        <w:tc>
          <w:tcPr>
            <w:tcW w:w="1306" w:type="dxa"/>
          </w:tcPr>
          <w:p w14:paraId="1646B03E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EA0ADD" w14:paraId="227F5258" w14:textId="77777777" w:rsidTr="00DC56D3">
        <w:tc>
          <w:tcPr>
            <w:tcW w:w="9350" w:type="dxa"/>
            <w:gridSpan w:val="7"/>
            <w:shd w:val="clear" w:color="auto" w:fill="D0CECE" w:themeFill="background2" w:themeFillShade="E6"/>
          </w:tcPr>
          <w:p w14:paraId="378C755D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Etiology</w:t>
            </w:r>
          </w:p>
        </w:tc>
      </w:tr>
      <w:tr w:rsidR="00EA0ADD" w14:paraId="2610283A" w14:textId="77777777" w:rsidTr="00DC56D3">
        <w:tc>
          <w:tcPr>
            <w:tcW w:w="1550" w:type="dxa"/>
          </w:tcPr>
          <w:p w14:paraId="0986C07B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HSV</w:t>
            </w:r>
          </w:p>
        </w:tc>
        <w:tc>
          <w:tcPr>
            <w:tcW w:w="1299" w:type="dxa"/>
          </w:tcPr>
          <w:p w14:paraId="1192DF3E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5" w:type="dxa"/>
          </w:tcPr>
          <w:p w14:paraId="4A8AF59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6" w:type="dxa"/>
          </w:tcPr>
          <w:p w14:paraId="4FFD4254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299" w:type="dxa"/>
          </w:tcPr>
          <w:p w14:paraId="41E6767E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14:paraId="415CA1C8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6" w:type="dxa"/>
          </w:tcPr>
          <w:p w14:paraId="19B73F9D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</w:tr>
      <w:tr w:rsidR="00EA0ADD" w14:paraId="391BD962" w14:textId="77777777" w:rsidTr="00DC56D3">
        <w:tc>
          <w:tcPr>
            <w:tcW w:w="1550" w:type="dxa"/>
          </w:tcPr>
          <w:p w14:paraId="54E409C4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VZV </w:t>
            </w:r>
          </w:p>
        </w:tc>
        <w:tc>
          <w:tcPr>
            <w:tcW w:w="1299" w:type="dxa"/>
          </w:tcPr>
          <w:p w14:paraId="4B579618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5" w:type="dxa"/>
          </w:tcPr>
          <w:p w14:paraId="7A25F427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6" w:type="dxa"/>
          </w:tcPr>
          <w:p w14:paraId="1D14696A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331CDB0E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5" w:type="dxa"/>
          </w:tcPr>
          <w:p w14:paraId="750C6FDD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6" w:type="dxa"/>
          </w:tcPr>
          <w:p w14:paraId="792C71EF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</w:tr>
      <w:tr w:rsidR="00EA0ADD" w14:paraId="54CF4605" w14:textId="77777777" w:rsidTr="00DC56D3">
        <w:tc>
          <w:tcPr>
            <w:tcW w:w="9350" w:type="dxa"/>
            <w:gridSpan w:val="7"/>
            <w:shd w:val="clear" w:color="auto" w:fill="D0CECE" w:themeFill="background2" w:themeFillShade="E6"/>
          </w:tcPr>
          <w:p w14:paraId="7C6F4C4E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Different initial diagnosis</w:t>
            </w:r>
          </w:p>
        </w:tc>
      </w:tr>
      <w:tr w:rsidR="00EA0ADD" w14:paraId="37663ECE" w14:textId="77777777" w:rsidTr="00DC56D3">
        <w:tc>
          <w:tcPr>
            <w:tcW w:w="1550" w:type="dxa"/>
          </w:tcPr>
          <w:p w14:paraId="2EBE070F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99" w:type="dxa"/>
          </w:tcPr>
          <w:p w14:paraId="4B218ABD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5" w:type="dxa"/>
          </w:tcPr>
          <w:p w14:paraId="60D448A7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6" w:type="dxa"/>
          </w:tcPr>
          <w:p w14:paraId="4AF42042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299" w:type="dxa"/>
          </w:tcPr>
          <w:p w14:paraId="12866BE8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5" w:type="dxa"/>
          </w:tcPr>
          <w:p w14:paraId="49E6544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6" w:type="dxa"/>
          </w:tcPr>
          <w:p w14:paraId="243C466B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A0ADD" w14:paraId="74088D34" w14:textId="77777777" w:rsidTr="00DC56D3">
        <w:tc>
          <w:tcPr>
            <w:tcW w:w="1550" w:type="dxa"/>
          </w:tcPr>
          <w:p w14:paraId="688426B2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99" w:type="dxa"/>
          </w:tcPr>
          <w:p w14:paraId="30CD6DE8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14:paraId="53FE1EB1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6" w:type="dxa"/>
          </w:tcPr>
          <w:p w14:paraId="56EC5C18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4495DED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14:paraId="4493651B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6" w:type="dxa"/>
          </w:tcPr>
          <w:p w14:paraId="659A85B6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</w:tr>
      <w:tr w:rsidR="00EA0ADD" w14:paraId="21570F18" w14:textId="77777777" w:rsidTr="00DC56D3">
        <w:tc>
          <w:tcPr>
            <w:tcW w:w="9350" w:type="dxa"/>
            <w:gridSpan w:val="7"/>
            <w:shd w:val="clear" w:color="auto" w:fill="D0CECE" w:themeFill="background2" w:themeFillShade="E6"/>
          </w:tcPr>
          <w:p w14:paraId="071DE7E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 best corrected visual acuity worse than 20/400</w:t>
            </w:r>
          </w:p>
        </w:tc>
      </w:tr>
      <w:tr w:rsidR="00EA0ADD" w14:paraId="734955AF" w14:textId="77777777" w:rsidTr="00DC56D3">
        <w:tc>
          <w:tcPr>
            <w:tcW w:w="1550" w:type="dxa"/>
          </w:tcPr>
          <w:p w14:paraId="23EAD4B3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99" w:type="dxa"/>
          </w:tcPr>
          <w:p w14:paraId="02EEADB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5" w:type="dxa"/>
          </w:tcPr>
          <w:p w14:paraId="198B4BC1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dxa"/>
          </w:tcPr>
          <w:p w14:paraId="0FE5F1C7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299" w:type="dxa"/>
          </w:tcPr>
          <w:p w14:paraId="03790E6D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5" w:type="dxa"/>
          </w:tcPr>
          <w:p w14:paraId="562B28BD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6" w:type="dxa"/>
          </w:tcPr>
          <w:p w14:paraId="50C6BCE4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</w:t>
            </w:r>
          </w:p>
        </w:tc>
      </w:tr>
      <w:tr w:rsidR="00EA0ADD" w14:paraId="670EAC93" w14:textId="77777777" w:rsidTr="00DC56D3">
        <w:tc>
          <w:tcPr>
            <w:tcW w:w="1550" w:type="dxa"/>
          </w:tcPr>
          <w:p w14:paraId="5F691920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99" w:type="dxa"/>
          </w:tcPr>
          <w:p w14:paraId="5DF5D8E2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14:paraId="3B8E4466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6" w:type="dxa"/>
          </w:tcPr>
          <w:p w14:paraId="5BE2BEEA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24C30A40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14:paraId="696CFAA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6" w:type="dxa"/>
          </w:tcPr>
          <w:p w14:paraId="14D91531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</w:tr>
      <w:tr w:rsidR="00EA0ADD" w14:paraId="3A9CE32F" w14:textId="77777777" w:rsidTr="00DC56D3">
        <w:tc>
          <w:tcPr>
            <w:tcW w:w="9350" w:type="dxa"/>
            <w:gridSpan w:val="7"/>
            <w:shd w:val="clear" w:color="auto" w:fill="D0CECE" w:themeFill="background2" w:themeFillShade="E6"/>
          </w:tcPr>
          <w:p w14:paraId="38FF70F3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Macula involvement</w:t>
            </w:r>
          </w:p>
        </w:tc>
      </w:tr>
      <w:tr w:rsidR="00EA0ADD" w14:paraId="3724BD22" w14:textId="77777777" w:rsidTr="00DC56D3">
        <w:tc>
          <w:tcPr>
            <w:tcW w:w="1550" w:type="dxa"/>
          </w:tcPr>
          <w:p w14:paraId="2FC451CD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99" w:type="dxa"/>
          </w:tcPr>
          <w:p w14:paraId="1982E324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5" w:type="dxa"/>
          </w:tcPr>
          <w:p w14:paraId="4D50A25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6" w:type="dxa"/>
          </w:tcPr>
          <w:p w14:paraId="29718BC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299" w:type="dxa"/>
          </w:tcPr>
          <w:p w14:paraId="040CEBED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14:paraId="7EC39C44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6" w:type="dxa"/>
          </w:tcPr>
          <w:p w14:paraId="314ECD3F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</w:t>
            </w:r>
          </w:p>
        </w:tc>
      </w:tr>
      <w:tr w:rsidR="00EA0ADD" w14:paraId="2F96A1F9" w14:textId="77777777" w:rsidTr="00DC56D3">
        <w:tc>
          <w:tcPr>
            <w:tcW w:w="1550" w:type="dxa"/>
          </w:tcPr>
          <w:p w14:paraId="177893A0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299" w:type="dxa"/>
          </w:tcPr>
          <w:p w14:paraId="07C4258A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14:paraId="0AE0CC65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6" w:type="dxa"/>
          </w:tcPr>
          <w:p w14:paraId="6D0DE713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4966C06F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14:paraId="05F137F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6" w:type="dxa"/>
          </w:tcPr>
          <w:p w14:paraId="11FCF02D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</w:tr>
      <w:tr w:rsidR="00EA0ADD" w14:paraId="74655DB7" w14:textId="77777777" w:rsidTr="00DC56D3">
        <w:tc>
          <w:tcPr>
            <w:tcW w:w="1550" w:type="dxa"/>
          </w:tcPr>
          <w:p w14:paraId="40D0AD11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Indeterminate</w:t>
            </w:r>
          </w:p>
        </w:tc>
        <w:tc>
          <w:tcPr>
            <w:tcW w:w="1299" w:type="dxa"/>
          </w:tcPr>
          <w:p w14:paraId="208C3653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14:paraId="3E0CDD21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dxa"/>
          </w:tcPr>
          <w:p w14:paraId="0E8BFFB3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2BDD3F2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14:paraId="61CCC62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dxa"/>
          </w:tcPr>
          <w:p w14:paraId="07DAEA90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</w:tr>
      <w:tr w:rsidR="00EA0ADD" w14:paraId="15B5A565" w14:textId="77777777" w:rsidTr="00DC56D3">
        <w:tc>
          <w:tcPr>
            <w:tcW w:w="9350" w:type="dxa"/>
            <w:gridSpan w:val="7"/>
            <w:shd w:val="clear" w:color="auto" w:fill="D0CECE" w:themeFill="background2" w:themeFillShade="E6"/>
          </w:tcPr>
          <w:p w14:paraId="6FC939A7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Optic nerve head involvement</w:t>
            </w:r>
          </w:p>
        </w:tc>
      </w:tr>
      <w:tr w:rsidR="00EA0ADD" w14:paraId="0C5FFB10" w14:textId="77777777" w:rsidTr="00DC56D3">
        <w:tc>
          <w:tcPr>
            <w:tcW w:w="1550" w:type="dxa"/>
          </w:tcPr>
          <w:p w14:paraId="7496D28E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99" w:type="dxa"/>
          </w:tcPr>
          <w:p w14:paraId="59187AA2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5" w:type="dxa"/>
          </w:tcPr>
          <w:p w14:paraId="1B258C2B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6" w:type="dxa"/>
          </w:tcPr>
          <w:p w14:paraId="0A7F1601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299" w:type="dxa"/>
          </w:tcPr>
          <w:p w14:paraId="487BE9A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5" w:type="dxa"/>
          </w:tcPr>
          <w:p w14:paraId="54C045FF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6" w:type="dxa"/>
          </w:tcPr>
          <w:p w14:paraId="6F4A31A8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A0ADD" w14:paraId="1682FDC9" w14:textId="77777777" w:rsidTr="00DC56D3">
        <w:tc>
          <w:tcPr>
            <w:tcW w:w="1550" w:type="dxa"/>
          </w:tcPr>
          <w:p w14:paraId="592F4032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299" w:type="dxa"/>
          </w:tcPr>
          <w:p w14:paraId="04BE9E87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5" w:type="dxa"/>
          </w:tcPr>
          <w:p w14:paraId="1FD444C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6" w:type="dxa"/>
          </w:tcPr>
          <w:p w14:paraId="2D5F9F26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48693D43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14:paraId="085FFF9F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6" w:type="dxa"/>
          </w:tcPr>
          <w:p w14:paraId="65DE26CA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</w:tr>
      <w:tr w:rsidR="00EA0ADD" w14:paraId="00A0BE43" w14:textId="77777777" w:rsidTr="00DC56D3">
        <w:tc>
          <w:tcPr>
            <w:tcW w:w="1550" w:type="dxa"/>
          </w:tcPr>
          <w:p w14:paraId="3A4EB8C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Indeterminate</w:t>
            </w:r>
          </w:p>
        </w:tc>
        <w:tc>
          <w:tcPr>
            <w:tcW w:w="1299" w:type="dxa"/>
          </w:tcPr>
          <w:p w14:paraId="79144D76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14:paraId="1AECA287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dxa"/>
          </w:tcPr>
          <w:p w14:paraId="0323D5D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10D010F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14:paraId="1927CED8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dxa"/>
          </w:tcPr>
          <w:p w14:paraId="2736E94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</w:tr>
      <w:tr w:rsidR="00EA0ADD" w14:paraId="3F4876FA" w14:textId="77777777" w:rsidTr="00DC56D3">
        <w:tc>
          <w:tcPr>
            <w:tcW w:w="9350" w:type="dxa"/>
            <w:gridSpan w:val="7"/>
            <w:shd w:val="clear" w:color="auto" w:fill="D0CECE" w:themeFill="background2" w:themeFillShade="E6"/>
          </w:tcPr>
          <w:p w14:paraId="31AFC5EA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of adjunctive oral steroids</w:t>
            </w:r>
          </w:p>
        </w:tc>
      </w:tr>
      <w:tr w:rsidR="00EA0ADD" w14:paraId="76B160B3" w14:textId="77777777" w:rsidTr="00DC56D3">
        <w:tc>
          <w:tcPr>
            <w:tcW w:w="1550" w:type="dxa"/>
          </w:tcPr>
          <w:p w14:paraId="5A09396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99" w:type="dxa"/>
          </w:tcPr>
          <w:p w14:paraId="2EEC588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5" w:type="dxa"/>
          </w:tcPr>
          <w:p w14:paraId="3C0DBFD0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6" w:type="dxa"/>
          </w:tcPr>
          <w:p w14:paraId="768456F1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4E08473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5" w:type="dxa"/>
          </w:tcPr>
          <w:p w14:paraId="2EA1304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6" w:type="dxa"/>
          </w:tcPr>
          <w:p w14:paraId="78C69E3C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A0ADD" w14:paraId="1A27968D" w14:textId="77777777" w:rsidTr="00DC56D3">
        <w:tc>
          <w:tcPr>
            <w:tcW w:w="1550" w:type="dxa"/>
          </w:tcPr>
          <w:p w14:paraId="0DD7AB71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99" w:type="dxa"/>
          </w:tcPr>
          <w:p w14:paraId="25D8BDA2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14:paraId="06EFB072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6" w:type="dxa"/>
          </w:tcPr>
          <w:p w14:paraId="3450A88E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14:paraId="155F30B2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14:paraId="7FDBDFB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6" w:type="dxa"/>
          </w:tcPr>
          <w:p w14:paraId="3122ABDA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</w:p>
        </w:tc>
      </w:tr>
      <w:tr w:rsidR="00EA0ADD" w14:paraId="2943889F" w14:textId="77777777" w:rsidTr="00DC56D3">
        <w:tc>
          <w:tcPr>
            <w:tcW w:w="9350" w:type="dxa"/>
            <w:gridSpan w:val="7"/>
            <w:shd w:val="clear" w:color="auto" w:fill="D0CECE" w:themeFill="background2" w:themeFillShade="E6"/>
          </w:tcPr>
          <w:p w14:paraId="7BC75637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 to various management time points - </w:t>
            </w:r>
            <w:r w:rsidRPr="001F4B45">
              <w:rPr>
                <w:rFonts w:ascii="Times New Roman" w:hAnsi="Times New Roman" w:cs="Times New Roman"/>
              </w:rPr>
              <w:t>Mean (SD), Median [IQR]</w:t>
            </w:r>
          </w:p>
        </w:tc>
      </w:tr>
      <w:tr w:rsidR="00EA0ADD" w14:paraId="4D85957E" w14:textId="77777777" w:rsidTr="00DC56D3">
        <w:tc>
          <w:tcPr>
            <w:tcW w:w="1550" w:type="dxa"/>
          </w:tcPr>
          <w:p w14:paraId="1EDD135B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Onset of symptoms to diagnosis </w:t>
            </w:r>
          </w:p>
        </w:tc>
        <w:tc>
          <w:tcPr>
            <w:tcW w:w="1299" w:type="dxa"/>
          </w:tcPr>
          <w:p w14:paraId="223C4A80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1F4B45">
              <w:rPr>
                <w:rFonts w:ascii="Times New Roman" w:hAnsi="Times New Roman" w:cs="Times New Roman"/>
              </w:rPr>
              <w:t>15.0 (11.6), 14 [10.3–14.0]</w:t>
            </w:r>
          </w:p>
        </w:tc>
        <w:tc>
          <w:tcPr>
            <w:tcW w:w="1295" w:type="dxa"/>
          </w:tcPr>
          <w:p w14:paraId="7E02CC11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1F4B45">
              <w:rPr>
                <w:rFonts w:ascii="Times New Roman" w:hAnsi="Times New Roman" w:cs="Times New Roman"/>
              </w:rPr>
              <w:t>11.4 (9.5), 9.5 [4.5–16.5]</w:t>
            </w:r>
          </w:p>
        </w:tc>
        <w:tc>
          <w:tcPr>
            <w:tcW w:w="1306" w:type="dxa"/>
          </w:tcPr>
          <w:p w14:paraId="4C5B9186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1F4B45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1299" w:type="dxa"/>
          </w:tcPr>
          <w:p w14:paraId="6FEAAA80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3F1197">
              <w:rPr>
                <w:rFonts w:ascii="Times New Roman" w:hAnsi="Times New Roman" w:cs="Times New Roman"/>
              </w:rPr>
              <w:t>16.9 (11.6), 14.0 [14.0, 14.5]</w:t>
            </w:r>
          </w:p>
        </w:tc>
        <w:tc>
          <w:tcPr>
            <w:tcW w:w="1295" w:type="dxa"/>
          </w:tcPr>
          <w:p w14:paraId="189BF520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3F1197">
              <w:rPr>
                <w:rFonts w:ascii="Times New Roman" w:hAnsi="Times New Roman" w:cs="Times New Roman"/>
              </w:rPr>
              <w:t>10.3 (9.03), 8 [5, 12]</w:t>
            </w:r>
          </w:p>
        </w:tc>
        <w:tc>
          <w:tcPr>
            <w:tcW w:w="1306" w:type="dxa"/>
          </w:tcPr>
          <w:p w14:paraId="32179395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1F4B45">
              <w:rPr>
                <w:rFonts w:ascii="Times New Roman" w:hAnsi="Times New Roman" w:cs="Times New Roman"/>
              </w:rPr>
              <w:t>0.10</w:t>
            </w:r>
          </w:p>
        </w:tc>
      </w:tr>
      <w:tr w:rsidR="00EA0ADD" w14:paraId="6180FCFA" w14:textId="77777777" w:rsidTr="00DC56D3">
        <w:tc>
          <w:tcPr>
            <w:tcW w:w="1550" w:type="dxa"/>
          </w:tcPr>
          <w:p w14:paraId="18C4DEDD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Diagnosis to initiation of systemic antivirals</w:t>
            </w:r>
          </w:p>
        </w:tc>
        <w:tc>
          <w:tcPr>
            <w:tcW w:w="1299" w:type="dxa"/>
          </w:tcPr>
          <w:p w14:paraId="53A680D4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1F4B45">
              <w:rPr>
                <w:rFonts w:ascii="Times New Roman" w:hAnsi="Times New Roman" w:cs="Times New Roman"/>
              </w:rPr>
              <w:t>–0.13 (0.64), 0 [–0.25–0]</w:t>
            </w:r>
          </w:p>
        </w:tc>
        <w:tc>
          <w:tcPr>
            <w:tcW w:w="1295" w:type="dxa"/>
          </w:tcPr>
          <w:p w14:paraId="35A915DD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3F1197">
              <w:rPr>
                <w:rFonts w:ascii="Times New Roman" w:hAnsi="Times New Roman" w:cs="Times New Roman"/>
              </w:rPr>
              <w:t>0 (0), 0 [0–0]</w:t>
            </w:r>
          </w:p>
        </w:tc>
        <w:tc>
          <w:tcPr>
            <w:tcW w:w="1306" w:type="dxa"/>
          </w:tcPr>
          <w:p w14:paraId="32B898C0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1F4B45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299" w:type="dxa"/>
          </w:tcPr>
          <w:p w14:paraId="6EC8D2F1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3F1197">
              <w:rPr>
                <w:rFonts w:ascii="Times New Roman" w:hAnsi="Times New Roman" w:cs="Times New Roman"/>
              </w:rPr>
              <w:t>0 (0), 0 [0, 0]</w:t>
            </w:r>
          </w:p>
        </w:tc>
        <w:tc>
          <w:tcPr>
            <w:tcW w:w="1295" w:type="dxa"/>
          </w:tcPr>
          <w:p w14:paraId="2951558C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3F1197">
              <w:rPr>
                <w:rFonts w:ascii="Times New Roman" w:hAnsi="Times New Roman" w:cs="Times New Roman"/>
              </w:rPr>
              <w:t>-0.11 (0.60), 0 [0, 0]</w:t>
            </w:r>
          </w:p>
        </w:tc>
        <w:tc>
          <w:tcPr>
            <w:tcW w:w="1306" w:type="dxa"/>
          </w:tcPr>
          <w:p w14:paraId="304BA836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1F4B45">
              <w:rPr>
                <w:rFonts w:ascii="Times New Roman" w:hAnsi="Times New Roman" w:cs="Times New Roman"/>
              </w:rPr>
              <w:t>0.59</w:t>
            </w:r>
          </w:p>
        </w:tc>
      </w:tr>
      <w:tr w:rsidR="00EA0ADD" w14:paraId="705D8F80" w14:textId="77777777" w:rsidTr="00DC56D3">
        <w:tc>
          <w:tcPr>
            <w:tcW w:w="1550" w:type="dxa"/>
          </w:tcPr>
          <w:p w14:paraId="2C75E919" w14:textId="77777777" w:rsidR="00EA0ADD" w:rsidRDefault="00EA0ADD" w:rsidP="00DC5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Diagnosis to initiation of adjunctive oral steroids</w:t>
            </w:r>
          </w:p>
        </w:tc>
        <w:tc>
          <w:tcPr>
            <w:tcW w:w="1299" w:type="dxa"/>
          </w:tcPr>
          <w:p w14:paraId="427C3B99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3F1197">
              <w:rPr>
                <w:rFonts w:ascii="Times New Roman" w:hAnsi="Times New Roman" w:cs="Times New Roman"/>
              </w:rPr>
              <w:t>2.6 (4.2), 1 [–0.5–5.0]</w:t>
            </w:r>
          </w:p>
        </w:tc>
        <w:tc>
          <w:tcPr>
            <w:tcW w:w="1295" w:type="dxa"/>
          </w:tcPr>
          <w:p w14:paraId="33073C6B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3F1197">
              <w:rPr>
                <w:rFonts w:ascii="Times New Roman" w:hAnsi="Times New Roman" w:cs="Times New Roman"/>
              </w:rPr>
              <w:t>8.7 (5.3), 8.5 [7–12.3]</w:t>
            </w:r>
          </w:p>
        </w:tc>
        <w:tc>
          <w:tcPr>
            <w:tcW w:w="1306" w:type="dxa"/>
          </w:tcPr>
          <w:p w14:paraId="37A59490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1F4B45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299" w:type="dxa"/>
          </w:tcPr>
          <w:p w14:paraId="66411AEC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3F1197">
              <w:rPr>
                <w:rFonts w:ascii="Times New Roman" w:hAnsi="Times New Roman" w:cs="Times New Roman"/>
              </w:rPr>
              <w:t>5.17 (5.04), 1.25 [4.5, 7.75]</w:t>
            </w:r>
          </w:p>
        </w:tc>
        <w:tc>
          <w:tcPr>
            <w:tcW w:w="1295" w:type="dxa"/>
          </w:tcPr>
          <w:p w14:paraId="6AB2BBEE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3F1197">
              <w:rPr>
                <w:rFonts w:ascii="Times New Roman" w:hAnsi="Times New Roman" w:cs="Times New Roman"/>
              </w:rPr>
              <w:t>5.57 (6.32), 7.0 [-0.5, 9.5]</w:t>
            </w:r>
          </w:p>
        </w:tc>
        <w:tc>
          <w:tcPr>
            <w:tcW w:w="1306" w:type="dxa"/>
          </w:tcPr>
          <w:p w14:paraId="65E07E63" w14:textId="77777777" w:rsidR="00EA0ADD" w:rsidRPr="001F4B45" w:rsidRDefault="00EA0ADD" w:rsidP="00DC56D3">
            <w:pPr>
              <w:rPr>
                <w:rFonts w:ascii="Times New Roman" w:hAnsi="Times New Roman" w:cs="Times New Roman"/>
              </w:rPr>
            </w:pPr>
            <w:r w:rsidRPr="001F4B45">
              <w:rPr>
                <w:rFonts w:ascii="Times New Roman" w:hAnsi="Times New Roman" w:cs="Times New Roman"/>
              </w:rPr>
              <w:t>0.33</w:t>
            </w:r>
          </w:p>
        </w:tc>
      </w:tr>
    </w:tbl>
    <w:p w14:paraId="719D74DF" w14:textId="77777777" w:rsidR="00EA0ADD" w:rsidRDefault="00EA0ADD"/>
    <w:sectPr w:rsidR="00EA0A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D6F"/>
    <w:multiLevelType w:val="hybridMultilevel"/>
    <w:tmpl w:val="2FD8C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67AD7"/>
    <w:multiLevelType w:val="hybridMultilevel"/>
    <w:tmpl w:val="D254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56E92"/>
    <w:multiLevelType w:val="hybridMultilevel"/>
    <w:tmpl w:val="4C6C3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F19B8"/>
    <w:multiLevelType w:val="hybridMultilevel"/>
    <w:tmpl w:val="BCDE0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30C4C"/>
    <w:multiLevelType w:val="hybridMultilevel"/>
    <w:tmpl w:val="7382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E24FD"/>
    <w:multiLevelType w:val="hybridMultilevel"/>
    <w:tmpl w:val="92F66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74DFD"/>
    <w:multiLevelType w:val="hybridMultilevel"/>
    <w:tmpl w:val="499E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823A5"/>
    <w:multiLevelType w:val="hybridMultilevel"/>
    <w:tmpl w:val="2E9C6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232FB"/>
    <w:multiLevelType w:val="hybridMultilevel"/>
    <w:tmpl w:val="21868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143264">
    <w:abstractNumId w:val="4"/>
  </w:num>
  <w:num w:numId="2" w16cid:durableId="584144164">
    <w:abstractNumId w:val="0"/>
  </w:num>
  <w:num w:numId="3" w16cid:durableId="2011523050">
    <w:abstractNumId w:val="5"/>
  </w:num>
  <w:num w:numId="4" w16cid:durableId="153492065">
    <w:abstractNumId w:val="3"/>
  </w:num>
  <w:num w:numId="5" w16cid:durableId="397241691">
    <w:abstractNumId w:val="2"/>
  </w:num>
  <w:num w:numId="6" w16cid:durableId="1484198889">
    <w:abstractNumId w:val="1"/>
  </w:num>
  <w:num w:numId="7" w16cid:durableId="1988896832">
    <w:abstractNumId w:val="7"/>
  </w:num>
  <w:num w:numId="8" w16cid:durableId="754519246">
    <w:abstractNumId w:val="8"/>
  </w:num>
  <w:num w:numId="9" w16cid:durableId="407658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DD"/>
    <w:rsid w:val="00EA0ADD"/>
    <w:rsid w:val="00F4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6F156"/>
  <w15:chartTrackingRefBased/>
  <w15:docId w15:val="{1A150C2F-7F29-C24D-A6E0-34D6AE03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ADD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A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A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A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A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A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A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A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A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A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A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A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A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A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A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A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A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A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AD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A0ADD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EA0A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EA0ADD"/>
    <w:pPr>
      <w:tabs>
        <w:tab w:val="left" w:pos="380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Lo</dc:creator>
  <cp:keywords/>
  <dc:description/>
  <cp:lastModifiedBy>Cody Lo</cp:lastModifiedBy>
  <cp:revision>1</cp:revision>
  <dcterms:created xsi:type="dcterms:W3CDTF">2026-05-05T20:05:00Z</dcterms:created>
  <dcterms:modified xsi:type="dcterms:W3CDTF">2026-05-05T20:06:00Z</dcterms:modified>
</cp:coreProperties>
</file>