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B84C2" w14:textId="77777777" w:rsidR="003B2439" w:rsidRPr="00F31F87" w:rsidRDefault="003B2439" w:rsidP="003B2439">
      <w:pPr>
        <w:pStyle w:val="Heading1"/>
        <w:spacing w:line="480" w:lineRule="auto"/>
        <w:rPr>
          <w:color w:val="FF0000"/>
          <w:sz w:val="20"/>
          <w:szCs w:val="20"/>
        </w:rPr>
      </w:pPr>
      <w:r>
        <w:t xml:space="preserve">Supplementary Files for </w:t>
      </w:r>
      <w:r w:rsidRPr="007C4872">
        <w:rPr>
          <w:i/>
          <w:iCs/>
        </w:rPr>
        <w:t>‘</w:t>
      </w:r>
      <w:r w:rsidRPr="00B51565">
        <w:rPr>
          <w:i/>
          <w:iCs/>
        </w:rPr>
        <w:t>Blocking abundant RNA transcripts by high-affinity oligonucleotides during transcriptome library preparation</w:t>
      </w:r>
      <w:r>
        <w:rPr>
          <w:i/>
          <w:iCs/>
        </w:rPr>
        <w:t>’</w:t>
      </w:r>
    </w:p>
    <w:p w14:paraId="586110F1" w14:textId="77777777" w:rsidR="003B2439" w:rsidRPr="00937A74" w:rsidRDefault="003B2439" w:rsidP="003B2439">
      <w:pPr>
        <w:spacing w:line="480" w:lineRule="auto"/>
        <w:rPr>
          <w:vertAlign w:val="superscript"/>
          <w:lang w:val="nl-BE"/>
        </w:rPr>
      </w:pPr>
      <w:r w:rsidRPr="00F31F87">
        <w:rPr>
          <w:lang w:val="nl-BE"/>
        </w:rPr>
        <w:t>Celine Everaert</w:t>
      </w:r>
      <w:r w:rsidRPr="001771B0">
        <w:rPr>
          <w:vertAlign w:val="superscript"/>
          <w:lang w:val="nl-BE"/>
        </w:rPr>
        <w:t>1,2</w:t>
      </w:r>
      <w:r>
        <w:rPr>
          <w:lang w:val="nl-BE"/>
        </w:rPr>
        <w:t>°</w:t>
      </w:r>
      <w:r w:rsidRPr="00F31F87">
        <w:rPr>
          <w:lang w:val="nl-BE"/>
        </w:rPr>
        <w:t>, Jasper Verwilt</w:t>
      </w:r>
      <w:r w:rsidRPr="001771B0">
        <w:rPr>
          <w:vertAlign w:val="superscript"/>
          <w:lang w:val="nl-BE"/>
        </w:rPr>
        <w:t>1,2</w:t>
      </w:r>
      <w:r>
        <w:rPr>
          <w:lang w:val="nl-BE"/>
        </w:rPr>
        <w:t>°</w:t>
      </w:r>
      <w:r w:rsidRPr="00F31F87">
        <w:rPr>
          <w:lang w:val="nl-BE"/>
        </w:rPr>
        <w:t>, Kimberly Verniers</w:t>
      </w:r>
      <w:r w:rsidRPr="001771B0">
        <w:rPr>
          <w:vertAlign w:val="superscript"/>
          <w:lang w:val="nl-BE"/>
        </w:rPr>
        <w:t>1,2</w:t>
      </w:r>
      <w:r w:rsidRPr="00F31F87">
        <w:rPr>
          <w:lang w:val="nl-BE"/>
        </w:rPr>
        <w:t xml:space="preserve">, </w:t>
      </w:r>
      <w:r>
        <w:rPr>
          <w:lang w:val="nl-BE"/>
        </w:rPr>
        <w:t>Niels Vandamme</w:t>
      </w:r>
      <w:r w:rsidRPr="001771B0">
        <w:rPr>
          <w:vertAlign w:val="superscript"/>
          <w:lang w:val="nl-BE"/>
        </w:rPr>
        <w:t>2,3</w:t>
      </w:r>
      <w:r>
        <w:rPr>
          <w:lang w:val="nl-BE"/>
        </w:rPr>
        <w:t>, Alvaro Marcos Rubio</w:t>
      </w:r>
      <w:r w:rsidRPr="001771B0">
        <w:rPr>
          <w:vertAlign w:val="superscript"/>
          <w:lang w:val="nl-BE"/>
        </w:rPr>
        <w:t>1,2</w:t>
      </w:r>
      <w:r>
        <w:rPr>
          <w:lang w:val="nl-BE"/>
        </w:rPr>
        <w:t xml:space="preserve">, </w:t>
      </w:r>
      <w:r w:rsidRPr="00F31F87">
        <w:rPr>
          <w:lang w:val="nl-BE"/>
        </w:rPr>
        <w:t>Jo Vandesompele</w:t>
      </w:r>
      <w:r w:rsidRPr="001771B0">
        <w:rPr>
          <w:vertAlign w:val="superscript"/>
          <w:lang w:val="nl-BE"/>
        </w:rPr>
        <w:t>1,2</w:t>
      </w:r>
      <w:r>
        <w:rPr>
          <w:vertAlign w:val="superscript"/>
          <w:lang w:val="nl-BE"/>
        </w:rPr>
        <w:t>#</w:t>
      </w:r>
      <w:r w:rsidRPr="001771B0">
        <w:rPr>
          <w:vertAlign w:val="superscript"/>
          <w:lang w:val="nl-BE"/>
        </w:rPr>
        <w:t xml:space="preserve"> </w:t>
      </w:r>
      <w:r w:rsidRPr="00F31F87">
        <w:rPr>
          <w:lang w:val="nl-BE"/>
        </w:rPr>
        <w:t xml:space="preserve">and Pieter </w:t>
      </w:r>
      <w:r w:rsidRPr="00937A74">
        <w:rPr>
          <w:lang w:val="nl-BE"/>
        </w:rPr>
        <w:t>Mestdagh</w:t>
      </w:r>
      <w:r>
        <w:rPr>
          <w:vertAlign w:val="superscript"/>
          <w:lang w:val="nl-BE"/>
        </w:rPr>
        <w:t xml:space="preserve"> </w:t>
      </w:r>
      <w:r w:rsidRPr="00937A74">
        <w:rPr>
          <w:vertAlign w:val="superscript"/>
          <w:lang w:val="nl-BE"/>
        </w:rPr>
        <w:t>1</w:t>
      </w:r>
      <w:r w:rsidRPr="001771B0">
        <w:rPr>
          <w:vertAlign w:val="superscript"/>
          <w:lang w:val="nl-BE"/>
        </w:rPr>
        <w:t>,2</w:t>
      </w:r>
      <w:r>
        <w:rPr>
          <w:vertAlign w:val="superscript"/>
          <w:lang w:val="nl-BE"/>
        </w:rPr>
        <w:t>#</w:t>
      </w:r>
      <w:r w:rsidRPr="00F31F87">
        <w:rPr>
          <w:lang w:val="nl-BE"/>
        </w:rPr>
        <w:t>*</w:t>
      </w:r>
    </w:p>
    <w:p w14:paraId="1ED3E12B" w14:textId="77777777" w:rsidR="003B2439" w:rsidRPr="00F31F87" w:rsidRDefault="003B2439" w:rsidP="003B2439">
      <w:pPr>
        <w:spacing w:line="480" w:lineRule="auto"/>
      </w:pPr>
      <w:r w:rsidRPr="00F31F87">
        <w:rPr>
          <w:vertAlign w:val="superscript"/>
        </w:rPr>
        <w:t>1</w:t>
      </w:r>
      <w:r w:rsidRPr="00F31F87">
        <w:t xml:space="preserve"> </w:t>
      </w:r>
      <w:r>
        <w:t>Department of Biomolecular Medicine, Ghent University, Ghent, Belgium</w:t>
      </w:r>
    </w:p>
    <w:p w14:paraId="4171EC83" w14:textId="77777777" w:rsidR="003B2439" w:rsidRDefault="003B2439" w:rsidP="003B2439">
      <w:pPr>
        <w:spacing w:line="480" w:lineRule="auto"/>
      </w:pPr>
      <w:r w:rsidRPr="00F31F87">
        <w:rPr>
          <w:vertAlign w:val="superscript"/>
        </w:rPr>
        <w:t>2</w:t>
      </w:r>
      <w:r w:rsidRPr="00F31F87">
        <w:t xml:space="preserve"> </w:t>
      </w:r>
      <w:r>
        <w:t>Cancer Research Institute Ghent, Ghent University, Ghent, Belgium</w:t>
      </w:r>
    </w:p>
    <w:p w14:paraId="4A8B38C7" w14:textId="5AC0A164" w:rsidR="003B2439" w:rsidRPr="00032487" w:rsidRDefault="003B2439" w:rsidP="003B2439">
      <w:pPr>
        <w:spacing w:line="480" w:lineRule="auto"/>
        <w:rPr>
          <w:vertAlign w:val="superscript"/>
          <w:lang w:val="nl-BE"/>
        </w:rPr>
      </w:pPr>
      <w:r>
        <w:rPr>
          <w:vertAlign w:val="superscript"/>
          <w:lang w:val="nl-BE"/>
        </w:rPr>
        <w:t>3</w:t>
      </w:r>
      <w:r w:rsidRPr="00032487">
        <w:rPr>
          <w:lang w:val="nl-BE"/>
        </w:rPr>
        <w:t xml:space="preserve"> VIB Center for Inflammation Research, Vlaams Institute voor Biotechnologie, Zwijnaarde, </w:t>
      </w:r>
      <w:r>
        <w:rPr>
          <w:lang w:val="nl-BE"/>
        </w:rPr>
        <w:t>Belgium</w:t>
      </w:r>
    </w:p>
    <w:p w14:paraId="5A0E064E" w14:textId="77777777" w:rsidR="003B2439" w:rsidRPr="006D0998" w:rsidRDefault="003B2439" w:rsidP="003B2439">
      <w:pPr>
        <w:spacing w:line="480" w:lineRule="auto"/>
        <w:rPr>
          <w:vertAlign w:val="superscript"/>
        </w:rPr>
      </w:pPr>
      <w:r w:rsidRPr="00F31F87">
        <w:t>* To whom correspondence should be addressed. Email: Pieter.Mestdagh@UGent.be</w:t>
      </w:r>
    </w:p>
    <w:p w14:paraId="6714BA45" w14:textId="77777777" w:rsidR="003B2439" w:rsidRDefault="003B2439" w:rsidP="003B2439">
      <w:pPr>
        <w:spacing w:line="480" w:lineRule="auto"/>
      </w:pPr>
      <w:r>
        <w:t>°</w:t>
      </w:r>
      <w:r w:rsidRPr="00F31F87">
        <w:t>"The authors wish it to be known that, in their opinion, the first two authors should be regarded as joint First Authors"</w:t>
      </w:r>
    </w:p>
    <w:p w14:paraId="213AE467" w14:textId="77777777" w:rsidR="003B2439" w:rsidRPr="00937A74" w:rsidRDefault="003B2439" w:rsidP="003B2439">
      <w:pPr>
        <w:spacing w:line="480" w:lineRule="auto"/>
      </w:pPr>
      <w:r>
        <w:rPr>
          <w:vertAlign w:val="superscript"/>
        </w:rPr>
        <w:t>#</w:t>
      </w:r>
      <w:r>
        <w:t>”The authors wish it to be known that, in their opinion, the last two authors should be regarded as joint Last Authors”</w:t>
      </w:r>
    </w:p>
    <w:p w14:paraId="6B58F624" w14:textId="77777777" w:rsidR="003B2439" w:rsidRPr="00957619" w:rsidRDefault="003B2439" w:rsidP="003B2439">
      <w:pPr>
        <w:pStyle w:val="Heading1"/>
        <w:spacing w:line="480" w:lineRule="auto"/>
      </w:pPr>
    </w:p>
    <w:p w14:paraId="4EE7C228" w14:textId="77777777" w:rsidR="003B2439" w:rsidRDefault="003B2439" w:rsidP="003B2439">
      <w:pPr>
        <w:spacing w:after="0" w:line="480" w:lineRule="auto"/>
        <w:rPr>
          <w:lang w:val="fr-FR"/>
        </w:rPr>
      </w:pPr>
      <w:r>
        <w:rPr>
          <w:lang w:val="fr-FR"/>
        </w:rPr>
        <w:br w:type="page"/>
      </w:r>
    </w:p>
    <w:p w14:paraId="2C1054C5" w14:textId="77777777" w:rsidR="003B2439" w:rsidRDefault="003B2439" w:rsidP="003B2439">
      <w:pPr>
        <w:spacing w:line="480" w:lineRule="auto"/>
        <w:jc w:val="both"/>
      </w:pPr>
      <w:r>
        <w:rPr>
          <w:noProof/>
          <w:lang w:eastAsia="en-US"/>
        </w:rPr>
        <w:lastRenderedPageBreak/>
        <w:drawing>
          <wp:inline distT="0" distB="0" distL="0" distR="0" wp14:anchorId="26ADC185" wp14:editId="72E5E29B">
            <wp:extent cx="5756910" cy="81470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2B79BC">
        <w:rPr>
          <w:lang w:val="fr-FR"/>
        </w:rPr>
        <w:t>Supplemental</w:t>
      </w:r>
      <w:proofErr w:type="spellEnd"/>
      <w:r w:rsidRPr="002B79BC">
        <w:rPr>
          <w:lang w:val="fr-FR"/>
        </w:rPr>
        <w:t xml:space="preserve"> Figure 1.</w:t>
      </w:r>
      <w:r>
        <w:rPr>
          <w:lang w:val="fr-FR"/>
        </w:rPr>
        <w:t xml:space="preserve"> </w:t>
      </w:r>
      <w:r>
        <w:rPr>
          <w:b/>
          <w:bCs/>
          <w:lang w:val="fr-FR"/>
        </w:rPr>
        <w:t xml:space="preserve">Count distributions of </w:t>
      </w:r>
      <w:proofErr w:type="spellStart"/>
      <w:r>
        <w:rPr>
          <w:b/>
          <w:bCs/>
          <w:lang w:val="fr-FR"/>
        </w:rPr>
        <w:t>noLNA</w:t>
      </w:r>
      <w:proofErr w:type="spellEnd"/>
      <w:r>
        <w:rPr>
          <w:b/>
          <w:bCs/>
          <w:lang w:val="fr-FR"/>
        </w:rPr>
        <w:t xml:space="preserve">, LNA1x, and LNA10x in PFP and PRP. </w:t>
      </w:r>
      <w:r>
        <w:rPr>
          <w:lang w:val="fr-FR"/>
        </w:rPr>
        <w:t xml:space="preserve">A &amp; C. </w:t>
      </w:r>
      <w:proofErr w:type="spellStart"/>
      <w:r>
        <w:rPr>
          <w:lang w:val="fr-FR"/>
        </w:rPr>
        <w:t>Correlation</w:t>
      </w:r>
      <w:proofErr w:type="spellEnd"/>
      <w:r>
        <w:rPr>
          <w:lang w:val="fr-FR"/>
        </w:rPr>
        <w:t xml:space="preserve"> plots are </w:t>
      </w:r>
      <w:proofErr w:type="spellStart"/>
      <w:r>
        <w:rPr>
          <w:lang w:val="fr-FR"/>
        </w:rPr>
        <w:t>shown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between</w:t>
      </w:r>
      <w:proofErr w:type="spellEnd"/>
      <w:r>
        <w:rPr>
          <w:lang w:val="fr-FR"/>
        </w:rPr>
        <w:t xml:space="preserve"> the log</w:t>
      </w:r>
      <w:r>
        <w:rPr>
          <w:vertAlign w:val="subscript"/>
          <w:lang w:val="fr-FR"/>
        </w:rPr>
        <w:t>10</w:t>
      </w:r>
      <w:r>
        <w:rPr>
          <w:lang w:val="fr-FR"/>
        </w:rPr>
        <w:t xml:space="preserve"> of the </w:t>
      </w:r>
      <w:proofErr w:type="spellStart"/>
      <w:r>
        <w:rPr>
          <w:lang w:val="fr-FR"/>
        </w:rPr>
        <w:t>counts</w:t>
      </w:r>
      <w:proofErr w:type="spellEnd"/>
      <w:r>
        <w:rPr>
          <w:lang w:val="fr-FR"/>
        </w:rPr>
        <w:t xml:space="preserve"> (+1 to deal </w:t>
      </w:r>
      <w:proofErr w:type="spellStart"/>
      <w:r>
        <w:rPr>
          <w:lang w:val="fr-FR"/>
        </w:rPr>
        <w:t>with</w:t>
      </w:r>
      <w:proofErr w:type="spellEnd"/>
      <w:r>
        <w:rPr>
          <w:lang w:val="fr-FR"/>
        </w:rPr>
        <w:t xml:space="preserve"> 0’s) of the </w:t>
      </w:r>
      <w:proofErr w:type="spellStart"/>
      <w:r>
        <w:rPr>
          <w:lang w:val="fr-FR"/>
        </w:rPr>
        <w:t>noLNA</w:t>
      </w:r>
      <w:proofErr w:type="spellEnd"/>
      <w:r>
        <w:rPr>
          <w:lang w:val="fr-FR"/>
        </w:rPr>
        <w:t xml:space="preserve"> and </w:t>
      </w:r>
      <w:r>
        <w:rPr>
          <w:lang w:val="fr-FR"/>
        </w:rPr>
        <w:lastRenderedPageBreak/>
        <w:t xml:space="preserve">LNA1x </w:t>
      </w:r>
      <w:proofErr w:type="spellStart"/>
      <w:r>
        <w:rPr>
          <w:lang w:val="fr-FR"/>
        </w:rPr>
        <w:t>samples</w:t>
      </w:r>
      <w:proofErr w:type="spellEnd"/>
      <w:r>
        <w:rPr>
          <w:lang w:val="fr-FR"/>
        </w:rPr>
        <w:t xml:space="preserve"> (</w:t>
      </w:r>
      <w:proofErr w:type="spellStart"/>
      <w:r>
        <w:rPr>
          <w:lang w:val="fr-FR"/>
        </w:rPr>
        <w:t>averaged</w:t>
      </w:r>
      <w:proofErr w:type="spellEnd"/>
      <w:r>
        <w:rPr>
          <w:lang w:val="fr-FR"/>
        </w:rPr>
        <w:t xml:space="preserve"> over </w:t>
      </w:r>
      <w:proofErr w:type="spellStart"/>
      <w:r>
        <w:rPr>
          <w:lang w:val="fr-FR"/>
        </w:rPr>
        <w:t>technical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replicates</w:t>
      </w:r>
      <w:proofErr w:type="spellEnd"/>
      <w:r>
        <w:rPr>
          <w:lang w:val="fr-FR"/>
        </w:rPr>
        <w:t xml:space="preserve">). </w:t>
      </w:r>
      <w:proofErr w:type="spellStart"/>
      <w:r>
        <w:rPr>
          <w:lang w:val="fr-FR"/>
        </w:rPr>
        <w:t>Each</w:t>
      </w:r>
      <w:proofErr w:type="spellEnd"/>
      <w:r>
        <w:rPr>
          <w:lang w:val="fr-FR"/>
        </w:rPr>
        <w:t xml:space="preserve"> dot </w:t>
      </w:r>
      <w:proofErr w:type="spellStart"/>
      <w:r>
        <w:rPr>
          <w:lang w:val="fr-FR"/>
        </w:rPr>
        <w:t>represents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gene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Red</w:t>
      </w:r>
      <w:proofErr w:type="spellEnd"/>
      <w:r>
        <w:rPr>
          <w:lang w:val="fr-FR"/>
        </w:rPr>
        <w:t xml:space="preserve"> dots are </w:t>
      </w:r>
      <w:proofErr w:type="spellStart"/>
      <w:r>
        <w:rPr>
          <w:lang w:val="fr-FR"/>
        </w:rPr>
        <w:t>genes</w:t>
      </w:r>
      <w:proofErr w:type="spellEnd"/>
      <w:r>
        <w:rPr>
          <w:lang w:val="fr-FR"/>
        </w:rPr>
        <w:t xml:space="preserve"> unique to LNA1x, </w:t>
      </w:r>
      <w:proofErr w:type="spellStart"/>
      <w:r>
        <w:rPr>
          <w:lang w:val="fr-FR"/>
        </w:rPr>
        <w:t>blue</w:t>
      </w:r>
      <w:proofErr w:type="spellEnd"/>
      <w:r>
        <w:rPr>
          <w:lang w:val="fr-FR"/>
        </w:rPr>
        <w:t xml:space="preserve"> dots are unique to </w:t>
      </w:r>
      <w:proofErr w:type="spellStart"/>
      <w:r>
        <w:rPr>
          <w:lang w:val="fr-FR"/>
        </w:rPr>
        <w:t>noLNA</w:t>
      </w:r>
      <w:proofErr w:type="spellEnd"/>
      <w:r>
        <w:rPr>
          <w:lang w:val="fr-FR"/>
        </w:rPr>
        <w:t xml:space="preserve">. At </w:t>
      </w:r>
      <w:proofErr w:type="spellStart"/>
      <w:r>
        <w:rPr>
          <w:lang w:val="fr-FR"/>
        </w:rPr>
        <w:t>each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edge</w:t>
      </w:r>
      <w:proofErr w:type="spellEnd"/>
      <w:r>
        <w:rPr>
          <w:lang w:val="fr-FR"/>
        </w:rPr>
        <w:t xml:space="preserve"> of the plot, distributions are </w:t>
      </w:r>
      <w:proofErr w:type="spellStart"/>
      <w:r>
        <w:rPr>
          <w:lang w:val="fr-FR"/>
        </w:rPr>
        <w:t>shown</w:t>
      </w:r>
      <w:proofErr w:type="spellEnd"/>
      <w:r>
        <w:rPr>
          <w:lang w:val="fr-FR"/>
        </w:rPr>
        <w:t xml:space="preserve"> of the values of the </w:t>
      </w:r>
      <w:proofErr w:type="spellStart"/>
      <w:r>
        <w:rPr>
          <w:lang w:val="fr-FR"/>
        </w:rPr>
        <w:t>corresponding</w:t>
      </w:r>
      <w:proofErr w:type="spellEnd"/>
      <w:r>
        <w:rPr>
          <w:lang w:val="fr-FR"/>
        </w:rPr>
        <w:t xml:space="preserve"> axis and </w:t>
      </w:r>
      <w:proofErr w:type="spellStart"/>
      <w:r>
        <w:rPr>
          <w:lang w:val="fr-FR"/>
        </w:rPr>
        <w:t>treatment</w:t>
      </w:r>
      <w:proofErr w:type="spellEnd"/>
      <w:r>
        <w:rPr>
          <w:lang w:val="fr-FR"/>
        </w:rPr>
        <w:t xml:space="preserve">. A shows the </w:t>
      </w:r>
      <w:proofErr w:type="spellStart"/>
      <w:r>
        <w:rPr>
          <w:lang w:val="fr-FR"/>
        </w:rPr>
        <w:t>results</w:t>
      </w:r>
      <w:proofErr w:type="spellEnd"/>
      <w:r>
        <w:rPr>
          <w:lang w:val="fr-FR"/>
        </w:rPr>
        <w:t xml:space="preserve"> for PFF, C for PRP. B &amp; D. Density plots of the log</w:t>
      </w:r>
      <w:r>
        <w:rPr>
          <w:vertAlign w:val="subscript"/>
          <w:lang w:val="fr-FR"/>
        </w:rPr>
        <w:t>10</w:t>
      </w:r>
      <w:r>
        <w:rPr>
          <w:lang w:val="fr-FR"/>
        </w:rPr>
        <w:t xml:space="preserve"> of the </w:t>
      </w:r>
      <w:proofErr w:type="spellStart"/>
      <w:r>
        <w:rPr>
          <w:lang w:val="fr-FR"/>
        </w:rPr>
        <w:t>average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counts</w:t>
      </w:r>
      <w:proofErr w:type="spellEnd"/>
      <w:r>
        <w:rPr>
          <w:lang w:val="fr-FR"/>
        </w:rPr>
        <w:t xml:space="preserve"> (over </w:t>
      </w:r>
      <w:proofErr w:type="spellStart"/>
      <w:r>
        <w:rPr>
          <w:lang w:val="fr-FR"/>
        </w:rPr>
        <w:t>technical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replicates</w:t>
      </w:r>
      <w:proofErr w:type="spellEnd"/>
      <w:r>
        <w:rPr>
          <w:lang w:val="fr-FR"/>
        </w:rPr>
        <w:t xml:space="preserve">) for </w:t>
      </w:r>
      <w:proofErr w:type="spellStart"/>
      <w:r>
        <w:rPr>
          <w:lang w:val="fr-FR"/>
        </w:rPr>
        <w:t>each</w:t>
      </w:r>
      <w:proofErr w:type="spellEnd"/>
      <w:r>
        <w:rPr>
          <w:lang w:val="fr-FR"/>
        </w:rPr>
        <w:t xml:space="preserve"> of the </w:t>
      </w:r>
      <w:proofErr w:type="spellStart"/>
      <w:r>
        <w:rPr>
          <w:lang w:val="fr-FR"/>
        </w:rPr>
        <w:t>sample</w:t>
      </w:r>
      <w:proofErr w:type="spellEnd"/>
      <w:r>
        <w:rPr>
          <w:lang w:val="fr-FR"/>
        </w:rPr>
        <w:t xml:space="preserve">. B shows the </w:t>
      </w:r>
      <w:proofErr w:type="spellStart"/>
      <w:r>
        <w:rPr>
          <w:lang w:val="fr-FR"/>
        </w:rPr>
        <w:t>results</w:t>
      </w:r>
      <w:proofErr w:type="spellEnd"/>
      <w:r>
        <w:rPr>
          <w:lang w:val="fr-FR"/>
        </w:rPr>
        <w:t xml:space="preserve"> for PFP, D for PRP.</w:t>
      </w:r>
    </w:p>
    <w:p w14:paraId="0990D40C" w14:textId="77777777" w:rsidR="003B2439" w:rsidRPr="00F825E5" w:rsidRDefault="003B2439" w:rsidP="003B2439">
      <w:pPr>
        <w:spacing w:line="480" w:lineRule="auto"/>
        <w:rPr>
          <w:b/>
          <w:bCs/>
        </w:rPr>
      </w:pPr>
      <w:r>
        <w:rPr>
          <w:noProof/>
          <w:lang w:eastAsia="en-US"/>
        </w:rPr>
        <w:drawing>
          <wp:inline distT="0" distB="0" distL="0" distR="0" wp14:anchorId="78334599" wp14:editId="6201F0FF">
            <wp:extent cx="5756910" cy="482917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F825E5">
        <w:rPr>
          <w:lang w:val="fr-FR"/>
        </w:rPr>
        <w:t>Supplemental</w:t>
      </w:r>
      <w:proofErr w:type="spellEnd"/>
      <w:r w:rsidRPr="00F825E5">
        <w:rPr>
          <w:lang w:val="fr-FR"/>
        </w:rPr>
        <w:t xml:space="preserve"> Figure 2. </w:t>
      </w:r>
      <w:r w:rsidRPr="00117844">
        <w:rPr>
          <w:b/>
          <w:bCs/>
          <w:lang w:val="fr-FR"/>
        </w:rPr>
        <w:t xml:space="preserve">Read distribution for </w:t>
      </w:r>
      <w:proofErr w:type="spellStart"/>
      <w:r w:rsidRPr="00117844">
        <w:rPr>
          <w:b/>
          <w:bCs/>
          <w:lang w:val="fr-FR"/>
        </w:rPr>
        <w:t>each</w:t>
      </w:r>
      <w:proofErr w:type="spellEnd"/>
      <w:r w:rsidRPr="00117844">
        <w:rPr>
          <w:b/>
          <w:bCs/>
          <w:lang w:val="fr-FR"/>
        </w:rPr>
        <w:t xml:space="preserve"> </w:t>
      </w:r>
      <w:proofErr w:type="spellStart"/>
      <w:r w:rsidRPr="00117844">
        <w:rPr>
          <w:b/>
          <w:bCs/>
          <w:lang w:val="fr-FR"/>
        </w:rPr>
        <w:t>sample</w:t>
      </w:r>
      <w:proofErr w:type="spellEnd"/>
      <w:r w:rsidRPr="00117844">
        <w:rPr>
          <w:b/>
          <w:bCs/>
          <w:lang w:val="fr-FR"/>
        </w:rPr>
        <w:t xml:space="preserve"> and </w:t>
      </w:r>
      <w:proofErr w:type="spellStart"/>
      <w:r w:rsidRPr="00117844">
        <w:rPr>
          <w:b/>
          <w:bCs/>
          <w:lang w:val="fr-FR"/>
        </w:rPr>
        <w:t>treatmen</w:t>
      </w:r>
      <w:r>
        <w:rPr>
          <w:b/>
          <w:bCs/>
          <w:lang w:val="fr-FR"/>
        </w:rPr>
        <w:t>t</w:t>
      </w:r>
      <w:proofErr w:type="spellEnd"/>
      <w:r>
        <w:rPr>
          <w:b/>
          <w:bCs/>
          <w:lang w:val="fr-FR"/>
        </w:rPr>
        <w:t>.</w:t>
      </w:r>
      <w:r>
        <w:rPr>
          <w:lang w:val="fr-FR"/>
        </w:rPr>
        <w:t xml:space="preserve"> The graphs are </w:t>
      </w:r>
      <w:proofErr w:type="spellStart"/>
      <w:r>
        <w:rPr>
          <w:lang w:val="fr-FR"/>
        </w:rPr>
        <w:t>shown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separately</w:t>
      </w:r>
      <w:proofErr w:type="spellEnd"/>
      <w:r>
        <w:rPr>
          <w:lang w:val="fr-FR"/>
        </w:rPr>
        <w:t xml:space="preserve"> for </w:t>
      </w:r>
      <w:proofErr w:type="spellStart"/>
      <w:r>
        <w:rPr>
          <w:lang w:val="fr-FR"/>
        </w:rPr>
        <w:t>each</w:t>
      </w:r>
      <w:proofErr w:type="spellEnd"/>
      <w:r>
        <w:rPr>
          <w:lang w:val="fr-FR"/>
        </w:rPr>
        <w:t xml:space="preserve"> of the </w:t>
      </w:r>
      <w:proofErr w:type="spellStart"/>
      <w:r>
        <w:rPr>
          <w:lang w:val="fr-FR"/>
        </w:rPr>
        <w:t>samples</w:t>
      </w:r>
      <w:proofErr w:type="spellEnd"/>
      <w:r>
        <w:rPr>
          <w:lang w:val="fr-FR"/>
        </w:rPr>
        <w:t xml:space="preserve">. For </w:t>
      </w:r>
      <w:proofErr w:type="spellStart"/>
      <w:r>
        <w:rPr>
          <w:lang w:val="fr-FR"/>
        </w:rPr>
        <w:t>each</w:t>
      </w:r>
      <w:proofErr w:type="spellEnd"/>
      <w:r>
        <w:rPr>
          <w:lang w:val="fr-FR"/>
        </w:rPr>
        <w:t xml:space="preserve"> graph, the </w:t>
      </w:r>
      <w:proofErr w:type="spellStart"/>
      <w:r>
        <w:rPr>
          <w:lang w:val="fr-FR"/>
        </w:rPr>
        <w:t>percentage</w:t>
      </w:r>
      <w:proofErr w:type="spellEnd"/>
      <w:r>
        <w:rPr>
          <w:lang w:val="fr-FR"/>
        </w:rPr>
        <w:t xml:space="preserve"> of </w:t>
      </w:r>
      <w:proofErr w:type="spellStart"/>
      <w:r>
        <w:rPr>
          <w:lang w:val="fr-FR"/>
        </w:rPr>
        <w:t>reads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going</w:t>
      </w:r>
      <w:proofErr w:type="spellEnd"/>
      <w:r>
        <w:rPr>
          <w:lang w:val="fr-FR"/>
        </w:rPr>
        <w:t xml:space="preserve"> to </w:t>
      </w:r>
      <w:proofErr w:type="spellStart"/>
      <w:r>
        <w:rPr>
          <w:lang w:val="fr-FR"/>
        </w:rPr>
        <w:t>either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miRNA</w:t>
      </w:r>
      <w:proofErr w:type="spellEnd"/>
      <w:r>
        <w:rPr>
          <w:lang w:val="fr-FR"/>
        </w:rPr>
        <w:t xml:space="preserve">, YRNA, or </w:t>
      </w:r>
      <w:proofErr w:type="spellStart"/>
      <w:r>
        <w:rPr>
          <w:lang w:val="fr-FR"/>
        </w:rPr>
        <w:t>other</w:t>
      </w:r>
      <w:proofErr w:type="spellEnd"/>
      <w:r>
        <w:rPr>
          <w:lang w:val="fr-FR"/>
        </w:rPr>
        <w:t xml:space="preserve"> biotypes. The </w:t>
      </w:r>
      <w:proofErr w:type="spellStart"/>
      <w:r>
        <w:rPr>
          <w:lang w:val="fr-FR"/>
        </w:rPr>
        <w:t>percentage</w:t>
      </w:r>
      <w:proofErr w:type="spellEnd"/>
      <w:r>
        <w:rPr>
          <w:lang w:val="fr-FR"/>
        </w:rPr>
        <w:t xml:space="preserve"> of </w:t>
      </w:r>
      <w:proofErr w:type="spellStart"/>
      <w:r>
        <w:rPr>
          <w:lang w:val="fr-FR"/>
        </w:rPr>
        <w:t>reads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going</w:t>
      </w:r>
      <w:proofErr w:type="spellEnd"/>
      <w:r>
        <w:rPr>
          <w:lang w:val="fr-FR"/>
        </w:rPr>
        <w:t xml:space="preserve"> to a certain biotype are </w:t>
      </w:r>
      <w:proofErr w:type="spellStart"/>
      <w:r>
        <w:rPr>
          <w:lang w:val="fr-FR"/>
        </w:rPr>
        <w:t>shown</w:t>
      </w:r>
      <w:proofErr w:type="spellEnd"/>
      <w:r>
        <w:rPr>
          <w:lang w:val="fr-FR"/>
        </w:rPr>
        <w:t xml:space="preserve"> and </w:t>
      </w:r>
      <w:proofErr w:type="spellStart"/>
      <w:r>
        <w:rPr>
          <w:lang w:val="fr-FR"/>
        </w:rPr>
        <w:t>colored</w:t>
      </w:r>
      <w:proofErr w:type="spellEnd"/>
      <w:r>
        <w:rPr>
          <w:lang w:val="fr-FR"/>
        </w:rPr>
        <w:t xml:space="preserve"> by biotype. </w:t>
      </w:r>
      <w:r>
        <w:t>(CRC = colorectal cancer, LUAD = lung adenocarcinoma, PRAD = prostate adenocarcinoma).</w:t>
      </w:r>
    </w:p>
    <w:p w14:paraId="142398F8" w14:textId="77777777" w:rsidR="003B2439" w:rsidRPr="00571649" w:rsidRDefault="003B2439" w:rsidP="003B2439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7F874E8F" wp14:editId="04DDC1AF">
            <wp:extent cx="6400317" cy="2177143"/>
            <wp:effectExtent l="0" t="0" r="63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33333" r="9048" b="37618"/>
                    <a:stretch/>
                  </pic:blipFill>
                  <pic:spPr bwMode="auto">
                    <a:xfrm>
                      <a:off x="0" y="0"/>
                      <a:ext cx="6412804" cy="2181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65B3">
        <w:t xml:space="preserve">Supplemental Figure </w:t>
      </w:r>
      <w:r>
        <w:t xml:space="preserve">3. </w:t>
      </w:r>
      <w:r>
        <w:rPr>
          <w:b/>
          <w:bCs/>
        </w:rPr>
        <w:t xml:space="preserve">Correlation plots comparing all biological replicates. </w:t>
      </w:r>
      <w:r>
        <w:t xml:space="preserve">Density plots for counts per million comparing each biological replicate. Each hexagon represents on the plot and they are colored by the number of genes falling within that region. </w:t>
      </w:r>
    </w:p>
    <w:p w14:paraId="34B015F2" w14:textId="77777777" w:rsidR="003B2439" w:rsidRDefault="003B2439" w:rsidP="003B2439">
      <w:pPr>
        <w:spacing w:line="480" w:lineRule="auto"/>
      </w:pPr>
      <w:r>
        <w:rPr>
          <w:noProof/>
          <w:lang w:eastAsia="en-US"/>
        </w:rPr>
        <w:drawing>
          <wp:inline distT="0" distB="0" distL="0" distR="0" wp14:anchorId="4A5C0242" wp14:editId="46CF73D8">
            <wp:extent cx="4445000" cy="317500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6B310" w14:textId="77777777" w:rsidR="003B2439" w:rsidRDefault="003B2439" w:rsidP="003B2439">
      <w:pPr>
        <w:spacing w:line="480" w:lineRule="auto"/>
      </w:pPr>
      <w:r w:rsidRPr="007865B3">
        <w:t xml:space="preserve">Supplemental Figure </w:t>
      </w:r>
      <w:r>
        <w:t xml:space="preserve">4. </w:t>
      </w:r>
      <w:r>
        <w:rPr>
          <w:b/>
          <w:bCs/>
        </w:rPr>
        <w:t xml:space="preserve">Length distribution of full-length transcripts after Oxford Nanopore direct-RNA sequencing. </w:t>
      </w:r>
      <w:r>
        <w:t xml:space="preserve">For each of the samples (treated and non-treated) the distribution of the read lengths are visualized using violin plots. The y-axis is log10 transformed to allow for better investigation of the short reads. This plot is generated using </w:t>
      </w:r>
      <w:proofErr w:type="spellStart"/>
      <w:r>
        <w:t>NanoComp</w:t>
      </w:r>
      <w:proofErr w:type="spellEnd"/>
      <w:r>
        <w:t xml:space="preserve">. </w:t>
      </w:r>
    </w:p>
    <w:p w14:paraId="4D5057F6" w14:textId="77777777" w:rsidR="003B2439" w:rsidRDefault="003B2439" w:rsidP="003B2439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1F9C0574" wp14:editId="3F8A00C4">
            <wp:extent cx="4445000" cy="31750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4878" w14:textId="77777777" w:rsidR="003B2439" w:rsidRDefault="003B2439" w:rsidP="003B2439">
      <w:pPr>
        <w:spacing w:line="480" w:lineRule="auto"/>
      </w:pPr>
      <w:r>
        <w:t xml:space="preserve">Supplemental Figure 5. </w:t>
      </w:r>
      <w:r>
        <w:rPr>
          <w:b/>
          <w:bCs/>
        </w:rPr>
        <w:t xml:space="preserve">Quality score distribution of full-length transcripts after Oxford Nanopore direct-RNA sequencing. </w:t>
      </w:r>
      <w:r>
        <w:t xml:space="preserve">For each of the samples (treated and non-treated) the distribution of the quality scores is visualized using violin plots. This plot is generated using </w:t>
      </w:r>
      <w:proofErr w:type="spellStart"/>
      <w:r>
        <w:t>NanoComp</w:t>
      </w:r>
      <w:proofErr w:type="spellEnd"/>
      <w:r>
        <w:t>.</w:t>
      </w:r>
    </w:p>
    <w:p w14:paraId="4927DDBD" w14:textId="77777777" w:rsidR="003B2439" w:rsidRDefault="003B2439" w:rsidP="003B2439">
      <w:pPr>
        <w:spacing w:line="480" w:lineRule="auto"/>
      </w:pPr>
    </w:p>
    <w:p w14:paraId="197273B4" w14:textId="77777777" w:rsidR="003B2439" w:rsidRDefault="003B2439" w:rsidP="003B2439">
      <w:pPr>
        <w:spacing w:line="480" w:lineRule="auto"/>
      </w:pPr>
      <w:r>
        <w:rPr>
          <w:noProof/>
          <w:lang w:eastAsia="en-US"/>
        </w:rPr>
        <w:drawing>
          <wp:inline distT="0" distB="0" distL="0" distR="0" wp14:anchorId="2C4C3FF0" wp14:editId="043DA0C6">
            <wp:extent cx="5756910" cy="3411220"/>
            <wp:effectExtent l="0" t="0" r="0" b="508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8446" w14:textId="77777777" w:rsidR="003B2439" w:rsidRDefault="003B2439" w:rsidP="003B2439">
      <w:pPr>
        <w:spacing w:line="480" w:lineRule="auto"/>
      </w:pPr>
      <w:r>
        <w:lastRenderedPageBreak/>
        <w:t xml:space="preserve">Supplemental Figure 6. </w:t>
      </w:r>
      <w:r>
        <w:rPr>
          <w:b/>
          <w:bCs/>
        </w:rPr>
        <w:t xml:space="preserve">Illustration of problematic MALAT1 fragments and design space. </w:t>
      </w:r>
      <w:r>
        <w:t xml:space="preserve">The upper track shows the reads mapping to MALAT1 for a </w:t>
      </w:r>
      <w:r w:rsidRPr="002215FB">
        <w:t xml:space="preserve">single-cell 10X Chromium 3’ end sequencing </w:t>
      </w:r>
      <w:r>
        <w:t xml:space="preserve">library originating from </w:t>
      </w:r>
      <w:r w:rsidRPr="002215FB">
        <w:t>PBMCs</w:t>
      </w:r>
      <w:r>
        <w:t xml:space="preserve">. The lower track shows where the designed LNA oligonucleotides are binding (two blue lines). This overview was created using IGV. </w:t>
      </w:r>
    </w:p>
    <w:p w14:paraId="25586100" w14:textId="77777777" w:rsidR="003B2439" w:rsidRDefault="003B2439" w:rsidP="003B2439">
      <w:pPr>
        <w:spacing w:line="480" w:lineRule="auto"/>
      </w:pPr>
      <w:r>
        <w:rPr>
          <w:noProof/>
          <w:lang w:eastAsia="en-US"/>
        </w:rPr>
        <w:drawing>
          <wp:inline distT="0" distB="0" distL="0" distR="0" wp14:anchorId="4B4D8374" wp14:editId="77B8C377">
            <wp:extent cx="5756910" cy="287845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E023C" w14:textId="77777777" w:rsidR="003B2439" w:rsidRPr="00361827" w:rsidRDefault="003B2439" w:rsidP="003B2439">
      <w:pPr>
        <w:spacing w:line="480" w:lineRule="auto"/>
      </w:pPr>
      <w:r>
        <w:t xml:space="preserve">Supplemental Figure 7. </w:t>
      </w:r>
      <w:r>
        <w:rPr>
          <w:b/>
          <w:bCs/>
        </w:rPr>
        <w:t xml:space="preserve">MALAT transcription in each cell type. </w:t>
      </w:r>
      <w:r>
        <w:t>The percentage of reads mapping to MALAT are shown for each cell type. The averages and 95%-confidence intervals are shown and colored by the blocking regiment.</w:t>
      </w:r>
    </w:p>
    <w:p w14:paraId="44F88B58" w14:textId="77777777" w:rsidR="003B2439" w:rsidRDefault="003B2439" w:rsidP="003B2439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062FB3A1" wp14:editId="6F0AE3A7">
            <wp:extent cx="5756910" cy="590677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676C1" w14:textId="77777777" w:rsidR="003B2439" w:rsidRDefault="003B2439" w:rsidP="003B2439">
      <w:pPr>
        <w:spacing w:line="480" w:lineRule="auto"/>
        <w:rPr>
          <w:b/>
          <w:bCs/>
        </w:rPr>
      </w:pPr>
      <w:r>
        <w:t xml:space="preserve">Supplemental Figure 8. </w:t>
      </w:r>
      <w:r>
        <w:rPr>
          <w:b/>
          <w:bCs/>
        </w:rPr>
        <w:t xml:space="preserve">Correlation plot between </w:t>
      </w:r>
      <w:proofErr w:type="spellStart"/>
      <w:r>
        <w:rPr>
          <w:b/>
          <w:bCs/>
        </w:rPr>
        <w:t>prePCR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noLNA</w:t>
      </w:r>
      <w:proofErr w:type="spellEnd"/>
      <w:r>
        <w:rPr>
          <w:b/>
          <w:bCs/>
        </w:rPr>
        <w:t xml:space="preserve"> samples. </w:t>
      </w:r>
      <w:r>
        <w:t>Counts are displayed as the median of the log</w:t>
      </w:r>
      <w:r>
        <w:rPr>
          <w:vertAlign w:val="subscript"/>
        </w:rPr>
        <w:t>10</w:t>
      </w:r>
      <w:r>
        <w:t xml:space="preserve"> of the counts+1. One is added to each count to deal with genes with 0 counts. Each dot is a gene.</w:t>
      </w:r>
    </w:p>
    <w:p w14:paraId="29067E0A" w14:textId="77777777" w:rsidR="003B2439" w:rsidRPr="007B7955" w:rsidRDefault="003B2439" w:rsidP="003B2439">
      <w:pPr>
        <w:spacing w:line="480" w:lineRule="auto"/>
        <w:rPr>
          <w:i/>
          <w:iCs/>
        </w:rPr>
      </w:pPr>
      <w:r>
        <w:t xml:space="preserve">Supplemental Table 1. </w:t>
      </w:r>
      <w:r>
        <w:rPr>
          <w:b/>
          <w:bCs/>
        </w:rPr>
        <w:t xml:space="preserve">Sequences of designed synthetic oligonucleotides. </w:t>
      </w:r>
      <w:r>
        <w:t>For each modified oligonucleotide the identification, gene target and sequence are provided. The sequences contain modification information in the generally accepted standard of notification.</w:t>
      </w:r>
    </w:p>
    <w:tbl>
      <w:tblPr>
        <w:tblW w:w="90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134"/>
        <w:gridCol w:w="6039"/>
      </w:tblGrid>
      <w:tr w:rsidR="003B2439" w:rsidRPr="00915796" w14:paraId="09508410" w14:textId="77777777" w:rsidTr="00B17C0D">
        <w:trPr>
          <w:trHeight w:val="212"/>
        </w:trPr>
        <w:tc>
          <w:tcPr>
            <w:tcW w:w="18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1E1AC0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  <w:lang w:val="nl-NL" w:eastAsia="en-US"/>
              </w:rPr>
              <w:t>oligo ID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F51EC8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  <w:lang w:val="nl-NL" w:eastAsia="en-US"/>
              </w:rPr>
              <w:t>targeted gene</w:t>
            </w:r>
          </w:p>
        </w:tc>
        <w:tc>
          <w:tcPr>
            <w:tcW w:w="6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0AA88D7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  <w:lang w:val="nl-NL" w:eastAsia="en-US"/>
              </w:rPr>
              <w:t>s</w:t>
            </w:r>
            <w:r w:rsidRPr="00915796">
              <w:rPr>
                <w:rFonts w:ascii="Helvetica" w:hAnsi="Helvetica" w:cs="Calibri"/>
                <w:b/>
                <w:bCs/>
                <w:color w:val="000000"/>
                <w:sz w:val="15"/>
                <w:szCs w:val="15"/>
                <w:lang w:val="nl-NL" w:eastAsia="en-US"/>
              </w:rPr>
              <w:t>equence</w:t>
            </w:r>
          </w:p>
        </w:tc>
      </w:tr>
      <w:tr w:rsidR="003B2439" w:rsidRPr="00915796" w14:paraId="0229CE29" w14:textId="77777777" w:rsidTr="00B17C0D">
        <w:trPr>
          <w:trHeight w:val="461"/>
        </w:trPr>
        <w:tc>
          <w:tcPr>
            <w:tcW w:w="183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0E71920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lastRenderedPageBreak/>
              <w:t>RNY4_full_LNA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CBBCD1E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BB8F8B2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+A+C+C+C+A+C+T+A+C+C+A+T+C+G+G+A</w:t>
            </w:r>
          </w:p>
        </w:tc>
      </w:tr>
      <w:tr w:rsidR="003B2439" w:rsidRPr="00915796" w14:paraId="4A0A7432" w14:textId="77777777" w:rsidTr="00B17C0D">
        <w:trPr>
          <w:trHeight w:val="461"/>
        </w:trPr>
        <w:tc>
          <w:tcPr>
            <w:tcW w:w="1833" w:type="dxa"/>
            <w:shd w:val="clear" w:color="auto" w:fill="auto"/>
            <w:vAlign w:val="center"/>
            <w:hideMark/>
          </w:tcPr>
          <w:p w14:paraId="18D6BA5D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RNY4_half_LNA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82F7F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3502DDF9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+AC+CC+AC+TAC+CA+TC+GG+A</w:t>
            </w:r>
          </w:p>
        </w:tc>
      </w:tr>
      <w:tr w:rsidR="003B2439" w:rsidRPr="002E4CE7" w14:paraId="4968FE5A" w14:textId="77777777" w:rsidTr="00B17C0D">
        <w:trPr>
          <w:trHeight w:val="761"/>
        </w:trPr>
        <w:tc>
          <w:tcPr>
            <w:tcW w:w="1833" w:type="dxa"/>
            <w:shd w:val="clear" w:color="auto" w:fill="auto"/>
            <w:vAlign w:val="center"/>
            <w:hideMark/>
          </w:tcPr>
          <w:p w14:paraId="0E18863C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RNY4_full_2'OMe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E26258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50E3ACCC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  <w:lang w:val="nl-BE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mA*mC*mC*mC*mA*mC*mT*mA*mC*mC*mA*mT*mC*mG*mG*mA</w:t>
            </w:r>
          </w:p>
        </w:tc>
      </w:tr>
      <w:tr w:rsidR="003B2439" w:rsidRPr="00915796" w14:paraId="4207FC6A" w14:textId="77777777" w:rsidTr="00B17C0D">
        <w:trPr>
          <w:trHeight w:val="611"/>
        </w:trPr>
        <w:tc>
          <w:tcPr>
            <w:tcW w:w="1833" w:type="dxa"/>
            <w:shd w:val="clear" w:color="auto" w:fill="auto"/>
            <w:vAlign w:val="center"/>
            <w:hideMark/>
          </w:tcPr>
          <w:p w14:paraId="5BF2A048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RNY4_half_2'OMe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FBBEFB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25DA47FA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mA*C*</w:t>
            </w:r>
            <w:proofErr w:type="spellStart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mC</w:t>
            </w:r>
            <w:proofErr w:type="spellEnd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*C*mA*C*</w:t>
            </w:r>
            <w:proofErr w:type="spellStart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</w:t>
            </w:r>
            <w:proofErr w:type="spellEnd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*A*C*</w:t>
            </w:r>
            <w:proofErr w:type="spellStart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mC</w:t>
            </w:r>
            <w:proofErr w:type="spellEnd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*A*</w:t>
            </w:r>
            <w:proofErr w:type="spellStart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</w:t>
            </w:r>
            <w:proofErr w:type="spellEnd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*C*</w:t>
            </w:r>
            <w:proofErr w:type="spellStart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mG</w:t>
            </w:r>
            <w:proofErr w:type="spellEnd"/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*G*mA</w:t>
            </w:r>
          </w:p>
        </w:tc>
      </w:tr>
      <w:tr w:rsidR="003B2439" w:rsidRPr="00915796" w14:paraId="21B511E0" w14:textId="77777777" w:rsidTr="00B17C0D">
        <w:trPr>
          <w:trHeight w:val="1660"/>
        </w:trPr>
        <w:tc>
          <w:tcPr>
            <w:tcW w:w="1833" w:type="dxa"/>
            <w:shd w:val="clear" w:color="auto" w:fill="auto"/>
            <w:vAlign w:val="center"/>
            <w:hideMark/>
          </w:tcPr>
          <w:p w14:paraId="476B49FF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RNY4_full_2’MOE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028D28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4EEE2959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</w:rPr>
              <w:t>/52MOErA/*/i2MOErC/*/i2MOErC/*/i2MOErC/*/i2MOErA/*/i2MOErC/*/i2MOErT/*/i2MOErA/*/i2MOErC/*/i2MOErC/*/i2MOErA/*/i2MOErT/*/i2MOErC/*/i2MOErG/*/i2MOErG/*/32MOErA/</w:t>
            </w:r>
          </w:p>
        </w:tc>
      </w:tr>
      <w:tr w:rsidR="003B2439" w:rsidRPr="00915796" w14:paraId="388A4762" w14:textId="77777777" w:rsidTr="00B17C0D">
        <w:trPr>
          <w:trHeight w:val="1061"/>
        </w:trPr>
        <w:tc>
          <w:tcPr>
            <w:tcW w:w="1833" w:type="dxa"/>
            <w:shd w:val="clear" w:color="auto" w:fill="auto"/>
            <w:vAlign w:val="center"/>
            <w:hideMark/>
          </w:tcPr>
          <w:p w14:paraId="3A7B9059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RNY4_half_2’MOE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5D753C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val="nl-NL" w:eastAsia="en-US"/>
              </w:rPr>
              <w:t>RNY4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69673C89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/52MOErA/*C*/i2MOErC/*C*/i2MOErA/*C*/i2MOErT/*A*C*/i2MOErC/*A*/i2MOErT/*C*/i2MOErG/*G*/32MOErA/</w:t>
            </w:r>
          </w:p>
        </w:tc>
      </w:tr>
      <w:tr w:rsidR="003B2439" w:rsidRPr="00915796" w14:paraId="6B1EB5FE" w14:textId="77777777" w:rsidTr="00B17C0D">
        <w:trPr>
          <w:trHeight w:val="461"/>
        </w:trPr>
        <w:tc>
          <w:tcPr>
            <w:tcW w:w="1833" w:type="dxa"/>
            <w:shd w:val="clear" w:color="auto" w:fill="auto"/>
            <w:vAlign w:val="center"/>
            <w:hideMark/>
          </w:tcPr>
          <w:p w14:paraId="2BE15EDB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RNA45S_full_LNA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0D2C0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RNA45S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3AA1C566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</w:rPr>
              <w:t>+C+C+G+C+T+G+A+C+T+A+A+T+A+T+G+C</w:t>
            </w:r>
          </w:p>
        </w:tc>
      </w:tr>
      <w:tr w:rsidR="003B2439" w:rsidRPr="00915796" w14:paraId="4AE45714" w14:textId="77777777" w:rsidTr="00B17C0D">
        <w:trPr>
          <w:trHeight w:val="611"/>
        </w:trPr>
        <w:tc>
          <w:tcPr>
            <w:tcW w:w="1833" w:type="dxa"/>
            <w:shd w:val="clear" w:color="auto" w:fill="auto"/>
            <w:vAlign w:val="center"/>
            <w:hideMark/>
          </w:tcPr>
          <w:p w14:paraId="1438B408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MT-RNR1_full_LNA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5F59F7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MT-RNR1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0B0B4861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+C+T+C+A+G+G +T+G+A+G+T+T +T+T+A+G</w:t>
            </w:r>
          </w:p>
        </w:tc>
      </w:tr>
      <w:tr w:rsidR="003B2439" w:rsidRPr="00915796" w14:paraId="0D570BF2" w14:textId="77777777" w:rsidTr="00B17C0D">
        <w:trPr>
          <w:trHeight w:val="461"/>
        </w:trPr>
        <w:tc>
          <w:tcPr>
            <w:tcW w:w="1833" w:type="dxa"/>
            <w:shd w:val="clear" w:color="auto" w:fill="auto"/>
            <w:vAlign w:val="center"/>
            <w:hideMark/>
          </w:tcPr>
          <w:p w14:paraId="34ED69B1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MT-RNR2_full_LNA_1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FC7376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MT-RNR2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79E62645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+A+G+A+C+G+G+G+T+G+T+G+C+T+C+T+T</w:t>
            </w:r>
          </w:p>
        </w:tc>
      </w:tr>
      <w:tr w:rsidR="003B2439" w:rsidRPr="00915796" w14:paraId="1A887484" w14:textId="77777777" w:rsidTr="00B17C0D">
        <w:trPr>
          <w:trHeight w:val="461"/>
        </w:trPr>
        <w:tc>
          <w:tcPr>
            <w:tcW w:w="1833" w:type="dxa"/>
            <w:shd w:val="clear" w:color="auto" w:fill="auto"/>
            <w:vAlign w:val="center"/>
            <w:hideMark/>
          </w:tcPr>
          <w:p w14:paraId="5F720586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MT-RNR2_full_LNA_2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4AD1E1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MT-RNR2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3562634E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+A+G+C+A+T+G+C+C+T+G+T+G +T+T+G+G</w:t>
            </w:r>
          </w:p>
        </w:tc>
      </w:tr>
      <w:tr w:rsidR="003B2439" w:rsidRPr="00915796" w14:paraId="49B0B213" w14:textId="77777777" w:rsidTr="00B17C0D">
        <w:trPr>
          <w:trHeight w:val="461"/>
        </w:trPr>
        <w:tc>
          <w:tcPr>
            <w:tcW w:w="1833" w:type="dxa"/>
            <w:shd w:val="clear" w:color="auto" w:fill="auto"/>
            <w:vAlign w:val="center"/>
            <w:hideMark/>
          </w:tcPr>
          <w:p w14:paraId="7FEAA2DF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MALAT1_half_LNA_1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774AAF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MALAT1</w:t>
            </w:r>
          </w:p>
        </w:tc>
        <w:tc>
          <w:tcPr>
            <w:tcW w:w="6039" w:type="dxa"/>
            <w:shd w:val="clear" w:color="auto" w:fill="auto"/>
            <w:vAlign w:val="center"/>
            <w:hideMark/>
          </w:tcPr>
          <w:p w14:paraId="6678F736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</w:rPr>
              <w:t>+GA+CG+CA+AT+TC+TC+CC+TG+C+G</w:t>
            </w:r>
          </w:p>
        </w:tc>
      </w:tr>
      <w:tr w:rsidR="003B2439" w:rsidRPr="00915796" w14:paraId="113345E5" w14:textId="77777777" w:rsidTr="00B17C0D">
        <w:trPr>
          <w:trHeight w:val="461"/>
        </w:trPr>
        <w:tc>
          <w:tcPr>
            <w:tcW w:w="18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AC6C7B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MALAT1_half_LNA_2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3CA5B89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  <w:lang w:eastAsia="en-US"/>
              </w:rPr>
              <w:t>MALAT1</w:t>
            </w:r>
          </w:p>
        </w:tc>
        <w:tc>
          <w:tcPr>
            <w:tcW w:w="603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268117" w14:textId="77777777" w:rsidR="003B2439" w:rsidRPr="00915796" w:rsidRDefault="003B2439" w:rsidP="00B17C0D">
            <w:pPr>
              <w:spacing w:line="480" w:lineRule="auto"/>
              <w:rPr>
                <w:rFonts w:ascii="Helvetica" w:hAnsi="Helvetica" w:cs="Calibri"/>
                <w:color w:val="000000"/>
                <w:sz w:val="15"/>
                <w:szCs w:val="15"/>
              </w:rPr>
            </w:pPr>
            <w:r w:rsidRPr="00915796">
              <w:rPr>
                <w:rFonts w:ascii="Helvetica" w:hAnsi="Helvetica" w:cs="Calibri"/>
                <w:color w:val="000000"/>
                <w:sz w:val="15"/>
                <w:szCs w:val="15"/>
              </w:rPr>
              <w:t>+CT+TA+TC+TG+CG+GT+TT+CC+T+C</w:t>
            </w:r>
          </w:p>
        </w:tc>
      </w:tr>
    </w:tbl>
    <w:p w14:paraId="770D234D" w14:textId="77777777" w:rsidR="003B2439" w:rsidRDefault="003B2439" w:rsidP="003B2439">
      <w:pPr>
        <w:spacing w:line="480" w:lineRule="auto"/>
      </w:pPr>
    </w:p>
    <w:p w14:paraId="4E103B41" w14:textId="77777777" w:rsidR="003B2439" w:rsidRPr="00AF61B9" w:rsidRDefault="003B2439" w:rsidP="003B2439">
      <w:pPr>
        <w:spacing w:line="480" w:lineRule="auto"/>
        <w:jc w:val="both"/>
      </w:pPr>
    </w:p>
    <w:p w14:paraId="5FBE173C" w14:textId="77777777" w:rsidR="001D6DA0" w:rsidRDefault="00285112">
      <w:bookmarkStart w:id="0" w:name="_GoBack"/>
      <w:bookmarkEnd w:id="0"/>
    </w:p>
    <w:sectPr w:rsidR="001D6DA0" w:rsidSect="00285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B2439"/>
    <w:rsid w:val="00285112"/>
    <w:rsid w:val="003A07E0"/>
    <w:rsid w:val="003A18FC"/>
    <w:rsid w:val="003B2439"/>
    <w:rsid w:val="004E53F4"/>
    <w:rsid w:val="006C3B74"/>
    <w:rsid w:val="00AA42B3"/>
    <w:rsid w:val="00D1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39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439"/>
    <w:pPr>
      <w:spacing w:after="200" w:line="360" w:lineRule="auto"/>
    </w:pPr>
    <w:rPr>
      <w:rFonts w:ascii="Arial" w:eastAsia="SimSun" w:hAnsi="Arial" w:cs="Arial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439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43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3B2439"/>
  </w:style>
  <w:style w:type="paragraph" w:styleId="BalloonText">
    <w:name w:val="Balloon Text"/>
    <w:basedOn w:val="Normal"/>
    <w:link w:val="BalloonTextChar"/>
    <w:uiPriority w:val="99"/>
    <w:semiHidden/>
    <w:unhideWhenUsed/>
    <w:rsid w:val="0028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112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439"/>
    <w:pPr>
      <w:spacing w:after="200" w:line="360" w:lineRule="auto"/>
    </w:pPr>
    <w:rPr>
      <w:rFonts w:ascii="Arial" w:eastAsia="SimSun" w:hAnsi="Arial" w:cs="Arial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439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43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3B2439"/>
  </w:style>
  <w:style w:type="paragraph" w:styleId="BalloonText">
    <w:name w:val="Balloon Text"/>
    <w:basedOn w:val="Normal"/>
    <w:link w:val="BalloonTextChar"/>
    <w:uiPriority w:val="99"/>
    <w:semiHidden/>
    <w:unhideWhenUsed/>
    <w:rsid w:val="0028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112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9213C4B7ACE46AFA25E9D9124AB92" ma:contentTypeVersion="13" ma:contentTypeDescription="Een nieuw document maken." ma:contentTypeScope="" ma:versionID="99477a2ed38ebe45e1ad48f477f2fdaa">
  <xsd:schema xmlns:xsd="http://www.w3.org/2001/XMLSchema" xmlns:xs="http://www.w3.org/2001/XMLSchema" xmlns:p="http://schemas.microsoft.com/office/2006/metadata/properties" xmlns:ns2="1753b895-64f0-416f-9d4a-0d0b78ea5bf9" xmlns:ns3="f93bb479-6cef-4d3f-a6ed-cfa98e38dd54" targetNamespace="http://schemas.microsoft.com/office/2006/metadata/properties" ma:root="true" ma:fieldsID="2101eb70436b72a9415b02570ef24c47" ns2:_="" ns3:_="">
    <xsd:import namespace="1753b895-64f0-416f-9d4a-0d0b78ea5bf9"/>
    <xsd:import namespace="f93bb479-6cef-4d3f-a6ed-cfa98e38d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3b895-64f0-416f-9d4a-0d0b78ea5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b479-6cef-4d3f-a6ed-cfa98e38d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207e9-a9ae-4a7d-a121-d824ebe3f662}" ma:internalName="TaxCatchAll" ma:showField="CatchAllData" ma:web="f93bb479-6cef-4d3f-a6ed-cfa98e38d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9C13C-D830-456B-82C5-AED2D58CB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D0FF9-2E08-4D6E-83CB-DA369DCA6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3b895-64f0-416f-9d4a-0d0b78ea5bf9"/>
    <ds:schemaRef ds:uri="f93bb479-6cef-4d3f-a6ed-cfa98e38d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629</Words>
  <Characters>4136</Characters>
  <Application>Microsoft Office Word</Application>
  <DocSecurity>0</DocSecurity>
  <Lines>106</Lines>
  <Paragraphs>64</Paragraphs>
  <ScaleCrop>false</ScaleCrop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Verwilt</dc:creator>
  <cp:keywords/>
  <dc:description/>
  <cp:lastModifiedBy>S3G_Reference_Citation_Sequence</cp:lastModifiedBy>
  <cp:revision>2</cp:revision>
  <dcterms:created xsi:type="dcterms:W3CDTF">2023-01-05T11:01:00Z</dcterms:created>
  <dcterms:modified xsi:type="dcterms:W3CDTF">2023-02-15T03:14:00Z</dcterms:modified>
</cp:coreProperties>
</file>