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D24" w:rsidRPr="009A1607" w:rsidRDefault="000013DB" w:rsidP="0065785C">
      <w:pPr>
        <w:jc w:val="center"/>
        <w:rPr>
          <w:rFonts w:ascii="Palatino Linotype" w:hAnsi="Palatino Linotype"/>
          <w:b/>
          <w:sz w:val="28"/>
          <w:szCs w:val="28"/>
          <w:u w:val="single"/>
        </w:rPr>
      </w:pPr>
      <w:r>
        <w:rPr>
          <w:rFonts w:ascii="Palatino Linotype" w:hAnsi="Palatino Linotype"/>
          <w:b/>
          <w:sz w:val="28"/>
          <w:szCs w:val="28"/>
          <w:u w:val="single"/>
        </w:rPr>
        <w:t>Additional</w:t>
      </w:r>
      <w:r w:rsidR="00267BC2" w:rsidRPr="009A1607">
        <w:rPr>
          <w:rFonts w:ascii="Palatino Linotype" w:hAnsi="Palatino Linotype"/>
          <w:b/>
          <w:sz w:val="28"/>
          <w:szCs w:val="28"/>
          <w:u w:val="single"/>
        </w:rPr>
        <w:t xml:space="preserve"> information</w:t>
      </w:r>
    </w:p>
    <w:p w:rsidR="00267BC2" w:rsidRPr="0065785C" w:rsidRDefault="000013DB">
      <w:pPr>
        <w:rPr>
          <w:rFonts w:ascii="Palatino Linotype" w:hAnsi="Palatino Linotype"/>
          <w:sz w:val="20"/>
          <w:szCs w:val="20"/>
          <w:u w:val="single"/>
        </w:rPr>
      </w:pPr>
      <w:r>
        <w:rPr>
          <w:rFonts w:ascii="Palatino Linotype" w:hAnsi="Palatino Linotype"/>
          <w:sz w:val="20"/>
          <w:szCs w:val="20"/>
          <w:u w:val="single"/>
        </w:rPr>
        <w:t>Additional</w:t>
      </w:r>
      <w:r w:rsidR="00CD3D81" w:rsidRPr="0065785C">
        <w:rPr>
          <w:rFonts w:ascii="Palatino Linotype" w:hAnsi="Palatino Linotype"/>
          <w:sz w:val="20"/>
          <w:szCs w:val="20"/>
          <w:u w:val="single"/>
        </w:rPr>
        <w:t xml:space="preserve"> section S1: Characterization</w:t>
      </w:r>
      <w:r w:rsidR="00267BC2" w:rsidRPr="0065785C">
        <w:rPr>
          <w:rFonts w:ascii="Palatino Linotype" w:hAnsi="Palatino Linotype"/>
          <w:sz w:val="20"/>
          <w:szCs w:val="20"/>
          <w:u w:val="single"/>
        </w:rPr>
        <w:t xml:space="preserve"> of smaller NPs used for encapsulation lipid nanoparticle system</w:t>
      </w:r>
    </w:p>
    <w:p w:rsidR="00267BC2" w:rsidRPr="0065785C" w:rsidRDefault="00AA3D4F" w:rsidP="00AA3D4F">
      <w:pPr>
        <w:ind w:firstLine="1080"/>
        <w:rPr>
          <w:rFonts w:ascii="Palatino Linotype" w:hAnsi="Palatino Linotype"/>
          <w:sz w:val="20"/>
          <w:szCs w:val="20"/>
        </w:rPr>
      </w:pPr>
      <w:r>
        <w:rPr>
          <w:noProof/>
          <w:lang w:val="en-IN" w:eastAsia="en-IN"/>
        </w:rPr>
        <w:drawing>
          <wp:inline distT="0" distB="0" distL="0" distR="0">
            <wp:extent cx="3863788" cy="320213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3875297" cy="3211676"/>
                    </a:xfrm>
                    <a:prstGeom prst="rect">
                      <a:avLst/>
                    </a:prstGeom>
                  </pic:spPr>
                </pic:pic>
              </a:graphicData>
            </a:graphic>
          </wp:inline>
        </w:drawing>
      </w:r>
    </w:p>
    <w:p w:rsidR="00CD3D81" w:rsidRPr="0065785C" w:rsidRDefault="00267BC2" w:rsidP="0065785C">
      <w:pPr>
        <w:jc w:val="center"/>
        <w:rPr>
          <w:rFonts w:ascii="Palatino Linotype" w:hAnsi="Palatino Linotype"/>
          <w:noProof/>
          <w:sz w:val="18"/>
          <w:szCs w:val="18"/>
        </w:rPr>
      </w:pPr>
      <w:r w:rsidRPr="0065785C">
        <w:rPr>
          <w:rFonts w:ascii="Palatino Linotype" w:hAnsi="Palatino Linotype"/>
          <w:sz w:val="18"/>
          <w:szCs w:val="18"/>
        </w:rPr>
        <w:t xml:space="preserve">Figure S1: </w:t>
      </w:r>
      <w:r w:rsidR="00AA3D4F">
        <w:rPr>
          <w:rFonts w:ascii="Palatino Linotype" w:hAnsi="Palatino Linotype"/>
          <w:sz w:val="18"/>
          <w:szCs w:val="18"/>
        </w:rPr>
        <w:t xml:space="preserve">A) </w:t>
      </w:r>
      <w:r w:rsidRPr="0065785C">
        <w:rPr>
          <w:rFonts w:ascii="Palatino Linotype" w:hAnsi="Palatino Linotype"/>
          <w:sz w:val="18"/>
          <w:szCs w:val="18"/>
        </w:rPr>
        <w:t>Transmission electron microscopy image</w:t>
      </w:r>
      <w:r w:rsidR="00AA3D4F">
        <w:rPr>
          <w:rFonts w:ascii="Palatino Linotype" w:hAnsi="Palatino Linotype"/>
          <w:sz w:val="18"/>
          <w:szCs w:val="18"/>
        </w:rPr>
        <w:t>, B)</w:t>
      </w:r>
      <w:r w:rsidRPr="0065785C">
        <w:rPr>
          <w:rFonts w:ascii="Palatino Linotype" w:hAnsi="Palatino Linotype"/>
          <w:sz w:val="18"/>
          <w:szCs w:val="18"/>
        </w:rPr>
        <w:t xml:space="preserve"> </w:t>
      </w:r>
      <w:r w:rsidR="00AA3D4F">
        <w:rPr>
          <w:rFonts w:ascii="Palatino Linotype" w:hAnsi="Palatino Linotype"/>
          <w:sz w:val="18"/>
          <w:szCs w:val="18"/>
        </w:rPr>
        <w:t xml:space="preserve">UV-visible spectrum of 5 nm GNPs along with LNP-GNPs, C-D) </w:t>
      </w:r>
      <w:r w:rsidRPr="0065785C">
        <w:rPr>
          <w:rFonts w:ascii="Palatino Linotype" w:hAnsi="Palatino Linotype"/>
          <w:sz w:val="18"/>
          <w:szCs w:val="18"/>
        </w:rPr>
        <w:t xml:space="preserve">dark-field image and few spectra collected from the corresponding hyper spectral image of </w:t>
      </w:r>
      <w:r w:rsidR="00AA3D4F">
        <w:rPr>
          <w:rFonts w:ascii="Palatino Linotype" w:hAnsi="Palatino Linotype"/>
          <w:sz w:val="18"/>
          <w:szCs w:val="18"/>
        </w:rPr>
        <w:t xml:space="preserve">5 nm </w:t>
      </w:r>
      <w:r w:rsidRPr="0065785C">
        <w:rPr>
          <w:rFonts w:ascii="Palatino Linotype" w:hAnsi="Palatino Linotype"/>
          <w:sz w:val="18"/>
          <w:szCs w:val="18"/>
        </w:rPr>
        <w:t>nanoparticles</w:t>
      </w:r>
      <w:r w:rsidR="00CD3D81" w:rsidRPr="0065785C">
        <w:rPr>
          <w:rFonts w:ascii="Palatino Linotype" w:hAnsi="Palatino Linotype"/>
          <w:noProof/>
          <w:sz w:val="18"/>
          <w:szCs w:val="18"/>
        </w:rPr>
        <w:t>.</w:t>
      </w:r>
    </w:p>
    <w:p w:rsidR="00CD3D81" w:rsidRDefault="00CD3D81">
      <w:pPr>
        <w:rPr>
          <w:rFonts w:ascii="Palatino Linotype" w:hAnsi="Palatino Linotype"/>
          <w:noProof/>
          <w:sz w:val="20"/>
          <w:szCs w:val="20"/>
        </w:rPr>
      </w:pPr>
    </w:p>
    <w:p w:rsidR="00CD3D81" w:rsidRPr="0065785C" w:rsidRDefault="000013DB">
      <w:pPr>
        <w:rPr>
          <w:rFonts w:ascii="Palatino Linotype" w:hAnsi="Palatino Linotype"/>
          <w:sz w:val="20"/>
          <w:szCs w:val="20"/>
          <w:u w:val="single"/>
        </w:rPr>
      </w:pPr>
      <w:r>
        <w:rPr>
          <w:rFonts w:ascii="Palatino Linotype" w:hAnsi="Palatino Linotype"/>
          <w:sz w:val="20"/>
          <w:szCs w:val="20"/>
          <w:u w:val="single"/>
        </w:rPr>
        <w:t>Additional</w:t>
      </w:r>
      <w:r w:rsidR="00CD3D81" w:rsidRPr="0065785C">
        <w:rPr>
          <w:rFonts w:ascii="Palatino Linotype" w:hAnsi="Palatino Linotype"/>
          <w:sz w:val="20"/>
          <w:szCs w:val="20"/>
          <w:u w:val="single"/>
        </w:rPr>
        <w:t xml:space="preserve"> section S2: Biocompatibility of nanoparticles used in the study</w:t>
      </w:r>
    </w:p>
    <w:p w:rsidR="00CD3D81" w:rsidRPr="0065785C" w:rsidRDefault="00CD3D81" w:rsidP="00CD3D81">
      <w:pPr>
        <w:ind w:firstLine="1980"/>
        <w:rPr>
          <w:rFonts w:ascii="Palatino Linotype" w:hAnsi="Palatino Linotype"/>
          <w:sz w:val="20"/>
          <w:szCs w:val="20"/>
        </w:rPr>
      </w:pPr>
      <w:r w:rsidRPr="0065785C">
        <w:rPr>
          <w:rFonts w:ascii="Palatino Linotype" w:hAnsi="Palatino Linotype"/>
          <w:noProof/>
          <w:sz w:val="20"/>
          <w:szCs w:val="20"/>
          <w:lang w:val="en-IN" w:eastAsia="en-IN"/>
        </w:rPr>
        <w:drawing>
          <wp:inline distT="0" distB="0" distL="0" distR="0">
            <wp:extent cx="3320453" cy="254597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3345884" cy="2565476"/>
                    </a:xfrm>
                    <a:prstGeom prst="rect">
                      <a:avLst/>
                    </a:prstGeom>
                  </pic:spPr>
                </pic:pic>
              </a:graphicData>
            </a:graphic>
          </wp:inline>
        </w:drawing>
      </w:r>
    </w:p>
    <w:p w:rsidR="00CD3D81" w:rsidRPr="0065785C" w:rsidRDefault="00CD3D81" w:rsidP="0065785C">
      <w:pPr>
        <w:jc w:val="center"/>
        <w:rPr>
          <w:rFonts w:ascii="Palatino Linotype" w:hAnsi="Palatino Linotype"/>
          <w:sz w:val="18"/>
          <w:szCs w:val="18"/>
        </w:rPr>
      </w:pPr>
      <w:r w:rsidRPr="0065785C">
        <w:rPr>
          <w:rFonts w:ascii="Palatino Linotype" w:hAnsi="Palatino Linotype"/>
          <w:sz w:val="18"/>
          <w:szCs w:val="18"/>
        </w:rPr>
        <w:t>Figure S2. Biocompatibility of nanoparticles were measured using the clonogenic assay.</w:t>
      </w:r>
    </w:p>
    <w:p w:rsidR="00267BC2" w:rsidRDefault="000013DB">
      <w:pPr>
        <w:rPr>
          <w:rFonts w:ascii="Palatino Linotype" w:hAnsi="Palatino Linotype"/>
          <w:sz w:val="20"/>
          <w:szCs w:val="20"/>
          <w:u w:val="single"/>
        </w:rPr>
      </w:pPr>
      <w:bookmarkStart w:id="0" w:name="_GoBack"/>
      <w:bookmarkEnd w:id="0"/>
      <w:r>
        <w:rPr>
          <w:rFonts w:ascii="Palatino Linotype" w:hAnsi="Palatino Linotype"/>
          <w:sz w:val="20"/>
          <w:szCs w:val="20"/>
          <w:u w:val="single"/>
        </w:rPr>
        <w:t>Additional</w:t>
      </w:r>
      <w:r w:rsidR="00CD3D81" w:rsidRPr="0065785C">
        <w:rPr>
          <w:rFonts w:ascii="Palatino Linotype" w:hAnsi="Palatino Linotype"/>
          <w:sz w:val="20"/>
          <w:szCs w:val="20"/>
          <w:u w:val="single"/>
        </w:rPr>
        <w:t xml:space="preserve"> section S3: </w:t>
      </w:r>
      <w:r w:rsidR="00267BC2" w:rsidRPr="0065785C">
        <w:rPr>
          <w:rFonts w:ascii="Palatino Linotype" w:hAnsi="Palatino Linotype"/>
          <w:sz w:val="20"/>
          <w:szCs w:val="20"/>
          <w:u w:val="single"/>
        </w:rPr>
        <w:t xml:space="preserve"> </w:t>
      </w:r>
      <w:r w:rsidR="00CD3D81" w:rsidRPr="0065785C">
        <w:rPr>
          <w:rFonts w:ascii="Palatino Linotype" w:hAnsi="Palatino Linotype"/>
          <w:sz w:val="20"/>
          <w:szCs w:val="20"/>
          <w:u w:val="single"/>
        </w:rPr>
        <w:t>Dark-f</w:t>
      </w:r>
      <w:r w:rsidR="00565F4D">
        <w:rPr>
          <w:rFonts w:ascii="Palatino Linotype" w:hAnsi="Palatino Linotype"/>
          <w:sz w:val="20"/>
          <w:szCs w:val="20"/>
          <w:u w:val="single"/>
        </w:rPr>
        <w:t>ield</w:t>
      </w:r>
      <w:r w:rsidR="00CD3D81" w:rsidRPr="0065785C">
        <w:rPr>
          <w:rFonts w:ascii="Palatino Linotype" w:hAnsi="Palatino Linotype"/>
          <w:sz w:val="20"/>
          <w:szCs w:val="20"/>
          <w:u w:val="single"/>
        </w:rPr>
        <w:t xml:space="preserve"> images of cells </w:t>
      </w:r>
    </w:p>
    <w:p w:rsidR="0065785C" w:rsidRPr="0065785C" w:rsidRDefault="0065785C">
      <w:pPr>
        <w:rPr>
          <w:rFonts w:ascii="Palatino Linotype" w:hAnsi="Palatino Linotype"/>
          <w:sz w:val="20"/>
          <w:szCs w:val="20"/>
          <w:u w:val="single"/>
        </w:rPr>
      </w:pPr>
    </w:p>
    <w:p w:rsidR="00CD3D81" w:rsidRPr="0065785C" w:rsidRDefault="00CD3D81" w:rsidP="00CD3D81">
      <w:pPr>
        <w:ind w:firstLine="2250"/>
        <w:rPr>
          <w:rFonts w:ascii="Palatino Linotype" w:hAnsi="Palatino Linotype"/>
          <w:sz w:val="20"/>
          <w:szCs w:val="20"/>
        </w:rPr>
      </w:pPr>
      <w:r w:rsidRPr="0065785C">
        <w:rPr>
          <w:rFonts w:ascii="Palatino Linotype" w:hAnsi="Palatino Linotype"/>
          <w:noProof/>
          <w:sz w:val="20"/>
          <w:szCs w:val="20"/>
          <w:lang w:val="en-IN" w:eastAsia="en-IN"/>
        </w:rPr>
        <w:drawing>
          <wp:inline distT="0" distB="0" distL="0" distR="0">
            <wp:extent cx="4056529" cy="1532467"/>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4074338" cy="1539195"/>
                    </a:xfrm>
                    <a:prstGeom prst="rect">
                      <a:avLst/>
                    </a:prstGeom>
                  </pic:spPr>
                </pic:pic>
              </a:graphicData>
            </a:graphic>
          </wp:inline>
        </w:drawing>
      </w:r>
    </w:p>
    <w:p w:rsidR="00CD3D81" w:rsidRPr="0065785C" w:rsidRDefault="00CD3D81" w:rsidP="0065785C">
      <w:pPr>
        <w:jc w:val="center"/>
        <w:rPr>
          <w:rFonts w:ascii="Palatino Linotype" w:hAnsi="Palatino Linotype"/>
          <w:sz w:val="18"/>
          <w:szCs w:val="18"/>
        </w:rPr>
      </w:pPr>
      <w:r w:rsidRPr="0065785C">
        <w:rPr>
          <w:rFonts w:ascii="Palatino Linotype" w:hAnsi="Palatino Linotype"/>
          <w:sz w:val="18"/>
          <w:szCs w:val="18"/>
        </w:rPr>
        <w:t>Figure S3. D</w:t>
      </w:r>
      <w:r w:rsidR="00565F4D">
        <w:rPr>
          <w:rFonts w:ascii="Palatino Linotype" w:hAnsi="Palatino Linotype"/>
          <w:sz w:val="18"/>
          <w:szCs w:val="18"/>
        </w:rPr>
        <w:t>ark-</w:t>
      </w:r>
      <w:r w:rsidRPr="0065785C">
        <w:rPr>
          <w:rFonts w:ascii="Palatino Linotype" w:hAnsi="Palatino Linotype"/>
          <w:sz w:val="18"/>
          <w:szCs w:val="18"/>
        </w:rPr>
        <w:t>field images of control cells with no nanoparticles (A) and 5 nm gold nanoparticles (B).</w:t>
      </w:r>
    </w:p>
    <w:p w:rsidR="00CD3D81" w:rsidRPr="0065785C" w:rsidRDefault="00CD3D81">
      <w:pPr>
        <w:rPr>
          <w:rFonts w:ascii="Palatino Linotype" w:hAnsi="Palatino Linotype"/>
          <w:sz w:val="20"/>
          <w:szCs w:val="20"/>
        </w:rPr>
      </w:pPr>
    </w:p>
    <w:p w:rsidR="00EE00EC" w:rsidRDefault="00EE00EC" w:rsidP="00CD3D81">
      <w:pPr>
        <w:rPr>
          <w:rFonts w:ascii="Palatino Linotype" w:hAnsi="Palatino Linotype"/>
          <w:sz w:val="20"/>
          <w:szCs w:val="20"/>
          <w:u w:val="single"/>
        </w:rPr>
      </w:pPr>
    </w:p>
    <w:p w:rsidR="00CD3D81" w:rsidRDefault="000013DB" w:rsidP="00CD3D81">
      <w:pPr>
        <w:rPr>
          <w:rFonts w:ascii="Palatino Linotype" w:hAnsi="Palatino Linotype"/>
          <w:sz w:val="20"/>
          <w:szCs w:val="20"/>
          <w:u w:val="single"/>
        </w:rPr>
      </w:pPr>
      <w:r>
        <w:rPr>
          <w:rFonts w:ascii="Palatino Linotype" w:hAnsi="Palatino Linotype"/>
          <w:sz w:val="20"/>
          <w:szCs w:val="20"/>
          <w:u w:val="single"/>
        </w:rPr>
        <w:t>Additional</w:t>
      </w:r>
      <w:r w:rsidR="00CD3D81" w:rsidRPr="00EE00EC">
        <w:rPr>
          <w:rFonts w:ascii="Palatino Linotype" w:hAnsi="Palatino Linotype"/>
          <w:sz w:val="20"/>
          <w:szCs w:val="20"/>
          <w:u w:val="single"/>
        </w:rPr>
        <w:t xml:space="preserve"> section S4:  Linear accelerator set up used for the radiation experiments</w:t>
      </w:r>
    </w:p>
    <w:p w:rsidR="00EE00EC" w:rsidRPr="00EE00EC" w:rsidRDefault="00EE00EC" w:rsidP="00CD3D81">
      <w:pPr>
        <w:rPr>
          <w:rFonts w:ascii="Palatino Linotype" w:hAnsi="Palatino Linotype"/>
          <w:sz w:val="20"/>
          <w:szCs w:val="20"/>
          <w:u w:val="single"/>
        </w:rPr>
      </w:pPr>
    </w:p>
    <w:p w:rsidR="00CD3D81" w:rsidRPr="00EE00EC" w:rsidRDefault="00CD3D81" w:rsidP="00CD3D81">
      <w:pPr>
        <w:ind w:firstLine="2250"/>
        <w:rPr>
          <w:rFonts w:ascii="Palatino Linotype" w:hAnsi="Palatino Linotype"/>
          <w:sz w:val="20"/>
          <w:szCs w:val="20"/>
          <w:u w:val="single"/>
        </w:rPr>
      </w:pPr>
      <w:r w:rsidRPr="00EE00EC">
        <w:rPr>
          <w:rFonts w:ascii="Palatino Linotype" w:hAnsi="Palatino Linotype"/>
          <w:noProof/>
          <w:sz w:val="20"/>
          <w:szCs w:val="20"/>
          <w:u w:val="single"/>
          <w:lang w:val="en-IN" w:eastAsia="en-IN"/>
        </w:rPr>
        <w:drawing>
          <wp:inline distT="0" distB="0" distL="0" distR="0">
            <wp:extent cx="2583395" cy="2774576"/>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2590523" cy="2782232"/>
                    </a:xfrm>
                    <a:prstGeom prst="rect">
                      <a:avLst/>
                    </a:prstGeom>
                  </pic:spPr>
                </pic:pic>
              </a:graphicData>
            </a:graphic>
          </wp:inline>
        </w:drawing>
      </w:r>
    </w:p>
    <w:p w:rsidR="00CD3D81" w:rsidRPr="00EE00EC" w:rsidRDefault="00CD3D81" w:rsidP="00EE00EC">
      <w:pPr>
        <w:jc w:val="center"/>
        <w:rPr>
          <w:rFonts w:ascii="Palatino Linotype" w:hAnsi="Palatino Linotype"/>
          <w:sz w:val="18"/>
          <w:szCs w:val="18"/>
        </w:rPr>
      </w:pPr>
      <w:r w:rsidRPr="00EE00EC">
        <w:rPr>
          <w:rFonts w:ascii="Palatino Linotype" w:hAnsi="Palatino Linotype"/>
          <w:sz w:val="18"/>
          <w:szCs w:val="18"/>
        </w:rPr>
        <w:t xml:space="preserve">Figure S4. </w:t>
      </w:r>
      <w:r w:rsidR="001011C0" w:rsidRPr="00EE00EC">
        <w:rPr>
          <w:rFonts w:ascii="Palatino Linotype" w:hAnsi="Palatino Linotype"/>
          <w:sz w:val="18"/>
          <w:szCs w:val="18"/>
        </w:rPr>
        <w:t>Linear accelerator set up used for the radiation experiments (A) and a closer look at the sample sandwiched in between solid water (B).</w:t>
      </w:r>
    </w:p>
    <w:p w:rsidR="00CD3D81" w:rsidRPr="0065785C" w:rsidRDefault="00CD3D81">
      <w:pPr>
        <w:rPr>
          <w:rFonts w:ascii="Palatino Linotype" w:hAnsi="Palatino Linotype"/>
          <w:sz w:val="20"/>
          <w:szCs w:val="20"/>
        </w:rPr>
      </w:pPr>
    </w:p>
    <w:p w:rsidR="00CD3D81" w:rsidRPr="0065785C" w:rsidRDefault="00CD3D81">
      <w:pPr>
        <w:rPr>
          <w:rFonts w:ascii="Palatino Linotype" w:hAnsi="Palatino Linotype"/>
          <w:sz w:val="20"/>
          <w:szCs w:val="20"/>
        </w:rPr>
      </w:pPr>
    </w:p>
    <w:p w:rsidR="001011C0" w:rsidRPr="0065785C" w:rsidRDefault="001011C0">
      <w:pPr>
        <w:rPr>
          <w:rFonts w:ascii="Palatino Linotype" w:hAnsi="Palatino Linotype"/>
          <w:sz w:val="20"/>
          <w:szCs w:val="20"/>
        </w:rPr>
      </w:pPr>
    </w:p>
    <w:p w:rsidR="001011C0" w:rsidRPr="0065785C" w:rsidRDefault="001011C0">
      <w:pPr>
        <w:rPr>
          <w:rFonts w:ascii="Palatino Linotype" w:hAnsi="Palatino Linotype"/>
          <w:sz w:val="20"/>
          <w:szCs w:val="20"/>
        </w:rPr>
      </w:pPr>
    </w:p>
    <w:p w:rsidR="00CD3D81" w:rsidRPr="00EE00EC" w:rsidRDefault="000013DB" w:rsidP="00CD3D81">
      <w:pPr>
        <w:rPr>
          <w:rFonts w:ascii="Palatino Linotype" w:hAnsi="Palatino Linotype"/>
          <w:sz w:val="20"/>
          <w:szCs w:val="20"/>
          <w:u w:val="single"/>
        </w:rPr>
      </w:pPr>
      <w:r>
        <w:rPr>
          <w:rFonts w:ascii="Palatino Linotype" w:hAnsi="Palatino Linotype"/>
          <w:sz w:val="20"/>
          <w:szCs w:val="20"/>
          <w:u w:val="single"/>
        </w:rPr>
        <w:t>Additional</w:t>
      </w:r>
      <w:r w:rsidR="00CD3D81" w:rsidRPr="00EE00EC">
        <w:rPr>
          <w:rFonts w:ascii="Palatino Linotype" w:hAnsi="Palatino Linotype"/>
          <w:sz w:val="20"/>
          <w:szCs w:val="20"/>
          <w:u w:val="single"/>
        </w:rPr>
        <w:t xml:space="preserve"> section S</w:t>
      </w:r>
      <w:r w:rsidR="001011C0" w:rsidRPr="00EE00EC">
        <w:rPr>
          <w:rFonts w:ascii="Palatino Linotype" w:hAnsi="Palatino Linotype"/>
          <w:sz w:val="20"/>
          <w:szCs w:val="20"/>
          <w:u w:val="single"/>
        </w:rPr>
        <w:t>5</w:t>
      </w:r>
      <w:r w:rsidR="00CD3D81" w:rsidRPr="00EE00EC">
        <w:rPr>
          <w:rFonts w:ascii="Palatino Linotype" w:hAnsi="Palatino Linotype"/>
          <w:sz w:val="20"/>
          <w:szCs w:val="20"/>
          <w:u w:val="single"/>
        </w:rPr>
        <w:t xml:space="preserve">:  </w:t>
      </w:r>
      <w:r w:rsidR="001011C0" w:rsidRPr="00EE00EC">
        <w:rPr>
          <w:rFonts w:ascii="Palatino Linotype" w:hAnsi="Palatino Linotype"/>
          <w:sz w:val="20"/>
          <w:szCs w:val="20"/>
          <w:u w:val="single"/>
        </w:rPr>
        <w:t>Comparison of thymidine blocking and serum starvation methods used for tumor cell synchronization</w:t>
      </w:r>
    </w:p>
    <w:p w:rsidR="001011C0" w:rsidRPr="0065785C" w:rsidRDefault="001011C0">
      <w:pPr>
        <w:rPr>
          <w:rFonts w:ascii="Palatino Linotype" w:hAnsi="Palatino Linotype"/>
          <w:sz w:val="20"/>
          <w:szCs w:val="20"/>
        </w:rPr>
      </w:pPr>
    </w:p>
    <w:p w:rsidR="001011C0" w:rsidRPr="0065785C" w:rsidRDefault="002F6D02" w:rsidP="001011C0">
      <w:pPr>
        <w:ind w:firstLine="270"/>
        <w:rPr>
          <w:rFonts w:ascii="Palatino Linotype" w:hAnsi="Palatino Linotype"/>
          <w:sz w:val="20"/>
          <w:szCs w:val="20"/>
        </w:rPr>
      </w:pPr>
      <w:r>
        <w:rPr>
          <w:noProof/>
          <w:lang w:val="en-IN" w:eastAsia="en-IN"/>
        </w:rPr>
        <w:drawing>
          <wp:inline distT="0" distB="0" distL="0" distR="0">
            <wp:extent cx="5943600" cy="19678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943600" cy="1967865"/>
                    </a:xfrm>
                    <a:prstGeom prst="rect">
                      <a:avLst/>
                    </a:prstGeom>
                  </pic:spPr>
                </pic:pic>
              </a:graphicData>
            </a:graphic>
          </wp:inline>
        </w:drawing>
      </w:r>
    </w:p>
    <w:p w:rsidR="00DD7319" w:rsidRPr="00EE00EC" w:rsidRDefault="001011C0" w:rsidP="00EE00EC">
      <w:pPr>
        <w:jc w:val="center"/>
        <w:rPr>
          <w:rFonts w:ascii="Palatino Linotype" w:hAnsi="Palatino Linotype"/>
          <w:sz w:val="18"/>
          <w:szCs w:val="18"/>
        </w:rPr>
      </w:pPr>
      <w:r w:rsidRPr="00EE00EC">
        <w:rPr>
          <w:rFonts w:ascii="Palatino Linotype" w:hAnsi="Palatino Linotype"/>
          <w:sz w:val="18"/>
          <w:szCs w:val="18"/>
        </w:rPr>
        <w:t>Figure S5.</w:t>
      </w:r>
      <w:r w:rsidR="00DD7319" w:rsidRPr="00EE00EC">
        <w:rPr>
          <w:rFonts w:ascii="Palatino Linotype" w:hAnsi="Palatino Linotype"/>
          <w:sz w:val="18"/>
          <w:szCs w:val="18"/>
        </w:rPr>
        <w:t xml:space="preserve"> Comparison of thymidine blocking and serum starvation methods used for tumor cell synchronization. Progression of the phase of tumor cell population after synchronization for thymidine block method (A) and serum starvation method (B). Variation of nanoparticle uptake after 20 hrs of synchronization.</w:t>
      </w:r>
    </w:p>
    <w:p w:rsidR="001011C0" w:rsidRPr="0065785C" w:rsidRDefault="001011C0">
      <w:pPr>
        <w:rPr>
          <w:rFonts w:ascii="Palatino Linotype" w:hAnsi="Palatino Linotype"/>
          <w:sz w:val="20"/>
          <w:szCs w:val="20"/>
        </w:rPr>
      </w:pPr>
    </w:p>
    <w:p w:rsidR="001011C0" w:rsidRPr="00961FE3" w:rsidRDefault="001011C0" w:rsidP="001011C0">
      <w:pPr>
        <w:rPr>
          <w:rFonts w:ascii="Palatino Linotype" w:hAnsi="Palatino Linotype"/>
          <w:sz w:val="20"/>
          <w:szCs w:val="20"/>
          <w:u w:val="single"/>
        </w:rPr>
      </w:pPr>
      <w:r w:rsidRPr="00961FE3">
        <w:rPr>
          <w:rFonts w:ascii="Palatino Linotype" w:hAnsi="Palatino Linotype"/>
          <w:sz w:val="20"/>
          <w:szCs w:val="20"/>
          <w:u w:val="single"/>
        </w:rPr>
        <w:t xml:space="preserve"> </w:t>
      </w:r>
      <w:r w:rsidR="000013DB">
        <w:rPr>
          <w:rFonts w:ascii="Palatino Linotype" w:hAnsi="Palatino Linotype"/>
          <w:sz w:val="20"/>
          <w:szCs w:val="20"/>
          <w:u w:val="single"/>
        </w:rPr>
        <w:t>Additional</w:t>
      </w:r>
      <w:r w:rsidRPr="00961FE3">
        <w:rPr>
          <w:rFonts w:ascii="Palatino Linotype" w:hAnsi="Palatino Linotype"/>
          <w:sz w:val="20"/>
          <w:szCs w:val="20"/>
          <w:u w:val="single"/>
        </w:rPr>
        <w:t xml:space="preserve"> section S6:  </w:t>
      </w:r>
      <w:r w:rsidR="00DD7319" w:rsidRPr="00961FE3">
        <w:rPr>
          <w:rFonts w:ascii="Palatino Linotype" w:hAnsi="Palatino Linotype"/>
          <w:sz w:val="20"/>
          <w:szCs w:val="20"/>
          <w:u w:val="single"/>
        </w:rPr>
        <w:t xml:space="preserve">Variation of DNA damage after treatment with LNP-GNPs and radiation for </w:t>
      </w:r>
      <w:r w:rsidR="002F6D02">
        <w:rPr>
          <w:rFonts w:ascii="Palatino Linotype" w:hAnsi="Palatino Linotype"/>
          <w:sz w:val="20"/>
          <w:szCs w:val="20"/>
          <w:u w:val="single"/>
        </w:rPr>
        <w:t>unsynchronized</w:t>
      </w:r>
      <w:r w:rsidR="00DD7319" w:rsidRPr="00961FE3">
        <w:rPr>
          <w:rFonts w:ascii="Palatino Linotype" w:hAnsi="Palatino Linotype"/>
          <w:sz w:val="20"/>
          <w:szCs w:val="20"/>
          <w:u w:val="single"/>
        </w:rPr>
        <w:t xml:space="preserve"> and synchronized tumor cells </w:t>
      </w:r>
    </w:p>
    <w:p w:rsidR="001011C0" w:rsidRPr="0065785C" w:rsidRDefault="00DD7319" w:rsidP="00DD7319">
      <w:pPr>
        <w:ind w:firstLine="1350"/>
        <w:rPr>
          <w:rFonts w:ascii="Palatino Linotype" w:hAnsi="Palatino Linotype"/>
          <w:sz w:val="20"/>
          <w:szCs w:val="20"/>
        </w:rPr>
      </w:pPr>
      <w:r w:rsidRPr="0065785C">
        <w:rPr>
          <w:rFonts w:ascii="Palatino Linotype" w:hAnsi="Palatino Linotype"/>
          <w:noProof/>
          <w:sz w:val="20"/>
          <w:szCs w:val="20"/>
          <w:lang w:val="en-IN" w:eastAsia="en-IN"/>
        </w:rPr>
        <w:drawing>
          <wp:inline distT="0" distB="0" distL="0" distR="0">
            <wp:extent cx="3626224" cy="2464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3635941" cy="2470964"/>
                    </a:xfrm>
                    <a:prstGeom prst="rect">
                      <a:avLst/>
                    </a:prstGeom>
                  </pic:spPr>
                </pic:pic>
              </a:graphicData>
            </a:graphic>
          </wp:inline>
        </w:drawing>
      </w:r>
    </w:p>
    <w:p w:rsidR="00DD7319" w:rsidRPr="00961FE3" w:rsidRDefault="00DD7319" w:rsidP="00961FE3">
      <w:pPr>
        <w:jc w:val="center"/>
        <w:rPr>
          <w:rFonts w:ascii="Palatino Linotype" w:hAnsi="Palatino Linotype"/>
          <w:sz w:val="18"/>
          <w:szCs w:val="18"/>
        </w:rPr>
      </w:pPr>
      <w:r w:rsidRPr="00961FE3">
        <w:rPr>
          <w:rFonts w:ascii="Palatino Linotype" w:hAnsi="Palatino Linotype"/>
          <w:sz w:val="18"/>
          <w:szCs w:val="18"/>
        </w:rPr>
        <w:t xml:space="preserve">Figure S6. Variation of DNA damage after treatment with LNP-GNPs and radiation for </w:t>
      </w:r>
      <w:r w:rsidR="002F6D02">
        <w:rPr>
          <w:rFonts w:ascii="Palatino Linotype" w:hAnsi="Palatino Linotype"/>
          <w:sz w:val="18"/>
          <w:szCs w:val="18"/>
        </w:rPr>
        <w:t xml:space="preserve">unsynchronized </w:t>
      </w:r>
      <w:r w:rsidRPr="00961FE3">
        <w:rPr>
          <w:rFonts w:ascii="Palatino Linotype" w:hAnsi="Palatino Linotype"/>
          <w:sz w:val="18"/>
          <w:szCs w:val="18"/>
        </w:rPr>
        <w:t>and synchronized tumor cells</w:t>
      </w:r>
      <w:r w:rsidR="00961FE3" w:rsidRPr="00961FE3">
        <w:rPr>
          <w:rFonts w:ascii="Palatino Linotype" w:hAnsi="Palatino Linotype"/>
          <w:sz w:val="18"/>
          <w:szCs w:val="18"/>
        </w:rPr>
        <w:t>.</w:t>
      </w:r>
    </w:p>
    <w:p w:rsidR="0065785C" w:rsidRPr="0065785C" w:rsidRDefault="0065785C">
      <w:pPr>
        <w:rPr>
          <w:rFonts w:ascii="Palatino Linotype" w:hAnsi="Palatino Linotype"/>
          <w:sz w:val="20"/>
          <w:szCs w:val="20"/>
        </w:rPr>
      </w:pPr>
    </w:p>
    <w:sectPr w:rsidR="0065785C" w:rsidRPr="0065785C" w:rsidSect="002D2D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7BC2"/>
    <w:rsid w:val="000013DB"/>
    <w:rsid w:val="001011C0"/>
    <w:rsid w:val="00267BC2"/>
    <w:rsid w:val="002D2D4A"/>
    <w:rsid w:val="002F6D02"/>
    <w:rsid w:val="00565F4D"/>
    <w:rsid w:val="0065785C"/>
    <w:rsid w:val="00961FE3"/>
    <w:rsid w:val="009A1607"/>
    <w:rsid w:val="00AA3D4F"/>
    <w:rsid w:val="00CD3D81"/>
    <w:rsid w:val="00DD3D24"/>
    <w:rsid w:val="00DD7319"/>
    <w:rsid w:val="00EE00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D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1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3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dissa</dc:creator>
  <cp:keywords/>
  <dc:description/>
  <cp:lastModifiedBy>0012764</cp:lastModifiedBy>
  <cp:revision>3</cp:revision>
  <dcterms:created xsi:type="dcterms:W3CDTF">2019-03-21T18:03:00Z</dcterms:created>
  <dcterms:modified xsi:type="dcterms:W3CDTF">2019-04-06T01:36:00Z</dcterms:modified>
</cp:coreProperties>
</file>