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3187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2649855" cy="1910715"/>
            <wp:effectExtent l="0" t="0" r="1905" b="9525"/>
            <wp:docPr id="1" name="图片 1" descr="supplementary Fig.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.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9855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11"/>
        <w:rPr>
          <w:sz w:val="7"/>
        </w:rPr>
      </w:pPr>
    </w:p>
    <w:p>
      <w:pPr>
        <w:pStyle w:val="2"/>
        <w:spacing w:line="360" w:lineRule="auto"/>
        <w:ind w:right="909" w:rightChars="413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Supplementary Fig. S1</w:t>
      </w:r>
      <w:r>
        <w:rPr>
          <w:rFonts w:hint="eastAsia" w:eastAsia="宋体"/>
          <w:sz w:val="24"/>
          <w:szCs w:val="24"/>
          <w:lang w:val="en-US" w:eastAsia="zh-CN"/>
        </w:rPr>
        <w:t xml:space="preserve">.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I</w:t>
      </w:r>
      <w:r>
        <w:rPr>
          <w:rFonts w:hint="eastAsia"/>
          <w:b w:val="0"/>
          <w:bCs w:val="0"/>
          <w:sz w:val="24"/>
          <w:szCs w:val="24"/>
        </w:rPr>
        <w:t>ntramuscular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 xml:space="preserve">injection of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B16</w:t>
      </w:r>
      <w:r>
        <w:rPr>
          <w:rFonts w:hint="eastAsia"/>
          <w:b w:val="0"/>
          <w:bCs w:val="0"/>
          <w:sz w:val="24"/>
          <w:szCs w:val="24"/>
        </w:rPr>
        <w:t>-MPs inhibit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ed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tumorigenesis of B16-F10 melanoma. </w:t>
      </w:r>
      <w:r>
        <w:rPr>
          <w:b w:val="0"/>
          <w:bCs w:val="0"/>
          <w:sz w:val="24"/>
          <w:szCs w:val="24"/>
        </w:rPr>
        <w:t>C57BL/6 mice (</w:t>
      </w:r>
      <w:r>
        <w:rPr>
          <w:b w:val="0"/>
          <w:bCs w:val="0"/>
          <w:i/>
          <w:sz w:val="24"/>
          <w:szCs w:val="24"/>
        </w:rPr>
        <w:t xml:space="preserve">n </w:t>
      </w:r>
      <w:r>
        <w:rPr>
          <w:b w:val="0"/>
          <w:bCs w:val="0"/>
          <w:sz w:val="24"/>
          <w:szCs w:val="24"/>
        </w:rPr>
        <w:t>= 6)</w:t>
      </w:r>
      <w:r>
        <w:rPr>
          <w:rFonts w:hint="eastAsia"/>
          <w:b w:val="0"/>
          <w:bCs w:val="0"/>
          <w:sz w:val="24"/>
          <w:szCs w:val="24"/>
        </w:rPr>
        <w:t xml:space="preserve">, intramuscularly inoculated with PBS or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B16</w:t>
      </w:r>
      <w:r>
        <w:rPr>
          <w:rFonts w:hint="eastAsia"/>
          <w:b w:val="0"/>
          <w:bCs w:val="0"/>
          <w:sz w:val="24"/>
          <w:szCs w:val="24"/>
        </w:rPr>
        <w:t xml:space="preserve">-MPs on days -14, -13, and -7, were given i.m. injection of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5×10</w:t>
      </w:r>
      <w:r>
        <w:rPr>
          <w:rFonts w:hint="eastAsia" w:eastAsia="宋体"/>
          <w:b w:val="0"/>
          <w:bCs w:val="0"/>
          <w:sz w:val="24"/>
          <w:szCs w:val="24"/>
          <w:vertAlign w:val="superscript"/>
          <w:lang w:val="en-US" w:eastAsia="zh-CN"/>
        </w:rPr>
        <w:t>5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 B16-F10 melanoma cells</w:t>
      </w:r>
      <w:r>
        <w:rPr>
          <w:rFonts w:hint="eastAsia"/>
          <w:b w:val="0"/>
          <w:bCs w:val="0"/>
          <w:sz w:val="24"/>
          <w:szCs w:val="24"/>
        </w:rPr>
        <w:t xml:space="preserve"> into the right rear thigh muscle on day 0. Kaplan-Meier analysis was used to assess the percentage of mice which were tumor-free</w:t>
      </w:r>
      <w:r>
        <w:rPr>
          <w:b w:val="0"/>
          <w:bCs w:val="0"/>
          <w:sz w:val="24"/>
          <w:szCs w:val="24"/>
        </w:rPr>
        <w:t xml:space="preserve">. </w:t>
      </w:r>
      <w:r>
        <w:rPr>
          <w:b w:val="0"/>
          <w:bCs w:val="0"/>
          <w:i/>
          <w:sz w:val="24"/>
          <w:szCs w:val="24"/>
        </w:rPr>
        <w:t xml:space="preserve">P </w:t>
      </w:r>
      <w:r>
        <w:rPr>
          <w:b w:val="0"/>
          <w:bCs w:val="0"/>
          <w:sz w:val="24"/>
          <w:szCs w:val="24"/>
        </w:rPr>
        <w:t xml:space="preserve">value was calculated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using</w:t>
      </w:r>
      <w:r>
        <w:rPr>
          <w:b w:val="0"/>
          <w:bCs w:val="0"/>
          <w:sz w:val="24"/>
          <w:szCs w:val="24"/>
        </w:rPr>
        <w:t xml:space="preserve">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>L</w:t>
      </w:r>
      <w:r>
        <w:rPr>
          <w:b w:val="0"/>
          <w:bCs w:val="0"/>
          <w:sz w:val="24"/>
          <w:szCs w:val="24"/>
        </w:rPr>
        <w:t>og-rank test. ***</w:t>
      </w:r>
      <w:r>
        <w:rPr>
          <w:b w:val="0"/>
          <w:bCs w:val="0"/>
          <w:i/>
          <w:sz w:val="24"/>
          <w:szCs w:val="24"/>
        </w:rPr>
        <w:t xml:space="preserve">P </w:t>
      </w:r>
      <w:r>
        <w:rPr>
          <w:b w:val="0"/>
          <w:bCs w:val="0"/>
          <w:sz w:val="24"/>
          <w:szCs w:val="24"/>
        </w:rPr>
        <w:t>&lt;</w:t>
      </w:r>
      <w:r>
        <w:rPr>
          <w:b w:val="0"/>
          <w:bCs w:val="0"/>
          <w:spacing w:val="1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0.001.</w:t>
      </w:r>
    </w:p>
    <w:p>
      <w:pPr>
        <w:spacing w:after="0" w:line="360" w:lineRule="auto"/>
        <w:jc w:val="both"/>
        <w:rPr>
          <w:b w:val="0"/>
          <w:bCs w:val="0"/>
          <w:sz w:val="21"/>
          <w:szCs w:val="21"/>
        </w:rPr>
        <w:sectPr>
          <w:footerReference r:id="rId5" w:type="default"/>
          <w:type w:val="continuous"/>
          <w:pgSz w:w="11910" w:h="16840"/>
          <w:pgMar w:top="1520" w:right="800" w:bottom="1420" w:left="960" w:header="720" w:footer="1221" w:gutter="0"/>
          <w:pgNumType w:start="1"/>
          <w:cols w:space="720" w:num="1"/>
        </w:sectPr>
      </w:pPr>
    </w:p>
    <w:p>
      <w:pPr>
        <w:jc w:val="center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2879725" cy="1896745"/>
            <wp:effectExtent l="0" t="0" r="635" b="8255"/>
            <wp:docPr id="3" name="图片 3" descr="supplementary Fig.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.2.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360" w:lineRule="auto"/>
        <w:ind w:right="909" w:rightChars="413"/>
        <w:rPr>
          <w:rFonts w:hint="eastAsia" w:ascii="Times New Roman" w:hAnsi="Times New Roman" w:cs="Times New Roman"/>
          <w:b w:val="0"/>
          <w:bCs w:val="0"/>
          <w:color w:val="FF0000"/>
          <w:kern w:val="0"/>
          <w:lang w:val="en-US" w:eastAsia="zh-CN"/>
        </w:rPr>
      </w:pPr>
      <w:r>
        <w:rPr>
          <w:color w:val="FF0000"/>
          <w:sz w:val="24"/>
          <w:szCs w:val="24"/>
        </w:rPr>
        <w:t>Supplementary Fig. S</w:t>
      </w:r>
      <w:r>
        <w:rPr>
          <w:rFonts w:hint="eastAsia" w:eastAsia="宋体"/>
          <w:color w:val="FF0000"/>
          <w:sz w:val="24"/>
          <w:szCs w:val="24"/>
          <w:lang w:val="en-US" w:eastAsia="zh-CN"/>
        </w:rPr>
        <w:t xml:space="preserve">2. </w:t>
      </w:r>
      <w:r>
        <w:rPr>
          <w:rFonts w:hint="eastAsia" w:eastAsia="宋体"/>
          <w:b w:val="0"/>
          <w:bCs w:val="0"/>
          <w:color w:val="FF0000"/>
          <w:sz w:val="24"/>
          <w:szCs w:val="24"/>
          <w:lang w:val="en-US" w:eastAsia="zh-CN"/>
        </w:rPr>
        <w:t>Intramuscular inoculation of MPs from CT26 colon carcinoma cells rather than those from H22 hepatocarcinoma cells led to prevention of CT26 tumor growth.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 xml:space="preserve"> BALB/c mice (</w:t>
      </w:r>
      <w:r>
        <w:rPr>
          <w:rFonts w:hint="eastAsia"/>
          <w:b w:val="0"/>
          <w:bCs w:val="0"/>
          <w:i/>
          <w:iCs/>
          <w:color w:val="FF0000"/>
          <w:sz w:val="24"/>
          <w:szCs w:val="24"/>
          <w:lang w:val="en-US" w:eastAsia="zh-CN"/>
        </w:rPr>
        <w:t>n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 xml:space="preserve"> = 6) were intramuscularly inoculated 3 times with PBS, CT26-MPs or </w:t>
      </w:r>
      <w:r>
        <w:rPr>
          <w:rFonts w:hint="eastAsia"/>
          <w:b w:val="0"/>
          <w:bCs w:val="0"/>
          <w:color w:val="FF0000"/>
          <w:sz w:val="24"/>
          <w:szCs w:val="24"/>
        </w:rPr>
        <w:t>H22-MPs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 xml:space="preserve"> into the right rear thigh on days -14, -13, and -7. Next, mice were subjected to 3×10</w:t>
      </w:r>
      <w:r>
        <w:rPr>
          <w:rFonts w:hint="eastAsia"/>
          <w:b w:val="0"/>
          <w:bCs w:val="0"/>
          <w:color w:val="FF0000"/>
          <w:sz w:val="24"/>
          <w:szCs w:val="24"/>
          <w:vertAlign w:val="superscript"/>
          <w:lang w:val="en-US" w:eastAsia="zh-CN"/>
        </w:rPr>
        <w:t>5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 xml:space="preserve"> CT26 colon carcinoma cells into the right rear thigh via i.m. injection on day 0. 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Kaplan-Meier analysis was used to assess the percentage of mice which were tumor-free. </w:t>
      </w:r>
      <w:r>
        <w:rPr>
          <w:rFonts w:hint="eastAsia"/>
          <w:b w:val="0"/>
          <w:bCs w:val="0"/>
          <w:i/>
          <w:iCs/>
          <w:color w:val="FF0000"/>
          <w:sz w:val="24"/>
          <w:szCs w:val="24"/>
        </w:rPr>
        <w:t>P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value</w:t>
      </w:r>
      <w:r>
        <w:rPr>
          <w:rFonts w:hint="eastAsia" w:eastAsia="宋体"/>
          <w:b w:val="0"/>
          <w:bCs w:val="0"/>
          <w:color w:val="FF0000"/>
          <w:sz w:val="24"/>
          <w:szCs w:val="24"/>
          <w:lang w:val="en-US" w:eastAsia="zh-CN"/>
        </w:rPr>
        <w:t>s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w</w:t>
      </w:r>
      <w:r>
        <w:rPr>
          <w:rFonts w:hint="eastAsia" w:eastAsia="宋体"/>
          <w:b w:val="0"/>
          <w:bCs w:val="0"/>
          <w:color w:val="FF0000"/>
          <w:sz w:val="24"/>
          <w:szCs w:val="24"/>
          <w:lang w:val="en-US" w:eastAsia="zh-CN"/>
        </w:rPr>
        <w:t>ere</w:t>
      </w:r>
      <w:r>
        <w:rPr>
          <w:rFonts w:hint="eastAsia"/>
          <w:b w:val="0"/>
          <w:bCs w:val="0"/>
          <w:color w:val="FF0000"/>
          <w:sz w:val="24"/>
          <w:szCs w:val="24"/>
        </w:rPr>
        <w:t xml:space="preserve"> calculated 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>using</w:t>
      </w:r>
      <w:r>
        <w:rPr>
          <w:b w:val="0"/>
          <w:bCs w:val="0"/>
          <w:color w:val="FF0000"/>
          <w:sz w:val="24"/>
          <w:szCs w:val="24"/>
        </w:rPr>
        <w:t xml:space="preserve"> </w:t>
      </w:r>
      <w:r>
        <w:rPr>
          <w:rFonts w:hint="eastAsia" w:eastAsia="宋体"/>
          <w:b w:val="0"/>
          <w:bCs w:val="0"/>
          <w:color w:val="FF0000"/>
          <w:sz w:val="24"/>
          <w:szCs w:val="24"/>
          <w:lang w:val="en-US" w:eastAsia="zh-CN"/>
        </w:rPr>
        <w:t>L</w:t>
      </w:r>
      <w:r>
        <w:rPr>
          <w:b w:val="0"/>
          <w:bCs w:val="0"/>
          <w:color w:val="FF0000"/>
          <w:sz w:val="24"/>
          <w:szCs w:val="24"/>
        </w:rPr>
        <w:t>og-rank test. ***</w:t>
      </w:r>
      <w:r>
        <w:rPr>
          <w:b w:val="0"/>
          <w:bCs w:val="0"/>
          <w:i/>
          <w:color w:val="FF0000"/>
          <w:sz w:val="24"/>
          <w:szCs w:val="24"/>
        </w:rPr>
        <w:t xml:space="preserve">P </w:t>
      </w:r>
      <w:r>
        <w:rPr>
          <w:b w:val="0"/>
          <w:bCs w:val="0"/>
          <w:color w:val="FF0000"/>
          <w:sz w:val="24"/>
          <w:szCs w:val="24"/>
        </w:rPr>
        <w:t>&lt;</w:t>
      </w:r>
      <w:r>
        <w:rPr>
          <w:b w:val="0"/>
          <w:bCs w:val="0"/>
          <w:color w:val="FF0000"/>
          <w:spacing w:val="1"/>
          <w:sz w:val="24"/>
          <w:szCs w:val="24"/>
        </w:rPr>
        <w:t xml:space="preserve"> </w:t>
      </w:r>
      <w:r>
        <w:rPr>
          <w:b w:val="0"/>
          <w:bCs w:val="0"/>
          <w:color w:val="FF0000"/>
          <w:sz w:val="24"/>
          <w:szCs w:val="24"/>
        </w:rPr>
        <w:t>0.001</w:t>
      </w:r>
      <w:r>
        <w:rPr>
          <w:rFonts w:hint="eastAsia" w:eastAsia="宋体"/>
          <w:b w:val="0"/>
          <w:bCs w:val="0"/>
          <w:color w:val="FF0000"/>
          <w:sz w:val="24"/>
          <w:szCs w:val="24"/>
          <w:lang w:val="en-US" w:eastAsia="zh-CN"/>
        </w:rPr>
        <w:t>;</w:t>
      </w:r>
      <w:r>
        <w:rPr>
          <w:rFonts w:hint="eastAsia" w:ascii="Times New Roman" w:hAnsi="Times New Roman" w:cs="Times New Roman"/>
          <w:color w:val="FF0000"/>
          <w:kern w:val="0"/>
          <w:lang w:val="en-US" w:eastAsia="zh-CN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FF0000"/>
          <w:kern w:val="0"/>
        </w:rPr>
        <w:t>NS, not significant</w:t>
      </w:r>
      <w:r>
        <w:rPr>
          <w:rFonts w:hint="eastAsia" w:ascii="Times New Roman" w:hAnsi="Times New Roman" w:cs="Times New Roman"/>
          <w:b w:val="0"/>
          <w:bCs w:val="0"/>
          <w:color w:val="FF0000"/>
          <w:kern w:val="0"/>
          <w:lang w:val="en-US" w:eastAsia="zh-CN"/>
        </w:rPr>
        <w:t>.</w:t>
      </w:r>
    </w:p>
    <w:p>
      <w:pPr>
        <w:pStyle w:val="2"/>
        <w:spacing w:line="360" w:lineRule="auto"/>
        <w:ind w:right="909" w:rightChars="413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br w:type="page"/>
      </w:r>
    </w:p>
    <w:p>
      <w:pPr>
        <w:jc w:val="center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5201920" cy="1191260"/>
            <wp:effectExtent l="0" t="0" r="10160" b="12700"/>
            <wp:docPr id="5" name="图片 5" descr="安全性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安全性数据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192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100" w:line="360" w:lineRule="auto"/>
        <w:ind w:left="880" w:leftChars="400" w:right="909" w:rightChars="413" w:firstLine="0" w:firstLineChars="0"/>
        <w:jc w:val="both"/>
        <w:textAlignment w:val="auto"/>
        <w:rPr>
          <w:sz w:val="20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 w:bidi="en-US"/>
        </w:rPr>
        <w:t>Supplementary Fig. S</w:t>
      </w:r>
      <w:r>
        <w:rPr>
          <w:rFonts w:hint="eastAsia" w:eastAsia="宋体" w:cs="Times New Roman"/>
          <w:b/>
          <w:bCs/>
          <w:color w:val="auto"/>
          <w:sz w:val="24"/>
          <w:szCs w:val="24"/>
          <w:lang w:val="en-US" w:eastAsia="zh-CN" w:bidi="en-US"/>
        </w:rPr>
        <w:t>3.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T-MPs as a tumor vaccine presented a good safety.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BALB/c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 mice (</w:t>
      </w:r>
      <w:r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sz w:val="24"/>
          <w:szCs w:val="24"/>
          <w:lang w:val="en-US" w:eastAsia="zh-CN" w:bidi="en-US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 = 3) were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intramuscularly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 immunized with H22-MPs or PBS on days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-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, -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 xml:space="preserve">, and </w:t>
      </w:r>
      <w:r>
        <w:rPr>
          <w:rFonts w:hint="default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 w:bidi="en-US"/>
        </w:rPr>
        <w:t xml:space="preserve">. Weight of mice was measured over the ensuing day 16. On day 17, the mice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were sacrificed, and the serum levels of alanine aminotransferase (ALT), aspartate aminotransferase (AST) and creatinine </w:t>
      </w:r>
      <w:r>
        <w:rPr>
          <w:rFonts w:hint="eastAsia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(Cr)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were detected.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Mean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</w:rPr>
        <w:t>±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s.e.m. is represented in the data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 xml:space="preserve">two-tailed unpaired Student's </w:t>
      </w:r>
      <w:r>
        <w:rPr>
          <w:rFonts w:hint="default" w:ascii="Times New Roman" w:hAnsi="Times New Roman" w:cs="Times New Roman"/>
          <w:i/>
          <w:iCs/>
          <w:color w:val="auto"/>
          <w:kern w:val="0"/>
          <w:sz w:val="24"/>
          <w:szCs w:val="24"/>
        </w:rPr>
        <w:t>t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 xml:space="preserve"> test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 was used to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statistically analyze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 the </w:t>
      </w:r>
      <w:r>
        <w:rPr>
          <w:rFonts w:hint="default" w:ascii="Times New Roman" w:hAnsi="Times New Roman" w:cs="Times New Roman"/>
          <w:i/>
          <w:iCs/>
          <w:color w:val="auto"/>
          <w:kern w:val="0"/>
          <w:sz w:val="24"/>
          <w:szCs w:val="24"/>
        </w:rPr>
        <w:t>P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 xml:space="preserve"> value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</w:rPr>
        <w:t>NS, not significant</w:t>
      </w:r>
      <w:r>
        <w:rPr>
          <w:rFonts w:hint="default" w:ascii="Times New Roman" w:hAnsi="Times New Roman" w:cs="Times New Roman"/>
          <w:color w:val="auto"/>
          <w:kern w:val="0"/>
          <w:sz w:val="24"/>
          <w:szCs w:val="24"/>
          <w:lang w:val="en-US" w:eastAsia="zh-CN"/>
        </w:rPr>
        <w:t>.</w:t>
      </w:r>
      <w:bookmarkStart w:id="0" w:name="_GoBack"/>
      <w:bookmarkEnd w:id="0"/>
      <w:r>
        <w:rPr>
          <w:sz w:val="20"/>
        </w:rPr>
        <w:br w:type="page"/>
      </w:r>
    </w:p>
    <w:p>
      <w:pPr>
        <w:pStyle w:val="3"/>
        <w:ind w:left="1512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4105275" cy="1204595"/>
            <wp:effectExtent l="0" t="0" r="9525" b="14605"/>
            <wp:docPr id="6" name="图片 6" descr="supplementary Fig.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upplementary Fig.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20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7"/>
        <w:rPr>
          <w:sz w:val="9"/>
        </w:rPr>
      </w:pPr>
    </w:p>
    <w:p>
      <w:pPr>
        <w:pStyle w:val="2"/>
        <w:spacing w:line="360" w:lineRule="auto"/>
        <w:ind w:right="990" w:rightChars="450"/>
        <w:rPr>
          <w:b w:val="0"/>
          <w:bCs w:val="0"/>
        </w:rPr>
      </w:pPr>
      <w:r>
        <w:t>Supplementary Fig. S</w:t>
      </w:r>
      <w:r>
        <w:rPr>
          <w:rFonts w:hint="eastAsia" w:eastAsia="宋体"/>
          <w:lang w:val="en-US" w:eastAsia="zh-CN"/>
        </w:rPr>
        <w:t xml:space="preserve">4. </w:t>
      </w:r>
      <w:r>
        <w:rPr>
          <w:rFonts w:hint="eastAsia" w:eastAsia="宋体"/>
          <w:b w:val="0"/>
          <w:bCs w:val="0"/>
          <w:lang w:val="en-US" w:eastAsia="zh-CN"/>
        </w:rPr>
        <w:t xml:space="preserve">B lymphocytes and T lymphocytes in </w:t>
      </w:r>
      <w:r>
        <w:rPr>
          <w:b w:val="0"/>
          <w:bCs w:val="0"/>
        </w:rPr>
        <w:t>BALB/c mice</w:t>
      </w:r>
      <w:r>
        <w:rPr>
          <w:rFonts w:hint="eastAsia" w:eastAsia="宋体"/>
          <w:b w:val="0"/>
          <w:bCs w:val="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don't</w:t>
      </w:r>
      <w:r>
        <w:rPr>
          <w:rFonts w:hint="eastAsia" w:eastAsia="宋体"/>
          <w:b w:val="0"/>
          <w:bCs w:val="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endocytose</w:t>
      </w:r>
      <w:r>
        <w:rPr>
          <w:rFonts w:hint="eastAsia" w:eastAsia="宋体"/>
          <w:b w:val="0"/>
          <w:bCs w:val="0"/>
          <w:lang w:val="en-US" w:eastAsia="zh-CN"/>
        </w:rPr>
        <w:t xml:space="preserve"> T-MPs. </w:t>
      </w:r>
      <w:r>
        <w:rPr>
          <w:b w:val="0"/>
          <w:bCs w:val="0"/>
        </w:rPr>
        <w:t>BALB/c mice were treated with PKH26-labeled H22-MPs via i.m.</w:t>
      </w:r>
      <w:r>
        <w:rPr>
          <w:rFonts w:hint="eastAsia" w:eastAsia="宋体"/>
          <w:b w:val="0"/>
          <w:bCs w:val="0"/>
          <w:lang w:val="en-US" w:eastAsia="zh-CN"/>
        </w:rPr>
        <w:t xml:space="preserve"> injection</w:t>
      </w:r>
      <w:r>
        <w:rPr>
          <w:b w:val="0"/>
          <w:bCs w:val="0"/>
        </w:rPr>
        <w:t xml:space="preserve">. After </w:t>
      </w:r>
      <w:r>
        <w:rPr>
          <w:rFonts w:hint="eastAsia" w:eastAsia="宋体"/>
          <w:b w:val="0"/>
          <w:bCs w:val="0"/>
          <w:lang w:val="en-US" w:eastAsia="zh-CN"/>
        </w:rPr>
        <w:t>24</w:t>
      </w:r>
      <w:r>
        <w:rPr>
          <w:b w:val="0"/>
          <w:bCs w:val="0"/>
        </w:rPr>
        <w:t xml:space="preserve"> hours, the expression of CD45 in PKH26 positive cells from thigh muscle was analyzed </w:t>
      </w:r>
      <w:r>
        <w:rPr>
          <w:rFonts w:hint="eastAsia" w:eastAsia="宋体"/>
          <w:b w:val="0"/>
          <w:bCs w:val="0"/>
          <w:lang w:val="en-US" w:eastAsia="zh-CN"/>
        </w:rPr>
        <w:t>via</w:t>
      </w:r>
      <w:r>
        <w:rPr>
          <w:b w:val="0"/>
          <w:bCs w:val="0"/>
        </w:rPr>
        <w:t xml:space="preserve"> flow cytometry. CD3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 xml:space="preserve">T </w:t>
      </w:r>
      <w:r>
        <w:rPr>
          <w:rFonts w:hint="eastAsia"/>
          <w:b w:val="0"/>
          <w:bCs w:val="0"/>
        </w:rPr>
        <w:t>lymphocytes</w:t>
      </w:r>
      <w:r>
        <w:rPr>
          <w:b w:val="0"/>
          <w:bCs w:val="0"/>
        </w:rPr>
        <w:t xml:space="preserve"> and CD19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 xml:space="preserve">B </w:t>
      </w:r>
      <w:r>
        <w:rPr>
          <w:rFonts w:hint="eastAsia"/>
          <w:b w:val="0"/>
          <w:bCs w:val="0"/>
        </w:rPr>
        <w:t>lymphocytes</w:t>
      </w:r>
      <w:r>
        <w:rPr>
          <w:b w:val="0"/>
          <w:bCs w:val="0"/>
        </w:rPr>
        <w:t xml:space="preserve"> in PKH26</w:t>
      </w:r>
      <w:r>
        <w:rPr>
          <w:b w:val="0"/>
          <w:bCs w:val="0"/>
          <w:position w:val="8"/>
          <w:sz w:val="15"/>
        </w:rPr>
        <w:t>+</w:t>
      </w:r>
      <w:r>
        <w:rPr>
          <w:b w:val="0"/>
          <w:bCs w:val="0"/>
        </w:rPr>
        <w:t>CD45</w:t>
      </w:r>
      <w:r>
        <w:rPr>
          <w:b w:val="0"/>
          <w:bCs w:val="0"/>
          <w:position w:val="8"/>
          <w:sz w:val="15"/>
        </w:rPr>
        <w:t xml:space="preserve">+  </w:t>
      </w:r>
      <w:r>
        <w:rPr>
          <w:b w:val="0"/>
          <w:bCs w:val="0"/>
        </w:rPr>
        <w:t xml:space="preserve">cells  </w:t>
      </w:r>
      <w:r>
        <w:rPr>
          <w:rFonts w:hint="eastAsia" w:eastAsia="宋体"/>
          <w:b w:val="0"/>
          <w:bCs w:val="0"/>
          <w:lang w:val="en-US" w:eastAsia="zh-CN"/>
        </w:rPr>
        <w:t xml:space="preserve">were </w:t>
      </w:r>
      <w:r>
        <w:rPr>
          <w:b w:val="0"/>
          <w:bCs w:val="0"/>
        </w:rPr>
        <w:t xml:space="preserve">also analyzed by flow cytometry. </w:t>
      </w:r>
    </w:p>
    <w:p>
      <w:pPr>
        <w:spacing w:after="0" w:line="360" w:lineRule="auto"/>
        <w:jc w:val="both"/>
        <w:rPr>
          <w:b w:val="0"/>
          <w:bCs w:val="0"/>
        </w:rPr>
        <w:sectPr>
          <w:footerReference r:id="rId6" w:type="default"/>
          <w:pgSz w:w="11910" w:h="16840"/>
          <w:pgMar w:top="1540" w:right="800" w:bottom="1420" w:left="960" w:header="0" w:footer="1221" w:gutter="0"/>
          <w:cols w:space="720" w:num="1"/>
        </w:sectPr>
      </w:pPr>
    </w:p>
    <w:p>
      <w:pPr>
        <w:pStyle w:val="3"/>
        <w:ind w:left="104" w:leftChars="0" w:hanging="104" w:hangingChars="52"/>
        <w:jc w:val="center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6372860" cy="1062355"/>
            <wp:effectExtent l="0" t="0" r="8890" b="4445"/>
            <wp:docPr id="4" name="图片 4" descr="Supplementary Fig. S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. S3-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72860" cy="106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spacing w:before="6"/>
        <w:rPr>
          <w:sz w:val="12"/>
        </w:rPr>
      </w:pPr>
    </w:p>
    <w:p>
      <w:pPr>
        <w:pStyle w:val="2"/>
        <w:spacing w:line="360" w:lineRule="auto"/>
        <w:ind w:right="1129" w:rightChars="513"/>
        <w:rPr>
          <w:b w:val="0"/>
          <w:bCs w:val="0"/>
        </w:rPr>
      </w:pPr>
      <w:r>
        <w:t>Supplementary Fig. S</w:t>
      </w:r>
      <w:r>
        <w:rPr>
          <w:rFonts w:hint="eastAsia" w:eastAsia="宋体"/>
          <w:lang w:val="en-US" w:eastAsia="zh-CN"/>
        </w:rPr>
        <w:t xml:space="preserve">5. </w:t>
      </w:r>
      <w:r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 xml:space="preserve">T-MPs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are</w:t>
      </w:r>
      <w:r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 xml:space="preserve"> mainly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endocytosed</w:t>
      </w:r>
      <w:r>
        <w:rPr>
          <w:rFonts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 xml:space="preserve"> by monocytes and macrophages</w:t>
      </w:r>
      <w:r>
        <w:rPr>
          <w:rFonts w:hint="eastAsia" w:eastAsia="宋体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in </w:t>
      </w:r>
      <w:r>
        <w:rPr>
          <w:b w:val="0"/>
          <w:bCs w:val="0"/>
        </w:rPr>
        <w:t>C57BL/6 mice</w:t>
      </w:r>
      <w:r>
        <w:rPr>
          <w:rFonts w:hint="eastAsia" w:eastAsia="宋体"/>
          <w:b w:val="0"/>
          <w:bCs w:val="0"/>
          <w:lang w:val="en-US" w:eastAsia="zh-CN"/>
        </w:rPr>
        <w:t xml:space="preserve">. </w:t>
      </w:r>
      <w:r>
        <w:rPr>
          <w:b w:val="0"/>
          <w:bCs w:val="0"/>
        </w:rPr>
        <w:t xml:space="preserve">C57BL/6 mice were </w:t>
      </w:r>
      <w:r>
        <w:rPr>
          <w:rFonts w:hint="eastAsia"/>
          <w:b w:val="0"/>
          <w:bCs w:val="0"/>
        </w:rPr>
        <w:t>intramuscularly</w:t>
      </w:r>
      <w:r>
        <w:rPr>
          <w:b w:val="0"/>
          <w:bCs w:val="0"/>
        </w:rPr>
        <w:t xml:space="preserve"> immunized with PKH26-labeled B16-MPs. After </w:t>
      </w:r>
      <w:r>
        <w:rPr>
          <w:rFonts w:hint="eastAsia" w:eastAsia="宋体"/>
          <w:b w:val="0"/>
          <w:bCs w:val="0"/>
          <w:lang w:val="en-US" w:eastAsia="zh-CN"/>
        </w:rPr>
        <w:t>24</w:t>
      </w:r>
      <w:r>
        <w:rPr>
          <w:b w:val="0"/>
          <w:bCs w:val="0"/>
        </w:rPr>
        <w:t xml:space="preserve"> hours, the expression of CD45 in PKH26 positive cells from thigh muscle was analyzed by flow cytometry. CD11b</w:t>
      </w:r>
      <w:r>
        <w:rPr>
          <w:b w:val="0"/>
          <w:bCs w:val="0"/>
          <w:position w:val="8"/>
          <w:sz w:val="15"/>
        </w:rPr>
        <w:t>+</w:t>
      </w:r>
      <w:r>
        <w:rPr>
          <w:b w:val="0"/>
          <w:bCs w:val="0"/>
        </w:rPr>
        <w:t>Ly6C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>monocytes, CD11b</w:t>
      </w:r>
      <w:r>
        <w:rPr>
          <w:b w:val="0"/>
          <w:bCs w:val="0"/>
          <w:position w:val="8"/>
          <w:sz w:val="15"/>
        </w:rPr>
        <w:t>+</w:t>
      </w:r>
      <w:r>
        <w:rPr>
          <w:b w:val="0"/>
          <w:bCs w:val="0"/>
        </w:rPr>
        <w:t>F4/80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>macrophages, CD11c</w:t>
      </w:r>
      <w:r>
        <w:rPr>
          <w:b w:val="0"/>
          <w:bCs w:val="0"/>
          <w:position w:val="8"/>
          <w:sz w:val="15"/>
        </w:rPr>
        <w:t>+</w:t>
      </w:r>
      <w:r>
        <w:rPr>
          <w:b w:val="0"/>
          <w:bCs w:val="0"/>
        </w:rPr>
        <w:t>MHCⅡ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>DCs, CD3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 xml:space="preserve">T </w:t>
      </w:r>
      <w:r>
        <w:rPr>
          <w:rFonts w:hint="eastAsia"/>
          <w:b w:val="0"/>
          <w:bCs w:val="0"/>
        </w:rPr>
        <w:t>lymphocytes</w:t>
      </w:r>
      <w:r>
        <w:rPr>
          <w:b w:val="0"/>
          <w:bCs w:val="0"/>
        </w:rPr>
        <w:t xml:space="preserve"> and CD19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 xml:space="preserve">B </w:t>
      </w:r>
      <w:r>
        <w:rPr>
          <w:rFonts w:hint="eastAsia"/>
          <w:b w:val="0"/>
          <w:bCs w:val="0"/>
        </w:rPr>
        <w:t>lymphocytes</w:t>
      </w:r>
      <w:r>
        <w:rPr>
          <w:b w:val="0"/>
          <w:bCs w:val="0"/>
        </w:rPr>
        <w:t xml:space="preserve"> in PKH26</w:t>
      </w:r>
      <w:r>
        <w:rPr>
          <w:b w:val="0"/>
          <w:bCs w:val="0"/>
          <w:position w:val="8"/>
          <w:sz w:val="15"/>
        </w:rPr>
        <w:t>+</w:t>
      </w:r>
      <w:r>
        <w:rPr>
          <w:b w:val="0"/>
          <w:bCs w:val="0"/>
        </w:rPr>
        <w:t>CD45</w:t>
      </w:r>
      <w:r>
        <w:rPr>
          <w:b w:val="0"/>
          <w:bCs w:val="0"/>
          <w:position w:val="8"/>
          <w:sz w:val="15"/>
        </w:rPr>
        <w:t xml:space="preserve">+ </w:t>
      </w:r>
      <w:r>
        <w:rPr>
          <w:b w:val="0"/>
          <w:bCs w:val="0"/>
        </w:rPr>
        <w:t xml:space="preserve">cells were also analyzed </w:t>
      </w:r>
      <w:r>
        <w:rPr>
          <w:rFonts w:hint="eastAsia" w:eastAsia="宋体"/>
          <w:b w:val="0"/>
          <w:bCs w:val="0"/>
          <w:lang w:val="en-US" w:eastAsia="zh-CN"/>
        </w:rPr>
        <w:t>via</w:t>
      </w:r>
      <w:r>
        <w:rPr>
          <w:b w:val="0"/>
          <w:bCs w:val="0"/>
        </w:rPr>
        <w:t xml:space="preserve"> flow cytometry. </w:t>
      </w:r>
    </w:p>
    <w:p>
      <w:pPr>
        <w:spacing w:after="0" w:line="360" w:lineRule="auto"/>
        <w:jc w:val="both"/>
        <w:rPr>
          <w:b w:val="0"/>
          <w:bCs w:val="0"/>
        </w:rPr>
        <w:sectPr>
          <w:pgSz w:w="11910" w:h="16840"/>
          <w:pgMar w:top="1560" w:right="800" w:bottom="1420" w:left="960" w:header="0" w:footer="1221" w:gutter="0"/>
          <w:cols w:space="720" w:num="1"/>
        </w:sectPr>
      </w:pPr>
    </w:p>
    <w:p>
      <w:pPr>
        <w:pStyle w:val="3"/>
        <w:ind w:left="1783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4190365" cy="1191895"/>
            <wp:effectExtent l="0" t="0" r="635" b="8255"/>
            <wp:docPr id="10" name="图片 10" descr="supplementary Fig.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upplementary Fig.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9036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144" w:line="360" w:lineRule="auto"/>
        <w:ind w:right="948" w:rightChars="431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Supplementary Fig. S</w:t>
      </w:r>
      <w:r>
        <w:rPr>
          <w:rFonts w:hint="eastAsia" w:eastAsia="宋体"/>
          <w:sz w:val="24"/>
          <w:szCs w:val="24"/>
          <w:lang w:val="en-US" w:eastAsia="zh-CN"/>
        </w:rPr>
        <w:t xml:space="preserve">6. 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T-MPs treatment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doesn't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 cause the proliferation of moDCs in the dLN. </w:t>
      </w:r>
      <w:r>
        <w:rPr>
          <w:b w:val="0"/>
          <w:bCs w:val="0"/>
          <w:sz w:val="24"/>
          <w:szCs w:val="24"/>
        </w:rPr>
        <w:t>BALB/c mice were treated with H22-MPs or PBS via i.m.</w:t>
      </w:r>
      <w:r>
        <w:rPr>
          <w:rFonts w:hint="eastAsia" w:eastAsia="宋体"/>
          <w:b w:val="0"/>
          <w:bCs w:val="0"/>
          <w:sz w:val="24"/>
          <w:szCs w:val="24"/>
          <w:lang w:val="en-US" w:eastAsia="zh-CN"/>
        </w:rPr>
        <w:t xml:space="preserve"> injection</w:t>
      </w:r>
      <w:r>
        <w:rPr>
          <w:b w:val="0"/>
          <w:bCs w:val="0"/>
          <w:sz w:val="24"/>
          <w:szCs w:val="24"/>
        </w:rPr>
        <w:t>. 48 hours later, Ki-67 expression in CD11c</w:t>
      </w:r>
      <w:r>
        <w:rPr>
          <w:rFonts w:hint="eastAsia" w:eastAsia="宋体"/>
          <w:b w:val="0"/>
          <w:bCs w:val="0"/>
          <w:sz w:val="24"/>
          <w:szCs w:val="24"/>
          <w:vertAlign w:val="superscript"/>
          <w:lang w:val="en-US" w:eastAsia="zh-CN"/>
        </w:rPr>
        <w:t>+</w:t>
      </w:r>
      <w:r>
        <w:rPr>
          <w:b w:val="0"/>
          <w:bCs w:val="0"/>
          <w:sz w:val="24"/>
          <w:szCs w:val="24"/>
        </w:rPr>
        <w:t>MHCⅡ</w:t>
      </w:r>
      <w:r>
        <w:rPr>
          <w:rFonts w:hint="eastAsia" w:eastAsia="宋体"/>
          <w:b w:val="0"/>
          <w:bCs w:val="0"/>
          <w:sz w:val="24"/>
          <w:szCs w:val="24"/>
          <w:vertAlign w:val="superscript"/>
          <w:lang w:val="en-US" w:eastAsia="zh-CN"/>
        </w:rPr>
        <w:t>+</w:t>
      </w:r>
      <w:r>
        <w:rPr>
          <w:b w:val="0"/>
          <w:bCs w:val="0"/>
          <w:sz w:val="24"/>
          <w:szCs w:val="24"/>
        </w:rPr>
        <w:t>CD64</w:t>
      </w:r>
      <w:r>
        <w:rPr>
          <w:rFonts w:hint="eastAsia" w:eastAsia="宋体"/>
          <w:b w:val="0"/>
          <w:bCs w:val="0"/>
          <w:sz w:val="24"/>
          <w:szCs w:val="24"/>
          <w:vertAlign w:val="superscript"/>
          <w:lang w:val="en-US" w:eastAsia="zh-CN"/>
        </w:rPr>
        <w:t>+</w:t>
      </w:r>
      <w:r>
        <w:rPr>
          <w:b w:val="0"/>
          <w:bCs w:val="0"/>
          <w:position w:val="8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moDCs was analyzed by flow cytometry. </w:t>
      </w:r>
    </w:p>
    <w:p>
      <w:pPr>
        <w:spacing w:after="0" w:line="360" w:lineRule="auto"/>
        <w:jc w:val="both"/>
        <w:rPr>
          <w:sz w:val="24"/>
          <w:szCs w:val="24"/>
        </w:rPr>
        <w:sectPr>
          <w:pgSz w:w="11910" w:h="16840"/>
          <w:pgMar w:top="1440" w:right="800" w:bottom="1420" w:left="960" w:header="0" w:footer="1221" w:gutter="0"/>
          <w:cols w:space="720" w:num="1"/>
        </w:sectPr>
      </w:pPr>
    </w:p>
    <w:p>
      <w:pPr>
        <w:pStyle w:val="3"/>
        <w:ind w:left="3343"/>
        <w:rPr>
          <w:rFonts w:hint="eastAsia" w:eastAsia="宋体"/>
          <w:sz w:val="20"/>
          <w:lang w:eastAsia="zh-CN"/>
        </w:rPr>
      </w:pPr>
      <w:r>
        <w:rPr>
          <w:rFonts w:hint="eastAsia" w:eastAsia="宋体"/>
          <w:sz w:val="20"/>
          <w:lang w:eastAsia="zh-CN"/>
        </w:rPr>
        <w:drawing>
          <wp:inline distT="0" distB="0" distL="114300" distR="114300">
            <wp:extent cx="2091055" cy="1411605"/>
            <wp:effectExtent l="0" t="0" r="4445" b="17145"/>
            <wp:docPr id="12" name="图片 12" descr="supplementary Fig.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upplementary Fig.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sz w:val="13"/>
        </w:rPr>
      </w:pPr>
    </w:p>
    <w:p>
      <w:pPr>
        <w:pStyle w:val="2"/>
        <w:spacing w:line="360" w:lineRule="auto"/>
        <w:ind w:right="909" w:rightChars="413"/>
        <w:rPr>
          <w:b w:val="0"/>
          <w:bCs w:val="0"/>
        </w:rPr>
      </w:pPr>
      <w:r>
        <w:t>Supplementary Fig.</w:t>
      </w:r>
      <w:r>
        <w:rPr>
          <w:spacing w:val="-9"/>
        </w:rPr>
        <w:t xml:space="preserve"> </w:t>
      </w:r>
      <w:r>
        <w:t>S</w:t>
      </w:r>
      <w:r>
        <w:rPr>
          <w:rFonts w:hint="eastAsia" w:eastAsia="宋体"/>
          <w:lang w:val="en-US" w:eastAsia="zh-CN"/>
        </w:rPr>
        <w:t xml:space="preserve">7.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 xml:space="preserve">DNAs and RNAs </w:t>
      </w:r>
      <w:r>
        <w:rPr>
          <w:rFonts w:hint="eastAsia" w:eastAsia="宋体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were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isolated</w:t>
      </w:r>
      <w:r>
        <w:rPr>
          <w:rFonts w:hint="eastAsia" w:eastAsia="宋体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color w:val="000000"/>
          <w:kern w:val="0"/>
          <w:sz w:val="24"/>
          <w:szCs w:val="24"/>
        </w:rPr>
        <w:t>from T-MPs</w:t>
      </w:r>
      <w:r>
        <w:rPr>
          <w:rFonts w:hint="eastAsia" w:eastAsia="宋体" w:cs="Times New Roman"/>
          <w:b w:val="0"/>
          <w:bCs w:val="0"/>
          <w:color w:val="000000"/>
          <w:kern w:val="0"/>
          <w:sz w:val="24"/>
          <w:szCs w:val="24"/>
          <w:lang w:val="en-US" w:eastAsia="zh-CN"/>
        </w:rPr>
        <w:t xml:space="preserve">. </w:t>
      </w:r>
      <w:r>
        <w:rPr>
          <w:b w:val="0"/>
          <w:bCs w:val="0"/>
        </w:rPr>
        <w:t xml:space="preserve">DNAs in H22-MPs or B16-MPs were extracted by DNA extraction kit, and RNAs were extracted with TRIzol reagent. </w:t>
      </w:r>
    </w:p>
    <w:sectPr>
      <w:pgSz w:w="11910" w:h="16840"/>
      <w:pgMar w:top="1560" w:right="800" w:bottom="1420" w:left="960" w:header="0" w:footer="122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293.4pt;margin-top:769.8pt;height:12pt;width:8.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40" w:right="0" w:firstLine="0"/>
                  <w:jc w:val="left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w:pict>
        <v:shape id="_x0000_s4098" o:spid="_x0000_s4098" o:spt="202" type="#_x0000_t202" style="position:absolute;left:0pt;margin-left:293.4pt;margin-top:769.8pt;height:12pt;width:8.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12"/>
                  <w:ind w:left="40" w:right="0" w:firstLine="0"/>
                  <w:jc w:val="left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Q4ZDI0ZTdiYmM5NWE3YTExNGI3NDM2YjEzMTBkNDUifQ=="/>
    <w:docVar w:name="KSO_WPS_MARK_KEY" w:val="a5c13263-9d05-465d-a325-cbb2558fb4e9"/>
  </w:docVars>
  <w:rsids>
    <w:rsidRoot w:val="00000000"/>
    <w:rsid w:val="001A2968"/>
    <w:rsid w:val="00247343"/>
    <w:rsid w:val="00FC1612"/>
    <w:rsid w:val="0422610A"/>
    <w:rsid w:val="04476280"/>
    <w:rsid w:val="071803A5"/>
    <w:rsid w:val="08991732"/>
    <w:rsid w:val="08E14EA2"/>
    <w:rsid w:val="08F875BE"/>
    <w:rsid w:val="090D2965"/>
    <w:rsid w:val="0E2350DD"/>
    <w:rsid w:val="0E9F764C"/>
    <w:rsid w:val="0F672DA8"/>
    <w:rsid w:val="10703EDE"/>
    <w:rsid w:val="127E013D"/>
    <w:rsid w:val="12F20457"/>
    <w:rsid w:val="13A23492"/>
    <w:rsid w:val="144A310D"/>
    <w:rsid w:val="179724CC"/>
    <w:rsid w:val="1C793A78"/>
    <w:rsid w:val="1DD43CFE"/>
    <w:rsid w:val="1DE57D57"/>
    <w:rsid w:val="1E817C47"/>
    <w:rsid w:val="1FC8755E"/>
    <w:rsid w:val="225B494E"/>
    <w:rsid w:val="23533917"/>
    <w:rsid w:val="23D36CDB"/>
    <w:rsid w:val="24B90C3A"/>
    <w:rsid w:val="25040AD3"/>
    <w:rsid w:val="258424AE"/>
    <w:rsid w:val="261633B2"/>
    <w:rsid w:val="2A565CC8"/>
    <w:rsid w:val="2B0F7F49"/>
    <w:rsid w:val="2B6B2F7F"/>
    <w:rsid w:val="2C550700"/>
    <w:rsid w:val="2D960060"/>
    <w:rsid w:val="2DA059AB"/>
    <w:rsid w:val="2EC06438"/>
    <w:rsid w:val="2F6173BC"/>
    <w:rsid w:val="2FE20407"/>
    <w:rsid w:val="30670A02"/>
    <w:rsid w:val="323D7884"/>
    <w:rsid w:val="34060532"/>
    <w:rsid w:val="350E58F0"/>
    <w:rsid w:val="354E655F"/>
    <w:rsid w:val="36586120"/>
    <w:rsid w:val="39096AFA"/>
    <w:rsid w:val="394F336B"/>
    <w:rsid w:val="3ABB0568"/>
    <w:rsid w:val="3B760747"/>
    <w:rsid w:val="3C552056"/>
    <w:rsid w:val="3DF42472"/>
    <w:rsid w:val="3F316DAB"/>
    <w:rsid w:val="41C45CB4"/>
    <w:rsid w:val="41D774D7"/>
    <w:rsid w:val="42B61220"/>
    <w:rsid w:val="45014B29"/>
    <w:rsid w:val="462736C9"/>
    <w:rsid w:val="46B32A45"/>
    <w:rsid w:val="49285EBE"/>
    <w:rsid w:val="4D4F7DBB"/>
    <w:rsid w:val="4D5D25DB"/>
    <w:rsid w:val="4D7560B4"/>
    <w:rsid w:val="51112598"/>
    <w:rsid w:val="51392DF8"/>
    <w:rsid w:val="51C770FB"/>
    <w:rsid w:val="51E77A8A"/>
    <w:rsid w:val="52E9702A"/>
    <w:rsid w:val="5322126A"/>
    <w:rsid w:val="53634C01"/>
    <w:rsid w:val="54D16E5A"/>
    <w:rsid w:val="55F53B68"/>
    <w:rsid w:val="571721A6"/>
    <w:rsid w:val="593908DE"/>
    <w:rsid w:val="5A2275C4"/>
    <w:rsid w:val="5F883437"/>
    <w:rsid w:val="5FC01E4D"/>
    <w:rsid w:val="609D1752"/>
    <w:rsid w:val="64B60A47"/>
    <w:rsid w:val="64F61D79"/>
    <w:rsid w:val="6675211B"/>
    <w:rsid w:val="66D659BE"/>
    <w:rsid w:val="6A223AB1"/>
    <w:rsid w:val="6A2F7906"/>
    <w:rsid w:val="6BD3032A"/>
    <w:rsid w:val="6C5410E0"/>
    <w:rsid w:val="6C72734C"/>
    <w:rsid w:val="6D227116"/>
    <w:rsid w:val="6D8E526E"/>
    <w:rsid w:val="6D997745"/>
    <w:rsid w:val="6E0416BE"/>
    <w:rsid w:val="6F4638FD"/>
    <w:rsid w:val="70555F4B"/>
    <w:rsid w:val="70903645"/>
    <w:rsid w:val="713901BD"/>
    <w:rsid w:val="71573871"/>
    <w:rsid w:val="72F160CE"/>
    <w:rsid w:val="73B0192A"/>
    <w:rsid w:val="74A25132"/>
    <w:rsid w:val="77142567"/>
    <w:rsid w:val="779E027D"/>
    <w:rsid w:val="78623556"/>
    <w:rsid w:val="79A320A9"/>
    <w:rsid w:val="79B17BC5"/>
    <w:rsid w:val="7A00138E"/>
    <w:rsid w:val="7AEF6BF7"/>
    <w:rsid w:val="7C727ADF"/>
    <w:rsid w:val="7E1B665B"/>
    <w:rsid w:val="7ED45B84"/>
    <w:rsid w:val="7F3D2627"/>
    <w:rsid w:val="7F5C34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before="90"/>
      <w:ind w:left="84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en-US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en-US" w:eastAsia="en-US" w:bidi="en-US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en-US" w:bidi="en-US"/>
    </w:rPr>
  </w:style>
  <w:style w:type="paragraph" w:customStyle="1" w:styleId="9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tiff"/><Relationship Id="rId8" Type="http://schemas.openxmlformats.org/officeDocument/2006/relationships/image" Target="media/image1.tiff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7.tiff"/><Relationship Id="rId13" Type="http://schemas.openxmlformats.org/officeDocument/2006/relationships/image" Target="media/image6.tiff"/><Relationship Id="rId12" Type="http://schemas.openxmlformats.org/officeDocument/2006/relationships/image" Target="media/image5.tiff"/><Relationship Id="rId11" Type="http://schemas.openxmlformats.org/officeDocument/2006/relationships/image" Target="media/image4.tiff"/><Relationship Id="rId10" Type="http://schemas.openxmlformats.org/officeDocument/2006/relationships/image" Target="media/image3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447</Words>
  <Characters>2390</Characters>
  <TotalTime>49</TotalTime>
  <ScaleCrop>false</ScaleCrop>
  <LinksUpToDate>false</LinksUpToDate>
  <CharactersWithSpaces>2832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2022-11-22T06:47:00Z</dcterms:created>
  <dc:creator>Administrator</dc:creator>
  <cp:lastModifiedBy>孙伟伟</cp:lastModifiedBy>
  <dcterms:modified xsi:type="dcterms:W3CDTF">2023-03-26T13:58:38Z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2022-11-15T00:00:00Z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2022-11-22T00:00:00Z</vt:filetime>
  </property>
  <property fmtid="{D5CDD505-2E9C-101B-9397-08002B2CF9AE}" pid="5" name="KSOProductBuildVer">
    <vt:lpwstr>2052-11.1.0.14036</vt:lpwstr>
  </property>
  <property fmtid="{D5CDD505-2E9C-101B-9397-08002B2CF9AE}" pid="6" name="ICV">
    <vt:lpwstr>5D6C9EA536EC4600899B7956EE4E65F1</vt:lpwstr>
  </property>
</Properties>
</file>