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EABCF" w14:textId="1788F6BD" w:rsidR="003401E0" w:rsidRDefault="003401E0" w:rsidP="00FD0977">
      <w:pPr>
        <w:spacing w:after="0" w:line="480" w:lineRule="auto"/>
        <w:rPr>
          <w:rFonts w:ascii="Times New Roman" w:hAnsi="Times New Roman" w:cs="Times New Roman"/>
          <w:b/>
          <w:bCs/>
          <w:sz w:val="32"/>
          <w:szCs w:val="32"/>
          <w:lang w:eastAsia="ko-KR"/>
        </w:rPr>
      </w:pPr>
      <w:r>
        <w:rPr>
          <w:rFonts w:ascii="Times New Roman" w:hAnsi="Times New Roman" w:cs="Times New Roman" w:hint="eastAsia"/>
          <w:b/>
          <w:bCs/>
          <w:sz w:val="32"/>
          <w:szCs w:val="32"/>
          <w:lang w:eastAsia="ko-KR"/>
        </w:rPr>
        <w:t>Supplementary Information</w:t>
      </w:r>
    </w:p>
    <w:p w14:paraId="69193AF0" w14:textId="77777777" w:rsidR="008E68E9" w:rsidRPr="001F2F02" w:rsidRDefault="008E68E9" w:rsidP="008E68E9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1F2F02">
        <w:rPr>
          <w:rFonts w:ascii="Times New Roman" w:hAnsi="Times New Roman" w:cs="Times New Roman"/>
          <w:b/>
          <w:bCs/>
          <w:sz w:val="32"/>
          <w:szCs w:val="32"/>
        </w:rPr>
        <w:t xml:space="preserve">PLLA–ZnO nanowire </w:t>
      </w:r>
      <w:r w:rsidRPr="00510D67">
        <w:rPr>
          <w:rFonts w:ascii="Times New Roman" w:hAnsi="Times New Roman" w:cs="Times New Roman"/>
          <w:b/>
          <w:bCs/>
          <w:sz w:val="32"/>
          <w:szCs w:val="32"/>
          <w:highlight w:val="yellow"/>
          <w:lang w:eastAsia="ko-KR"/>
        </w:rPr>
        <w:t>n</w:t>
      </w:r>
      <w:r w:rsidRPr="00510D67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ano</w:t>
      </w:r>
      <w:r w:rsidRPr="00510D67">
        <w:rPr>
          <w:rFonts w:ascii="Times New Roman" w:hAnsi="Times New Roman" w:cs="Times New Roman"/>
          <w:b/>
          <w:bCs/>
          <w:sz w:val="32"/>
          <w:szCs w:val="32"/>
          <w:highlight w:val="yellow"/>
          <w:lang w:eastAsia="ko-KR"/>
        </w:rPr>
        <w:t>-</w:t>
      </w:r>
      <w:r w:rsidRPr="00510D67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vaccine</w:t>
      </w:r>
      <w:r w:rsidRPr="00510D67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1F2F02">
        <w:rPr>
          <w:rFonts w:ascii="Times New Roman" w:hAnsi="Times New Roman" w:cs="Times New Roman"/>
          <w:b/>
          <w:bCs/>
          <w:sz w:val="32"/>
          <w:szCs w:val="32"/>
        </w:rPr>
        <w:t>orchestrates balanced Th1/Th2 immunity and confers prophylactic antitumor protection</w:t>
      </w:r>
    </w:p>
    <w:p w14:paraId="6C9CC908" w14:textId="77777777" w:rsidR="003401E0" w:rsidRPr="0079433C" w:rsidRDefault="003401E0" w:rsidP="00FD0977">
      <w:pPr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  <w:r w:rsidRPr="0079433C">
        <w:rPr>
          <w:rFonts w:ascii="Times New Roman" w:hAnsi="Times New Roman" w:cs="Times New Roman"/>
        </w:rPr>
        <w:t>Prashant Sharma</w:t>
      </w:r>
      <w:r w:rsidRPr="0011432C">
        <w:rPr>
          <w:rFonts w:ascii="Times New Roman" w:hAnsi="Times New Roman" w:cs="Times New Roman"/>
          <w:vertAlign w:val="superscript"/>
        </w:rPr>
        <w:t>123</w:t>
      </w:r>
      <w:r>
        <w:rPr>
          <w:rFonts w:ascii="Times New Roman" w:hAnsi="Times New Roman" w:cs="Times New Roman"/>
        </w:rPr>
        <w:t>*</w:t>
      </w:r>
      <w:r w:rsidRPr="005150DD">
        <w:rPr>
          <w:rFonts w:ascii="Times New Roman" w:hAnsi="Times New Roman" w:cs="Times New Roman"/>
        </w:rPr>
        <w:t>, Bum</w:t>
      </w:r>
      <w:r w:rsidRPr="0079433C">
        <w:rPr>
          <w:rFonts w:ascii="Times New Roman" w:hAnsi="Times New Roman" w:cs="Times New Roman"/>
        </w:rPr>
        <w:t xml:space="preserve"> Chul Park</w:t>
      </w:r>
      <w:r w:rsidRPr="009A0CD2">
        <w:rPr>
          <w:rFonts w:ascii="Times New Roman" w:hAnsi="Times New Roman" w:cs="Times New Roman"/>
          <w:vertAlign w:val="superscript"/>
        </w:rPr>
        <w:t>4</w:t>
      </w:r>
      <w:r w:rsidRPr="005150DD">
        <w:rPr>
          <w:rFonts w:ascii="Times New Roman" w:hAnsi="Times New Roman" w:cs="Times New Roman"/>
        </w:rPr>
        <w:t>,</w:t>
      </w:r>
      <w:r w:rsidRPr="00875D24">
        <w:rPr>
          <w:rFonts w:ascii="Source Sans Pro" w:hAnsi="Source Sans Pro"/>
          <w:b/>
          <w:bCs/>
          <w:shd w:val="clear" w:color="auto" w:fill="FFFFFF"/>
        </w:rPr>
        <w:t xml:space="preserve"> </w:t>
      </w:r>
      <w:r w:rsidRPr="00875D24">
        <w:rPr>
          <w:rFonts w:ascii="Times New Roman" w:hAnsi="Times New Roman" w:cs="Times New Roman"/>
        </w:rPr>
        <w:t>Jae-Won Lee</w:t>
      </w:r>
      <w:r w:rsidRPr="00875D24">
        <w:rPr>
          <w:rFonts w:ascii="Times New Roman" w:hAnsi="Times New Roman" w:cs="Times New Roman"/>
          <w:vertAlign w:val="superscript"/>
        </w:rPr>
        <w:t>23</w:t>
      </w:r>
      <w:r w:rsidRPr="00875D24">
        <w:rPr>
          <w:rFonts w:ascii="Times New Roman" w:hAnsi="Times New Roman" w:cs="Times New Roman"/>
        </w:rPr>
        <w:t>,</w:t>
      </w:r>
      <w:r w:rsidRPr="005150DD">
        <w:rPr>
          <w:rFonts w:ascii="Times New Roman" w:hAnsi="Times New Roman" w:cs="Times New Roman"/>
        </w:rPr>
        <w:t xml:space="preserve"> </w:t>
      </w:r>
      <w:r w:rsidRPr="0079433C">
        <w:rPr>
          <w:rFonts w:ascii="Times New Roman" w:hAnsi="Times New Roman" w:cs="Times New Roman"/>
        </w:rPr>
        <w:t>Young Keun Kim</w:t>
      </w:r>
      <w:r w:rsidRPr="001857E1">
        <w:rPr>
          <w:rFonts w:ascii="Times New Roman" w:hAnsi="Times New Roman" w:cs="Times New Roman"/>
          <w:vertAlign w:val="superscript"/>
        </w:rPr>
        <w:t>4</w:t>
      </w:r>
      <w:r w:rsidRPr="005150DD">
        <w:rPr>
          <w:rFonts w:ascii="Times New Roman" w:hAnsi="Times New Roman" w:cs="Times New Roman"/>
        </w:rPr>
        <w:t xml:space="preserve">**, </w:t>
      </w:r>
      <w:r w:rsidRPr="0079433C">
        <w:rPr>
          <w:rFonts w:ascii="Times New Roman" w:hAnsi="Times New Roman" w:cs="Times New Roman"/>
        </w:rPr>
        <w:t>Nam-Hyuk Cho</w:t>
      </w:r>
      <w:r w:rsidRPr="00D66C8D">
        <w:rPr>
          <w:rFonts w:ascii="Times New Roman" w:hAnsi="Times New Roman" w:cs="Times New Roman"/>
          <w:vertAlign w:val="superscript"/>
        </w:rPr>
        <w:t>23</w:t>
      </w:r>
      <w:r>
        <w:rPr>
          <w:rFonts w:ascii="Times New Roman" w:hAnsi="Times New Roman" w:cs="Times New Roman" w:hint="eastAsia"/>
          <w:vertAlign w:val="superscript"/>
          <w:lang w:eastAsia="ko-KR"/>
        </w:rPr>
        <w:t>5</w:t>
      </w:r>
      <w:r w:rsidRPr="005150DD">
        <w:rPr>
          <w:rFonts w:ascii="Times New Roman" w:hAnsi="Times New Roman" w:cs="Times New Roman"/>
        </w:rPr>
        <w:t>***</w:t>
      </w:r>
    </w:p>
    <w:p w14:paraId="55D91B56" w14:textId="77777777" w:rsidR="003401E0" w:rsidRDefault="003401E0" w:rsidP="00FD0977">
      <w:pPr>
        <w:spacing w:after="0" w:line="480" w:lineRule="auto"/>
        <w:jc w:val="both"/>
        <w:textAlignment w:val="top"/>
        <w:rPr>
          <w:rFonts w:ascii="Times New Roman" w:hAnsi="Times New Roman" w:cs="Times New Roman"/>
          <w:i/>
          <w:iCs/>
          <w:sz w:val="20"/>
          <w:szCs w:val="20"/>
        </w:rPr>
      </w:pPr>
    </w:p>
    <w:p w14:paraId="04FA8D95" w14:textId="77777777" w:rsidR="003401E0" w:rsidRPr="009E384B" w:rsidRDefault="003401E0" w:rsidP="00FD0977">
      <w:pPr>
        <w:spacing w:after="0" w:line="480" w:lineRule="auto"/>
        <w:jc w:val="both"/>
        <w:textAlignment w:val="top"/>
        <w:rPr>
          <w:rFonts w:ascii="Times New Roman" w:hAnsi="Times New Roman" w:cs="Times New Roman"/>
          <w:i/>
          <w:iCs/>
          <w:sz w:val="20"/>
          <w:szCs w:val="20"/>
        </w:rPr>
      </w:pPr>
      <w:r w:rsidRPr="009E384B">
        <w:rPr>
          <w:rFonts w:ascii="Times New Roman" w:hAnsi="Times New Roman" w:cs="Times New Roman"/>
          <w:i/>
          <w:iCs/>
          <w:sz w:val="20"/>
          <w:szCs w:val="20"/>
        </w:rPr>
        <w:t xml:space="preserve">1-Department of Basic Medical Sciences, University of Arizona College of Medicine-Phoenix, BPSP Building, 475 N 5th Street, Phoenix, AZ, 85004, USA. </w:t>
      </w:r>
    </w:p>
    <w:p w14:paraId="1B1650B8" w14:textId="77777777" w:rsidR="003401E0" w:rsidRDefault="003401E0" w:rsidP="00FD0977">
      <w:pPr>
        <w:spacing w:after="0" w:line="48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9E384B">
        <w:rPr>
          <w:rFonts w:ascii="Times New Roman" w:hAnsi="Times New Roman" w:cs="Times New Roman"/>
          <w:i/>
          <w:iCs/>
          <w:sz w:val="20"/>
          <w:szCs w:val="20"/>
        </w:rPr>
        <w:t>2-Department of Microbiology and Immunology, Seoul National University College of Medicine, Seoul 03080, Republic of Korea</w:t>
      </w:r>
    </w:p>
    <w:p w14:paraId="4223502D" w14:textId="77777777" w:rsidR="003401E0" w:rsidRDefault="003401E0" w:rsidP="00FD0977">
      <w:pPr>
        <w:spacing w:after="0" w:line="48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9E384B">
        <w:rPr>
          <w:rFonts w:ascii="Times New Roman" w:hAnsi="Times New Roman" w:cs="Times New Roman"/>
          <w:i/>
          <w:iCs/>
          <w:sz w:val="20"/>
          <w:szCs w:val="20"/>
        </w:rPr>
        <w:t xml:space="preserve">3-Department of Biomedical Sciences, Seoul National University College of Medicine, Seoul 03080, Republic of Korea </w:t>
      </w:r>
      <w:r w:rsidRPr="009E384B">
        <w:rPr>
          <w:rFonts w:ascii="Times New Roman" w:hAnsi="Times New Roman" w:cs="Times New Roman"/>
          <w:sz w:val="20"/>
          <w:szCs w:val="20"/>
        </w:rPr>
        <w:br/>
      </w:r>
      <w:r w:rsidRPr="009E384B">
        <w:rPr>
          <w:rFonts w:ascii="Times New Roman" w:hAnsi="Times New Roman" w:cs="Times New Roman"/>
          <w:i/>
          <w:iCs/>
          <w:sz w:val="20"/>
          <w:szCs w:val="20"/>
        </w:rPr>
        <w:t xml:space="preserve">4-Department of Materials Science and Engineering, Korea University, Seoul 02841, Republic of Korea </w:t>
      </w:r>
      <w:r w:rsidRPr="009E384B">
        <w:rPr>
          <w:rFonts w:ascii="Times New Roman" w:hAnsi="Times New Roman" w:cs="Times New Roman"/>
          <w:sz w:val="20"/>
          <w:szCs w:val="20"/>
        </w:rPr>
        <w:br/>
      </w:r>
      <w:r w:rsidRPr="00DF053A">
        <w:rPr>
          <w:rFonts w:ascii="Times New Roman" w:hAnsi="Times New Roman" w:cs="Times New Roman" w:hint="eastAsia"/>
          <w:i/>
          <w:iCs/>
          <w:sz w:val="20"/>
          <w:szCs w:val="20"/>
        </w:rPr>
        <w:t>5</w:t>
      </w:r>
      <w:r w:rsidRPr="00DF053A">
        <w:rPr>
          <w:rFonts w:ascii="Times New Roman" w:hAnsi="Times New Roman" w:cs="Times New Roman"/>
          <w:i/>
          <w:iCs/>
          <w:sz w:val="20"/>
          <w:szCs w:val="20"/>
        </w:rPr>
        <w:t>-Ins</w:t>
      </w:r>
      <w:r w:rsidRPr="009E384B">
        <w:rPr>
          <w:rFonts w:ascii="Times New Roman" w:hAnsi="Times New Roman" w:cs="Times New Roman"/>
          <w:i/>
          <w:iCs/>
          <w:sz w:val="20"/>
          <w:szCs w:val="20"/>
        </w:rPr>
        <w:t>titute of Endemic Disease, Seoul National University Medical Research Center and Bundang Hospital, Seoul 03080, Republic of Korea</w:t>
      </w:r>
    </w:p>
    <w:p w14:paraId="5FC7A410" w14:textId="77777777" w:rsidR="003401E0" w:rsidRPr="009E384B" w:rsidRDefault="003401E0" w:rsidP="00FD0977">
      <w:pPr>
        <w:spacing w:after="0" w:line="48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08EDF23A" w14:textId="77777777" w:rsidR="003401E0" w:rsidRPr="00DF053A" w:rsidRDefault="003401E0" w:rsidP="00FD0977">
      <w:pPr>
        <w:spacing w:after="0" w:line="48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DF053A">
        <w:rPr>
          <w:rFonts w:ascii="Times New Roman" w:hAnsi="Times New Roman" w:cs="Times New Roman"/>
          <w:i/>
          <w:iCs/>
          <w:sz w:val="20"/>
          <w:szCs w:val="20"/>
        </w:rPr>
        <w:t>Corresponding Authors: Department of Basic Medical Sciences, University of Arizona College of Medicine-Phoenix, BPSP Building, 475 N 5th Street, Phoenix, AZ, 85004, USA</w:t>
      </w:r>
      <w:r w:rsidRPr="00DF053A">
        <w:rPr>
          <w:rFonts w:ascii="Times New Roman" w:hAnsi="Times New Roman" w:cs="Times New Roman" w:hint="eastAsia"/>
          <w:i/>
          <w:iCs/>
          <w:sz w:val="20"/>
          <w:szCs w:val="20"/>
        </w:rPr>
        <w:t xml:space="preserve">; </w:t>
      </w:r>
      <w:r w:rsidRPr="00DF053A">
        <w:rPr>
          <w:rFonts w:ascii="Times New Roman" w:hAnsi="Times New Roman" w:cs="Times New Roman"/>
          <w:i/>
          <w:iCs/>
          <w:sz w:val="20"/>
          <w:szCs w:val="20"/>
        </w:rPr>
        <w:t>Department of Materials Science and Engineering, Korea University, Seoul 02841, Republic of Korea</w:t>
      </w:r>
      <w:r w:rsidRPr="00DF053A">
        <w:rPr>
          <w:rFonts w:ascii="Times New Roman" w:hAnsi="Times New Roman" w:cs="Times New Roman" w:hint="eastAsia"/>
          <w:i/>
          <w:iCs/>
          <w:sz w:val="20"/>
          <w:szCs w:val="20"/>
        </w:rPr>
        <w:t xml:space="preserve">; </w:t>
      </w:r>
      <w:r w:rsidRPr="00DF053A">
        <w:rPr>
          <w:rFonts w:ascii="Times New Roman" w:hAnsi="Times New Roman" w:cs="Times New Roman"/>
          <w:i/>
          <w:iCs/>
          <w:sz w:val="20"/>
          <w:szCs w:val="20"/>
        </w:rPr>
        <w:t xml:space="preserve">Department of Biomedical Sciences, Seoul National University College of Medicine, Seoul 03080, Republic of Korea </w:t>
      </w:r>
    </w:p>
    <w:p w14:paraId="2B724A94" w14:textId="77777777" w:rsidR="003401E0" w:rsidRPr="009E384B" w:rsidRDefault="003401E0" w:rsidP="00FD0977">
      <w:pPr>
        <w:spacing w:after="0" w:line="480" w:lineRule="auto"/>
        <w:jc w:val="both"/>
        <w:rPr>
          <w:sz w:val="20"/>
          <w:szCs w:val="20"/>
        </w:rPr>
      </w:pPr>
      <w:r w:rsidRPr="00DF053A">
        <w:rPr>
          <w:rFonts w:ascii="Times New Roman" w:hAnsi="Times New Roman" w:cs="Times New Roman"/>
          <w:i/>
          <w:iCs/>
          <w:sz w:val="20"/>
          <w:szCs w:val="20"/>
        </w:rPr>
        <w:t>E-mail addresses: psharma1@arizona.edu (PS)</w:t>
      </w:r>
      <w:r w:rsidRPr="00DF053A">
        <w:rPr>
          <w:rFonts w:ascii="Times New Roman" w:hAnsi="Times New Roman" w:cs="Times New Roman" w:hint="eastAsia"/>
          <w:i/>
          <w:iCs/>
          <w:sz w:val="20"/>
          <w:szCs w:val="20"/>
        </w:rPr>
        <w:t>,</w:t>
      </w:r>
      <w:r w:rsidRPr="00DF053A">
        <w:rPr>
          <w:rFonts w:ascii="Times New Roman" w:hAnsi="Times New Roman" w:cs="Times New Roman"/>
          <w:i/>
          <w:iCs/>
          <w:sz w:val="20"/>
          <w:szCs w:val="20"/>
        </w:rPr>
        <w:t xml:space="preserve"> ykim97@korea.ac.kr (YKK), chonh@snu.ac.kr (NHC)</w:t>
      </w:r>
    </w:p>
    <w:p w14:paraId="00E52C3A" w14:textId="77777777" w:rsidR="003401E0" w:rsidRDefault="003401E0" w:rsidP="00FD0977">
      <w:pPr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</w:p>
    <w:p w14:paraId="56226F70" w14:textId="77777777" w:rsidR="003401E0" w:rsidRDefault="003401E0" w:rsidP="00FD0977">
      <w:pPr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</w:p>
    <w:p w14:paraId="135F9095" w14:textId="77777777" w:rsidR="00112988" w:rsidRDefault="00112988" w:rsidP="00FD0977">
      <w:pPr>
        <w:spacing w:after="0" w:line="480" w:lineRule="auto"/>
        <w:jc w:val="both"/>
        <w:rPr>
          <w:rFonts w:ascii="Times New Roman" w:hAnsi="Times New Roman" w:cs="Times New Roman"/>
          <w:b/>
          <w:bCs/>
          <w:lang w:eastAsia="ko-KR"/>
        </w:rPr>
      </w:pPr>
    </w:p>
    <w:p w14:paraId="7A00143C" w14:textId="77777777" w:rsidR="008E68E9" w:rsidRDefault="008E68E9" w:rsidP="00FD0977">
      <w:pPr>
        <w:spacing w:after="0" w:line="480" w:lineRule="auto"/>
        <w:jc w:val="both"/>
        <w:rPr>
          <w:rFonts w:ascii="Times New Roman" w:hAnsi="Times New Roman" w:cs="Times New Roman"/>
          <w:b/>
          <w:bCs/>
          <w:lang w:eastAsia="ko-KR"/>
        </w:rPr>
      </w:pPr>
    </w:p>
    <w:p w14:paraId="789AC24D" w14:textId="77777777" w:rsidR="008E68E9" w:rsidRDefault="008E68E9" w:rsidP="00FD0977">
      <w:pPr>
        <w:spacing w:after="0" w:line="480" w:lineRule="auto"/>
        <w:jc w:val="both"/>
        <w:rPr>
          <w:rFonts w:ascii="Times New Roman" w:hAnsi="Times New Roman" w:cs="Times New Roman"/>
          <w:b/>
          <w:bCs/>
          <w:lang w:eastAsia="ko-KR"/>
        </w:rPr>
      </w:pPr>
    </w:p>
    <w:p w14:paraId="78AB5F93" w14:textId="441191E7" w:rsidR="00D4785E" w:rsidRPr="0016258F" w:rsidRDefault="00D4785E" w:rsidP="00D4785E">
      <w:pPr>
        <w:spacing w:after="0" w:line="480" w:lineRule="auto"/>
        <w:jc w:val="both"/>
        <w:rPr>
          <w:rFonts w:ascii="Times New Roman" w:hAnsi="Times New Roman" w:cs="Times New Roman"/>
          <w:b/>
          <w:bCs/>
          <w:highlight w:val="yellow"/>
        </w:rPr>
      </w:pPr>
      <w:r w:rsidRPr="0016258F">
        <w:rPr>
          <w:rFonts w:ascii="Times New Roman" w:hAnsi="Times New Roman" w:cs="Times New Roman"/>
          <w:b/>
          <w:bCs/>
          <w:highlight w:val="yellow"/>
        </w:rPr>
        <w:lastRenderedPageBreak/>
        <w:t>Antigen Immobilization and Cellular Uptake Assessment</w:t>
      </w:r>
    </w:p>
    <w:p w14:paraId="5F7E8D1D" w14:textId="0B644D9C" w:rsidR="00112988" w:rsidRPr="009864E4" w:rsidRDefault="00112988" w:rsidP="009864E4">
      <w:pPr>
        <w:pStyle w:val="PlainText"/>
        <w:spacing w:line="480" w:lineRule="auto"/>
        <w:jc w:val="both"/>
        <w:rPr>
          <w:rFonts w:ascii="Times New Roman" w:eastAsiaTheme="minorEastAsia" w:hAnsi="Times New Roman"/>
          <w:sz w:val="24"/>
          <w:szCs w:val="24"/>
          <w:highlight w:val="yellow"/>
          <w:lang w:eastAsia="ko-KR"/>
          <w14:ligatures w14:val="standardContextual"/>
        </w:rPr>
      </w:pPr>
      <w:r w:rsidRPr="0016258F">
        <w:rPr>
          <w:rFonts w:ascii="Times New Roman" w:eastAsiaTheme="minorEastAsia" w:hAnsi="Times New Roman"/>
          <w:sz w:val="24"/>
          <w:szCs w:val="24"/>
          <w:highlight w:val="yellow"/>
          <w14:ligatures w14:val="standardContextual"/>
        </w:rPr>
        <w:t xml:space="preserve">For fluorescence imaging, we used ZnO-binding peptides (ZBP), </w:t>
      </w:r>
      <w:r w:rsidRPr="00B72BFD">
        <w:rPr>
          <w:rFonts w:ascii="Times New Roman" w:eastAsiaTheme="minorEastAsia" w:hAnsi="Times New Roman"/>
          <w:sz w:val="24"/>
          <w:szCs w:val="24"/>
          <w:highlight w:val="yellow"/>
          <w14:ligatures w14:val="standardContextual"/>
        </w:rPr>
        <w:t>labeled at their carboxyl termin</w:t>
      </w:r>
      <w:r w:rsidRPr="00B72BFD">
        <w:rPr>
          <w:rFonts w:ascii="Times New Roman" w:hAnsi="Times New Roman"/>
          <w:highlight w:val="yellow"/>
        </w:rPr>
        <w:t xml:space="preserve">i </w:t>
      </w:r>
      <w:r w:rsidRPr="00B72BFD">
        <w:rPr>
          <w:rFonts w:ascii="Times New Roman" w:eastAsiaTheme="minorEastAsia" w:hAnsi="Times New Roman"/>
          <w:sz w:val="24"/>
          <w:szCs w:val="24"/>
          <w:highlight w:val="yellow"/>
          <w14:ligatures w14:val="standardContextual"/>
        </w:rPr>
        <w:t xml:space="preserve">with fluorescein isothiocyanate (FITC, </w:t>
      </w:r>
      <w:proofErr w:type="spellStart"/>
      <w:r w:rsidRPr="00B72BFD">
        <w:rPr>
          <w:rFonts w:ascii="Times New Roman" w:eastAsiaTheme="minorEastAsia" w:hAnsi="Times New Roman"/>
          <w:sz w:val="24"/>
          <w:szCs w:val="24"/>
          <w:highlight w:val="yellow"/>
          <w14:ligatures w14:val="standardContextual"/>
        </w:rPr>
        <w:t>Peptron</w:t>
      </w:r>
      <w:proofErr w:type="spellEnd"/>
      <w:r w:rsidRPr="00B72BFD">
        <w:rPr>
          <w:rFonts w:ascii="Times New Roman" w:eastAsiaTheme="minorEastAsia" w:hAnsi="Times New Roman"/>
          <w:sz w:val="24"/>
          <w:szCs w:val="24"/>
          <w:highlight w:val="yellow"/>
          <w14:ligatures w14:val="standardContextual"/>
        </w:rPr>
        <w:t xml:space="preserve">, Korea), </w:t>
      </w:r>
      <w:r w:rsidRPr="00B72BFD">
        <w:rPr>
          <w:rFonts w:ascii="Times New Roman" w:hAnsi="Times New Roman"/>
          <w:highlight w:val="yellow"/>
        </w:rPr>
        <w:t>and incubated them</w:t>
      </w:r>
      <w:r w:rsidRPr="00B72BFD">
        <w:rPr>
          <w:rFonts w:ascii="Times New Roman" w:eastAsiaTheme="minorEastAsia" w:hAnsi="Times New Roman"/>
          <w:sz w:val="24"/>
          <w:szCs w:val="24"/>
          <w:highlight w:val="yellow"/>
          <w14:ligatures w14:val="standardContextual"/>
        </w:rPr>
        <w:t xml:space="preserve"> with PLLA–ZnO nanocomposites for 1 h at 37 °C. ZnO nanowires coated with ZBP–FITC were washed 3 times with PBS, </w:t>
      </w:r>
      <w:r w:rsidRPr="00B72BFD">
        <w:rPr>
          <w:rFonts w:ascii="Times New Roman" w:hAnsi="Times New Roman"/>
          <w:highlight w:val="yellow"/>
        </w:rPr>
        <w:t>and the composites were imaged and observed using an Olympus FV1000 laser confocal microscope (Olympus, Japan) and analyzed using</w:t>
      </w:r>
      <w:r w:rsidRPr="00B72BFD">
        <w:rPr>
          <w:rFonts w:ascii="Times New Roman" w:eastAsiaTheme="minorEastAsia" w:hAnsi="Times New Roman"/>
          <w:sz w:val="24"/>
          <w:szCs w:val="24"/>
          <w:highlight w:val="yellow"/>
          <w14:ligatures w14:val="standardContextual"/>
        </w:rPr>
        <w:t xml:space="preserve"> </w:t>
      </w:r>
      <w:proofErr w:type="spellStart"/>
      <w:r w:rsidRPr="00B72BFD">
        <w:rPr>
          <w:rFonts w:ascii="Times New Roman" w:eastAsiaTheme="minorEastAsia" w:hAnsi="Times New Roman"/>
          <w:sz w:val="24"/>
          <w:szCs w:val="24"/>
          <w:highlight w:val="yellow"/>
          <w14:ligatures w14:val="standardContextual"/>
        </w:rPr>
        <w:t>Fluoview</w:t>
      </w:r>
      <w:proofErr w:type="spellEnd"/>
      <w:r w:rsidRPr="00B72BFD">
        <w:rPr>
          <w:rFonts w:ascii="Times New Roman" w:eastAsiaTheme="minorEastAsia" w:hAnsi="Times New Roman"/>
          <w:sz w:val="24"/>
          <w:szCs w:val="24"/>
          <w:highlight w:val="yellow"/>
          <w14:ligatures w14:val="standardContextual"/>
        </w:rPr>
        <w:t xml:space="preserve"> software (Olympus) to confirm surface immobilization</w:t>
      </w:r>
      <w:r w:rsidRPr="0016258F">
        <w:rPr>
          <w:rFonts w:ascii="Times New Roman" w:eastAsiaTheme="minorEastAsia" w:hAnsi="Times New Roman"/>
          <w:color w:val="0070C0"/>
          <w:sz w:val="24"/>
          <w:szCs w:val="24"/>
          <w:highlight w:val="yellow"/>
          <w14:ligatures w14:val="standardContextual"/>
        </w:rPr>
        <w:t>.</w:t>
      </w:r>
      <w:r w:rsidR="009864E4">
        <w:rPr>
          <w:rFonts w:ascii="Times New Roman" w:eastAsiaTheme="minorEastAsia" w:hAnsi="Times New Roman"/>
          <w:sz w:val="24"/>
          <w:szCs w:val="24"/>
          <w:highlight w:val="yellow"/>
          <w:lang w:eastAsia="ko-KR"/>
          <w14:ligatures w14:val="standardContextual"/>
        </w:rPr>
        <w:t xml:space="preserve"> </w:t>
      </w:r>
      <w:r w:rsidRPr="009035FE">
        <w:rPr>
          <w:rFonts w:ascii="Times New Roman" w:eastAsiaTheme="minorEastAsia" w:hAnsi="Times New Roman"/>
          <w:sz w:val="24"/>
          <w:szCs w:val="24"/>
          <w:highlight w:val="yellow"/>
          <w14:ligatures w14:val="standardContextual"/>
        </w:rPr>
        <w:t xml:space="preserve">For cellular uptake assessment, DC2.4 dendritic cells were incubated with FITC-labeled ZBP-CEA-coated PLLA (50 </w:t>
      </w:r>
      <w:proofErr w:type="spellStart"/>
      <w:r w:rsidRPr="009035FE">
        <w:rPr>
          <w:rFonts w:ascii="Times New Roman" w:eastAsiaTheme="minorEastAsia" w:hAnsi="Times New Roman"/>
          <w:sz w:val="24"/>
          <w:szCs w:val="24"/>
          <w:highlight w:val="yellow"/>
          <w14:ligatures w14:val="standardContextual"/>
        </w:rPr>
        <w:t>μg</w:t>
      </w:r>
      <w:proofErr w:type="spellEnd"/>
      <w:r w:rsidRPr="009035FE">
        <w:rPr>
          <w:rFonts w:ascii="Times New Roman" w:eastAsiaTheme="minorEastAsia" w:hAnsi="Times New Roman"/>
          <w:sz w:val="24"/>
          <w:szCs w:val="24"/>
          <w:highlight w:val="yellow"/>
          <w14:ligatures w14:val="standardContextual"/>
        </w:rPr>
        <w:t xml:space="preserve">/mL) or PLLA-ZnO (50 </w:t>
      </w:r>
      <w:proofErr w:type="spellStart"/>
      <w:r w:rsidRPr="009035FE">
        <w:rPr>
          <w:rFonts w:ascii="Times New Roman" w:eastAsiaTheme="minorEastAsia" w:hAnsi="Times New Roman"/>
          <w:sz w:val="24"/>
          <w:szCs w:val="24"/>
          <w:highlight w:val="yellow"/>
          <w14:ligatures w14:val="standardContextual"/>
        </w:rPr>
        <w:t>μg</w:t>
      </w:r>
      <w:proofErr w:type="spellEnd"/>
      <w:r w:rsidRPr="009035FE">
        <w:rPr>
          <w:rFonts w:ascii="Times New Roman" w:eastAsiaTheme="minorEastAsia" w:hAnsi="Times New Roman"/>
          <w:sz w:val="24"/>
          <w:szCs w:val="24"/>
          <w:highlight w:val="yellow"/>
          <w14:ligatures w14:val="standardContextual"/>
        </w:rPr>
        <w:t xml:space="preserve">/mL) composites for 4 h at 37°C in 5% CO₂. Cells were harvested, washed twice with PBS to remove unbound particles, and analyzed by flow cytometry for FITC fluorescence (ZBPFITC channel) using a flow cytometer (LSR II, BD Biosciences CA, USA). We recorded at least 10,000 events per sample. Data was analyzed using </w:t>
      </w:r>
      <w:proofErr w:type="spellStart"/>
      <w:r w:rsidRPr="009035FE">
        <w:rPr>
          <w:rFonts w:ascii="Times New Roman" w:eastAsiaTheme="minorEastAsia" w:hAnsi="Times New Roman"/>
          <w:sz w:val="24"/>
          <w:szCs w:val="24"/>
          <w:highlight w:val="yellow"/>
          <w14:ligatures w14:val="standardContextual"/>
        </w:rPr>
        <w:t>FlowJo</w:t>
      </w:r>
      <w:proofErr w:type="spellEnd"/>
      <w:r w:rsidRPr="009035FE">
        <w:rPr>
          <w:rFonts w:ascii="Times New Roman" w:eastAsiaTheme="minorEastAsia" w:hAnsi="Times New Roman"/>
          <w:sz w:val="24"/>
          <w:szCs w:val="24"/>
          <w:highlight w:val="yellow"/>
          <w14:ligatures w14:val="standardContextual"/>
        </w:rPr>
        <w:t xml:space="preserve"> software version 8.8.6.</w:t>
      </w:r>
    </w:p>
    <w:p w14:paraId="14F87EB5" w14:textId="77777777" w:rsidR="00112988" w:rsidRDefault="00112988" w:rsidP="00FD0977">
      <w:pPr>
        <w:spacing w:after="0" w:line="480" w:lineRule="auto"/>
        <w:jc w:val="both"/>
        <w:rPr>
          <w:rFonts w:ascii="Times New Roman" w:hAnsi="Times New Roman" w:cs="Times New Roman"/>
          <w:b/>
          <w:bCs/>
          <w:lang w:eastAsia="ko-KR"/>
        </w:rPr>
      </w:pPr>
    </w:p>
    <w:p w14:paraId="1C21B22F" w14:textId="77777777" w:rsidR="00112988" w:rsidRDefault="00112988" w:rsidP="00FD0977">
      <w:pPr>
        <w:spacing w:after="0" w:line="480" w:lineRule="auto"/>
        <w:jc w:val="both"/>
        <w:rPr>
          <w:rFonts w:ascii="Times New Roman" w:hAnsi="Times New Roman" w:cs="Times New Roman"/>
          <w:b/>
          <w:bCs/>
          <w:lang w:eastAsia="ko-KR"/>
        </w:rPr>
      </w:pPr>
    </w:p>
    <w:p w14:paraId="53BD730A" w14:textId="77777777" w:rsidR="00112988" w:rsidRDefault="00112988" w:rsidP="00FD0977">
      <w:pPr>
        <w:spacing w:after="0" w:line="480" w:lineRule="auto"/>
        <w:jc w:val="both"/>
        <w:rPr>
          <w:rFonts w:ascii="Times New Roman" w:hAnsi="Times New Roman" w:cs="Times New Roman"/>
          <w:b/>
          <w:bCs/>
          <w:lang w:eastAsia="ko-KR"/>
        </w:rPr>
      </w:pPr>
      <w:r>
        <w:rPr>
          <w:noProof/>
        </w:rPr>
        <w:drawing>
          <wp:inline distT="0" distB="0" distL="0" distR="0" wp14:anchorId="08814ABF" wp14:editId="631D2C78">
            <wp:extent cx="5943600" cy="1536700"/>
            <wp:effectExtent l="0" t="0" r="0" b="6350"/>
            <wp:docPr id="149397974" name="Picture 1" descr="A close-up of a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97974" name="Picture 1" descr="A close-up of a scree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53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F328CA" w14:textId="77777777" w:rsidR="00112988" w:rsidRDefault="00112988" w:rsidP="00FD0977">
      <w:pPr>
        <w:spacing w:after="0" w:line="480" w:lineRule="auto"/>
        <w:jc w:val="both"/>
        <w:rPr>
          <w:rFonts w:ascii="Times New Roman" w:hAnsi="Times New Roman" w:cs="Times New Roman"/>
          <w:b/>
          <w:bCs/>
          <w:lang w:eastAsia="ko-KR"/>
        </w:rPr>
      </w:pPr>
      <w:r w:rsidRPr="00BE18DE">
        <w:rPr>
          <w:rFonts w:ascii="Times New Roman" w:hAnsi="Times New Roman" w:cs="Times New Roman" w:hint="eastAsia"/>
          <w:b/>
          <w:bCs/>
          <w:lang w:eastAsia="ko-KR"/>
        </w:rPr>
        <w:t xml:space="preserve">Supplementary </w:t>
      </w:r>
      <w:r w:rsidRPr="00BE18DE">
        <w:rPr>
          <w:rFonts w:ascii="Times New Roman" w:hAnsi="Times New Roman" w:cs="Times New Roman"/>
          <w:b/>
          <w:bCs/>
        </w:rPr>
        <w:t>F</w:t>
      </w:r>
      <w:r w:rsidRPr="00BE18DE">
        <w:rPr>
          <w:rFonts w:ascii="Times New Roman" w:hAnsi="Times New Roman" w:cs="Times New Roman" w:hint="eastAsia"/>
          <w:b/>
          <w:bCs/>
          <w:lang w:eastAsia="ko-KR"/>
        </w:rPr>
        <w:t>igure</w:t>
      </w:r>
      <w:r w:rsidRPr="00BE18DE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1.</w:t>
      </w:r>
    </w:p>
    <w:p w14:paraId="7C70A545" w14:textId="77777777" w:rsidR="00112988" w:rsidRPr="00C85321" w:rsidRDefault="00112988" w:rsidP="00FD0977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C85321">
        <w:rPr>
          <w:rFonts w:ascii="Times New Roman" w:hAnsi="Times New Roman" w:cs="Times New Roman"/>
          <w:sz w:val="22"/>
          <w:szCs w:val="22"/>
          <w:highlight w:val="yellow"/>
        </w:rPr>
        <w:t>(</w:t>
      </w:r>
      <w:r>
        <w:rPr>
          <w:rFonts w:ascii="Times New Roman" w:hAnsi="Times New Roman" w:cs="Times New Roman"/>
          <w:sz w:val="22"/>
          <w:szCs w:val="22"/>
          <w:highlight w:val="yellow"/>
        </w:rPr>
        <w:t>A</w:t>
      </w:r>
      <w:r w:rsidRPr="00C85321">
        <w:rPr>
          <w:rFonts w:ascii="Times New Roman" w:hAnsi="Times New Roman" w:cs="Times New Roman"/>
          <w:sz w:val="22"/>
          <w:szCs w:val="22"/>
          <w:highlight w:val="yellow"/>
        </w:rPr>
        <w:t xml:space="preserve">) Fluorescence microscopy image of FITC-labeled ZBP–CEA immobilized on PLLA–ZnO composites, confirming antigen attachment along the composite fiber surfaces (scale bar, </w:t>
      </w:r>
      <w:r>
        <w:rPr>
          <w:rFonts w:ascii="Times New Roman" w:hAnsi="Times New Roman" w:cs="Times New Roman"/>
          <w:sz w:val="22"/>
          <w:szCs w:val="22"/>
          <w:highlight w:val="yellow"/>
        </w:rPr>
        <w:t>10</w:t>
      </w:r>
      <w:r w:rsidRPr="00C85321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C85321">
        <w:rPr>
          <w:rFonts w:ascii="Times New Roman" w:hAnsi="Times New Roman" w:cs="Times New Roman"/>
          <w:sz w:val="22"/>
          <w:szCs w:val="22"/>
          <w:highlight w:val="yellow"/>
        </w:rPr>
        <w:t>μm</w:t>
      </w:r>
      <w:proofErr w:type="spellEnd"/>
      <w:r w:rsidRPr="00C85321">
        <w:rPr>
          <w:rFonts w:ascii="Times New Roman" w:hAnsi="Times New Roman" w:cs="Times New Roman"/>
          <w:sz w:val="22"/>
          <w:szCs w:val="22"/>
          <w:highlight w:val="yellow"/>
        </w:rPr>
        <w:t>).</w:t>
      </w:r>
      <w:r w:rsidRPr="0092457C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r w:rsidRPr="00C85321">
        <w:rPr>
          <w:rFonts w:ascii="Times New Roman" w:hAnsi="Times New Roman" w:cs="Times New Roman"/>
          <w:sz w:val="22"/>
          <w:szCs w:val="22"/>
          <w:highlight w:val="yellow"/>
        </w:rPr>
        <w:t>(</w:t>
      </w:r>
      <w:r>
        <w:rPr>
          <w:rFonts w:ascii="Times New Roman" w:hAnsi="Times New Roman" w:cs="Times New Roman"/>
          <w:sz w:val="22"/>
          <w:szCs w:val="22"/>
          <w:highlight w:val="yellow"/>
        </w:rPr>
        <w:t>B</w:t>
      </w:r>
      <w:r w:rsidRPr="00C85321">
        <w:rPr>
          <w:rFonts w:ascii="Times New Roman" w:hAnsi="Times New Roman" w:cs="Times New Roman"/>
          <w:sz w:val="22"/>
          <w:szCs w:val="22"/>
          <w:highlight w:val="yellow"/>
        </w:rPr>
        <w:t xml:space="preserve">) Flow-cytometric assessment of DC2.4 cell association/uptake of FITC-labeled ZBP–CEA after incubation with antigen-loaded PLLA or PLLA–ZnO composites. Left, histogram overlay; right, representative </w:t>
      </w:r>
      <w:r w:rsidRPr="00C85321">
        <w:rPr>
          <w:rFonts w:ascii="Times New Roman" w:hAnsi="Times New Roman" w:cs="Times New Roman"/>
          <w:color w:val="0070C0"/>
          <w:sz w:val="22"/>
          <w:szCs w:val="22"/>
          <w:highlight w:val="yellow"/>
        </w:rPr>
        <w:t xml:space="preserve">flow cytometry </w:t>
      </w:r>
      <w:r w:rsidRPr="00C85321">
        <w:rPr>
          <w:rFonts w:ascii="Times New Roman" w:hAnsi="Times New Roman" w:cs="Times New Roman"/>
          <w:sz w:val="22"/>
          <w:szCs w:val="22"/>
          <w:highlight w:val="yellow"/>
        </w:rPr>
        <w:lastRenderedPageBreak/>
        <w:t>plots showing the proportion of FITC+ cells. PLLA–ZnO composites were associated with 96.2% FITC+ DC2.4 cells, compared with 13.9% for PLLA composites and 0.013% for unstained control cells, indicating enhanced dendritic-cell association/uptake mediated by the ZnO nanowire platform</w:t>
      </w:r>
      <w:r w:rsidRPr="00361AA4">
        <w:rPr>
          <w:rFonts w:ascii="Times New Roman" w:hAnsi="Times New Roman" w:cs="Times New Roman" w:hint="eastAsia"/>
          <w:sz w:val="22"/>
          <w:szCs w:val="22"/>
          <w:highlight w:val="yellow"/>
          <w:lang w:eastAsia="ko-KR"/>
        </w:rPr>
        <w:t>.</w:t>
      </w:r>
    </w:p>
    <w:p w14:paraId="3A293F7D" w14:textId="77777777" w:rsidR="003401E0" w:rsidRDefault="003401E0" w:rsidP="00FD0977">
      <w:pPr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</w:p>
    <w:p w14:paraId="344ECA01" w14:textId="77777777" w:rsidR="003401E0" w:rsidRDefault="003401E0" w:rsidP="00FD0977">
      <w:pPr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</w:p>
    <w:p w14:paraId="503F3164" w14:textId="77777777" w:rsidR="003401E0" w:rsidRDefault="003401E0" w:rsidP="00FD0977">
      <w:pPr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</w:p>
    <w:p w14:paraId="030E73A2" w14:textId="77777777" w:rsidR="00A65435" w:rsidRDefault="00205A2E" w:rsidP="00FD0977">
      <w:pPr>
        <w:spacing w:after="0" w:line="480" w:lineRule="auto"/>
        <w:jc w:val="both"/>
        <w:rPr>
          <w:rFonts w:ascii="Times New Roman" w:hAnsi="Times New Roman" w:cs="Times New Roman"/>
          <w:b/>
          <w:bCs/>
          <w:lang w:eastAsia="ko-KR"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2C88D0A5" wp14:editId="24FBE5D0">
            <wp:extent cx="5943600" cy="3134360"/>
            <wp:effectExtent l="0" t="0" r="0" b="0"/>
            <wp:docPr id="1266558527" name="Picture 1" descr="A screenshot of a video gam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558527" name="Picture 1" descr="A screenshot of a video game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3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6BD0E" w14:textId="77777777" w:rsidR="00A65435" w:rsidRPr="00BE18DE" w:rsidRDefault="00A65435" w:rsidP="00FD0977">
      <w:pPr>
        <w:spacing w:after="0" w:line="480" w:lineRule="auto"/>
        <w:jc w:val="both"/>
        <w:rPr>
          <w:rFonts w:ascii="Times New Roman" w:hAnsi="Times New Roman" w:cs="Times New Roman"/>
          <w:b/>
          <w:bCs/>
          <w:lang w:eastAsia="ko-KR"/>
        </w:rPr>
      </w:pPr>
      <w:r w:rsidRPr="00BE18DE">
        <w:rPr>
          <w:rFonts w:ascii="Times New Roman" w:hAnsi="Times New Roman" w:cs="Times New Roman" w:hint="eastAsia"/>
          <w:b/>
          <w:bCs/>
          <w:lang w:eastAsia="ko-KR"/>
        </w:rPr>
        <w:t xml:space="preserve">Supplementary </w:t>
      </w:r>
      <w:r w:rsidRPr="00BE18DE">
        <w:rPr>
          <w:rFonts w:ascii="Times New Roman" w:hAnsi="Times New Roman" w:cs="Times New Roman"/>
          <w:b/>
          <w:bCs/>
        </w:rPr>
        <w:t>F</w:t>
      </w:r>
      <w:r w:rsidRPr="00BE18DE">
        <w:rPr>
          <w:rFonts w:ascii="Times New Roman" w:hAnsi="Times New Roman" w:cs="Times New Roman" w:hint="eastAsia"/>
          <w:b/>
          <w:bCs/>
          <w:lang w:eastAsia="ko-KR"/>
        </w:rPr>
        <w:t>igure</w:t>
      </w:r>
      <w:r w:rsidRPr="00BE18DE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2</w:t>
      </w:r>
      <w:r w:rsidRPr="00BE18DE">
        <w:rPr>
          <w:rFonts w:ascii="Times New Roman" w:hAnsi="Times New Roman" w:cs="Times New Roman" w:hint="eastAsia"/>
          <w:b/>
          <w:bCs/>
          <w:lang w:eastAsia="ko-KR"/>
        </w:rPr>
        <w:t>.</w:t>
      </w:r>
      <w:r w:rsidRPr="00BE18DE">
        <w:rPr>
          <w:rFonts w:ascii="Times New Roman" w:hAnsi="Times New Roman" w:cs="Times New Roman"/>
          <w:b/>
          <w:bCs/>
        </w:rPr>
        <w:t xml:space="preserve"> IgG1 Antibody Responses Following Vaccination</w:t>
      </w:r>
      <w:r w:rsidRPr="00BE18DE">
        <w:rPr>
          <w:rFonts w:ascii="Times New Roman" w:hAnsi="Times New Roman" w:cs="Times New Roman" w:hint="eastAsia"/>
          <w:b/>
          <w:bCs/>
          <w:lang w:eastAsia="ko-KR"/>
        </w:rPr>
        <w:t>.</w:t>
      </w:r>
    </w:p>
    <w:p w14:paraId="523FAC90" w14:textId="2AE22455" w:rsidR="00A65435" w:rsidRPr="00BE18DE" w:rsidRDefault="00A65435" w:rsidP="00FD0977">
      <w:pPr>
        <w:spacing w:after="0" w:line="480" w:lineRule="auto"/>
        <w:jc w:val="both"/>
        <w:rPr>
          <w:rFonts w:ascii="Times New Roman" w:hAnsi="Times New Roman" w:cs="Times New Roman"/>
        </w:rPr>
      </w:pPr>
      <w:r w:rsidRPr="00BE18DE">
        <w:rPr>
          <w:rFonts w:ascii="Times New Roman" w:hAnsi="Times New Roman" w:cs="Times New Roman"/>
        </w:rPr>
        <w:t xml:space="preserve">CEA-specific IgG1 antibody </w:t>
      </w:r>
      <w:r w:rsidR="001B1B7E" w:rsidRPr="00BE18DE">
        <w:rPr>
          <w:rFonts w:ascii="Times New Roman" w:hAnsi="Times New Roman" w:cs="Times New Roman"/>
        </w:rPr>
        <w:t>titters</w:t>
      </w:r>
      <w:r w:rsidRPr="00BE18DE">
        <w:rPr>
          <w:rFonts w:ascii="Times New Roman" w:hAnsi="Times New Roman" w:cs="Times New Roman"/>
        </w:rPr>
        <w:t xml:space="preserve"> measured at two serum dilutions and time points. C57BL/6 mice (n=5 per group) were vaccinated with PLLA</w:t>
      </w:r>
      <w:r w:rsidR="005E233E">
        <w:rPr>
          <w:rFonts w:ascii="Times New Roman" w:hAnsi="Times New Roman" w:cs="Times New Roman"/>
        </w:rPr>
        <w:t>-</w:t>
      </w:r>
      <w:r w:rsidRPr="00BE18DE">
        <w:rPr>
          <w:rFonts w:ascii="Times New Roman" w:hAnsi="Times New Roman" w:cs="Times New Roman"/>
        </w:rPr>
        <w:t>ZnO/CEA, Alum/CEA, PLLA/CEA, or control formulations on Day 0 (prime) and Day 14 (boost). We performed ELISA on serum samples collected on Day 14 and Day 28 at 1:100 and 1:1000 dilutions. (A-B) Day 14 responses: Alum/CEA induced the highest IgG1 at both dilutions, followed by PLLA</w:t>
      </w:r>
      <w:r w:rsidR="005E233E">
        <w:rPr>
          <w:rFonts w:ascii="Times New Roman" w:hAnsi="Times New Roman" w:cs="Times New Roman"/>
        </w:rPr>
        <w:t>-</w:t>
      </w:r>
      <w:r w:rsidRPr="00BE18DE">
        <w:rPr>
          <w:rFonts w:ascii="Times New Roman" w:hAnsi="Times New Roman" w:cs="Times New Roman"/>
        </w:rPr>
        <w:t>ZnO/</w:t>
      </w:r>
      <w:r w:rsidR="001B1B7E" w:rsidRPr="00BE18DE">
        <w:rPr>
          <w:rFonts w:ascii="Times New Roman" w:hAnsi="Times New Roman" w:cs="Times New Roman"/>
        </w:rPr>
        <w:t>CEA and</w:t>
      </w:r>
      <w:r w:rsidRPr="00BE18DE">
        <w:rPr>
          <w:rFonts w:ascii="Times New Roman" w:hAnsi="Times New Roman" w:cs="Times New Roman"/>
        </w:rPr>
        <w:t xml:space="preserve"> PLLA/CEA. (C-D) Day 28 responses: All vaccine groups showed increased IgG1 after boost. Alum/CEA maintained the highest levels, with PLLA</w:t>
      </w:r>
      <w:r w:rsidR="005E233E">
        <w:rPr>
          <w:rFonts w:ascii="Times New Roman" w:hAnsi="Times New Roman" w:cs="Times New Roman"/>
        </w:rPr>
        <w:t>-</w:t>
      </w:r>
      <w:r w:rsidRPr="00BE18DE">
        <w:rPr>
          <w:rFonts w:ascii="Times New Roman" w:hAnsi="Times New Roman" w:cs="Times New Roman"/>
        </w:rPr>
        <w:t xml:space="preserve">ZnO/CEA and PLLA/CEA showing </w:t>
      </w:r>
      <w:r w:rsidRPr="00BE18DE">
        <w:rPr>
          <w:rFonts w:ascii="Times New Roman" w:hAnsi="Times New Roman" w:cs="Times New Roman"/>
        </w:rPr>
        <w:lastRenderedPageBreak/>
        <w:t>proportional increases. Control groups (CNT, PLLA, PLLA</w:t>
      </w:r>
      <w:r w:rsidR="00D22124">
        <w:rPr>
          <w:rFonts w:ascii="Times New Roman" w:hAnsi="Times New Roman" w:cs="Times New Roman"/>
        </w:rPr>
        <w:t>-</w:t>
      </w:r>
      <w:r w:rsidRPr="00BE18DE">
        <w:rPr>
          <w:rFonts w:ascii="Times New Roman" w:hAnsi="Times New Roman" w:cs="Times New Roman"/>
        </w:rPr>
        <w:t>ZnO without antigen) showed minimal IgG1. Data represent mean ± SEM. Statistical analysis: one-way ANOVA with Tukey's post-hoc test; ***p &lt; 0.001, **p &lt; 0.01, p &lt; 0.05, ns = not significant.</w:t>
      </w:r>
    </w:p>
    <w:p w14:paraId="3D37BCE0" w14:textId="073A274F" w:rsidR="002E0C06" w:rsidRPr="00BE18DE" w:rsidRDefault="00205A2E" w:rsidP="00FD0977">
      <w:pPr>
        <w:spacing w:after="0" w:line="480" w:lineRule="auto"/>
        <w:jc w:val="both"/>
        <w:rPr>
          <w:rFonts w:ascii="Times New Roman" w:hAnsi="Times New Roman" w:cs="Times New Roman"/>
          <w:b/>
          <w:bCs/>
          <w:lang w:eastAsia="ko-KR"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A4A8C04" wp14:editId="4D287ACD">
            <wp:extent cx="5943600" cy="2947670"/>
            <wp:effectExtent l="0" t="0" r="0" b="0"/>
            <wp:docPr id="1570735463" name="Picture 2" descr="A screenshot of a video gam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735463" name="Picture 2" descr="A screenshot of a video game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47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E0C06" w:rsidRPr="002E0C06">
        <w:rPr>
          <w:rFonts w:ascii="Times New Roman" w:hAnsi="Times New Roman" w:cs="Times New Roman" w:hint="eastAsia"/>
          <w:b/>
          <w:bCs/>
          <w:lang w:eastAsia="ko-KR"/>
        </w:rPr>
        <w:t xml:space="preserve"> </w:t>
      </w:r>
      <w:r w:rsidR="002E0C06" w:rsidRPr="00BE18DE">
        <w:rPr>
          <w:rFonts w:ascii="Times New Roman" w:hAnsi="Times New Roman" w:cs="Times New Roman" w:hint="eastAsia"/>
          <w:b/>
          <w:bCs/>
          <w:lang w:eastAsia="ko-KR"/>
        </w:rPr>
        <w:t xml:space="preserve">Supplementary </w:t>
      </w:r>
      <w:r w:rsidR="002E0C06" w:rsidRPr="00BE18DE">
        <w:rPr>
          <w:rFonts w:ascii="Times New Roman" w:hAnsi="Times New Roman" w:cs="Times New Roman"/>
          <w:b/>
          <w:bCs/>
        </w:rPr>
        <w:t>F</w:t>
      </w:r>
      <w:r w:rsidR="002E0C06" w:rsidRPr="00BE18DE">
        <w:rPr>
          <w:rFonts w:ascii="Times New Roman" w:hAnsi="Times New Roman" w:cs="Times New Roman" w:hint="eastAsia"/>
          <w:b/>
          <w:bCs/>
          <w:lang w:eastAsia="ko-KR"/>
        </w:rPr>
        <w:t>igure</w:t>
      </w:r>
      <w:r w:rsidR="002E0C06" w:rsidRPr="00BE18DE">
        <w:rPr>
          <w:rFonts w:ascii="Times New Roman" w:hAnsi="Times New Roman" w:cs="Times New Roman"/>
          <w:b/>
          <w:bCs/>
        </w:rPr>
        <w:t xml:space="preserve"> </w:t>
      </w:r>
      <w:r w:rsidR="002E0C06">
        <w:rPr>
          <w:rFonts w:ascii="Times New Roman" w:hAnsi="Times New Roman" w:cs="Times New Roman"/>
          <w:b/>
          <w:bCs/>
        </w:rPr>
        <w:t>3</w:t>
      </w:r>
      <w:r w:rsidR="002E0C06" w:rsidRPr="00BE18DE">
        <w:rPr>
          <w:rFonts w:ascii="Times New Roman" w:hAnsi="Times New Roman" w:cs="Times New Roman" w:hint="eastAsia"/>
          <w:b/>
          <w:bCs/>
          <w:lang w:eastAsia="ko-KR"/>
        </w:rPr>
        <w:t>.</w:t>
      </w:r>
      <w:r w:rsidR="002E0C06" w:rsidRPr="00BE18DE">
        <w:rPr>
          <w:rFonts w:ascii="Times New Roman" w:hAnsi="Times New Roman" w:cs="Times New Roman"/>
          <w:b/>
          <w:bCs/>
        </w:rPr>
        <w:t xml:space="preserve"> IgG2c Antibody Responses Following Vaccination</w:t>
      </w:r>
      <w:r w:rsidR="002E0C06" w:rsidRPr="00BE18DE">
        <w:rPr>
          <w:rFonts w:ascii="Times New Roman" w:hAnsi="Times New Roman" w:cs="Times New Roman" w:hint="eastAsia"/>
          <w:b/>
          <w:bCs/>
          <w:lang w:eastAsia="ko-KR"/>
        </w:rPr>
        <w:t>.</w:t>
      </w:r>
    </w:p>
    <w:p w14:paraId="1E55B39F" w14:textId="595DAA1F" w:rsidR="002E0C06" w:rsidRPr="00BE18DE" w:rsidRDefault="002E0C06" w:rsidP="00FD0977">
      <w:pPr>
        <w:spacing w:after="0" w:line="480" w:lineRule="auto"/>
        <w:jc w:val="both"/>
        <w:rPr>
          <w:rFonts w:ascii="Times New Roman" w:hAnsi="Times New Roman" w:cs="Times New Roman"/>
        </w:rPr>
      </w:pPr>
      <w:r w:rsidRPr="00BE18DE">
        <w:rPr>
          <w:rFonts w:ascii="Times New Roman" w:hAnsi="Times New Roman" w:cs="Times New Roman"/>
        </w:rPr>
        <w:t xml:space="preserve">CEA-specific IgG2c antibody </w:t>
      </w:r>
      <w:r w:rsidR="001B1B7E" w:rsidRPr="00BE18DE">
        <w:rPr>
          <w:rFonts w:ascii="Times New Roman" w:hAnsi="Times New Roman" w:cs="Times New Roman"/>
        </w:rPr>
        <w:t>titters</w:t>
      </w:r>
      <w:r w:rsidRPr="00BE18DE">
        <w:rPr>
          <w:rFonts w:ascii="Times New Roman" w:hAnsi="Times New Roman" w:cs="Times New Roman"/>
        </w:rPr>
        <w:t xml:space="preserve"> measured at two serum dilutions and time points. Experimental design identical to Figure 2. IgG2c is the Th1-associated isotype in C57BL/6 mice, indicating activation of cellular immunity. (A-B) Day 14 responses: PLLA</w:t>
      </w:r>
      <w:r w:rsidR="005E233E">
        <w:rPr>
          <w:rFonts w:ascii="Times New Roman" w:hAnsi="Times New Roman" w:cs="Times New Roman"/>
        </w:rPr>
        <w:t>-</w:t>
      </w:r>
      <w:r w:rsidRPr="00BE18DE">
        <w:rPr>
          <w:rFonts w:ascii="Times New Roman" w:hAnsi="Times New Roman" w:cs="Times New Roman"/>
        </w:rPr>
        <w:t>ZnO/CEA induced the highest IgG2c at 1:100 dilution, significantly exceeding Alum/CEA and PLLA/CEA. At 1:1000 dilution, PLLA</w:t>
      </w:r>
      <w:r w:rsidR="005E233E">
        <w:rPr>
          <w:rFonts w:ascii="Times New Roman" w:hAnsi="Times New Roman" w:cs="Times New Roman"/>
        </w:rPr>
        <w:t>-</w:t>
      </w:r>
      <w:r w:rsidRPr="00BE18DE">
        <w:rPr>
          <w:rFonts w:ascii="Times New Roman" w:hAnsi="Times New Roman" w:cs="Times New Roman"/>
        </w:rPr>
        <w:t>ZnO/CEA and Alum/CEA showed comparable levels. (C-D) Day 28 responses: PLLA</w:t>
      </w:r>
      <w:r w:rsidR="005E233E">
        <w:rPr>
          <w:rFonts w:ascii="Times New Roman" w:hAnsi="Times New Roman" w:cs="Times New Roman"/>
        </w:rPr>
        <w:t>-</w:t>
      </w:r>
      <w:r w:rsidRPr="00BE18DE">
        <w:rPr>
          <w:rFonts w:ascii="Times New Roman" w:hAnsi="Times New Roman" w:cs="Times New Roman"/>
        </w:rPr>
        <w:t xml:space="preserve">ZnO/CEA maintained the highest IgG2c at both dilutions, demonstrating sustained Th1 immunity. Alum/CEA showed lower IgG2c expansion consistent with Th2 bias. PLLA/CEA exhibited intermediate responses. Control groups showed minimal IgG2c. Data represent mean ± SEM (n=5 per group). Statistical analysis: one-way ANOVA with Tukey's post hoc test; ***p &lt; 0.001, **p &lt; 0.01, p &lt; 0.05, ns = not significant. </w:t>
      </w:r>
    </w:p>
    <w:p w14:paraId="131AC2FE" w14:textId="58D890DC" w:rsidR="00D91C04" w:rsidRDefault="00D91C04" w:rsidP="00FD0977">
      <w:pPr>
        <w:spacing w:after="0" w:line="480" w:lineRule="auto"/>
        <w:jc w:val="both"/>
        <w:rPr>
          <w:rFonts w:ascii="Times New Roman" w:hAnsi="Times New Roman" w:cs="Times New Roman"/>
        </w:rPr>
      </w:pPr>
    </w:p>
    <w:p w14:paraId="07D80D2F" w14:textId="77777777" w:rsidR="00D91C04" w:rsidRPr="006D6EFD" w:rsidRDefault="00D91C04" w:rsidP="00FD0977">
      <w:pPr>
        <w:spacing w:after="0" w:line="480" w:lineRule="auto"/>
        <w:jc w:val="both"/>
        <w:rPr>
          <w:rFonts w:ascii="Times New Roman" w:hAnsi="Times New Roman" w:cs="Times New Roman"/>
          <w:lang w:eastAsia="ko-KR"/>
        </w:rPr>
      </w:pPr>
    </w:p>
    <w:p w14:paraId="7BC8206E" w14:textId="5A3D258B" w:rsidR="00783710" w:rsidRPr="006123FF" w:rsidRDefault="00783710" w:rsidP="00FD0977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DC76F66" wp14:editId="1E570557">
            <wp:extent cx="5550185" cy="3574507"/>
            <wp:effectExtent l="0" t="0" r="0" b="0"/>
            <wp:docPr id="178096875" name="Picture 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96875" name="Picture 1" descr="A screenshot of a computer screen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0185" cy="3574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502A0" w:rsidRPr="00174C0E">
        <w:rPr>
          <w:rFonts w:ascii="Times New Roman" w:hAnsi="Times New Roman" w:cs="Times New Roman"/>
          <w:b/>
          <w:bCs/>
        </w:rPr>
        <w:t xml:space="preserve">Figure </w:t>
      </w:r>
      <w:r w:rsidR="001605E3">
        <w:rPr>
          <w:rFonts w:ascii="Times New Roman" w:hAnsi="Times New Roman" w:cs="Times New Roman"/>
          <w:b/>
          <w:bCs/>
        </w:rPr>
        <w:t>4</w:t>
      </w:r>
      <w:r w:rsidR="001502A0" w:rsidRPr="00174C0E">
        <w:rPr>
          <w:rFonts w:ascii="Times New Roman" w:hAnsi="Times New Roman" w:cs="Times New Roman"/>
          <w:b/>
          <w:bCs/>
        </w:rPr>
        <w:t>.</w:t>
      </w:r>
      <w:r w:rsidR="001502A0" w:rsidRPr="00556ED3">
        <w:rPr>
          <w:rFonts w:ascii="Times New Roman" w:hAnsi="Times New Roman" w:cs="Times New Roman"/>
        </w:rPr>
        <w:t xml:space="preserve"> </w:t>
      </w:r>
      <w:r w:rsidR="001502A0">
        <w:rPr>
          <w:rFonts w:ascii="Times New Roman" w:hAnsi="Times New Roman" w:cs="Times New Roman"/>
        </w:rPr>
        <w:t xml:space="preserve">Flowcytometry </w:t>
      </w:r>
      <w:r w:rsidR="001502A0" w:rsidRPr="00556ED3">
        <w:rPr>
          <w:rFonts w:ascii="Times New Roman" w:hAnsi="Times New Roman" w:cs="Times New Roman"/>
        </w:rPr>
        <w:t>Cellular immune responses following PLLA-ZnO</w:t>
      </w:r>
      <w:r w:rsidR="005E233E">
        <w:rPr>
          <w:rFonts w:ascii="Times New Roman" w:hAnsi="Times New Roman" w:cs="Times New Roman"/>
        </w:rPr>
        <w:t>/</w:t>
      </w:r>
      <w:r w:rsidR="001502A0" w:rsidRPr="00556ED3">
        <w:rPr>
          <w:rFonts w:ascii="Times New Roman" w:hAnsi="Times New Roman" w:cs="Times New Roman"/>
        </w:rPr>
        <w:t>CEA vaccination.</w:t>
      </w:r>
      <w:r w:rsidRPr="006123FF">
        <w:rPr>
          <w:rFonts w:ascii="Times New Roman" w:hAnsi="Times New Roman" w:cs="Times New Roman"/>
        </w:rPr>
        <w:t xml:space="preserve"> On Day 28, splenocytes were isolated and cultured CD4+ and CD8+ under antigen-positive (CEA⁺) and antigen-negative (CEA⁻) conditions for 16 hours. Cells were analyzed by flow cytometry for (A-B) </w:t>
      </w:r>
      <w:proofErr w:type="spellStart"/>
      <w:r w:rsidRPr="006123FF">
        <w:rPr>
          <w:rFonts w:ascii="Times New Roman" w:hAnsi="Times New Roman" w:cs="Times New Roman"/>
        </w:rPr>
        <w:t>IFNγ</w:t>
      </w:r>
      <w:proofErr w:type="spellEnd"/>
      <w:r w:rsidRPr="006123FF">
        <w:rPr>
          <w:rFonts w:ascii="Times New Roman" w:hAnsi="Times New Roman" w:cs="Times New Roman"/>
        </w:rPr>
        <w:t xml:space="preserve">+ CD8+ T cells and </w:t>
      </w:r>
      <w:proofErr w:type="spellStart"/>
      <w:r w:rsidRPr="006123FF">
        <w:rPr>
          <w:rFonts w:ascii="Times New Roman" w:hAnsi="Times New Roman" w:cs="Times New Roman"/>
        </w:rPr>
        <w:t>IFNγ</w:t>
      </w:r>
      <w:proofErr w:type="spellEnd"/>
      <w:r w:rsidRPr="006123FF">
        <w:rPr>
          <w:rFonts w:ascii="Times New Roman" w:hAnsi="Times New Roman" w:cs="Times New Roman"/>
        </w:rPr>
        <w:t xml:space="preserve">+ CD4+ T cells. </w:t>
      </w:r>
    </w:p>
    <w:p w14:paraId="73937A4F" w14:textId="77777777" w:rsidR="00783710" w:rsidRPr="006D6EFD" w:rsidRDefault="00783710" w:rsidP="00FD0977">
      <w:pPr>
        <w:spacing w:after="0" w:line="480" w:lineRule="auto"/>
        <w:jc w:val="both"/>
        <w:rPr>
          <w:rFonts w:ascii="Times New Roman" w:hAnsi="Times New Roman" w:cs="Times New Roman"/>
        </w:rPr>
      </w:pPr>
    </w:p>
    <w:sectPr w:rsidR="00783710" w:rsidRPr="006D6EF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69056" w14:textId="77777777" w:rsidR="001C52F0" w:rsidRDefault="001C52F0" w:rsidP="003401E0">
      <w:pPr>
        <w:spacing w:after="0" w:line="240" w:lineRule="auto"/>
      </w:pPr>
      <w:r>
        <w:separator/>
      </w:r>
    </w:p>
  </w:endnote>
  <w:endnote w:type="continuationSeparator" w:id="0">
    <w:p w14:paraId="748D2034" w14:textId="77777777" w:rsidR="001C52F0" w:rsidRDefault="001C52F0" w:rsidP="00340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56A40" w14:textId="77777777" w:rsidR="003401E0" w:rsidRDefault="003401E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2"/>
        <w:szCs w:val="22"/>
      </w:rPr>
      <w:id w:val="958221492"/>
      <w:docPartObj>
        <w:docPartGallery w:val="Page Numbers (Bottom of Page)"/>
        <w:docPartUnique/>
      </w:docPartObj>
    </w:sdtPr>
    <w:sdtEndPr/>
    <w:sdtContent>
      <w:p w14:paraId="59A84FFF" w14:textId="78B5DDFB" w:rsidR="003401E0" w:rsidRPr="003401E0" w:rsidRDefault="003401E0" w:rsidP="003401E0">
        <w:pPr>
          <w:pStyle w:val="Footer"/>
          <w:jc w:val="center"/>
          <w:rPr>
            <w:rFonts w:ascii="Times New Roman" w:hAnsi="Times New Roman" w:cs="Times New Roman"/>
            <w:sz w:val="22"/>
            <w:szCs w:val="22"/>
          </w:rPr>
        </w:pPr>
        <w:r w:rsidRPr="003401E0">
          <w:rPr>
            <w:rFonts w:ascii="Times New Roman" w:hAnsi="Times New Roman" w:cs="Times New Roman"/>
            <w:sz w:val="22"/>
            <w:szCs w:val="22"/>
          </w:rPr>
          <w:fldChar w:fldCharType="begin"/>
        </w:r>
        <w:r w:rsidRPr="003401E0">
          <w:rPr>
            <w:rFonts w:ascii="Times New Roman" w:hAnsi="Times New Roman" w:cs="Times New Roman"/>
            <w:sz w:val="22"/>
            <w:szCs w:val="22"/>
          </w:rPr>
          <w:instrText>PAGE   \* MERGEFORMAT</w:instrText>
        </w:r>
        <w:r w:rsidRPr="003401E0">
          <w:rPr>
            <w:rFonts w:ascii="Times New Roman" w:hAnsi="Times New Roman" w:cs="Times New Roman"/>
            <w:sz w:val="22"/>
            <w:szCs w:val="22"/>
          </w:rPr>
          <w:fldChar w:fldCharType="separate"/>
        </w:r>
        <w:r w:rsidRPr="003401E0">
          <w:rPr>
            <w:rFonts w:ascii="Times New Roman" w:hAnsi="Times New Roman" w:cs="Times New Roman"/>
            <w:sz w:val="22"/>
            <w:szCs w:val="22"/>
            <w:lang w:val="ko-KR" w:eastAsia="ko-KR"/>
          </w:rPr>
          <w:t>2</w:t>
        </w:r>
        <w:r w:rsidRPr="003401E0">
          <w:rPr>
            <w:rFonts w:ascii="Times New Roman" w:hAnsi="Times New Roman" w:cs="Times New Roman"/>
            <w:sz w:val="22"/>
            <w:szCs w:val="22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584BE" w14:textId="77777777" w:rsidR="003401E0" w:rsidRDefault="003401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7A829" w14:textId="77777777" w:rsidR="001C52F0" w:rsidRDefault="001C52F0" w:rsidP="003401E0">
      <w:pPr>
        <w:spacing w:after="0" w:line="240" w:lineRule="auto"/>
      </w:pPr>
      <w:r>
        <w:separator/>
      </w:r>
    </w:p>
  </w:footnote>
  <w:footnote w:type="continuationSeparator" w:id="0">
    <w:p w14:paraId="2042198E" w14:textId="77777777" w:rsidR="001C52F0" w:rsidRDefault="001C52F0" w:rsidP="003401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C7077" w14:textId="77777777" w:rsidR="003401E0" w:rsidRDefault="003401E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A467E" w14:textId="77777777" w:rsidR="003401E0" w:rsidRDefault="003401E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B6D6E" w14:textId="77777777" w:rsidR="003401E0" w:rsidRDefault="003401E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tDC0MDczMzM3NDY1MTZT0lEKTi0uzszPAykwrAUAhoUHeSwAAAA="/>
  </w:docVars>
  <w:rsids>
    <w:rsidRoot w:val="006D6EFD"/>
    <w:rsid w:val="00055272"/>
    <w:rsid w:val="000D60D4"/>
    <w:rsid w:val="00112988"/>
    <w:rsid w:val="00122092"/>
    <w:rsid w:val="00135CF8"/>
    <w:rsid w:val="0013624B"/>
    <w:rsid w:val="001502A0"/>
    <w:rsid w:val="001605E3"/>
    <w:rsid w:val="001B1B7E"/>
    <w:rsid w:val="001C52F0"/>
    <w:rsid w:val="00205A2E"/>
    <w:rsid w:val="002B5CC3"/>
    <w:rsid w:val="002C4965"/>
    <w:rsid w:val="002E0C06"/>
    <w:rsid w:val="0032488A"/>
    <w:rsid w:val="003401E0"/>
    <w:rsid w:val="0034294B"/>
    <w:rsid w:val="00414A76"/>
    <w:rsid w:val="0047295C"/>
    <w:rsid w:val="004A7549"/>
    <w:rsid w:val="00530AE0"/>
    <w:rsid w:val="005E233E"/>
    <w:rsid w:val="006130B9"/>
    <w:rsid w:val="0064439B"/>
    <w:rsid w:val="006D6EFD"/>
    <w:rsid w:val="006E6330"/>
    <w:rsid w:val="00783710"/>
    <w:rsid w:val="007A66C9"/>
    <w:rsid w:val="0082718A"/>
    <w:rsid w:val="008E68E9"/>
    <w:rsid w:val="008F2BD5"/>
    <w:rsid w:val="00901BBC"/>
    <w:rsid w:val="009864E4"/>
    <w:rsid w:val="00A65435"/>
    <w:rsid w:val="00A72AB7"/>
    <w:rsid w:val="00A95BA3"/>
    <w:rsid w:val="00AD3006"/>
    <w:rsid w:val="00AE441A"/>
    <w:rsid w:val="00B33A1A"/>
    <w:rsid w:val="00BA6A80"/>
    <w:rsid w:val="00C05DD2"/>
    <w:rsid w:val="00C94B7A"/>
    <w:rsid w:val="00D22124"/>
    <w:rsid w:val="00D25EC2"/>
    <w:rsid w:val="00D4785E"/>
    <w:rsid w:val="00D602A7"/>
    <w:rsid w:val="00D91C04"/>
    <w:rsid w:val="00DD26AB"/>
    <w:rsid w:val="00DF053A"/>
    <w:rsid w:val="00FD0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A4A6F"/>
  <w15:chartTrackingRefBased/>
  <w15:docId w15:val="{CC6574A0-939F-4DAE-952C-D31A09580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6E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6E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6E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6E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6E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6E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6E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6E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6E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6E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6E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6E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6E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6E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6E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6E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6E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6E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6E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6E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6E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6E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6E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6E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6E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6E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E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E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6EF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401E0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3401E0"/>
  </w:style>
  <w:style w:type="paragraph" w:styleId="Footer">
    <w:name w:val="footer"/>
    <w:basedOn w:val="Normal"/>
    <w:link w:val="FooterChar"/>
    <w:uiPriority w:val="99"/>
    <w:unhideWhenUsed/>
    <w:rsid w:val="003401E0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3401E0"/>
  </w:style>
  <w:style w:type="character" w:styleId="CommentReference">
    <w:name w:val="annotation reference"/>
    <w:basedOn w:val="DefaultParagraphFont"/>
    <w:uiPriority w:val="99"/>
    <w:semiHidden/>
    <w:unhideWhenUsed/>
    <w:rsid w:val="001502A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1502A0"/>
  </w:style>
  <w:style w:type="character" w:customStyle="1" w:styleId="CommentTextChar">
    <w:name w:val="Comment Text Char"/>
    <w:basedOn w:val="DefaultParagraphFont"/>
    <w:link w:val="CommentText"/>
    <w:uiPriority w:val="99"/>
    <w:rsid w:val="001502A0"/>
  </w:style>
  <w:style w:type="paragraph" w:styleId="PlainText">
    <w:name w:val="Plain Text"/>
    <w:basedOn w:val="Normal"/>
    <w:link w:val="PlainTextChar"/>
    <w:uiPriority w:val="99"/>
    <w:unhideWhenUsed/>
    <w:rsid w:val="00112988"/>
    <w:pPr>
      <w:spacing w:after="0" w:line="240" w:lineRule="auto"/>
    </w:pPr>
    <w:rPr>
      <w:rFonts w:ascii="Consolas" w:eastAsia="Aptos" w:hAnsi="Consolas" w:cs="Times New Roman"/>
      <w:sz w:val="21"/>
      <w:szCs w:val="21"/>
      <w14:ligatures w14:val="none"/>
    </w:rPr>
  </w:style>
  <w:style w:type="character" w:customStyle="1" w:styleId="PlainTextChar">
    <w:name w:val="Plain Text Char"/>
    <w:basedOn w:val="DefaultParagraphFont"/>
    <w:link w:val="PlainText"/>
    <w:uiPriority w:val="99"/>
    <w:rsid w:val="00112988"/>
    <w:rPr>
      <w:rFonts w:ascii="Consolas" w:eastAsia="Aptos" w:hAnsi="Consolas" w:cs="Times New Roman"/>
      <w:sz w:val="21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782</Words>
  <Characters>4462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Sharma, Prashant - (psharma1)</dc:creator>
  <cp:keywords/>
  <dc:description/>
  <cp:lastModifiedBy>Sharma, Prashant - (psharma1)</cp:lastModifiedBy>
  <cp:revision>2</cp:revision>
  <dcterms:created xsi:type="dcterms:W3CDTF">2026-08-25T20:04:00Z</dcterms:created>
  <dcterms:modified xsi:type="dcterms:W3CDTF">2026-08-25T20:04:00Z</dcterms:modified>
</cp:coreProperties>
</file>