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79F25" w14:textId="37C23397" w:rsidR="001A4FE5" w:rsidRPr="004E63D4" w:rsidRDefault="001A4FE5" w:rsidP="00957C77">
      <w:pPr>
        <w:pStyle w:val="List"/>
        <w:spacing w:before="100" w:beforeAutospacing="1" w:after="100" w:afterAutospacing="1"/>
        <w:ind w:left="0" w:firstLine="0"/>
        <w:contextualSpacing w:val="0"/>
        <w:rPr>
          <w:noProof/>
        </w:rPr>
      </w:pPr>
      <w:r w:rsidRPr="004E63D4">
        <w:rPr>
          <w:b/>
          <w:bCs/>
          <w:noProof/>
        </w:rPr>
        <w:t>Additional File 16: Methodological considerations and comparisons.</w:t>
      </w:r>
    </w:p>
    <w:p w14:paraId="3562C7C0" w14:textId="70E5C8B6" w:rsidR="00A74F90" w:rsidRPr="004E63D4" w:rsidRDefault="00A74F90" w:rsidP="00957C77">
      <w:pPr>
        <w:pStyle w:val="List"/>
        <w:tabs>
          <w:tab w:val="left" w:pos="360"/>
        </w:tabs>
        <w:spacing w:before="100" w:beforeAutospacing="1" w:after="100" w:afterAutospacing="1"/>
        <w:ind w:left="0" w:firstLine="0"/>
        <w:contextualSpacing w:val="0"/>
        <w:rPr>
          <w:noProof/>
        </w:rPr>
      </w:pPr>
      <w:r w:rsidRPr="004E63D4">
        <w:rPr>
          <w:b/>
          <w:bCs/>
          <w:noProof/>
        </w:rPr>
        <w:t xml:space="preserve">1. </w:t>
      </w:r>
      <w:r w:rsidR="001A4FE5" w:rsidRPr="004E63D4">
        <w:rPr>
          <w:b/>
          <w:bCs/>
          <w:noProof/>
        </w:rPr>
        <w:t>ASD distances</w:t>
      </w:r>
      <w:r w:rsidRPr="004E63D4">
        <w:rPr>
          <w:b/>
          <w:bCs/>
          <w:noProof/>
        </w:rPr>
        <w:t xml:space="preserve"> as quality control and checking breed differentiation</w:t>
      </w:r>
    </w:p>
    <w:p w14:paraId="0DCA4123" w14:textId="5A73E1D2" w:rsidR="001A4FE5" w:rsidRPr="004E63D4" w:rsidRDefault="00A74F90" w:rsidP="00957C77">
      <w:pPr>
        <w:pStyle w:val="List"/>
        <w:tabs>
          <w:tab w:val="left" w:pos="360"/>
        </w:tabs>
        <w:spacing w:before="100" w:beforeAutospacing="1" w:after="100" w:afterAutospacing="1"/>
        <w:ind w:left="0" w:firstLine="0"/>
        <w:contextualSpacing w:val="0"/>
        <w:rPr>
          <w:noProof/>
        </w:rPr>
      </w:pPr>
      <w:r w:rsidRPr="004E63D4">
        <w:rPr>
          <w:noProof/>
        </w:rPr>
        <w:t xml:space="preserve">Neighbor joining trees of ASD distances </w:t>
      </w:r>
      <w:r w:rsidR="001A4FE5" w:rsidRPr="004E63D4">
        <w:rPr>
          <w:noProof/>
        </w:rPr>
        <w:t xml:space="preserve">are not at all novel, but we recommend that </w:t>
      </w:r>
      <w:r w:rsidR="00476637">
        <w:rPr>
          <w:noProof/>
        </w:rPr>
        <w:t>their routine use</w:t>
      </w:r>
      <w:r w:rsidR="001A4FE5" w:rsidRPr="004E63D4">
        <w:rPr>
          <w:noProof/>
        </w:rPr>
        <w:t xml:space="preserve"> for a rapid check of the dataset prior to further analysis. With several published and unpublished bead-array SNP datasets</w:t>
      </w:r>
      <w:r w:rsidR="00476637">
        <w:rPr>
          <w:noProof/>
        </w:rPr>
        <w:t>,</w:t>
      </w:r>
      <w:r w:rsidR="001A4FE5" w:rsidRPr="004E63D4">
        <w:rPr>
          <w:noProof/>
        </w:rPr>
        <w:t xml:space="preserve"> we invariably found duplicate samples, outliers by either cross-breeding or mislabelling, unexpected subdivision of breeds and/or lack of differentiation at the breed level, which may confound downstream analyses. M</w:t>
      </w:r>
      <w:r w:rsidR="00476637" w:rsidRPr="004E63D4">
        <w:rPr>
          <w:noProof/>
        </w:rPr>
        <w:t>ost commonly</w:t>
      </w:r>
      <w:r w:rsidR="00476637">
        <w:rPr>
          <w:noProof/>
        </w:rPr>
        <w:t>,</w:t>
      </w:r>
      <w:r w:rsidR="00476637" w:rsidRPr="004E63D4">
        <w:rPr>
          <w:noProof/>
        </w:rPr>
        <w:t xml:space="preserve"> </w:t>
      </w:r>
      <w:r w:rsidR="00476637">
        <w:rPr>
          <w:noProof/>
        </w:rPr>
        <w:t>m</w:t>
      </w:r>
      <w:r w:rsidR="001A4FE5" w:rsidRPr="004E63D4">
        <w:rPr>
          <w:noProof/>
        </w:rPr>
        <w:t xml:space="preserve">onophyletic clusters correspond to breeds and justify a simplification of PCA plots by averaging coordinates. This introduces clustering information in PCA plots as a convenient alternative to Discriminant Analysis of Principal Components </w:t>
      </w:r>
      <w:r w:rsidR="001A4FE5" w:rsidRPr="004E63D4">
        <w:rPr>
          <w:noProof/>
        </w:rPr>
        <w:fldChar w:fldCharType="begin" w:fldLock="1"/>
      </w:r>
      <w:r w:rsidR="00AC0D1D" w:rsidRPr="004E63D4">
        <w:rPr>
          <w:noProof/>
        </w:rPr>
        <w:instrText>ADDIN CSL_CITATION {"citationItems":[{"id":"ITEM-1","itemData":{"DOI":"10.1186/1471-2156-11-94","ISSN":"14712156","abstract":"ABSTRACT: BACKGROUND: The dramatic progress in sequencing technologies offers unprecedented prospects for deciphering the organization of natural populations in space and time. However, the size of the datasets generated also poses some daunting challenges. In particular, Bayesian clustering algorithms based on pre-defined population genetics models such as the STRUCTURE or BAPS software may not be able to cope with this unprecedented amount of data. Thus, there is a need for less computer-intensive approaches. Multivariate analyses seem particularly appealing as they are specifically devoted to extracting information from large datasets. Unfortunately, currently available multivariate methods still lack some essential features needed to study the genetic structure of natural populations. RESULTS: We introduce the Discriminant Analysis of Principal Components (DAPC), a multivariate method designed to identify and describe clusters of genetically related individuals. When group priors are lacking, DAPC uses sequential K-means and model selection to infer genetic clusters. Our approach allows extracting rich information from genetic data, providing assignment of individuals to groups, a visual assessment of between-population differentiation, and contribution of individual alleles to population structuring. We evaluate the performance of our method using simulated data, which were also analyzed using STRUCTURE as a benchmark. Additionally, we illustrate the method by analyzing microsatellite polymorphism in worldwide human populations and hemagglutinin gene sequence variation in seasonal influenza. CONCLUSIONS: Analysis of simulated data revealed that our approach performs generally better than STRUCTURE at characterizing population subdivision. The tools implemented in DAPC for the identification of clusters and graphical representation of between-group structures allow to unravel complex population structures. Our approach is also faster than Bayesian clustering algorithms by several orders of magnitude, and may be applicable to a wider range of datasets.","author":[{"dropping-particle":"","family":"Jombart","given":"Thibaut","non-dropping-particle":"","parse-names":false,"suffix":""},{"dropping-particle":"","family":"Devillard","given":"Sébastien","non-dropping-particle":"","parse-names":false,"suffix":""},{"dropping-particle":"","family":"Balloux","given":"François","non-dropping-particle":"","parse-names":false,"suffix":""}],"container-title":"BMC Genetics","id":"ITEM-1","issued":{"date-parts":[["2010"]]},"title":"Discriminant analysis of principal components: A new method for the analysis of genetically structured populations","type":"article-journal","volume":"11"},"uris":["http://www.mendeley.com/documents/?uuid=742321cf-63a5-4ac3-a9f6-c4766de36fc3"]}],"mendeley":{"formattedCitation":"[1]","plainTextFormattedCitation":"[1]","previouslyFormattedCitation":"[1]"},"properties":{"noteIndex":0},"schema":"https://github.com/citation-style-language/schema/raw/master/csl-citation.json"}</w:instrText>
      </w:r>
      <w:r w:rsidR="001A4FE5" w:rsidRPr="004E63D4">
        <w:rPr>
          <w:noProof/>
        </w:rPr>
        <w:fldChar w:fldCharType="separate"/>
      </w:r>
      <w:r w:rsidR="00AC0D1D" w:rsidRPr="004E63D4">
        <w:rPr>
          <w:noProof/>
        </w:rPr>
        <w:t>[</w:t>
      </w:r>
      <w:r w:rsidR="00442311">
        <w:rPr>
          <w:noProof/>
        </w:rPr>
        <w:t>77</w:t>
      </w:r>
      <w:r w:rsidR="00AC0D1D" w:rsidRPr="004E63D4">
        <w:rPr>
          <w:noProof/>
        </w:rPr>
        <w:t>]</w:t>
      </w:r>
      <w:r w:rsidR="001A4FE5" w:rsidRPr="004E63D4">
        <w:rPr>
          <w:noProof/>
        </w:rPr>
        <w:fldChar w:fldCharType="end"/>
      </w:r>
      <w:r w:rsidR="001A4FE5" w:rsidRPr="004E63D4">
        <w:rPr>
          <w:noProof/>
        </w:rPr>
        <w:t xml:space="preserve">. In our study, we combined several Balkan breeds and other closely related breeds in order to simplify the phylogenetic analysis without losing any essential information. More sophisticated clustering may be based on sequential K-means and model selection analysis </w:t>
      </w:r>
      <w:r w:rsidR="001A4FE5" w:rsidRPr="004E63D4">
        <w:rPr>
          <w:noProof/>
        </w:rPr>
        <w:fldChar w:fldCharType="begin" w:fldLock="1"/>
      </w:r>
      <w:r w:rsidR="00AC0D1D" w:rsidRPr="004E63D4">
        <w:rPr>
          <w:noProof/>
        </w:rPr>
        <w:instrText>ADDIN CSL_CITATION {"citationItems":[{"id":"ITEM-1","itemData":{"DOI":"10.1186/1471-2156-11-94","ISSN":"14712156","abstract":"ABSTRACT: BACKGROUND: The dramatic progress in sequencing technologies offers unprecedented prospects for deciphering the organization of natural populations in space and time. However, the size of the datasets generated also poses some daunting challenges. In particular, Bayesian clustering algorithms based on pre-defined population genetics models such as the STRUCTURE or BAPS software may not be able to cope with this unprecedented amount of data. Thus, there is a need for less computer-intensive approaches. Multivariate analyses seem particularly appealing as they are specifically devoted to extracting information from large datasets. Unfortunately, currently available multivariate methods still lack some essential features needed to study the genetic structure of natural populations. RESULTS: We introduce the Discriminant Analysis of Principal Components (DAPC), a multivariate method designed to identify and describe clusters of genetically related individuals. When group priors are lacking, DAPC uses sequential K-means and model selection to infer genetic clusters. Our approach allows extracting rich information from genetic data, providing assignment of individuals to groups, a visual assessment of between-population differentiation, and contribution of individual alleles to population structuring. We evaluate the performance of our method using simulated data, which were also analyzed using STRUCTURE as a benchmark. Additionally, we illustrate the method by analyzing microsatellite polymorphism in worldwide human populations and hemagglutinin gene sequence variation in seasonal influenza. CONCLUSIONS: Analysis of simulated data revealed that our approach performs generally better than STRUCTURE at characterizing population subdivision. The tools implemented in DAPC for the identification of clusters and graphical representation of between-group structures allow to unravel complex population structures. Our approach is also faster than Bayesian clustering algorithms by several orders of magnitude, and may be applicable to a wider range of datasets.","author":[{"dropping-particle":"","family":"Jombart","given":"Thibaut","non-dropping-particle":"","parse-names":false,"suffix":""},{"dropping-particle":"","family":"Devillard","given":"Sébastien","non-dropping-particle":"","parse-names":false,"suffix":""},{"dropping-particle":"","family":"Balloux","given":"François","non-dropping-particle":"","parse-names":false,"suffix":""}],"container-title":"BMC Genetics","id":"ITEM-1","issued":{"date-parts":[["2010"]]},"title":"Discriminant analysis of principal components: A new method for the analysis of genetically structured populations","type":"article-journal","volume":"11"},"uris":["http://www.mendeley.com/documents/?uuid=742321cf-63a5-4ac3-a9f6-c4766de36fc3"]}],"mendeley":{"formattedCitation":"[1]","plainTextFormattedCitation":"[1]","previouslyFormattedCitation":"[1]"},"properties":{"noteIndex":0},"schema":"https://github.com/citation-style-language/schema/raw/master/csl-citation.json"}</w:instrText>
      </w:r>
      <w:r w:rsidR="001A4FE5" w:rsidRPr="004E63D4">
        <w:rPr>
          <w:noProof/>
        </w:rPr>
        <w:fldChar w:fldCharType="separate"/>
      </w:r>
      <w:r w:rsidR="00AC0D1D" w:rsidRPr="004E63D4">
        <w:rPr>
          <w:noProof/>
        </w:rPr>
        <w:t>[</w:t>
      </w:r>
      <w:r w:rsidR="00442311">
        <w:rPr>
          <w:noProof/>
        </w:rPr>
        <w:t>77</w:t>
      </w:r>
      <w:r w:rsidR="00AC0D1D" w:rsidRPr="004E63D4">
        <w:rPr>
          <w:noProof/>
        </w:rPr>
        <w:t>]</w:t>
      </w:r>
      <w:r w:rsidR="001A4FE5" w:rsidRPr="004E63D4">
        <w:rPr>
          <w:noProof/>
        </w:rPr>
        <w:fldChar w:fldCharType="end"/>
      </w:r>
      <w:r w:rsidR="001A4FE5" w:rsidRPr="004E63D4">
        <w:rPr>
          <w:noProof/>
        </w:rPr>
        <w:t xml:space="preserve"> or haplotype sharing of high-density SNP datasets </w:t>
      </w:r>
      <w:r w:rsidR="001A4FE5" w:rsidRPr="004E63D4">
        <w:rPr>
          <w:noProof/>
        </w:rPr>
        <w:fldChar w:fldCharType="begin" w:fldLock="1"/>
      </w:r>
      <w:r w:rsidR="00AC0D1D" w:rsidRPr="004E63D4">
        <w:rPr>
          <w:noProof/>
        </w:rPr>
        <w:instrText>ADDIN CSL_CITATION {"citationItems":[{"id":"ITEM-1","itemData":{"DOI":"10.1371/journal.pgen.1002453","ISSN":"15537390","abstract":"The advent of genome-wide dense variation data provides an opportunity to investigate ancestry in unprecedented detail, but presents new statistical challenges. We propose a novel inference framework that aims to efficiently capture information on population structure provided by patterns of haplotype similarity. Each individual in a sample is considered in turn as a recipient, whose chromosomes are reconstructed using chunks of DNA donated by the other individuals. Results of this \"chromosome painting\" can be summarized as a \"coancestry matrix,\" which directly reveals key information about ancestral relationships among individuals. If markers are viewed as independent, we show that this matrix almost completely captures the information used by both standard Principal Components Analysis (PCA) and model-based approaches such as STRUCTURE in a unified manner. Furthermore, when markers are in linkage disequilibrium, the matrix combines information across successive markers to increase the ability to discern fine-scale population structure using PCA. In parallel, we have developed an efficient model-based approach to identify discrete populations using this matrix, which offers advantages over PCA in terms of interpretability and over existing clustering algorithms in terms of speed, number of separable populations, and sensitivity to subtle population structure. We analyse Human Genome Diversity Panel data for 938 individuals and 641,000 markers, and we identify 226 populations reflecting differences on continental, regional, local, and family scales. We present multiple lines of evidence that, while many methods capture similar information among strongly differentiated groups, more subtle population structure in human populations is consistently present at a much finer level than currently available geographic labels and is only captured by the haplotype-based approach. The software used for this article, ChromoPainter and fineSTRUCTURE, is available from http://www.paintmychromosomes.com/.","author":[{"dropping-particle":"","family":"Lawson","given":"Daniel John","non-dropping-particle":"","parse-names":false,"suffix":""},{"dropping-particle":"","family":"Hellenthal","given":"Garrett","non-dropping-particle":"","parse-names":false,"suffix":""},{"dropping-particle":"","family":"Myers","given":"Simon","non-dropping-particle":"","parse-names":false,"suffix":""},{"dropping-particle":"","family":"Falush","given":"Daniel","non-dropping-particle":"","parse-names":false,"suffix":""}],"container-title":"PLoS Genetics","id":"ITEM-1","issue":"1","issued":{"date-parts":[["2012"]]},"page":"11-17","title":"Inference of population structure using dense haplotype data","type":"article-journal","volume":"8"},"uris":["http://www.mendeley.com/documents/?uuid=addaba48-a5ed-4300-b931-30d1fcdb06b1"]}],"mendeley":{"formattedCitation":"[2]","plainTextFormattedCitation":"[2]","previouslyFormattedCitation":"[2]"},"properties":{"noteIndex":0},"schema":"https://github.com/citation-style-language/schema/raw/master/csl-citation.json"}</w:instrText>
      </w:r>
      <w:r w:rsidR="001A4FE5" w:rsidRPr="004E63D4">
        <w:rPr>
          <w:noProof/>
        </w:rPr>
        <w:fldChar w:fldCharType="separate"/>
      </w:r>
      <w:r w:rsidR="00AC0D1D" w:rsidRPr="004E63D4">
        <w:rPr>
          <w:noProof/>
        </w:rPr>
        <w:t>[</w:t>
      </w:r>
      <w:r w:rsidR="00442311">
        <w:rPr>
          <w:noProof/>
        </w:rPr>
        <w:t>53</w:t>
      </w:r>
      <w:r w:rsidR="00AC0D1D" w:rsidRPr="004E63D4">
        <w:rPr>
          <w:noProof/>
        </w:rPr>
        <w:t>]</w:t>
      </w:r>
      <w:r w:rsidR="001A4FE5" w:rsidRPr="004E63D4">
        <w:rPr>
          <w:noProof/>
        </w:rPr>
        <w:fldChar w:fldCharType="end"/>
      </w:r>
      <w:r w:rsidR="001A4FE5" w:rsidRPr="004E63D4">
        <w:rPr>
          <w:noProof/>
        </w:rPr>
        <w:t>.</w:t>
      </w:r>
    </w:p>
    <w:p w14:paraId="77A588D0" w14:textId="77777777" w:rsidR="00476637" w:rsidRDefault="00A74F90" w:rsidP="00957C77">
      <w:pPr>
        <w:pStyle w:val="List"/>
        <w:tabs>
          <w:tab w:val="left" w:pos="360"/>
        </w:tabs>
        <w:spacing w:before="100" w:beforeAutospacing="1" w:after="100" w:afterAutospacing="1"/>
        <w:ind w:left="0" w:firstLine="0"/>
        <w:contextualSpacing w:val="0"/>
        <w:rPr>
          <w:b/>
          <w:bCs/>
          <w:noProof/>
        </w:rPr>
      </w:pPr>
      <w:r w:rsidRPr="004E63D4">
        <w:rPr>
          <w:b/>
          <w:bCs/>
          <w:noProof/>
        </w:rPr>
        <w:t>2. Coordination analysis and the detection of spatial patterns.</w:t>
      </w:r>
    </w:p>
    <w:p w14:paraId="68DAD54F" w14:textId="51BFD557" w:rsidR="00476637" w:rsidRDefault="001A4FE5" w:rsidP="00957C77">
      <w:pPr>
        <w:pStyle w:val="List"/>
        <w:tabs>
          <w:tab w:val="left" w:pos="360"/>
        </w:tabs>
        <w:spacing w:before="100" w:beforeAutospacing="1" w:after="100" w:afterAutospacing="1"/>
        <w:ind w:left="0" w:firstLine="0"/>
        <w:contextualSpacing w:val="0"/>
        <w:rPr>
          <w:b/>
          <w:bCs/>
          <w:noProof/>
        </w:rPr>
      </w:pPr>
      <w:r w:rsidRPr="004E63D4">
        <w:rPr>
          <w:noProof/>
        </w:rPr>
        <w:t xml:space="preserve">Coordination analysis </w:t>
      </w:r>
      <w:r w:rsidR="00A74F90" w:rsidRPr="004E63D4">
        <w:rPr>
          <w:noProof/>
        </w:rPr>
        <w:t xml:space="preserve">as PCA or MDS </w:t>
      </w:r>
      <w:r w:rsidRPr="004E63D4">
        <w:rPr>
          <w:noProof/>
        </w:rPr>
        <w:t>provides a survey of the data. At the same time, the main coordinates may reveal genetic clines that correspond to migration events. In the PCA including the Asian and European mouflons (Fig. 2</w:t>
      </w:r>
      <w:r w:rsidR="0032568E">
        <w:rPr>
          <w:noProof/>
        </w:rPr>
        <w:t>a</w:t>
      </w:r>
      <w:r w:rsidRPr="004E63D4">
        <w:rPr>
          <w:noProof/>
        </w:rPr>
        <w:t>), the domestic breeds are lined-up according to a southeast to northwest cline between the fat-tailed and European mouflons. However, in t</w:t>
      </w:r>
      <w:r w:rsidR="00442311">
        <w:rPr>
          <w:noProof/>
        </w:rPr>
        <w:t xml:space="preserve">he plot </w:t>
      </w:r>
      <w:r w:rsidR="00476637">
        <w:rPr>
          <w:noProof/>
        </w:rPr>
        <w:t xml:space="preserve">that contains </w:t>
      </w:r>
      <w:r w:rsidR="00442311">
        <w:rPr>
          <w:noProof/>
        </w:rPr>
        <w:t xml:space="preserve">only domestic sheep [see </w:t>
      </w:r>
      <w:r w:rsidRPr="004E63D4">
        <w:rPr>
          <w:noProof/>
        </w:rPr>
        <w:t xml:space="preserve">Additional file 8 </w:t>
      </w:r>
      <w:r w:rsidR="00442311">
        <w:rPr>
          <w:noProof/>
        </w:rPr>
        <w:t>Figure S4</w:t>
      </w:r>
      <w:r w:rsidR="00827B5D">
        <w:rPr>
          <w:noProof/>
        </w:rPr>
        <w:t>A</w:t>
      </w:r>
      <w:r w:rsidR="00442311">
        <w:rPr>
          <w:noProof/>
        </w:rPr>
        <w:t>]</w:t>
      </w:r>
      <w:r w:rsidR="00476637">
        <w:rPr>
          <w:noProof/>
        </w:rPr>
        <w:t>,</w:t>
      </w:r>
      <w:r w:rsidRPr="004E63D4">
        <w:rPr>
          <w:noProof/>
        </w:rPr>
        <w:t xml:space="preserve"> the components may be dominated by a few low-diversity breeds. This is observed in several published PCA plots and applies in our case to the influence of EFB, KCH and VBS. This can be circumvented by a supervised PCA (svPCA) in which these breeds are not used for calculating the supervised components. This returns a more even distribution of the breeds </w:t>
      </w:r>
      <w:r w:rsidR="00476637">
        <w:rPr>
          <w:noProof/>
        </w:rPr>
        <w:t>across</w:t>
      </w:r>
      <w:r w:rsidRPr="004E63D4">
        <w:rPr>
          <w:noProof/>
        </w:rPr>
        <w:t xml:space="preserve"> the plots </w:t>
      </w:r>
      <w:r w:rsidR="00827B5D">
        <w:rPr>
          <w:noProof/>
        </w:rPr>
        <w:t xml:space="preserve">[see </w:t>
      </w:r>
      <w:r w:rsidRPr="004E63D4">
        <w:rPr>
          <w:noProof/>
        </w:rPr>
        <w:t xml:space="preserve">Additional file 8 </w:t>
      </w:r>
      <w:r w:rsidR="00827B5D">
        <w:rPr>
          <w:noProof/>
        </w:rPr>
        <w:t>Figure S4</w:t>
      </w:r>
      <w:r w:rsidR="00A235E8">
        <w:rPr>
          <w:noProof/>
        </w:rPr>
        <w:t>, left panels</w:t>
      </w:r>
      <w:r w:rsidR="00827B5D">
        <w:rPr>
          <w:noProof/>
        </w:rPr>
        <w:t>] and Fig. 2b</w:t>
      </w:r>
      <w:r w:rsidRPr="004E63D4">
        <w:rPr>
          <w:noProof/>
        </w:rPr>
        <w:t xml:space="preserve"> with the low-diversity breeds plotted near other breeds from the same region and with the same east-to-west and south-to-north clines as described previously </w:t>
      </w:r>
      <w:r w:rsidRPr="004E63D4">
        <w:rPr>
          <w:noProof/>
        </w:rPr>
        <w:fldChar w:fldCharType="begin" w:fldLock="1"/>
      </w:r>
      <w:r w:rsidR="00AC0D1D" w:rsidRPr="004E63D4">
        <w:rPr>
          <w:noProof/>
        </w:rPr>
        <w:instrText>ADDIN CSL_CITATION {"citationItems":[{"id":"ITEM-1","itemData":{"DOI":"10.1371/journal.pbio.1001258","ISSN":"15449173","abstract":"Through their domestication and subsequent selection, sheep have been adapted to thrive in a diverse range of environments. To characterise the genetic consequence of both domestication and selection, we genotyped 49,034 SNP in 2,819 animals from a diverse collection of 74 sheep breeds. We find the majority of sheep populations contain high SNP diversity and have retained an effective population size much higher than most cattle or dog breeds, suggesting domestication occurred from a broad genetic base. Extensive haplotype sharing and generally low divergence time between breeds reveal frequent genetic exchange has occurred during the development of modern breeds. A scan of the genome for selection signals revealed 31 regions containing genes for coat pigmentation, skeletal morphology, body size, growth, and reproduction. We demonstrate the strongest selection signal has occurred in response to breeding for the absence of horns. The high density map of genetic variability provides an in-depth view of the genetic history for this important livestock species.","author":[{"dropping-particle":"","family":"Kijas","given":"James W.","non-dropping-particle":"","parse-names":false,"suffix":""},{"dropping-particle":"","family":"Lenstra","given":"Johannes A.","non-dropping-particle":"","parse-names":false,"suffix":""},{"dropping-particle":"","family":"Hayes","given":"Ben","non-dropping-particle":"","parse-names":false,"suffix":""},{"dropping-particle":"","family":"Boitard","given":"Simon","non-dropping-particle":"","parse-names":false,"suffix":""},{"dropping-particle":"","family":"Neto","given":"Laercio R.","non-dropping-particle":"","parse-names":false,"suffix":""},{"dropping-particle":"","family":"Cristobal","given":"Magali San","non-dropping-particle":"","parse-names":false,"suffix":""},{"dropping-particle":"","family":"Servin","given":"Bertrand","non-dropping-particle":"","parse-names":false,"suffix":""},{"dropping-particle":"","family":"McCulloch","given":"Russell","non-dropping-particle":"","parse-names":false,"suffix":""},{"dropping-particle":"","family":"Whan","given":"Vicki","non-dropping-particle":"","parse-names":false,"suffix":""},{"dropping-particle":"","family":"Gietzen","given":"Kimberly","non-dropping-particle":"","parse-names":false,"suffix":""},{"dropping-particle":"","family":"Paiva","given":"Samuel","non-dropping-particle":"","parse-names":false,"suffix":""},{"dropping-particle":"","family":"Barendse","given":"William","non-dropping-particle":"","parse-names":false,"suffix":""},{"dropping-particle":"","family":"Ciani","given":"Elena","non-dropping-particle":"","parse-names":false,"suffix":""},{"dropping-particle":"","family":"Raadsma","given":"Herman","non-dropping-particle":"","parse-names":false,"suffix":""},{"dropping-particle":"","family":"McEwan","given":"John","non-dropping-particle":"","parse-names":false,"suffix":""},{"dropping-particle":"","family":"Dalrymple","given":"Brian","non-dropping-particle":"","parse-names":false,"suffix":""}],"container-title":"PLoS Biology","id":"ITEM-1","issue":"2","issued":{"date-parts":[["2012"]]},"title":"Genome-wide analysis of the world's sheep breeds reveals high levels of historic mixture and strong recent selection","type":"article-journal","volume":"10"},"uris":["http://www.mendeley.com/documents/?uuid=b5499a20-daef-46e9-9452-05896a4d31a6"]}],"mendeley":{"formattedCitation":"[3]","plainTextFormattedCitation":"[3]","previouslyFormattedCitation":"[3]"},"properties":{"noteIndex":0},"schema":"https://github.com/citation-style-language/schema/raw/master/csl-citation.json"}</w:instrText>
      </w:r>
      <w:r w:rsidRPr="004E63D4">
        <w:rPr>
          <w:noProof/>
        </w:rPr>
        <w:fldChar w:fldCharType="separate"/>
      </w:r>
      <w:r w:rsidR="00AC0D1D" w:rsidRPr="004E63D4">
        <w:rPr>
          <w:noProof/>
        </w:rPr>
        <w:t>[</w:t>
      </w:r>
      <w:r w:rsidR="00442311">
        <w:rPr>
          <w:noProof/>
        </w:rPr>
        <w:t>22</w:t>
      </w:r>
      <w:r w:rsidR="00AC0D1D" w:rsidRPr="004E63D4">
        <w:rPr>
          <w:noProof/>
        </w:rPr>
        <w:t>]</w:t>
      </w:r>
      <w:r w:rsidRPr="004E63D4">
        <w:rPr>
          <w:noProof/>
        </w:rPr>
        <w:fldChar w:fldCharType="end"/>
      </w:r>
      <w:r w:rsidR="00476637">
        <w:rPr>
          <w:noProof/>
        </w:rPr>
        <w:t>.</w:t>
      </w:r>
    </w:p>
    <w:p w14:paraId="4DB705EC" w14:textId="77777777" w:rsidR="00476637" w:rsidRDefault="001A4FE5" w:rsidP="00957C77">
      <w:pPr>
        <w:pStyle w:val="List"/>
        <w:tabs>
          <w:tab w:val="left" w:pos="360"/>
        </w:tabs>
        <w:spacing w:before="100" w:beforeAutospacing="1" w:after="100" w:afterAutospacing="1"/>
        <w:ind w:left="0" w:firstLine="0"/>
        <w:contextualSpacing w:val="0"/>
        <w:rPr>
          <w:b/>
          <w:bCs/>
          <w:noProof/>
        </w:rPr>
      </w:pPr>
      <w:r w:rsidRPr="004E63D4">
        <w:rPr>
          <w:noProof/>
        </w:rPr>
        <w:t>In Fig. 2</w:t>
      </w:r>
      <w:r w:rsidR="0032568E">
        <w:rPr>
          <w:noProof/>
        </w:rPr>
        <w:t>c</w:t>
      </w:r>
      <w:r w:rsidRPr="004E63D4">
        <w:rPr>
          <w:noProof/>
        </w:rPr>
        <w:t xml:space="preserve"> we calculated the svPC using only the genotypes of breeds with the northern, eastern and western most extreme locations, which emphasizes SNPs with the strongest drift of the allele frequencies during the migrations to these regions. We found that the interpolation of other breeds conforms to their geographical origin, which </w:t>
      </w:r>
      <w:r w:rsidR="00476637">
        <w:rPr>
          <w:noProof/>
        </w:rPr>
        <w:t>corresponds to</w:t>
      </w:r>
      <w:r w:rsidRPr="004E63D4">
        <w:rPr>
          <w:noProof/>
        </w:rPr>
        <w:t xml:space="preserve"> plausible evidence for continuous clines as the result of the east-west and south-north gene flows, respectively. A similar pattern for the European breeds with the intersection of the two clines in northern Italy was obtained by using the Balkan Pramenka breeds as the eastern extreme (not shown). </w:t>
      </w:r>
    </w:p>
    <w:p w14:paraId="572A212B" w14:textId="77777777" w:rsidR="00476637" w:rsidRDefault="001A4FE5" w:rsidP="00957C77">
      <w:pPr>
        <w:pStyle w:val="List"/>
        <w:tabs>
          <w:tab w:val="left" w:pos="360"/>
        </w:tabs>
        <w:spacing w:before="100" w:beforeAutospacing="1" w:after="100" w:afterAutospacing="1"/>
        <w:ind w:left="0" w:firstLine="0"/>
        <w:contextualSpacing w:val="0"/>
        <w:rPr>
          <w:b/>
          <w:bCs/>
          <w:noProof/>
        </w:rPr>
      </w:pPr>
      <w:r w:rsidRPr="004E63D4">
        <w:rPr>
          <w:noProof/>
        </w:rPr>
        <w:t>It is noteworthy that these plots do not show a gene flow from Greece and other southern Balkan countries to the Italian and Iberian peninsula, although breeds from these region</w:t>
      </w:r>
      <w:r w:rsidR="00476637">
        <w:rPr>
          <w:noProof/>
        </w:rPr>
        <w:t>s</w:t>
      </w:r>
      <w:r w:rsidRPr="004E63D4">
        <w:rPr>
          <w:noProof/>
        </w:rPr>
        <w:t xml:space="preserve"> are close to each other in the normal PCA plot. A possible explanation is that the migration across the Mediterrean coasts involved consecutive but separate events that cannot be captured in a single PCA coordinate. </w:t>
      </w:r>
      <w:r w:rsidR="00476637">
        <w:rPr>
          <w:noProof/>
        </w:rPr>
        <w:t>In</w:t>
      </w:r>
      <w:r w:rsidRPr="004E63D4">
        <w:rPr>
          <w:noProof/>
        </w:rPr>
        <w:t xml:space="preserve"> general, we propose the identification of SNP</w:t>
      </w:r>
      <w:r w:rsidR="00476637">
        <w:rPr>
          <w:noProof/>
        </w:rPr>
        <w:t>s</w:t>
      </w:r>
      <w:r w:rsidRPr="004E63D4">
        <w:rPr>
          <w:noProof/>
        </w:rPr>
        <w:t xml:space="preserve"> or haplotypes involved in specific clines as an approach to dissect a complex gene flow pattern.</w:t>
      </w:r>
    </w:p>
    <w:p w14:paraId="28FD609C" w14:textId="06476337" w:rsidR="001A4FE5" w:rsidRPr="00476637" w:rsidRDefault="001A4FE5" w:rsidP="00957C77">
      <w:pPr>
        <w:pStyle w:val="List"/>
        <w:tabs>
          <w:tab w:val="left" w:pos="360"/>
        </w:tabs>
        <w:spacing w:before="100" w:beforeAutospacing="1" w:after="100" w:afterAutospacing="1"/>
        <w:ind w:left="0" w:firstLine="0"/>
        <w:contextualSpacing w:val="0"/>
        <w:rPr>
          <w:b/>
          <w:bCs/>
          <w:noProof/>
        </w:rPr>
      </w:pPr>
      <w:r w:rsidRPr="004E63D4">
        <w:rPr>
          <w:noProof/>
        </w:rPr>
        <w:lastRenderedPageBreak/>
        <w:t xml:space="preserve">For our dataset, supervised PCA combines geographic and genetic information more effectively than the spatial PCA (sPCA, </w:t>
      </w:r>
      <w:r w:rsidRPr="004E63D4">
        <w:rPr>
          <w:noProof/>
        </w:rPr>
        <w:fldChar w:fldCharType="begin" w:fldLock="1"/>
      </w:r>
      <w:r w:rsidR="00AC0D1D" w:rsidRPr="004E63D4">
        <w:rPr>
          <w:noProof/>
        </w:rPr>
        <w:instrText>ADDIN CSL_CITATION {"citationItems":[{"id":"ITEM-1","itemData":{"DOI":"10.1038/hdy.2008.34","ISSN":"0018067X","abstract":"Increasing attention is being devoted to taking landscape information into account in genetic studies. Among landscape variables, space is often considered as one of the most important. To reveal spatial patterns, a statistical method should be spatially explicit, that is, it should directly take spatial information into account as a component of the adjusted model or of the optimized criterion. In this paper we propose a new spatially explicit multivariate method, spatial principal component analysis (sPCA), to investigate the spatial pattern of genetic variability using allelic frequency data of individuals or populations. This analysis does not require data to meet Hardy-Weinberg expectations or linkage equilibrium to exist between loci. The sPCA yields scores summarizing both the genetic variability and the spatial structure among individuals (or populations). Global structures (patches, clines and intermediates) are disentangled from local ones (strong genetic differences between neighbors) and from random noise. Two statistical tests are proposed to detect the existence of both types of patterns. As an illustration, the results of principal component analysis (PCA) and sPCA are compared using simulated datasets and real georeferenced microsatellite data of Scandinavian brown bear individuals (Ursus arctos). sPCA performed better than PCA to reveal spatial genetic patterns. The proposed methodology is implemented in the adegenet package of the free software R.","author":[{"dropping-particle":"","family":"Jombart","given":"T.","non-dropping-particle":"","parse-names":false,"suffix":""},{"dropping-particle":"","family":"Devillard","given":"S.","non-dropping-particle":"","parse-names":false,"suffix":""},{"dropping-particle":"","family":"Dufour","given":"A. B.","non-dropping-particle":"","parse-names":false,"suffix":""},{"dropping-particle":"","family":"Pontier","given":"D.","non-dropping-particle":"","parse-names":false,"suffix":""}],"container-title":"Heredity","id":"ITEM-1","issue":"1","issued":{"date-parts":[["2008"]]},"page":"92-103","title":"Revealing cryptic spatial patterns in genetic variability by a new multivariate method","type":"article-journal","volume":"101"},"uris":["http://www.mendeley.com/documents/?uuid=da3ab396-3021-4551-8f75-c6097f03c5e6"]}],"mendeley":{"formattedCitation":"[4]","plainTextFormattedCitation":"[4]","previouslyFormattedCitation":"[4]"},"properties":{"noteIndex":0},"schema":"https://github.com/citation-style-language/schema/raw/master/csl-citation.json"}</w:instrText>
      </w:r>
      <w:r w:rsidRPr="004E63D4">
        <w:rPr>
          <w:noProof/>
        </w:rPr>
        <w:fldChar w:fldCharType="separate"/>
      </w:r>
      <w:r w:rsidR="00AC0D1D" w:rsidRPr="004E63D4">
        <w:rPr>
          <w:noProof/>
        </w:rPr>
        <w:t>[</w:t>
      </w:r>
      <w:r w:rsidR="00442311">
        <w:rPr>
          <w:noProof/>
        </w:rPr>
        <w:t>5</w:t>
      </w:r>
      <w:r w:rsidR="00AC0D1D" w:rsidRPr="004E63D4">
        <w:rPr>
          <w:noProof/>
        </w:rPr>
        <w:t>4]</w:t>
      </w:r>
      <w:r w:rsidRPr="004E63D4">
        <w:rPr>
          <w:noProof/>
        </w:rPr>
        <w:fldChar w:fldCharType="end"/>
      </w:r>
      <w:r w:rsidRPr="004E63D4">
        <w:rPr>
          <w:noProof/>
        </w:rPr>
        <w:t>). In addition, it does not depend on any assumptions on spatial distances between breeds and the relative importance of terrestrial and maritime migration routes. Furthermore, it uses the original allele frequencies for the coordination analysis instead of combining genetic and spatial distance</w:t>
      </w:r>
      <w:r w:rsidR="00476637">
        <w:rPr>
          <w:noProof/>
        </w:rPr>
        <w:t>s</w:t>
      </w:r>
      <w:r w:rsidRPr="004E63D4">
        <w:rPr>
          <w:noProof/>
        </w:rPr>
        <w:t xml:space="preserve"> and thus maintains the direct relation with the genetic drift. </w:t>
      </w:r>
    </w:p>
    <w:p w14:paraId="7E6ACA41" w14:textId="7D42895A" w:rsidR="00A74F90" w:rsidRPr="004E63D4" w:rsidRDefault="00A74F90" w:rsidP="00957C77">
      <w:pPr>
        <w:pStyle w:val="List"/>
        <w:spacing w:before="100" w:beforeAutospacing="1" w:after="100" w:afterAutospacing="1"/>
        <w:ind w:left="0" w:firstLine="0"/>
        <w:contextualSpacing w:val="0"/>
        <w:rPr>
          <w:noProof/>
        </w:rPr>
      </w:pPr>
      <w:r w:rsidRPr="004E63D4">
        <w:rPr>
          <w:b/>
          <w:bCs/>
          <w:noProof/>
        </w:rPr>
        <w:t>3. G</w:t>
      </w:r>
      <w:r w:rsidR="001A4FE5" w:rsidRPr="004E63D4">
        <w:rPr>
          <w:b/>
          <w:bCs/>
          <w:noProof/>
        </w:rPr>
        <w:t>enetic distances between breeds</w:t>
      </w:r>
      <w:r w:rsidR="001A4FE5" w:rsidRPr="004E63D4">
        <w:rPr>
          <w:noProof/>
        </w:rPr>
        <w:t xml:space="preserve"> </w:t>
      </w:r>
    </w:p>
    <w:p w14:paraId="1B700DDA" w14:textId="4631A94F" w:rsidR="001A4FE5" w:rsidRPr="004E63D4" w:rsidRDefault="00A74F90" w:rsidP="00957C77">
      <w:pPr>
        <w:pStyle w:val="List"/>
        <w:spacing w:before="100" w:beforeAutospacing="1" w:after="100" w:afterAutospacing="1"/>
        <w:ind w:left="0" w:firstLine="0"/>
        <w:contextualSpacing w:val="0"/>
        <w:rPr>
          <w:noProof/>
        </w:rPr>
      </w:pPr>
      <w:r w:rsidRPr="004E63D4">
        <w:rPr>
          <w:noProof/>
        </w:rPr>
        <w:t xml:space="preserve">Visualization of genetic distances between breeds </w:t>
      </w:r>
      <w:r w:rsidR="001A4FE5" w:rsidRPr="004E63D4">
        <w:rPr>
          <w:noProof/>
        </w:rPr>
        <w:t>gives additional information by showing phylogenetic relationships, even if this largely ignores reticulation events. We made pools of related breeds from the same region (Fig. 3</w:t>
      </w:r>
      <w:r w:rsidR="00827B5D">
        <w:rPr>
          <w:noProof/>
        </w:rPr>
        <w:t xml:space="preserve">) and [see </w:t>
      </w:r>
      <w:r w:rsidR="001A4FE5" w:rsidRPr="004E63D4">
        <w:rPr>
          <w:noProof/>
        </w:rPr>
        <w:t>Additional file 12</w:t>
      </w:r>
      <w:r w:rsidR="00827B5D">
        <w:rPr>
          <w:noProof/>
        </w:rPr>
        <w:t xml:space="preserve"> Tables S5, </w:t>
      </w:r>
      <w:r w:rsidR="00827B5D" w:rsidRPr="004E63D4">
        <w:rPr>
          <w:noProof/>
        </w:rPr>
        <w:t>Additional file</w:t>
      </w:r>
      <w:r w:rsidR="00827B5D">
        <w:rPr>
          <w:noProof/>
        </w:rPr>
        <w:t xml:space="preserve"> 13 Figure S8 and </w:t>
      </w:r>
      <w:r w:rsidR="00827B5D" w:rsidRPr="004E63D4">
        <w:rPr>
          <w:noProof/>
        </w:rPr>
        <w:t xml:space="preserve">Additional file </w:t>
      </w:r>
      <w:r w:rsidR="001A4FE5" w:rsidRPr="004E63D4">
        <w:rPr>
          <w:noProof/>
        </w:rPr>
        <w:t>14</w:t>
      </w:r>
      <w:r w:rsidR="00827B5D">
        <w:rPr>
          <w:noProof/>
        </w:rPr>
        <w:t xml:space="preserve"> Figure S9]</w:t>
      </w:r>
      <w:r w:rsidR="001A4FE5" w:rsidRPr="004E63D4">
        <w:rPr>
          <w:noProof/>
        </w:rPr>
        <w:t>, which may be considered as proxies of the regional ancestor populations. This allows to reduce the complexity of the dataset and yields additional phylogenetic information by resolving a star-like network pattern (Fig. 3).</w:t>
      </w:r>
    </w:p>
    <w:p w14:paraId="502EEBC4" w14:textId="6E27052B" w:rsidR="00A74F90" w:rsidRPr="004E63D4" w:rsidRDefault="00A74F90" w:rsidP="00957C77">
      <w:pPr>
        <w:pStyle w:val="List"/>
        <w:spacing w:before="100" w:beforeAutospacing="1" w:after="100" w:afterAutospacing="1"/>
        <w:ind w:left="0" w:firstLine="0"/>
        <w:contextualSpacing w:val="0"/>
        <w:rPr>
          <w:b/>
          <w:bCs/>
          <w:noProof/>
        </w:rPr>
      </w:pPr>
      <w:r w:rsidRPr="004E63D4">
        <w:rPr>
          <w:b/>
          <w:bCs/>
          <w:noProof/>
        </w:rPr>
        <w:t>4. Detection of ancestry and introgression</w:t>
      </w:r>
    </w:p>
    <w:p w14:paraId="2A9A607E" w14:textId="77777777" w:rsidR="00476637" w:rsidRDefault="00A74F90" w:rsidP="00957C77">
      <w:pPr>
        <w:pStyle w:val="List"/>
        <w:spacing w:before="100" w:beforeAutospacing="1" w:after="100" w:afterAutospacing="1"/>
        <w:ind w:left="0" w:firstLine="0"/>
        <w:contextualSpacing w:val="0"/>
        <w:rPr>
          <w:noProof/>
        </w:rPr>
      </w:pPr>
      <w:r w:rsidRPr="004E63D4">
        <w:rPr>
          <w:noProof/>
        </w:rPr>
        <w:t xml:space="preserve">Model-based clustering by  </w:t>
      </w:r>
      <w:r w:rsidRPr="004E63D4">
        <w:rPr>
          <w:smallCaps/>
          <w:noProof/>
        </w:rPr>
        <w:t xml:space="preserve">Structure </w:t>
      </w:r>
      <w:r w:rsidRPr="004E63D4">
        <w:rPr>
          <w:smallCaps/>
          <w:noProof/>
        </w:rPr>
        <w:fldChar w:fldCharType="begin" w:fldLock="1"/>
      </w:r>
      <w:r w:rsidR="00AC0D1D" w:rsidRPr="004E63D4">
        <w:rPr>
          <w:smallCaps/>
          <w:noProof/>
        </w:rPr>
        <w:instrText>ADDIN CSL_CITATION {"citationItems":[{"id":"ITEM-1","itemData":{"ISSN":"00166731","abstract":"We describe a model-based clustering method for using multilocus genotype data to infer population structure and assign individuals to populations. We assume a model in which there are K populations (where K may be unknown), each of which is characterized by a set of allele frequencies at each locus. Individuals in the sample are assigned (probabilistically) to populations, or jointly to two or more populations if their genotypes indicate that they are admixed. Our model does not assume a particular mutation process, and it can be applied to most of the commonly used genetic markers, provided that they are not closely linked. Applications of our method include demonstrating the presence of population structure, assigning individuals to populations, studying hybrid zones, and identifying migrants and admixed individuals. We show that the method can produce highly accurate assignments using modest numbers of loci-e.g. , seven microsatellite loci in an example using genotype data from an endangered bird species. The software used for this article is available from http://www.stats.ox.ac.uk/ approximately pritch/home. html.","author":[{"dropping-particle":"","family":"Pritchard","given":"Jonathan K.","non-dropping-particle":"","parse-names":false,"suffix":""},{"dropping-particle":"","family":"Stephens","given":"Matthew","non-dropping-particle":"","parse-names":false,"suffix":""},{"dropping-particle":"","family":"Donnelly","given":"Peter","non-dropping-particle":"","parse-names":false,"suffix":""}],"container-title":"Genetics","id":"ITEM-1","issued":{"date-parts":[["2000"]]},"title":"Inference of population structure using multilocus genotype data","type":"article-journal"},"uris":["http://www.mendeley.com/documents/?uuid=5fd66479-8eb6-4cb3-a943-aa56eb5e3e75"]}],"mendeley":{"formattedCitation":"[5]","plainTextFormattedCitation":"[5]","previouslyFormattedCitation":"[5]"},"properties":{"noteIndex":0},"schema":"https://github.com/citation-style-language/schema/raw/master/csl-citation.json"}</w:instrText>
      </w:r>
      <w:r w:rsidRPr="004E63D4">
        <w:rPr>
          <w:smallCaps/>
          <w:noProof/>
        </w:rPr>
        <w:fldChar w:fldCharType="separate"/>
      </w:r>
      <w:r w:rsidR="00AC0D1D" w:rsidRPr="004E63D4">
        <w:rPr>
          <w:noProof/>
        </w:rPr>
        <w:t>[5</w:t>
      </w:r>
      <w:r w:rsidR="00442311">
        <w:rPr>
          <w:noProof/>
        </w:rPr>
        <w:t>6</w:t>
      </w:r>
      <w:r w:rsidR="00AC0D1D" w:rsidRPr="004E63D4">
        <w:rPr>
          <w:noProof/>
        </w:rPr>
        <w:t>]</w:t>
      </w:r>
      <w:r w:rsidRPr="004E63D4">
        <w:rPr>
          <w:smallCaps/>
          <w:noProof/>
        </w:rPr>
        <w:fldChar w:fldCharType="end"/>
      </w:r>
      <w:r w:rsidRPr="004E63D4">
        <w:rPr>
          <w:smallCaps/>
          <w:noProof/>
        </w:rPr>
        <w:t xml:space="preserve"> </w:t>
      </w:r>
      <w:r w:rsidRPr="004E63D4">
        <w:rPr>
          <w:noProof/>
        </w:rPr>
        <w:t xml:space="preserve">or </w:t>
      </w:r>
      <w:r w:rsidRPr="004E63D4">
        <w:rPr>
          <w:smallCaps/>
          <w:noProof/>
        </w:rPr>
        <w:t xml:space="preserve">Admixture </w:t>
      </w:r>
      <w:r w:rsidRPr="004E63D4">
        <w:rPr>
          <w:smallCaps/>
          <w:noProof/>
        </w:rPr>
        <w:fldChar w:fldCharType="begin" w:fldLock="1"/>
      </w:r>
      <w:r w:rsidR="00AC0D1D" w:rsidRPr="004E63D4">
        <w:rPr>
          <w:smallCaps/>
          <w:noProof/>
        </w:rPr>
        <w:instrText>ADDIN CSL_CITATION {"citationItems":[{"id":"ITEM-1","itemData":{"DOI":"10.1101/gr.094052.109","ISSN":"10889051","abstract":"Population stratification has long been recognized as a confounding factor in genetic association studies. Estimated ancestries, derived from multi-locus genotype data, can be used to perform a statistical correction for population stratification. One popular technique for estimation of ancestry is the model-based approach embodied by the widely applied program structure. Another approach, implemented in the program EIGENSTRAT, relies on Principal Component Analysis rather than model-based estimation and does not directly deliver admixture fractions. EIGENSTRAT has gained in popularity in part owing to its remarkable speed in comparison to structure. We present a new algorithm and a program, ADMIXTURE, for model-based estimation of ancestry in unrelated individuals. ADMIXTURE adopts the likelihood model embedded in structure. However, ADMIXTURE runs considerably faster, solving problems in minutes that take structure hours. In many of our experiments, we have found that ADMIXTURE is almost as fast as EIGENSTRAT. The runtime improvements of ADMIXTURE rely on a fast block relaxation scheme using sequential quadratic programming for block updates, coupled with a novel quasi-Newton acceleration of convergence. Our algorithm also runs faster and with greater accuracy than the implementation of an Expectation-Maximization (EM) algorithm incorporated in the program FRAPPE. Our simulations show that ADMIXTURE's maximum likelihood estimates of the underlying admixture coefficients and ancestral allele frequencies are as accurate as structure's Bayesian estimates. On real-world data sets, ADMIXTURE's estimates are directly comparable to those from structure and EIGENSTRAT. Taken together, our results show that ADMIXTURE's computational speed opens up the possibility of using a much larger set of markers in model-based ancestry estimation and that its estimates are suitable for use in correcting for population stratification in association studies.","author":[{"dropping-particle":"","family":"Alexander","given":"David H.","non-dropping-particle":"","parse-names":false,"suffix":""},{"dropping-particle":"","family":"Novembre","given":"John","non-dropping-particle":"","parse-names":false,"suffix":""},{"dropping-particle":"","family":"Lange","given":"Kenneth","non-dropping-particle":"","parse-names":false,"suffix":""}],"container-title":"Genome Research","id":"ITEM-1","issue":"9","issued":{"date-parts":[["2009","9"]]},"page":"1655-1664","title":"Fast model-based estimation of ancestry in unrelated individuals","type":"article-journal","volume":"19"},"uris":["http://www.mendeley.com/documents/?uuid=fd9f25d3-a3a4-3b79-bdb2-5f0181cc790c"]}],"mendeley":{"formattedCitation":"[6]","plainTextFormattedCitation":"[6]","previouslyFormattedCitation":"[6]"},"properties":{"noteIndex":0},"schema":"https://github.com/citation-style-language/schema/raw/master/csl-citation.json"}</w:instrText>
      </w:r>
      <w:r w:rsidRPr="004E63D4">
        <w:rPr>
          <w:smallCaps/>
          <w:noProof/>
        </w:rPr>
        <w:fldChar w:fldCharType="separate"/>
      </w:r>
      <w:r w:rsidR="00AC0D1D" w:rsidRPr="004E63D4">
        <w:rPr>
          <w:noProof/>
        </w:rPr>
        <w:t>[</w:t>
      </w:r>
      <w:r w:rsidR="00442311">
        <w:rPr>
          <w:noProof/>
        </w:rPr>
        <w:t>50</w:t>
      </w:r>
      <w:r w:rsidR="00AC0D1D" w:rsidRPr="004E63D4">
        <w:rPr>
          <w:noProof/>
        </w:rPr>
        <w:t>]</w:t>
      </w:r>
      <w:r w:rsidRPr="004E63D4">
        <w:rPr>
          <w:smallCaps/>
          <w:noProof/>
        </w:rPr>
        <w:fldChar w:fldCharType="end"/>
      </w:r>
      <w:r w:rsidRPr="004E63D4">
        <w:rPr>
          <w:smallCaps/>
          <w:noProof/>
        </w:rPr>
        <w:t xml:space="preserve"> </w:t>
      </w:r>
      <w:r w:rsidR="001A4FE5" w:rsidRPr="004E63D4">
        <w:rPr>
          <w:noProof/>
        </w:rPr>
        <w:t>highlights clusters of related individuals and may identify admixed individuals. However, because of the rapid development of livestock populations the real ancestors populations may very well be extinct. In addition, the inferred clusters are often biased towards homogeneous breeds with reduced diversity (e.g. the EFB signal in Fig. 4, 3</w:t>
      </w:r>
      <w:r w:rsidR="001A4FE5" w:rsidRPr="004E63D4">
        <w:rPr>
          <w:noProof/>
          <w:vertAlign w:val="superscript"/>
        </w:rPr>
        <w:t>rd</w:t>
      </w:r>
      <w:r w:rsidR="001A4FE5" w:rsidRPr="004E63D4">
        <w:rPr>
          <w:noProof/>
        </w:rPr>
        <w:t xml:space="preserve"> bar plot), which are unlikely to be ancestral. Conversely, individuals not belonging to an inferred cluster are shown to have an implausible mixed composition (as for AMF in the Fig. 4) . Even then, </w:t>
      </w:r>
      <w:r w:rsidRPr="004E63D4">
        <w:rPr>
          <w:noProof/>
        </w:rPr>
        <w:t>model-based clustering</w:t>
      </w:r>
      <w:r w:rsidR="001A4FE5" w:rsidRPr="004E63D4">
        <w:rPr>
          <w:noProof/>
        </w:rPr>
        <w:t xml:space="preserve"> is a useful complement to coordination and phylogenetic analysis. However, in contrast to results with goat </w:t>
      </w:r>
      <w:r w:rsidR="001A4FE5" w:rsidRPr="004E63D4">
        <w:rPr>
          <w:noProof/>
        </w:rPr>
        <w:fldChar w:fldCharType="begin" w:fldLock="1"/>
      </w:r>
      <w:r w:rsidR="00AC0D1D" w:rsidRPr="004E63D4">
        <w:rPr>
          <w:noProof/>
        </w:rPr>
        <w:instrText>ADDIN CSL_CITATION {"citationItems":[{"id":"ITEM-1","itemData":{"DOI":"10.1186/s12711-018-0422-x","ISSN":"12979686","abstract":"Goat populations that are characterized within the AdaptMap project cover a large part of the worldwide distribution of this species and provide the opportunity to assess their diversity at a global scale. We analysed genome-wide 50 K single nucleotide polymorphism (SNP) data from 144 populations to describe the global patterns of molecular variation, compare them to those observed in other livestock species, and identify the drivers that led to the current distribution of goats. A high degree of genetic variability exists among the goat populations studied. Our results highlight a strong partitioning of molecular diversity between and within continents. Three major gene pools correspond to goats from Europe, Africa and West Asia. Dissection of sub-structures disclosed regional gene pools, which reflect the main post-domestication migration routes. We also identified several exchanges, mainly in African populations, and which often involve admixed and cosmopolitan breeds. Extensive gene flow has taken place within specific areas (e.g., south Europe, Morocco and Mali-Burkina Faso-Nigeria), whereas elsewhere isolation due to geographical barriers (e.g., seas or mountains) or human management has decreased local gene flows. After domestication in the Fertile Crescent in the early Neolithic era (ca. 12,000 YBP), domestic goats that already carried differentiated gene pools spread to Europe, Africa and Asia. The spread of these populations determined the major genomic background of the continental populations, which currently have a more marked subdivision than that observed in other ruminant livestock species. Subsequently, further diversification occurred at the regional level due to geographical and reproductive isolation, which was accompanied by additional migrations and/or importations, the traces of which are still detectable today. The effects of breed formation were clearly detected, particularly in Central and North Europe. Overall, our results highlight a remarkable diversity that occurs at the global scale and is locally partitioned and often affected by introgression from cosmopolitan breeds. These findings support the importance of long-term preservation of goat diversity, and provide a useful framework for investigating adaptive introgression, directing genetic improvement and choosing breeding targets.","author":[{"dropping-particle":"","family":"Colli","given":"Licia","non-dropping-particle":"","parse-names":false,"suffix":""},{"dropping-particle":"","family":"Milanesi","given":"Marco","non-dropping-particle":"","parse-names":false,"suffix":""},{"dropping-particle":"","family":"Talenti","given":"Andrea","non-dropping-particle":"","parse-names":false,"suffix":""},{"dropping-particle":"","family":"Bertolini","given":"Francesca","non-dropping-particle":"","parse-names":false,"suffix":""},{"dropping-particle":"","family":"Chen","given":"Minhui","non-dropping-particle":"","parse-names":false,"suffix":""},{"dropping-particle":"","family":"Crisà","given":"Alessandra","non-dropping-particle":"","parse-names":false,"suffix":""},{"dropping-particle":"","family":"Daly","given":"Kevin Gerard","non-dropping-particle":"","parse-names":false,"suffix":""},{"dropping-particle":"","family":"Corvo","given":"Marcello","non-dropping-particle":"Del","parse-names":false,"suffix":""},{"dropping-particle":"","family":"Guldbrandtsen","given":"Bernt","non-dropping-particle":"","parse-names":false,"suffix":""},{"dropping-particle":"","family":"Lenstra","given":"Johannes A.","non-dropping-particle":"","parse-names":false,"suffix":""},{"dropping-particle":"","family":"Rosen","given":"Benjamin D.","non-dropping-particle":"","parse-names":false,"suffix":""},{"dropping-particle":"","family":"Vajana","given":"Elia","non-dropping-particle":"","parse-names":false,"suffix":""},{"dropping-particle":"","family":"Catillo","given":"Gennaro","non-dropping-particle":"","parse-names":false,"suffix":""},{"dropping-particle":"","family":"Joost","given":"Stéphane","non-dropping-particle":"","parse-names":false,"suffix":""},{"dropping-particle":"","family":"Nicolazzi","given":"Ezequiel Luis","non-dropping-particle":"","parse-names":false,"suffix":""},{"dropping-particle":"","family":"Rochat","given":"Estelle","non-dropping-particle":"","parse-names":false,"suffix":""},{"dropping-particle":"","family":"Rothschild","given":"Max F.","non-dropping-particle":"","parse-names":false,"suffix":""},{"dropping-particle":"","family":"Servin","given":"Bertrand","non-dropping-particle":"","parse-names":false,"suffix":""},{"dropping-particle":"","family":"Sonstegard","given":"Tad S.","non-dropping-particle":"","parse-names":false,"suffix":""},{"dropping-particle":"","family":"Steri","given":"Roberto","non-dropping-particle":"","parse-names":false,"suffix":""},{"dropping-particle":"","family":"Tassell","given":"Curtis P.","non-dropping-particle":"Van","parse-names":false,"suffix":""},{"dropping-particle":"","family":"Ajmone-Marsan","given":"Paolo","non-dropping-particle":"","parse-names":false,"suffix":""},{"dropping-particle":"","family":"Crepaldi","given":"Paola","non-dropping-particle":"","parse-names":false,"suffix":""},{"dropping-particle":"","family":"Stella","given":"Alessandra","non-dropping-particle":"","parse-names":false,"suffix":""}],"container-title":"Genetics Selection Evolution","id":"ITEM-1","issue":"1","issued":{"date-parts":[["2018"]]},"page":"1-20","publisher":"BioMed Central","title":"Genome-wide SNP profiling of worldwide goat populations reveals strong partitioning of diversity and highlights post-domestication migration routes","type":"article-journal","volume":"50"},"uris":["http://www.mendeley.com/documents/?uuid=ab127528-2c2b-4930-939d-b457dbfe0c3b"]}],"mendeley":{"formattedCitation":"[7]","plainTextFormattedCitation":"[7]","previouslyFormattedCitation":"[7]"},"properties":{"noteIndex":0},"schema":"https://github.com/citation-style-language/schema/raw/master/csl-citation.json"}</w:instrText>
      </w:r>
      <w:r w:rsidR="001A4FE5" w:rsidRPr="004E63D4">
        <w:rPr>
          <w:noProof/>
        </w:rPr>
        <w:fldChar w:fldCharType="separate"/>
      </w:r>
      <w:r w:rsidR="00AC0D1D" w:rsidRPr="004E63D4">
        <w:rPr>
          <w:noProof/>
        </w:rPr>
        <w:t>[</w:t>
      </w:r>
      <w:r w:rsidR="00442311">
        <w:rPr>
          <w:noProof/>
        </w:rPr>
        <w:t>64</w:t>
      </w:r>
      <w:r w:rsidR="00AC0D1D" w:rsidRPr="004E63D4">
        <w:rPr>
          <w:noProof/>
        </w:rPr>
        <w:t>]</w:t>
      </w:r>
      <w:r w:rsidR="001A4FE5" w:rsidRPr="004E63D4">
        <w:rPr>
          <w:noProof/>
        </w:rPr>
        <w:fldChar w:fldCharType="end"/>
      </w:r>
      <w:r w:rsidR="001A4FE5" w:rsidRPr="004E63D4">
        <w:rPr>
          <w:noProof/>
        </w:rPr>
        <w:t xml:space="preserve"> or cattle </w:t>
      </w:r>
      <w:r w:rsidR="001A4FE5" w:rsidRPr="004E63D4">
        <w:rPr>
          <w:noProof/>
        </w:rPr>
        <w:fldChar w:fldCharType="begin" w:fldLock="1"/>
      </w:r>
      <w:r w:rsidR="00AC0D1D" w:rsidRPr="004E63D4">
        <w:rPr>
          <w:noProof/>
        </w:rPr>
        <w:instrText>ADDIN CSL_CITATION {"citationItems":[{"id":"ITEM-1","itemData":{"DOI":"10.1371/journal.pgen.1004254","ISSN":"15537404","abstract":"The domestication and development of cattle has considerably impacted human societies, but the histories of cattle breeds and populations have been poorly understood especially for African, Asian, and American breeds. Using genotypes from 43,043 autosomal single nucleotide polymorphism markers scored in 1,543 animals, we evaluate the population structure of 134 domesticated bovid breeds. Regardless of the analytical method or sample subset, the three major groups of Asian indicine, Eurasian taurine, and African taurine were consistently observed. Patterns of geographic dispersal resulting from co-migration with humans and exportation are recognizable in phylogenetic networks. All analytical methods reveal patterns of hybridization which occurred after divergence. Using 19 breeds, we map the cline of indicine introgression into Africa. We infer that African taurine possess a large portion of wild African auroch ancestry, causing their divergence from Eurasian taurine. We detect exportation patterns in Asia and identify a cline of Eurasian taurine/indicine hybridization in Asia. We also identify the influence of species other than Bos taurus taurus and B. t. indicus in the formation of Asian breeds. We detect the pronounced influence of Shorthorn cattle in the formation of European breeds. Iberian and Italian cattle possess introgression from African taurine. American Criollo cattle originate from Iberia, and not directly from Africa with African ancestry inherited via Iberian ancestors. Indicine introgression into American cattle occurred in the Americas, and not Europe. We argue that cattle migration, movement and trading followed by admixture have been important forces in shaping modern bovine genomic variation.","author":[{"dropping-particle":"","family":"Decker","given":"Jared E.","non-dropping-particle":"","parse-names":false,"suffix":""},{"dropping-particle":"","family":"McKay","given":"Stephanie D.","non-dropping-particle":"","parse-names":false,"suffix":""},{"dropping-particle":"","family":"Rolf","given":"Megan M.","non-dropping-particle":"","parse-names":false,"suffix":""},{"dropping-particle":"","family":"Kim","given":"Jae Woo","non-dropping-particle":"","parse-names":false,"suffix":""},{"dropping-particle":"","family":"Molina Alcalá","given":"Antonio","non-dropping-particle":"","parse-names":false,"suffix":""},{"dropping-particle":"","family":"Sonstegard","given":"Tad S.","non-dropping-particle":"","parse-names":false,"suffix":""},{"dropping-particle":"","family":"Hanotte","given":"Olivier","non-dropping-particle":"","parse-names":false,"suffix":""},{"dropping-particle":"","family":"Götherström","given":"Anders","non-dropping-particle":"","parse-names":false,"suffix":""},{"dropping-particle":"","family":"Seabury","given":"Christopher M.","non-dropping-particle":"","parse-names":false,"suffix":""},{"dropping-particle":"","family":"Praharani","given":"Lisa","non-dropping-particle":"","parse-names":false,"suffix":""},{"dropping-particle":"","family":"Babar","given":"Masroor Ellahi","non-dropping-particle":"","parse-names":false,"suffix":""},{"dropping-particle":"","family":"Correia de Almeida Regitano","given":"Luciana","non-dropping-particle":"","parse-names":false,"suffix":""},{"dropping-particle":"","family":"Yildiz","given":"Mehmet Ali","non-dropping-particle":"","parse-names":false,"suffix":""},{"dropping-particle":"","family":"Heaton","given":"Michael P.","non-dropping-particle":"","parse-names":false,"suffix":""},{"dropping-particle":"","family":"Liu","given":"Wan Sheng","non-dropping-particle":"","parse-names":false,"suffix":""},{"dropping-particle":"","family":"Lei","given":"Chu Zhao","non-dropping-particle":"","parse-names":false,"suffix":""},{"dropping-particle":"","family":"Reecy","given":"James M.","non-dropping-particle":"","parse-names":false,"suffix":""},{"dropping-particle":"","family":"Saif-Ur-Rehman","given":"Muhammad","non-dropping-particle":"","parse-names":false,"suffix":""},{"dropping-particle":"","family":"Schnabel","given":"Robert D.","non-dropping-particle":"","parse-names":false,"suffix":""},{"dropping-particle":"","family":"Taylor","given":"Jeremy F.","non-dropping-particle":"","parse-names":false,"suffix":""}],"container-title":"PLoS Genetics","id":"ITEM-1","issue":"3","issued":{"date-parts":[["2014"]]},"title":"Worldwide Patterns of Ancestry, Divergence, and Admixture in Domesticated Cattle","type":"article-journal","volume":"10"},"uris":["http://www.mendeley.com/documents/?uuid=744dfe13-0b30-41ac-b8db-7c93796a29df"]}],"mendeley":{"formattedCitation":"[8]","plainTextFormattedCitation":"[8]","previouslyFormattedCitation":"[8]"},"properties":{"noteIndex":0},"schema":"https://github.com/citation-style-language/schema/raw/master/csl-citation.json"}</w:instrText>
      </w:r>
      <w:r w:rsidR="001A4FE5" w:rsidRPr="004E63D4">
        <w:rPr>
          <w:noProof/>
        </w:rPr>
        <w:fldChar w:fldCharType="separate"/>
      </w:r>
      <w:r w:rsidR="00AC0D1D" w:rsidRPr="004E63D4">
        <w:rPr>
          <w:noProof/>
        </w:rPr>
        <w:t>[</w:t>
      </w:r>
      <w:r w:rsidR="00442311">
        <w:rPr>
          <w:noProof/>
        </w:rPr>
        <w:t>65</w:t>
      </w:r>
      <w:r w:rsidR="00AC0D1D" w:rsidRPr="004E63D4">
        <w:rPr>
          <w:noProof/>
        </w:rPr>
        <w:t>]</w:t>
      </w:r>
      <w:r w:rsidR="001A4FE5" w:rsidRPr="004E63D4">
        <w:rPr>
          <w:noProof/>
        </w:rPr>
        <w:fldChar w:fldCharType="end"/>
      </w:r>
      <w:r w:rsidR="001A4FE5" w:rsidRPr="004E63D4">
        <w:rPr>
          <w:noProof/>
        </w:rPr>
        <w:t xml:space="preserve"> the </w:t>
      </w:r>
      <w:r w:rsidR="001A4FE5" w:rsidRPr="004E63D4">
        <w:rPr>
          <w:smallCaps/>
          <w:noProof/>
        </w:rPr>
        <w:t xml:space="preserve">AdmIxture </w:t>
      </w:r>
      <w:r w:rsidR="001A4FE5" w:rsidRPr="004E63D4">
        <w:rPr>
          <w:noProof/>
        </w:rPr>
        <w:t>patterns for sheep at k</w:t>
      </w:r>
      <w:r w:rsidR="00476637">
        <w:rPr>
          <w:noProof/>
        </w:rPr>
        <w:t xml:space="preserve"> = </w:t>
      </w:r>
      <w:r w:rsidR="001A4FE5" w:rsidRPr="004E63D4">
        <w:rPr>
          <w:noProof/>
        </w:rPr>
        <w:t xml:space="preserve">5 or higher (not shown) do not reproduce the regional clusters within Europe. </w:t>
      </w:r>
    </w:p>
    <w:p w14:paraId="0DAF37B4" w14:textId="77777777" w:rsidR="00476637" w:rsidRDefault="001A4FE5" w:rsidP="00957C77">
      <w:pPr>
        <w:pStyle w:val="List"/>
        <w:spacing w:before="100" w:beforeAutospacing="1" w:after="100" w:afterAutospacing="1"/>
        <w:ind w:left="0" w:firstLine="0"/>
        <w:contextualSpacing w:val="0"/>
        <w:rPr>
          <w:noProof/>
        </w:rPr>
      </w:pPr>
      <w:r w:rsidRPr="004E63D4">
        <w:rPr>
          <w:noProof/>
        </w:rPr>
        <w:t>For breed-specific admixture analysis (BSAA), we carried out model-based clustering with subsets of SNPs that are specific for a given breed or population. This specificity is most likely generated by genetic drift in the source breed, but plausibly allows the detection of signatures of introgression into the target breeds. BSAA patterns with panels that differentiate between AMF and EMF admixture (Fig. 4) disclose an increasing influence of EMF from southeast to northwest Europe, which is consistent with the PCA (Fig. 2</w:t>
      </w:r>
      <w:r w:rsidR="0032568E">
        <w:rPr>
          <w:noProof/>
        </w:rPr>
        <w:t>a</w:t>
      </w:r>
      <w:r w:rsidRPr="004E63D4">
        <w:rPr>
          <w:noProof/>
        </w:rPr>
        <w:t>) and the phylogenetic network (Fig. 3</w:t>
      </w:r>
      <w:r w:rsidR="0032568E">
        <w:rPr>
          <w:noProof/>
        </w:rPr>
        <w:t>b</w:t>
      </w:r>
      <w:r w:rsidRPr="004E63D4">
        <w:rPr>
          <w:noProof/>
        </w:rPr>
        <w:t>). Remarkably, the EMF-specific SNP panel at k</w:t>
      </w:r>
      <w:r w:rsidR="00476637">
        <w:rPr>
          <w:noProof/>
        </w:rPr>
        <w:t xml:space="preserve"> </w:t>
      </w:r>
      <w:r w:rsidRPr="004E63D4">
        <w:rPr>
          <w:noProof/>
        </w:rPr>
        <w:t>=</w:t>
      </w:r>
      <w:r w:rsidR="00476637">
        <w:rPr>
          <w:noProof/>
        </w:rPr>
        <w:t xml:space="preserve"> </w:t>
      </w:r>
      <w:r w:rsidRPr="004E63D4">
        <w:rPr>
          <w:noProof/>
        </w:rPr>
        <w:t>5 and the Merino-specific panel at k</w:t>
      </w:r>
      <w:r w:rsidR="00476637">
        <w:rPr>
          <w:noProof/>
        </w:rPr>
        <w:t xml:space="preserve"> </w:t>
      </w:r>
      <w:r w:rsidRPr="004E63D4">
        <w:rPr>
          <w:noProof/>
        </w:rPr>
        <w:t>=</w:t>
      </w:r>
      <w:r w:rsidR="00476637">
        <w:rPr>
          <w:noProof/>
        </w:rPr>
        <w:t xml:space="preserve"> </w:t>
      </w:r>
      <w:r w:rsidRPr="004E63D4">
        <w:rPr>
          <w:noProof/>
        </w:rPr>
        <w:t>5 and k</w:t>
      </w:r>
      <w:r w:rsidR="00476637">
        <w:rPr>
          <w:noProof/>
        </w:rPr>
        <w:t xml:space="preserve"> </w:t>
      </w:r>
      <w:r w:rsidRPr="004E63D4">
        <w:rPr>
          <w:noProof/>
        </w:rPr>
        <w:t>=</w:t>
      </w:r>
      <w:r w:rsidR="00476637">
        <w:rPr>
          <w:noProof/>
        </w:rPr>
        <w:t xml:space="preserve"> </w:t>
      </w:r>
      <w:r w:rsidRPr="004E63D4">
        <w:rPr>
          <w:noProof/>
        </w:rPr>
        <w:t xml:space="preserve">6 generate a better clustering according to geography than the </w:t>
      </w:r>
      <w:r w:rsidRPr="004E63D4">
        <w:rPr>
          <w:smallCaps/>
          <w:noProof/>
        </w:rPr>
        <w:t xml:space="preserve">Admixture </w:t>
      </w:r>
      <w:r w:rsidRPr="004E63D4">
        <w:rPr>
          <w:noProof/>
        </w:rPr>
        <w:t>plots with the genome-wide SNP panel</w:t>
      </w:r>
      <w:r w:rsidRPr="004E63D4">
        <w:rPr>
          <w:smallCaps/>
          <w:noProof/>
        </w:rPr>
        <w:t>.</w:t>
      </w:r>
    </w:p>
    <w:p w14:paraId="22A448F2" w14:textId="77777777" w:rsidR="00957C77" w:rsidRDefault="001A4FE5" w:rsidP="00957C77">
      <w:pPr>
        <w:pStyle w:val="List"/>
        <w:spacing w:before="100" w:beforeAutospacing="1" w:after="100" w:afterAutospacing="1"/>
        <w:ind w:left="0" w:firstLine="0"/>
        <w:contextualSpacing w:val="0"/>
        <w:rPr>
          <w:noProof/>
        </w:rPr>
      </w:pPr>
      <w:r w:rsidRPr="004E63D4">
        <w:rPr>
          <w:noProof/>
        </w:rPr>
        <w:t xml:space="preserve">We observed that the BSAA signals are consistent across those k values that show the required specificity and are also insensitive to the </w:t>
      </w:r>
      <w:r w:rsidRPr="004E63D4">
        <w:rPr>
          <w:i/>
          <w:noProof/>
        </w:rPr>
        <w:t>F</w:t>
      </w:r>
      <w:r w:rsidRPr="004E63D4">
        <w:rPr>
          <w:noProof/>
          <w:vertAlign w:val="subscript"/>
        </w:rPr>
        <w:t xml:space="preserve">ST </w:t>
      </w:r>
      <w:r w:rsidRPr="004E63D4">
        <w:rPr>
          <w:noProof/>
        </w:rPr>
        <w:t>threshold that determines the number of informative SNPs. It is further encouraging that for the mouflons and for the Merino sheep</w:t>
      </w:r>
      <w:r w:rsidR="00476637">
        <w:rPr>
          <w:noProof/>
        </w:rPr>
        <w:t>,</w:t>
      </w:r>
      <w:r w:rsidRPr="004E63D4">
        <w:rPr>
          <w:noProof/>
        </w:rPr>
        <w:t xml:space="preserve"> the BSAA is supported by an independent approach: a correlation of allele frequencies via normalized </w:t>
      </w:r>
      <w:r w:rsidRPr="004E63D4">
        <w:rPr>
          <w:i/>
          <w:noProof/>
        </w:rPr>
        <w:t>f</w:t>
      </w:r>
      <w:r w:rsidRPr="004E63D4">
        <w:rPr>
          <w:noProof/>
        </w:rPr>
        <w:t>4 (</w:t>
      </w:r>
      <w:r w:rsidRPr="004E63D4">
        <w:rPr>
          <w:i/>
          <w:noProof/>
        </w:rPr>
        <w:t>f</w:t>
      </w:r>
      <w:r w:rsidRPr="004E63D4">
        <w:rPr>
          <w:noProof/>
        </w:rPr>
        <w:t xml:space="preserve">4n) values (Fig. 5). BSAA seems to be more sensitive than the </w:t>
      </w:r>
      <w:r w:rsidRPr="004E63D4">
        <w:rPr>
          <w:i/>
          <w:noProof/>
        </w:rPr>
        <w:t>f</w:t>
      </w:r>
      <w:r w:rsidRPr="004E63D4">
        <w:rPr>
          <w:noProof/>
        </w:rPr>
        <w:t xml:space="preserve">4n scan across the breeds by giving higher estimates of the proportion of the genome that are contributed by introgression. Presumably, the admixture proportions are overestimated by BSAA because the non-admixed ancestors are not represented by a </w:t>
      </w:r>
      <w:r w:rsidRPr="004E63D4">
        <w:rPr>
          <w:smallCaps/>
          <w:noProof/>
        </w:rPr>
        <w:t>Structure</w:t>
      </w:r>
      <w:r w:rsidRPr="004E63D4">
        <w:rPr>
          <w:noProof/>
        </w:rPr>
        <w:t>-inferred cluster.</w:t>
      </w:r>
    </w:p>
    <w:p w14:paraId="77900E95" w14:textId="77777777" w:rsidR="00957C77" w:rsidRDefault="001A4FE5" w:rsidP="00957C77">
      <w:pPr>
        <w:pStyle w:val="List"/>
        <w:spacing w:before="100" w:beforeAutospacing="1" w:after="100" w:afterAutospacing="1"/>
        <w:ind w:left="0" w:firstLine="0"/>
        <w:contextualSpacing w:val="0"/>
        <w:rPr>
          <w:noProof/>
        </w:rPr>
      </w:pPr>
      <w:r w:rsidRPr="004E63D4">
        <w:rPr>
          <w:noProof/>
        </w:rPr>
        <w:lastRenderedPageBreak/>
        <w:t>Furthermore, BSAA is better suited for the detection of the target rather than for the source of introgression. A BSAA specific for SWA or CIK, which both carry Merino introgression, generates weak signals for the donor breeds MER and MEE but also for other Spanish breeds (not shown). This reduced specificity reflects that introgression involves in addition to Merino-specific influence also Spanish influence. This has been excluded in the Merino panel, generated by contrasting Merino and Spanish non-Merino sheep, but not in the SWA- or CIK-specific panels selected by contrasting these breeds to nearby breeds without Merino introgression.</w:t>
      </w:r>
    </w:p>
    <w:p w14:paraId="3E79346A" w14:textId="5E03DCCD" w:rsidR="001A13AA" w:rsidRDefault="001A4FE5" w:rsidP="00957C77">
      <w:pPr>
        <w:pStyle w:val="List"/>
        <w:spacing w:before="100" w:beforeAutospacing="1" w:after="100" w:afterAutospacing="1"/>
        <w:ind w:left="0" w:firstLine="0"/>
        <w:contextualSpacing w:val="0"/>
        <w:rPr>
          <w:noProof/>
        </w:rPr>
      </w:pPr>
      <w:r w:rsidRPr="004E63D4">
        <w:rPr>
          <w:noProof/>
        </w:rPr>
        <w:t xml:space="preserve">Admixture events generated by </w:t>
      </w:r>
      <w:r w:rsidRPr="004E63D4">
        <w:rPr>
          <w:smallCaps/>
          <w:noProof/>
        </w:rPr>
        <w:t>TreeMix</w:t>
      </w:r>
      <w:r w:rsidRPr="004E63D4">
        <w:rPr>
          <w:noProof/>
        </w:rPr>
        <w:t xml:space="preserve"> are largely consistent with our other results, but admixture events involving several breeds are reproduced incompletely. Thus, the Merino introgression in several breeds corresponds to a Merino to SWA+KAM signal in the </w:t>
      </w:r>
      <w:r w:rsidRPr="004E63D4">
        <w:rPr>
          <w:smallCaps/>
          <w:noProof/>
        </w:rPr>
        <w:t>TreeMix</w:t>
      </w:r>
      <w:r w:rsidRPr="004E63D4">
        <w:rPr>
          <w:noProof/>
        </w:rPr>
        <w:t xml:space="preserve"> analysis </w:t>
      </w:r>
      <w:r w:rsidR="00442311">
        <w:rPr>
          <w:noProof/>
        </w:rPr>
        <w:t xml:space="preserve">[see </w:t>
      </w:r>
      <w:r w:rsidRPr="004E63D4">
        <w:rPr>
          <w:noProof/>
        </w:rPr>
        <w:t>Additional file 15</w:t>
      </w:r>
      <w:r w:rsidR="00442311">
        <w:rPr>
          <w:noProof/>
        </w:rPr>
        <w:t xml:space="preserve"> Figure S10]</w:t>
      </w:r>
      <w:r w:rsidRPr="004E63D4">
        <w:rPr>
          <w:noProof/>
        </w:rPr>
        <w:t xml:space="preserve">. Furthermore, several directions of gene flow (for instance, from SWA to SMF and from NWI to EMF at </w:t>
      </w:r>
      <w:r w:rsidRPr="004E63D4">
        <w:rPr>
          <w:i/>
          <w:iCs/>
          <w:noProof/>
        </w:rPr>
        <w:t>m</w:t>
      </w:r>
      <w:r w:rsidR="00957C77">
        <w:rPr>
          <w:noProof/>
        </w:rPr>
        <w:t>=20) are implausible.</w:t>
      </w:r>
    </w:p>
    <w:sectPr w:rsidR="001A13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12580"/>
    <w:multiLevelType w:val="hybridMultilevel"/>
    <w:tmpl w:val="BB566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2962C6"/>
    <w:multiLevelType w:val="hybridMultilevel"/>
    <w:tmpl w:val="9182A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E5"/>
    <w:rsid w:val="001A4FE5"/>
    <w:rsid w:val="001C602E"/>
    <w:rsid w:val="002733C8"/>
    <w:rsid w:val="0032568E"/>
    <w:rsid w:val="003B3961"/>
    <w:rsid w:val="00442311"/>
    <w:rsid w:val="00476637"/>
    <w:rsid w:val="004E63D4"/>
    <w:rsid w:val="006658DD"/>
    <w:rsid w:val="00827B5D"/>
    <w:rsid w:val="00957C77"/>
    <w:rsid w:val="00A235E8"/>
    <w:rsid w:val="00A74F90"/>
    <w:rsid w:val="00AC0D1D"/>
    <w:rsid w:val="00BB0AA9"/>
    <w:rsid w:val="00C96C6D"/>
    <w:rsid w:val="00F13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C7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3">
    <w:name w:val="heading 3"/>
    <w:basedOn w:val="Normal"/>
    <w:next w:val="Normal"/>
    <w:link w:val="Heading3Char"/>
    <w:uiPriority w:val="9"/>
    <w:unhideWhenUsed/>
    <w:qFormat/>
    <w:rsid w:val="001A4FE5"/>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4FE5"/>
    <w:rPr>
      <w:rFonts w:asciiTheme="majorHAnsi" w:eastAsiaTheme="majorEastAsia" w:hAnsiTheme="majorHAnsi" w:cstheme="majorBidi"/>
      <w:color w:val="1F3763" w:themeColor="accent1" w:themeShade="7F"/>
      <w:sz w:val="24"/>
      <w:szCs w:val="24"/>
      <w:lang w:val="en-US"/>
    </w:rPr>
  </w:style>
  <w:style w:type="paragraph" w:styleId="List">
    <w:name w:val="List"/>
    <w:basedOn w:val="Normal"/>
    <w:uiPriority w:val="99"/>
    <w:unhideWhenUsed/>
    <w:rsid w:val="001A4FE5"/>
    <w:pPr>
      <w:spacing w:after="200" w:line="276" w:lineRule="auto"/>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A416D-6CC4-4C41-9BE4-46014614F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6167</Words>
  <Characters>33919</Characters>
  <Application>Microsoft Office Word</Application>
  <DocSecurity>0</DocSecurity>
  <Lines>282</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2020-04-29T21:34:00Z</dcterms:created>
  <dcterms:modified xsi:type="dcterms:W3CDTF">2020-04-29T21:34:00Z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http://www.zotero.org/styles/bmc-biology</vt:lpwstr>
  </property>
  <property fmtid="{D5CDD505-2E9C-101B-9397-08002B2CF9AE}" pid="7" name="Mendeley Recent Style Name 2_1">
    <vt:lpwstr>BMC 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http://www.zotero.org/styles/frontiers-in-genetics</vt:lpwstr>
  </property>
  <property fmtid="{D5CDD505-2E9C-101B-9397-08002B2CF9AE}" pid="13" name="Mendeley Recent Style Name 5_1">
    <vt:lpwstr>Frontiers in Genetics</vt:lpwstr>
  </property>
  <property fmtid="{D5CDD505-2E9C-101B-9397-08002B2CF9AE}" pid="14" name="Mendeley Recent Style Id 6_1">
    <vt:lpwstr>http://www.zotero.org/styles/genetics-selection-evolution</vt:lpwstr>
  </property>
  <property fmtid="{D5CDD505-2E9C-101B-9397-08002B2CF9AE}" pid="15" name="Mendeley Recent Style Name 6_1">
    <vt:lpwstr>Genetics Selection Evolution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http://www.zotero.org/styles/genetics-selection-evolution</vt:lpwstr>
  </property>
  <property fmtid="{D5CDD505-2E9C-101B-9397-08002B2CF9AE}" pid="24" name="Mendeley Unique User Id_1">
    <vt:lpwstr>60e95faf-28f1-3c79-86de-dc58cb3b1fef</vt:lpwstr>
  </property>
</Properties>
</file>