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002" w:rsidRPr="00A3753C" w:rsidRDefault="006A0002" w:rsidP="00475685">
      <w:pPr>
        <w:pStyle w:val="CEHeading1"/>
        <w:spacing w:before="0" w:after="0"/>
        <w:rPr>
          <w:lang w:val="en-US"/>
        </w:rPr>
      </w:pPr>
      <w:r w:rsidRPr="00A3753C">
        <w:rPr>
          <w:lang w:val="en-US"/>
        </w:rPr>
        <w:t>Additional file 2</w:t>
      </w:r>
    </w:p>
    <w:p w:rsidR="006A0002" w:rsidRPr="00A3753C" w:rsidRDefault="006A0002" w:rsidP="00475685">
      <w:pPr>
        <w:pStyle w:val="CEHeading1"/>
        <w:spacing w:before="0" w:after="0"/>
        <w:rPr>
          <w:lang w:val="en-US"/>
        </w:rPr>
      </w:pPr>
    </w:p>
    <w:p w:rsidR="006A0002" w:rsidRPr="00A3753C" w:rsidRDefault="00B25D8B" w:rsidP="00475685">
      <w:pPr>
        <w:pStyle w:val="CEHeading1"/>
        <w:spacing w:before="0" w:after="0"/>
        <w:rPr>
          <w:lang w:val="en-US"/>
        </w:rPr>
      </w:pPr>
      <w:r>
        <w:rPr>
          <w:lang w:val="en-US"/>
        </w:rPr>
        <w:t>Additional</w:t>
      </w:r>
      <w:r w:rsidR="006A0002" w:rsidRPr="00A3753C">
        <w:rPr>
          <w:lang w:val="en-US"/>
        </w:rPr>
        <w:t xml:space="preserve"> Methods</w:t>
      </w:r>
    </w:p>
    <w:p w:rsidR="006A0002" w:rsidRPr="00A3753C" w:rsidRDefault="006A0002" w:rsidP="00475685">
      <w:pPr>
        <w:pStyle w:val="CEHeading3"/>
        <w:spacing w:before="0" w:after="0"/>
        <w:rPr>
          <w:noProof w:val="0"/>
          <w:lang w:val="en-US"/>
        </w:rPr>
      </w:pPr>
    </w:p>
    <w:p w:rsidR="006A0002" w:rsidRPr="00A3753C" w:rsidRDefault="006A0002" w:rsidP="00475685">
      <w:pPr>
        <w:pStyle w:val="CEHeading3"/>
        <w:spacing w:before="0" w:after="0"/>
        <w:rPr>
          <w:lang w:val="en-US"/>
        </w:rPr>
      </w:pPr>
      <w:r w:rsidRPr="00A3753C">
        <w:rPr>
          <w:noProof w:val="0"/>
          <w:lang w:val="en-US"/>
        </w:rPr>
        <w:t>Sperm Protamine Deficiency Assay</w:t>
      </w:r>
      <w:r w:rsidR="00327479">
        <w:rPr>
          <w:noProof w:val="0"/>
          <w:lang w:val="en-US"/>
        </w:rPr>
        <w:t xml:space="preserve"> (</w:t>
      </w:r>
      <w:proofErr w:type="spellStart"/>
      <w:r w:rsidR="00327479">
        <w:rPr>
          <w:noProof w:val="0"/>
          <w:lang w:val="en-US"/>
        </w:rPr>
        <w:t>SPDA</w:t>
      </w:r>
      <w:proofErr w:type="spellEnd"/>
      <w:r w:rsidR="00327479">
        <w:rPr>
          <w:noProof w:val="0"/>
          <w:lang w:val="en-US"/>
        </w:rPr>
        <w:t>)</w:t>
      </w:r>
    </w:p>
    <w:p w:rsidR="006A0002" w:rsidRPr="00A3753C" w:rsidRDefault="006A0002" w:rsidP="00475685">
      <w:pPr>
        <w:pStyle w:val="5275Body"/>
        <w:spacing w:before="0" w:after="0"/>
        <w:ind w:firstLine="0"/>
        <w:rPr>
          <w:b/>
          <w:i/>
        </w:rPr>
      </w:pPr>
      <w:r w:rsidRPr="00A3753C">
        <w:t xml:space="preserve">The percentages of sperm cells with high-, medium-, and low-protamine content (HPC, MPC, and LPC) were estimated with SPDA, </w:t>
      </w:r>
      <w:r w:rsidR="00A3753C">
        <w:rPr>
          <w:noProof w:val="0"/>
        </w:rPr>
        <w:t>and details about this</w:t>
      </w:r>
      <w:r w:rsidRPr="00A3753C">
        <w:t xml:space="preserve"> flow cytometric methodology </w:t>
      </w:r>
      <w:r w:rsidR="00327479">
        <w:rPr>
          <w:noProof w:val="0"/>
        </w:rPr>
        <w:t xml:space="preserve">were </w:t>
      </w:r>
      <w:r w:rsidR="00A3753C">
        <w:rPr>
          <w:noProof w:val="0"/>
        </w:rPr>
        <w:t>provided</w:t>
      </w:r>
      <w:r w:rsidR="009A069F">
        <w:t xml:space="preserve"> in previous studies [11, 32]</w:t>
      </w:r>
      <w:r w:rsidRPr="00A3753C">
        <w:t>. Briefly, sperm protamine was assessed using CMA3,</w:t>
      </w:r>
      <w:r w:rsidRPr="00A3753C">
        <w:rPr>
          <w:i/>
        </w:rPr>
        <w:t xml:space="preserve"> </w:t>
      </w:r>
      <w:r w:rsidRPr="00A3753C">
        <w:t xml:space="preserve">which is a fluorochrome that competes for protamine-binding sites at the minor groove of a DNA strand </w:t>
      </w:r>
      <w:r w:rsidR="009A069F">
        <w:t>[38, 39].</w:t>
      </w:r>
      <w:r w:rsidR="00A3753C">
        <w:t xml:space="preserve"> Samples were thawed (37°</w:t>
      </w:r>
      <w:r w:rsidRPr="00A3753C">
        <w:t xml:space="preserve">C for three minutes) and sperm concentration was determined using the Improved Neubauer chamber. </w:t>
      </w:r>
      <w:r w:rsidR="00327479">
        <w:t>Then</w:t>
      </w:r>
      <w:r w:rsidRPr="00A3753C">
        <w:t>, samples were diluted to approximately 50</w:t>
      </w:r>
      <m:oMath>
        <m:r>
          <w:rPr>
            <w:rFonts w:ascii="Cambria Math" w:hAnsi="Cambria Math"/>
          </w:rPr>
          <m:t>×</m:t>
        </m:r>
      </m:oMath>
      <w:r w:rsidRPr="00A3753C">
        <w:t>10</w:t>
      </w:r>
      <w:r w:rsidRPr="00A3753C">
        <w:rPr>
          <w:vertAlign w:val="superscript"/>
        </w:rPr>
        <w:t>6</w:t>
      </w:r>
      <w:r w:rsidRPr="00A3753C">
        <w:t> sperm/mL in Dulbecco’s phosphate-buffered saline (DPBS, Ca</w:t>
      </w:r>
      <w:r w:rsidR="00327479">
        <w:rPr>
          <w:vertAlign w:val="superscript"/>
        </w:rPr>
        <w:t>+</w:t>
      </w:r>
      <w:r w:rsidRPr="00327479">
        <w:rPr>
          <w:vertAlign w:val="superscript"/>
        </w:rPr>
        <w:t>+</w:t>
      </w:r>
      <w:r w:rsidRPr="00A3753C">
        <w:t>, and Mg</w:t>
      </w:r>
      <w:r w:rsidR="00327479">
        <w:rPr>
          <w:vertAlign w:val="superscript"/>
        </w:rPr>
        <w:t>+</w:t>
      </w:r>
      <w:r w:rsidRPr="00327479">
        <w:rPr>
          <w:vertAlign w:val="superscript"/>
        </w:rPr>
        <w:t>+</w:t>
      </w:r>
      <w:r w:rsidRPr="00A3753C">
        <w:t xml:space="preserve"> free), and subsequently washed by centrifugation (500 g for five minutes </w:t>
      </w:r>
      <w:r w:rsidR="00A3753C">
        <w:t xml:space="preserve">as </w:t>
      </w:r>
      <w:r w:rsidRPr="00A3753C">
        <w:t xml:space="preserve">for all centrifugation washes). The pellet was resuspended in DPBS, </w:t>
      </w:r>
      <w:r w:rsidR="00704AE2">
        <w:t xml:space="preserve">and then </w:t>
      </w:r>
      <w:r w:rsidRPr="00A3753C">
        <w:t>split into two aliquots</w:t>
      </w:r>
      <w:r w:rsidR="00A3753C">
        <w:t xml:space="preserve">: </w:t>
      </w:r>
      <w:r w:rsidR="00327479">
        <w:t xml:space="preserve">(1) </w:t>
      </w:r>
      <w:r w:rsidR="00A3753C">
        <w:t>without</w:t>
      </w:r>
      <w:r w:rsidR="00A3753C" w:rsidRPr="00A3753C">
        <w:t xml:space="preserve"> </w:t>
      </w:r>
      <w:r w:rsidRPr="00A3753C">
        <w:t xml:space="preserve">treatment and </w:t>
      </w:r>
      <w:r w:rsidR="00327479">
        <w:t xml:space="preserve">(2) a </w:t>
      </w:r>
      <w:r w:rsidRPr="00A3753C">
        <w:t>positive control treated with 5 mM dithiothreitol (DTT) and incubated for 15 minutes at 37</w:t>
      </w:r>
      <w:r w:rsidR="00A3753C">
        <w:t>°</w:t>
      </w:r>
      <w:r w:rsidRPr="00A3753C">
        <w:t>C. The</w:t>
      </w:r>
      <w:r w:rsidR="00327479">
        <w:t>n,</w:t>
      </w:r>
      <w:r w:rsidRPr="00A3753C">
        <w:t xml:space="preserve"> samples were washed twice by centrifugation, resuspended in DPBS, washed again, resuspended in 0.25 mg/mL CMA3 in McIlvaine’s buffer (17 mM citric acid, 164 mM Na</w:t>
      </w:r>
      <w:r w:rsidRPr="00A3753C">
        <w:rPr>
          <w:vertAlign w:val="subscript"/>
        </w:rPr>
        <w:t>2</w:t>
      </w:r>
      <w:r w:rsidRPr="00A3753C">
        <w:t>HPO</w:t>
      </w:r>
      <w:r w:rsidRPr="00A3753C">
        <w:rPr>
          <w:vertAlign w:val="subscript"/>
        </w:rPr>
        <w:t>4</w:t>
      </w:r>
      <w:r w:rsidRPr="00A3753C">
        <w:t>, and 10 mM MgCl</w:t>
      </w:r>
      <w:r w:rsidRPr="00A3753C">
        <w:rPr>
          <w:vertAlign w:val="subscript"/>
        </w:rPr>
        <w:t>2</w:t>
      </w:r>
      <w:r w:rsidRPr="00A3753C">
        <w:t>6H</w:t>
      </w:r>
      <w:r w:rsidRPr="00A3753C">
        <w:rPr>
          <w:vertAlign w:val="subscript"/>
        </w:rPr>
        <w:t>2</w:t>
      </w:r>
      <w:r w:rsidRPr="00A3753C">
        <w:t xml:space="preserve">O; pH 7.0), and finally incubated at room temperature for one hour in complete darkness. Again, the samples were washed </w:t>
      </w:r>
      <w:r w:rsidR="00704AE2" w:rsidRPr="00A3753C">
        <w:t xml:space="preserve">in DPBS </w:t>
      </w:r>
      <w:r w:rsidRPr="00A3753C">
        <w:t>three times by centrifugation and the concentration was adjusted to 5–10</w:t>
      </w:r>
      <m:oMath>
        <m:r>
          <w:rPr>
            <w:rFonts w:ascii="Cambria Math" w:hAnsi="Cambria Math"/>
          </w:rPr>
          <m:t>×</m:t>
        </m:r>
      </m:oMath>
      <w:r w:rsidRPr="00A3753C">
        <w:t>10</w:t>
      </w:r>
      <w:r w:rsidRPr="00A3753C">
        <w:rPr>
          <w:vertAlign w:val="superscript"/>
        </w:rPr>
        <w:t>6</w:t>
      </w:r>
      <w:r w:rsidRPr="00A3753C">
        <w:t> sperm/mL for flow cytometric analysis on the Beckman Coulter Gallios flow cytometer. Excitation solid-state lasers, violet lasers (405 nm), and blue lasers (488 nm) were used, and fluorescence was detected on FL9 (450BP50 filter), FL10 (550BP40 filter), and FL2 (575BP30 filter)</w:t>
      </w:r>
      <w:r w:rsidRPr="00A3753C">
        <w:rPr>
          <w:noProof w:val="0"/>
        </w:rPr>
        <w:t>,</w:t>
      </w:r>
      <w:r w:rsidRPr="00A3753C">
        <w:t xml:space="preserve"> respectively, at a low-flow rate. In addition, </w:t>
      </w:r>
      <w:r w:rsidR="00A3753C">
        <w:t xml:space="preserve">the </w:t>
      </w:r>
      <w:r w:rsidRPr="00A3753C">
        <w:t>Kaluza software (version 1.1) was used to analyze the flow cytometric data and generate the three phenotypes for genetic analyses: HPC, MPC, and LPC.</w:t>
      </w:r>
    </w:p>
    <w:p w:rsidR="006A0002" w:rsidRPr="00A3753C" w:rsidRDefault="006A0002" w:rsidP="00475685">
      <w:pPr>
        <w:pStyle w:val="CEHeading3"/>
        <w:spacing w:before="0" w:after="0"/>
        <w:rPr>
          <w:noProof w:val="0"/>
          <w:lang w:val="en-US"/>
        </w:rPr>
      </w:pPr>
    </w:p>
    <w:p w:rsidR="006A0002" w:rsidRPr="00A3753C" w:rsidRDefault="006A0002" w:rsidP="00475685">
      <w:pPr>
        <w:pStyle w:val="CEHeading3"/>
        <w:spacing w:before="0" w:after="0"/>
        <w:rPr>
          <w:lang w:val="en-US"/>
        </w:rPr>
      </w:pPr>
      <w:r w:rsidRPr="00A3753C">
        <w:rPr>
          <w:noProof w:val="0"/>
          <w:lang w:val="en-US"/>
        </w:rPr>
        <w:t>Sperm Chromatin Structure Assay</w:t>
      </w:r>
      <w:r w:rsidR="00327479">
        <w:rPr>
          <w:noProof w:val="0"/>
          <w:lang w:val="en-US"/>
        </w:rPr>
        <w:t xml:space="preserve"> (</w:t>
      </w:r>
      <w:proofErr w:type="spellStart"/>
      <w:r w:rsidR="00327479">
        <w:rPr>
          <w:noProof w:val="0"/>
          <w:lang w:val="en-US"/>
        </w:rPr>
        <w:t>SCSA</w:t>
      </w:r>
      <w:proofErr w:type="spellEnd"/>
      <w:r w:rsidR="00327479">
        <w:rPr>
          <w:noProof w:val="0"/>
          <w:lang w:val="en-US"/>
        </w:rPr>
        <w:t>)</w:t>
      </w:r>
    </w:p>
    <w:p w:rsidR="006A0002" w:rsidRPr="00A3753C" w:rsidRDefault="006A0002" w:rsidP="00475685">
      <w:pPr>
        <w:pStyle w:val="5275Body"/>
        <w:spacing w:before="0" w:after="0"/>
        <w:ind w:firstLine="0"/>
      </w:pPr>
      <w:r w:rsidRPr="00A3753C">
        <w:rPr>
          <w:noProof w:val="0"/>
        </w:rPr>
        <w:t xml:space="preserve">Samples thawed for </w:t>
      </w:r>
      <w:proofErr w:type="spellStart"/>
      <w:r w:rsidRPr="00A3753C">
        <w:rPr>
          <w:noProof w:val="0"/>
        </w:rPr>
        <w:t>SPDA</w:t>
      </w:r>
      <w:proofErr w:type="spellEnd"/>
      <w:r w:rsidRPr="00A3753C">
        <w:rPr>
          <w:noProof w:val="0"/>
        </w:rPr>
        <w:t xml:space="preserve"> were used for </w:t>
      </w:r>
      <w:proofErr w:type="spellStart"/>
      <w:r w:rsidRPr="00A3753C">
        <w:rPr>
          <w:noProof w:val="0"/>
        </w:rPr>
        <w:t>SCSA</w:t>
      </w:r>
      <w:proofErr w:type="spellEnd"/>
      <w:r w:rsidRPr="00A3753C">
        <w:rPr>
          <w:noProof w:val="0"/>
        </w:rPr>
        <w:t xml:space="preserve">, which measured three related phenotypes: percentage of PIC, </w:t>
      </w:r>
      <w:proofErr w:type="spellStart"/>
      <w:r w:rsidRPr="00A3753C">
        <w:rPr>
          <w:noProof w:val="0"/>
        </w:rPr>
        <w:t>DFI</w:t>
      </w:r>
      <w:proofErr w:type="spellEnd"/>
      <w:r w:rsidRPr="00A3753C">
        <w:rPr>
          <w:noProof w:val="0"/>
        </w:rPr>
        <w:t xml:space="preserve">, and percentage of sperm with abnormal </w:t>
      </w:r>
      <w:proofErr w:type="spellStart"/>
      <w:r w:rsidRPr="00A3753C">
        <w:rPr>
          <w:noProof w:val="0"/>
        </w:rPr>
        <w:t>HDS</w:t>
      </w:r>
      <w:proofErr w:type="spellEnd"/>
      <w:r w:rsidRPr="00A3753C">
        <w:rPr>
          <w:noProof w:val="0"/>
        </w:rPr>
        <w:t xml:space="preserve">. This process was conducted according to the protocol described by Evenson and </w:t>
      </w:r>
      <w:proofErr w:type="spellStart"/>
      <w:r w:rsidRPr="00A3753C">
        <w:rPr>
          <w:noProof w:val="0"/>
        </w:rPr>
        <w:t>Jost</w:t>
      </w:r>
      <w:proofErr w:type="spellEnd"/>
      <w:r w:rsidRPr="00A3753C">
        <w:rPr>
          <w:noProof w:val="0"/>
        </w:rPr>
        <w:t xml:space="preserve"> </w:t>
      </w:r>
      <w:r w:rsidR="007937C5">
        <w:rPr>
          <w:noProof w:val="0"/>
        </w:rPr>
        <w:t>[40]</w:t>
      </w:r>
      <w:r w:rsidRPr="00A3753C">
        <w:rPr>
          <w:noProof w:val="0"/>
        </w:rPr>
        <w:t xml:space="preserve"> using the metachromatic properties of acridine orange to assess chromatin stability. This compound fluoresces green when combined with double-stranded (intact) DNA, and fluoresces red when </w:t>
      </w:r>
      <w:r w:rsidRPr="00A3753C">
        <w:rPr>
          <w:noProof w:val="0"/>
        </w:rPr>
        <w:lastRenderedPageBreak/>
        <w:t>combined with single-stranded (fragmented) DNA</w:t>
      </w:r>
      <w:proofErr w:type="gramStart"/>
      <w:r w:rsidR="00327479">
        <w:rPr>
          <w:noProof w:val="0"/>
        </w:rPr>
        <w:t>;</w:t>
      </w:r>
      <w:r w:rsidRPr="00A3753C">
        <w:rPr>
          <w:noProof w:val="0"/>
        </w:rPr>
        <w:t>,</w:t>
      </w:r>
      <w:proofErr w:type="gramEnd"/>
      <w:r w:rsidRPr="00A3753C">
        <w:rPr>
          <w:noProof w:val="0"/>
        </w:rPr>
        <w:t xml:space="preserve"> the flow cytometric analyses for </w:t>
      </w:r>
      <w:proofErr w:type="spellStart"/>
      <w:r w:rsidRPr="00A3753C">
        <w:rPr>
          <w:noProof w:val="0"/>
        </w:rPr>
        <w:t>SCSA</w:t>
      </w:r>
      <w:proofErr w:type="spellEnd"/>
      <w:r w:rsidRPr="00A3753C">
        <w:rPr>
          <w:noProof w:val="0"/>
        </w:rPr>
        <w:t xml:space="preserve"> used the same equipment, as described </w:t>
      </w:r>
      <w:r w:rsidR="006D0DC0">
        <w:rPr>
          <w:noProof w:val="0"/>
        </w:rPr>
        <w:t>by our group previously</w:t>
      </w:r>
      <w:r w:rsidRPr="00A3753C">
        <w:t xml:space="preserve"> </w:t>
      </w:r>
      <w:r w:rsidR="006D0DC0">
        <w:t>[11]</w:t>
      </w:r>
      <w:r w:rsidRPr="00A3753C">
        <w:rPr>
          <w:noProof w:val="0"/>
        </w:rPr>
        <w:t>.</w:t>
      </w:r>
    </w:p>
    <w:p w:rsidR="006A0002" w:rsidRPr="00A3753C" w:rsidRDefault="00A3753C" w:rsidP="00475685">
      <w:pPr>
        <w:pStyle w:val="5275Body"/>
        <w:spacing w:before="0" w:after="0"/>
        <w:ind w:firstLine="0"/>
      </w:pPr>
      <w:r>
        <w:t>When</w:t>
      </w:r>
      <w:r w:rsidRPr="00A3753C">
        <w:t xml:space="preserve"> </w:t>
      </w:r>
      <w:r w:rsidR="006A0002" w:rsidRPr="00A3753C">
        <w:t xml:space="preserve">using the blue excitation laser (488 nm) to excite the fluorophore, acridine orange and fluorescence were detected on FL1 (525BP40 filter), FL3 (620BP30 filter), and FL4 (675BP20 filter) at a low-flow rate. After every six test samples, a reference sample was thawed and analyzed to ensure stability of the instrument. </w:t>
      </w:r>
      <w:r>
        <w:t xml:space="preserve">The </w:t>
      </w:r>
      <w:r w:rsidR="006A0002" w:rsidRPr="00A3753C">
        <w:t>Kaluza software (version 1.1) was used to analyze the flow cytometric data and generate the three phenotypes for genetic analyses: PIC, DFI and HDS. Two DFI values were determined using the FL3 fluorescence (DFI3) and FL4 fluorescence (DFI4) for detecting sperm with DNA damage. Likewise, HDS was determined using the two filters FL3 (HDS3) and FL4 (HDS4). Th</w:t>
      </w:r>
      <w:r w:rsidR="00327479">
        <w:t xml:space="preserve">e use </w:t>
      </w:r>
      <w:r w:rsidR="006A0002" w:rsidRPr="00A3753C">
        <w:t>of the Gallios cytometer and software</w:t>
      </w:r>
      <w:r w:rsidR="006A0002" w:rsidRPr="00A3753C">
        <w:rPr>
          <w:noProof w:val="0"/>
        </w:rPr>
        <w:t>, which</w:t>
      </w:r>
      <w:r w:rsidR="006A0002" w:rsidRPr="00A3753C">
        <w:t xml:space="preserve"> add</w:t>
      </w:r>
      <w:r w:rsidR="006A0002" w:rsidRPr="00A3753C">
        <w:rPr>
          <w:noProof w:val="0"/>
        </w:rPr>
        <w:t>s</w:t>
      </w:r>
      <w:r w:rsidR="006A0002" w:rsidRPr="00A3753C">
        <w:t xml:space="preserve"> an FL4 reading to the standard SCSA, </w:t>
      </w:r>
      <w:r w:rsidR="00327479">
        <w:t>w</w:t>
      </w:r>
      <w:r w:rsidR="008F0151">
        <w:t>a</w:t>
      </w:r>
      <w:r w:rsidR="00327479">
        <w:t>s</w:t>
      </w:r>
      <w:r w:rsidR="006A0002" w:rsidRPr="00A3753C">
        <w:t xml:space="preserve"> previously developed </w:t>
      </w:r>
      <w:r w:rsidR="008F0151">
        <w:t>[29].</w:t>
      </w:r>
      <w:r w:rsidR="008F0151" w:rsidRPr="00A3753C">
        <w:t xml:space="preserve"> </w:t>
      </w:r>
    </w:p>
    <w:p w:rsidR="006A0002" w:rsidRPr="00A3753C" w:rsidRDefault="006A0002" w:rsidP="00475685">
      <w:pPr>
        <w:pStyle w:val="CEHeading2"/>
        <w:spacing w:before="0" w:after="0"/>
        <w:rPr>
          <w:noProof w:val="0"/>
          <w:lang w:val="en-US"/>
        </w:rPr>
      </w:pPr>
    </w:p>
    <w:p w:rsidR="006A0002" w:rsidRPr="00A3753C" w:rsidRDefault="006A0002" w:rsidP="00475685">
      <w:pPr>
        <w:pStyle w:val="CEHeading2"/>
        <w:spacing w:before="0" w:after="0"/>
        <w:rPr>
          <w:i/>
          <w:lang w:val="en-US"/>
        </w:rPr>
      </w:pPr>
      <w:r w:rsidRPr="00A3753C">
        <w:rPr>
          <w:i/>
          <w:noProof w:val="0"/>
          <w:lang w:val="en-US"/>
        </w:rPr>
        <w:t>Genome-wide Association Studies</w:t>
      </w:r>
      <w:r w:rsidR="00327479">
        <w:rPr>
          <w:i/>
          <w:noProof w:val="0"/>
          <w:lang w:val="en-US"/>
        </w:rPr>
        <w:t xml:space="preserve"> (</w:t>
      </w:r>
      <w:proofErr w:type="spellStart"/>
      <w:r w:rsidR="00327479">
        <w:rPr>
          <w:i/>
          <w:noProof w:val="0"/>
          <w:lang w:val="en-US"/>
        </w:rPr>
        <w:t>GWAS</w:t>
      </w:r>
      <w:proofErr w:type="spellEnd"/>
      <w:r w:rsidR="00327479">
        <w:rPr>
          <w:i/>
          <w:noProof w:val="0"/>
          <w:lang w:val="en-US"/>
        </w:rPr>
        <w:t>)</w:t>
      </w:r>
    </w:p>
    <w:p w:rsidR="006A0002" w:rsidRPr="00A3753C" w:rsidRDefault="006A0002" w:rsidP="00475685">
      <w:pPr>
        <w:pStyle w:val="5275Body"/>
        <w:spacing w:before="0" w:after="0"/>
        <w:ind w:firstLine="0"/>
      </w:pPr>
      <w:r w:rsidRPr="00A3753C">
        <w:rPr>
          <w:noProof w:val="0"/>
        </w:rPr>
        <w:t xml:space="preserve">To perform </w:t>
      </w:r>
      <w:proofErr w:type="spellStart"/>
      <w:r w:rsidRPr="00A3753C">
        <w:rPr>
          <w:noProof w:val="0"/>
        </w:rPr>
        <w:t>GWAS</w:t>
      </w:r>
      <w:proofErr w:type="spellEnd"/>
      <w:r w:rsidRPr="00A3753C">
        <w:rPr>
          <w:noProof w:val="0"/>
        </w:rPr>
        <w:t xml:space="preserve">, we built a </w:t>
      </w:r>
      <w:proofErr w:type="spellStart"/>
      <w:r w:rsidRPr="00A3753C">
        <w:rPr>
          <w:noProof w:val="0"/>
        </w:rPr>
        <w:t>GRM</w:t>
      </w:r>
      <w:proofErr w:type="spellEnd"/>
      <w:r w:rsidRPr="00A3753C">
        <w:rPr>
          <w:noProof w:val="0"/>
        </w:rPr>
        <w:t xml:space="preserve"> for each breed using all imputed </w:t>
      </w:r>
      <w:proofErr w:type="spellStart"/>
      <w:r w:rsidRPr="00A3753C">
        <w:rPr>
          <w:noProof w:val="0"/>
        </w:rPr>
        <w:t>SNP</w:t>
      </w:r>
      <w:r w:rsidR="00A3753C">
        <w:rPr>
          <w:noProof w:val="0"/>
        </w:rPr>
        <w:t>s</w:t>
      </w:r>
      <w:proofErr w:type="spellEnd"/>
      <w:r w:rsidRPr="00A3753C">
        <w:rPr>
          <w:noProof w:val="0"/>
        </w:rPr>
        <w:t xml:space="preserve"> that passed quality control and had a </w:t>
      </w:r>
      <w:proofErr w:type="spellStart"/>
      <w:r w:rsidRPr="00A3753C">
        <w:rPr>
          <w:noProof w:val="0"/>
        </w:rPr>
        <w:t>MAF</w:t>
      </w:r>
      <w:proofErr w:type="spellEnd"/>
      <w:r w:rsidRPr="00A3753C">
        <w:rPr>
          <w:noProof w:val="0"/>
        </w:rPr>
        <w:t xml:space="preserve"> higher than 0.05 (within breed). Each </w:t>
      </w:r>
      <w:proofErr w:type="spellStart"/>
      <w:r w:rsidRPr="00A3753C">
        <w:rPr>
          <w:noProof w:val="0"/>
        </w:rPr>
        <w:t>GRM</w:t>
      </w:r>
      <w:proofErr w:type="spellEnd"/>
      <w:r w:rsidRPr="00A3753C">
        <w:rPr>
          <w:noProof w:val="0"/>
        </w:rPr>
        <w:t xml:space="preserve"> was built using</w:t>
      </w:r>
      <w:r w:rsidRPr="00A3753C">
        <w:t xml:space="preserve"> the first method proposed by VanRaden </w:t>
      </w:r>
      <w:r w:rsidR="009B4C24">
        <w:t>[46]</w:t>
      </w:r>
      <w:r w:rsidRPr="00A3753C">
        <w:t xml:space="preserve">, which is a GBLUP method. We used all the default parameters in the SNP &amp; Variation Suite (SVS) software (release 8.3.0, Golden Helix), including the overall normalization method, as described by Taylor </w:t>
      </w:r>
      <w:r w:rsidR="009B4C24">
        <w:t>[47]</w:t>
      </w:r>
      <w:r w:rsidRPr="00A3753C">
        <w:t xml:space="preserve">. We also used a correction for sex, </w:t>
      </w:r>
      <w:r w:rsidR="00327479">
        <w:t xml:space="preserve">by </w:t>
      </w:r>
      <w:r w:rsidRPr="00A3753C">
        <w:t>informing the program that all animals were bulls and selecting for full dosage compensation</w:t>
      </w:r>
      <w:r w:rsidR="00A3753C">
        <w:t>on</w:t>
      </w:r>
      <w:r w:rsidRPr="00A3753C">
        <w:t xml:space="preserve"> the X chromosome. The estimated relationships for both breeds (the GRM off-diagonal elements) had </w:t>
      </w:r>
      <w:r w:rsidR="00327479">
        <w:t xml:space="preserve">a </w:t>
      </w:r>
      <w:r w:rsidRPr="00A3753C">
        <w:t>variance</w:t>
      </w:r>
      <w:r w:rsidR="00A3753C">
        <w:t xml:space="preserve"> of</w:t>
      </w:r>
      <w:r w:rsidRPr="00A3753C">
        <w:t xml:space="preserve"> ~0.002. These relationships estimated from genotypes conform with the expectations of having measured the progeny of 55 Brahman sires and 56 Tropical Composite sires. We used these precomputed GRM (including</w:t>
      </w:r>
      <w:r w:rsidR="00327479">
        <w:t xml:space="preserve"> the</w:t>
      </w:r>
      <w:r w:rsidRPr="00A3753C">
        <w:t xml:space="preserve"> X variants) to fit the random polygenic effect in all our models. </w:t>
      </w:r>
    </w:p>
    <w:p w:rsidR="006A0002" w:rsidRPr="00A3753C" w:rsidRDefault="006A0002" w:rsidP="00475685">
      <w:pPr>
        <w:pStyle w:val="5275Body"/>
        <w:spacing w:before="0" w:after="0"/>
        <w:ind w:firstLine="0"/>
      </w:pPr>
      <w:r w:rsidRPr="00A3753C">
        <w:t xml:space="preserve">GWAS were carried </w:t>
      </w:r>
      <w:r w:rsidR="00327479">
        <w:t xml:space="preserve">out </w:t>
      </w:r>
      <w:r w:rsidRPr="00A3753C">
        <w:t xml:space="preserve">using an additive mixed model to compute single-trait-single-SNP associations. All 722,208 </w:t>
      </w:r>
      <w:r w:rsidR="00A3753C" w:rsidRPr="00A3753C">
        <w:t xml:space="preserve">available </w:t>
      </w:r>
      <w:r w:rsidRPr="00A3753C">
        <w:t>SNP</w:t>
      </w:r>
      <w:r w:rsidR="00A3753C">
        <w:t>s</w:t>
      </w:r>
      <w:r w:rsidRPr="00A3753C">
        <w:t xml:space="preserve"> were tested individually for each phenotype, in each breed. GWAS carried </w:t>
      </w:r>
      <w:r w:rsidR="00327479">
        <w:t xml:space="preserve">out </w:t>
      </w:r>
      <w:r w:rsidRPr="00A3753C">
        <w:t>within breed allowed the detection of breed</w:t>
      </w:r>
      <w:r w:rsidR="00DA2AF0">
        <w:t>-</w:t>
      </w:r>
      <w:r w:rsidRPr="00A3753C">
        <w:t>specific QTL, which were expected for these populations</w:t>
      </w:r>
      <w:r w:rsidR="009525E9">
        <w:t xml:space="preserve"> [4,</w:t>
      </w:r>
      <w:r w:rsidR="00B91E7F">
        <w:t xml:space="preserve"> </w:t>
      </w:r>
      <w:r w:rsidR="009525E9">
        <w:t xml:space="preserve">5] </w:t>
      </w:r>
      <w:r w:rsidRPr="00A3753C">
        <w:t>as shown in the results di</w:t>
      </w:r>
      <w:r w:rsidR="00327479">
        <w:t>s</w:t>
      </w:r>
      <w:r w:rsidRPr="00A3753C">
        <w:t xml:space="preserve">cussed above. </w:t>
      </w:r>
      <w:r w:rsidRPr="00A3753C">
        <w:rPr>
          <w:noProof w:val="0"/>
        </w:rPr>
        <w:t xml:space="preserve">The </w:t>
      </w:r>
      <w:proofErr w:type="spellStart"/>
      <w:r w:rsidRPr="00A3753C">
        <w:rPr>
          <w:noProof w:val="0"/>
        </w:rPr>
        <w:t>GWAS</w:t>
      </w:r>
      <w:proofErr w:type="spellEnd"/>
      <w:r w:rsidRPr="00A3753C">
        <w:rPr>
          <w:noProof w:val="0"/>
        </w:rPr>
        <w:t xml:space="preserve"> models used the </w:t>
      </w:r>
      <w:proofErr w:type="spellStart"/>
      <w:r w:rsidRPr="00A3753C">
        <w:rPr>
          <w:noProof w:val="0"/>
        </w:rPr>
        <w:t>precomputed</w:t>
      </w:r>
      <w:proofErr w:type="spellEnd"/>
      <w:r w:rsidRPr="00A3753C">
        <w:rPr>
          <w:noProof w:val="0"/>
        </w:rPr>
        <w:t xml:space="preserve"> </w:t>
      </w:r>
      <w:proofErr w:type="spellStart"/>
      <w:r w:rsidRPr="00A3753C">
        <w:rPr>
          <w:noProof w:val="0"/>
        </w:rPr>
        <w:t>GRM</w:t>
      </w:r>
      <w:proofErr w:type="spellEnd"/>
      <w:r w:rsidRPr="00A3753C">
        <w:rPr>
          <w:noProof w:val="0"/>
        </w:rPr>
        <w:t xml:space="preserve">, contemporary groups as fixed effects and age as a covariant. The effects of contemporary groups and age for the measured traits were examined in previous studies </w:t>
      </w:r>
      <w:r w:rsidR="00B91E7F">
        <w:rPr>
          <w:noProof w:val="0"/>
        </w:rPr>
        <w:t xml:space="preserve">[4, 5, 49, 50, </w:t>
      </w:r>
      <w:proofErr w:type="gramStart"/>
      <w:r w:rsidR="00B91E7F">
        <w:rPr>
          <w:noProof w:val="0"/>
        </w:rPr>
        <w:t>51</w:t>
      </w:r>
      <w:proofErr w:type="gramEnd"/>
      <w:r w:rsidR="00B91E7F">
        <w:rPr>
          <w:noProof w:val="0"/>
        </w:rPr>
        <w:t>]</w:t>
      </w:r>
      <w:r w:rsidRPr="00A3753C">
        <w:rPr>
          <w:noProof w:val="0"/>
        </w:rPr>
        <w:t xml:space="preserve">. Contemporary groups were defined as cohorts of bulls that were born in the same year and raised together in the same location. </w:t>
      </w:r>
      <w:proofErr w:type="spellStart"/>
      <w:r w:rsidRPr="00A3753C">
        <w:rPr>
          <w:noProof w:val="0"/>
        </w:rPr>
        <w:t>SNP</w:t>
      </w:r>
      <w:proofErr w:type="spellEnd"/>
      <w:r w:rsidRPr="00A3753C">
        <w:t xml:space="preserve"> additive effect</w:t>
      </w:r>
      <w:r w:rsidRPr="00A3753C">
        <w:rPr>
          <w:noProof w:val="0"/>
        </w:rPr>
        <w:t>s</w:t>
      </w:r>
      <w:r w:rsidRPr="00A3753C">
        <w:t xml:space="preserve"> for each trait were calculated by fitting these mixed models in the SVS </w:t>
      </w:r>
      <w:r w:rsidRPr="00A3753C">
        <w:lastRenderedPageBreak/>
        <w:t xml:space="preserve">software (release 8.3.0, Golden Helix). </w:t>
      </w:r>
      <w:r w:rsidRPr="00A3753C">
        <w:rPr>
          <w:noProof w:val="0"/>
        </w:rPr>
        <w:t xml:space="preserve">This software uses the model proposed by Kang et al. </w:t>
      </w:r>
      <w:r w:rsidR="00A15DE7">
        <w:rPr>
          <w:noProof w:val="0"/>
        </w:rPr>
        <w:t>[67]</w:t>
      </w:r>
      <w:r w:rsidRPr="00A3753C">
        <w:rPr>
          <w:noProof w:val="0"/>
        </w:rPr>
        <w:t>, which included a genomic best linear unbiased prediction (</w:t>
      </w:r>
      <w:proofErr w:type="spellStart"/>
      <w:r w:rsidRPr="00A3753C">
        <w:rPr>
          <w:noProof w:val="0"/>
        </w:rPr>
        <w:t>gBLUP</w:t>
      </w:r>
      <w:proofErr w:type="spellEnd"/>
      <w:r w:rsidRPr="00A3753C">
        <w:rPr>
          <w:noProof w:val="0"/>
        </w:rPr>
        <w:t xml:space="preserve">) and fits the </w:t>
      </w:r>
      <w:proofErr w:type="spellStart"/>
      <w:r w:rsidRPr="00A3753C">
        <w:rPr>
          <w:noProof w:val="0"/>
        </w:rPr>
        <w:t>GRM</w:t>
      </w:r>
      <w:proofErr w:type="spellEnd"/>
      <w:r w:rsidRPr="00A3753C">
        <w:rPr>
          <w:noProof w:val="0"/>
        </w:rPr>
        <w:t>, as follows:</w:t>
      </w:r>
    </w:p>
    <w:p w:rsidR="006C051E" w:rsidRDefault="00DA2AF0" w:rsidP="00475685">
      <w:pPr>
        <w:pStyle w:val="5275Body"/>
        <w:spacing w:before="0" w:after="0"/>
        <w:ind w:firstLine="0"/>
        <w:rPr>
          <w:noProof w:val="0"/>
        </w:rPr>
      </w:pPr>
      <m:oMath>
        <m:r>
          <m:rPr>
            <m:sty m:val="b"/>
          </m:rPr>
          <w:rPr>
            <w:rFonts w:ascii="Cambria Math" w:hAnsi="Cambria Math" w:cs="Times New Roman"/>
            <w:noProof w:val="0"/>
          </w:rPr>
          <m:t>y=X</m:t>
        </m:r>
        <m:r>
          <m:rPr>
            <m:sty m:val="p"/>
          </m:rPr>
          <w:rPr>
            <w:rFonts w:ascii="Cambria Math" w:hAnsi="Cambria Math" w:cs="Times New Roman"/>
            <w:noProof w:val="0"/>
          </w:rPr>
          <m:t>β</m:t>
        </m:r>
        <m:r>
          <m:rPr>
            <m:sty m:val="b"/>
          </m:rPr>
          <w:rPr>
            <w:rFonts w:ascii="Cambria Math" w:hAnsi="Cambria Math" w:cs="Times New Roman"/>
            <w:noProof w:val="0"/>
          </w:rPr>
          <m:t>+sa+u+ε</m:t>
        </m:r>
      </m:oMath>
      <w:r w:rsidR="006C051E">
        <w:rPr>
          <w:noProof w:val="0"/>
        </w:rPr>
        <w:t>,</w:t>
      </w:r>
    </w:p>
    <w:p w:rsidR="006A0002" w:rsidRPr="00A3753C" w:rsidRDefault="006C051E" w:rsidP="00475685">
      <w:pPr>
        <w:pStyle w:val="5275Body"/>
        <w:spacing w:before="0" w:after="0"/>
        <w:ind w:firstLine="0"/>
        <w:rPr>
          <w:noProof w:val="0"/>
        </w:rPr>
      </w:pPr>
      <w:proofErr w:type="gramStart"/>
      <w:r>
        <w:rPr>
          <w:noProof w:val="0"/>
        </w:rPr>
        <w:t>wh</w:t>
      </w:r>
      <w:r w:rsidR="006A0002" w:rsidRPr="00A3753C">
        <w:rPr>
          <w:noProof w:val="0"/>
        </w:rPr>
        <w:t>ere</w:t>
      </w:r>
      <w:proofErr w:type="gramEnd"/>
      <w:r w:rsidR="006A0002" w:rsidRPr="00A3753C">
        <w:rPr>
          <w:noProof w:val="0"/>
        </w:rPr>
        <w:t xml:space="preserve">, </w:t>
      </w:r>
      <m:oMath>
        <m:r>
          <m:rPr>
            <m:sty m:val="bi"/>
          </m:rPr>
          <w:rPr>
            <w:rFonts w:ascii="Cambria Math" w:hAnsi="Cambria Math"/>
            <w:noProof w:val="0"/>
          </w:rPr>
          <m:t>X</m:t>
        </m:r>
      </m:oMath>
      <w:r w:rsidR="006A0002" w:rsidRPr="00A3753C">
        <w:rPr>
          <w:noProof w:val="0"/>
        </w:rPr>
        <w:t xml:space="preserve"> is the incidence matrix of fixed effects in </w:t>
      </w:r>
      <m:oMath>
        <m:r>
          <m:rPr>
            <m:sty m:val="p"/>
          </m:rPr>
          <w:rPr>
            <w:rFonts w:ascii="Cambria Math" w:hAnsi="Cambria Math" w:cs="Times New Roman"/>
            <w:noProof w:val="0"/>
          </w:rPr>
          <m:t>β</m:t>
        </m:r>
      </m:oMath>
      <w:r w:rsidR="00DA2AF0" w:rsidRPr="00A3753C">
        <w:rPr>
          <w:noProof w:val="0"/>
        </w:rPr>
        <w:t xml:space="preserve"> </w:t>
      </w:r>
      <w:r w:rsidR="006A0002" w:rsidRPr="00A3753C">
        <w:rPr>
          <w:noProof w:val="0"/>
        </w:rPr>
        <w:t xml:space="preserve">(including cohorts). The bull age was fitted as a covariant (i.e. the age in days when the trait was measured). In addition, </w:t>
      </w:r>
      <m:oMath>
        <m:r>
          <m:rPr>
            <m:sty m:val="b"/>
          </m:rPr>
          <w:rPr>
            <w:rFonts w:ascii="Cambria Math" w:hAnsi="Cambria Math"/>
            <w:noProof w:val="0"/>
          </w:rPr>
          <m:t>s</m:t>
        </m:r>
      </m:oMath>
      <w:r w:rsidR="006A0002" w:rsidRPr="00A3753C">
        <w:rPr>
          <w:noProof w:val="0"/>
        </w:rPr>
        <w:t xml:space="preserve"> is the vector with the genotypes codified as 0, 1, or 2 according to the number of allele </w:t>
      </w:r>
      <w:r w:rsidR="006A0002" w:rsidRPr="00DA2AF0">
        <w:rPr>
          <w:i/>
          <w:noProof w:val="0"/>
        </w:rPr>
        <w:t>B</w:t>
      </w:r>
      <w:r w:rsidR="006A0002" w:rsidRPr="00A3753C">
        <w:rPr>
          <w:noProof w:val="0"/>
        </w:rPr>
        <w:t xml:space="preserve"> copies, </w:t>
      </w:r>
      <m:oMath>
        <m:r>
          <m:rPr>
            <m:sty m:val="b"/>
          </m:rPr>
          <w:rPr>
            <w:rFonts w:ascii="Cambria Math" w:hAnsi="Cambria Math"/>
            <w:noProof w:val="0"/>
          </w:rPr>
          <m:t>a</m:t>
        </m:r>
      </m:oMath>
      <w:r w:rsidR="006A0002" w:rsidRPr="00A3753C">
        <w:rPr>
          <w:noProof w:val="0"/>
        </w:rPr>
        <w:t xml:space="preserve"> is the vector containing the </w:t>
      </w:r>
      <w:proofErr w:type="spellStart"/>
      <w:r w:rsidR="006A0002" w:rsidRPr="00A3753C">
        <w:rPr>
          <w:noProof w:val="0"/>
        </w:rPr>
        <w:t>SNP</w:t>
      </w:r>
      <w:proofErr w:type="spellEnd"/>
      <w:r w:rsidR="006A0002" w:rsidRPr="00A3753C">
        <w:rPr>
          <w:noProof w:val="0"/>
        </w:rPr>
        <w:t xml:space="preserve"> effects, </w:t>
      </w:r>
      <m:oMath>
        <m:r>
          <m:rPr>
            <m:sty m:val="b"/>
          </m:rPr>
          <w:rPr>
            <w:rFonts w:ascii="Cambria Math" w:hAnsi="Cambria Math"/>
            <w:noProof w:val="0"/>
          </w:rPr>
          <m:t>u</m:t>
        </m:r>
      </m:oMath>
      <w:r w:rsidR="006A0002" w:rsidRPr="00A3753C">
        <w:rPr>
          <w:noProof w:val="0"/>
        </w:rPr>
        <w:t xml:space="preserve"> is the vector of polygenic random effects,</w:t>
      </w:r>
      <w:r w:rsidR="006A0002" w:rsidRPr="00A3753C">
        <w:rPr>
          <w:i/>
          <w:noProof w:val="0"/>
        </w:rPr>
        <w:t xml:space="preserve"> </w:t>
      </w:r>
      <w:r w:rsidR="006A0002" w:rsidRPr="00A3753C">
        <w:rPr>
          <w:noProof w:val="0"/>
        </w:rPr>
        <w:t xml:space="preserve">and </w:t>
      </w:r>
      <m:oMath>
        <m:r>
          <m:rPr>
            <m:sty m:val="b"/>
          </m:rPr>
          <w:rPr>
            <w:rFonts w:ascii="Cambria Math" w:hAnsi="Cambria Math" w:cs="Times New Roman"/>
            <w:noProof w:val="0"/>
          </w:rPr>
          <m:t>ε</m:t>
        </m:r>
      </m:oMath>
      <w:r w:rsidR="006A0002" w:rsidRPr="00A3753C">
        <w:rPr>
          <w:noProof w:val="0"/>
        </w:rPr>
        <w:t xml:space="preserve"> is the vector of residuals. Both </w:t>
      </w:r>
      <m:oMath>
        <m:r>
          <m:rPr>
            <m:sty m:val="b"/>
          </m:rPr>
          <w:rPr>
            <w:rFonts w:ascii="Cambria Math" w:hAnsi="Cambria Math"/>
            <w:noProof w:val="0"/>
          </w:rPr>
          <m:t>u</m:t>
        </m:r>
      </m:oMath>
      <w:r w:rsidR="006A0002" w:rsidRPr="00A3753C">
        <w:rPr>
          <w:noProof w:val="0"/>
        </w:rPr>
        <w:t xml:space="preserve"> and </w:t>
      </w:r>
      <m:oMath>
        <m:r>
          <m:rPr>
            <m:sty m:val="b"/>
          </m:rPr>
          <w:rPr>
            <w:rFonts w:ascii="Cambria Math" w:hAnsi="Cambria Math" w:cs="Times New Roman"/>
            <w:noProof w:val="0"/>
          </w:rPr>
          <m:t>ε</m:t>
        </m:r>
      </m:oMath>
      <w:r w:rsidR="006A0002" w:rsidRPr="00A3753C">
        <w:rPr>
          <w:noProof w:val="0"/>
        </w:rPr>
        <w:t xml:space="preserve"> follow normal distribution with (</w:t>
      </w:r>
      <m:oMath>
        <m:r>
          <m:rPr>
            <m:sty m:val="b"/>
          </m:rPr>
          <w:rPr>
            <w:rFonts w:ascii="Cambria Math" w:hAnsi="Cambria Math"/>
            <w:noProof w:val="0"/>
          </w:rPr>
          <m:t>u</m:t>
        </m:r>
        <m:r>
          <w:rPr>
            <w:rFonts w:ascii="Cambria Math" w:hAnsi="Cambria Math"/>
            <w:noProof w:val="0"/>
          </w:rPr>
          <m:t>~N(</m:t>
        </m:r>
        <m:r>
          <m:rPr>
            <m:sty m:val="bi"/>
          </m:rPr>
          <w:rPr>
            <w:rFonts w:ascii="Cambria Math" w:hAnsi="Cambria Math"/>
            <w:noProof w:val="0"/>
          </w:rPr>
          <m:t>0</m:t>
        </m:r>
        <m:r>
          <w:rPr>
            <w:rFonts w:ascii="Cambria Math" w:hAnsi="Cambria Math"/>
            <w:noProof w:val="0"/>
          </w:rPr>
          <m:t>,</m:t>
        </m:r>
        <m:r>
          <m:rPr>
            <m:sty m:val="b"/>
          </m:rPr>
          <w:rPr>
            <w:rFonts w:ascii="Cambria Math" w:hAnsi="Cambria Math"/>
            <w:noProof w:val="0"/>
          </w:rPr>
          <m:t xml:space="preserve"> G</m:t>
        </m:r>
        <m:sSubSup>
          <m:sSubSupPr>
            <m:ctrlPr>
              <w:rPr>
                <w:rFonts w:ascii="Cambria Math" w:hAnsi="Cambria Math"/>
                <w:i/>
                <w:noProof w:val="0"/>
              </w:rPr>
            </m:ctrlPr>
          </m:sSubSupPr>
          <m:e>
            <m:r>
              <w:rPr>
                <w:rFonts w:ascii="Cambria Math" w:hAnsi="Cambria Math" w:hint="eastAsia"/>
                <w:noProof w:val="0"/>
              </w:rPr>
              <m:t>σ</m:t>
            </m:r>
          </m:e>
          <m:sub>
            <m:r>
              <w:rPr>
                <w:rFonts w:ascii="Cambria Math" w:hAnsi="Cambria Math"/>
                <w:noProof w:val="0"/>
              </w:rPr>
              <m:t>a</m:t>
            </m:r>
          </m:sub>
          <m:sup>
            <m:r>
              <w:rPr>
                <w:rFonts w:ascii="Cambria Math" w:hAnsi="Cambria Math"/>
                <w:noProof w:val="0"/>
              </w:rPr>
              <m:t>2</m:t>
            </m:r>
          </m:sup>
        </m:sSubSup>
      </m:oMath>
      <w:r w:rsidR="006A0002" w:rsidRPr="00A3753C">
        <w:rPr>
          <w:i/>
          <w:noProof w:val="0"/>
        </w:rPr>
        <w:t>)</w:t>
      </w:r>
      <w:r w:rsidR="006A0002" w:rsidRPr="00A3753C">
        <w:rPr>
          <w:noProof w:val="0"/>
        </w:rPr>
        <w:t>) and (</w:t>
      </w:r>
      <m:oMath>
        <m:r>
          <m:rPr>
            <m:sty m:val="b"/>
          </m:rPr>
          <w:rPr>
            <w:rFonts w:ascii="Cambria Math" w:hAnsi="Cambria Math" w:hint="eastAsia"/>
            <w:noProof w:val="0"/>
          </w:rPr>
          <m:t>ε</m:t>
        </m:r>
        <m:r>
          <w:rPr>
            <w:rFonts w:ascii="Cambria Math" w:hAnsi="Cambria Math"/>
            <w:noProof w:val="0"/>
          </w:rPr>
          <m:t>~N(</m:t>
        </m:r>
        <m:r>
          <m:rPr>
            <m:sty m:val="b"/>
          </m:rPr>
          <w:rPr>
            <w:rFonts w:ascii="Cambria Math" w:hAnsi="Cambria Math"/>
            <w:noProof w:val="0"/>
          </w:rPr>
          <m:t>0</m:t>
        </m:r>
        <m:r>
          <w:rPr>
            <w:rFonts w:ascii="Cambria Math" w:hAnsi="Cambria Math"/>
            <w:noProof w:val="0"/>
          </w:rPr>
          <m:t>,</m:t>
        </m:r>
        <m:r>
          <m:rPr>
            <m:sty m:val="b"/>
          </m:rPr>
          <w:rPr>
            <w:rFonts w:ascii="Cambria Math" w:hAnsi="Cambria Math"/>
            <w:noProof w:val="0"/>
          </w:rPr>
          <m:t xml:space="preserve"> I</m:t>
        </m:r>
        <m:sSubSup>
          <m:sSubSupPr>
            <m:ctrlPr>
              <w:rPr>
                <w:rFonts w:ascii="Cambria Math" w:hAnsi="Cambria Math"/>
                <w:i/>
                <w:noProof w:val="0"/>
              </w:rPr>
            </m:ctrlPr>
          </m:sSubSupPr>
          <m:e>
            <m:r>
              <w:rPr>
                <w:rFonts w:ascii="Cambria Math" w:hAnsi="Cambria Math" w:hint="eastAsia"/>
                <w:noProof w:val="0"/>
              </w:rPr>
              <m:t>σ</m:t>
            </m:r>
          </m:e>
          <m:sub>
            <m:r>
              <w:rPr>
                <w:rFonts w:ascii="Cambria Math" w:hAnsi="Cambria Math"/>
                <w:noProof w:val="0"/>
              </w:rPr>
              <m:t>e</m:t>
            </m:r>
          </m:sub>
          <m:sup>
            <m:r>
              <w:rPr>
                <w:rFonts w:ascii="Cambria Math" w:hAnsi="Cambria Math"/>
                <w:noProof w:val="0"/>
              </w:rPr>
              <m:t>2</m:t>
            </m:r>
          </m:sup>
        </m:sSubSup>
      </m:oMath>
      <w:r w:rsidR="006A0002" w:rsidRPr="00A3753C">
        <w:rPr>
          <w:i/>
          <w:noProof w:val="0"/>
        </w:rPr>
        <w:t>)</w:t>
      </w:r>
      <w:r w:rsidR="006A0002" w:rsidRPr="00A3753C">
        <w:rPr>
          <w:noProof w:val="0"/>
        </w:rPr>
        <w:t xml:space="preserve">), respectively, where </w:t>
      </w:r>
      <m:oMath>
        <m:r>
          <m:rPr>
            <m:sty m:val="b"/>
          </m:rPr>
          <w:rPr>
            <w:rFonts w:ascii="Cambria Math" w:hAnsi="Cambria Math"/>
            <w:noProof w:val="0"/>
          </w:rPr>
          <m:t>G</m:t>
        </m:r>
      </m:oMath>
      <w:r w:rsidR="006A0002" w:rsidRPr="00A3753C">
        <w:rPr>
          <w:noProof w:val="0"/>
        </w:rPr>
        <w:t xml:space="preserve"> is the GRM for all individual </w:t>
      </w:r>
      <m:oMath>
        <m:sSubSup>
          <m:sSubSupPr>
            <m:ctrlPr>
              <w:rPr>
                <w:rFonts w:ascii="Cambria Math" w:hAnsi="Cambria Math"/>
                <w:i/>
                <w:noProof w:val="0"/>
              </w:rPr>
            </m:ctrlPr>
          </m:sSubSupPr>
          <m:e>
            <m:r>
              <w:rPr>
                <w:rFonts w:ascii="Cambria Math" w:hAnsi="Cambria Math" w:hint="eastAsia"/>
                <w:noProof w:val="0"/>
              </w:rPr>
              <m:t>σ</m:t>
            </m:r>
          </m:e>
          <m:sub>
            <m:r>
              <w:rPr>
                <w:rFonts w:ascii="Cambria Math" w:hAnsi="Cambria Math"/>
                <w:noProof w:val="0"/>
              </w:rPr>
              <m:t>a</m:t>
            </m:r>
          </m:sub>
          <m:sup>
            <m:r>
              <w:rPr>
                <w:rFonts w:ascii="Cambria Math" w:hAnsi="Cambria Math"/>
                <w:noProof w:val="0"/>
              </w:rPr>
              <m:t>2</m:t>
            </m:r>
          </m:sup>
        </m:sSubSup>
      </m:oMath>
      <w:r w:rsidR="00DA2AF0">
        <w:rPr>
          <w:noProof w:val="0"/>
        </w:rPr>
        <w:t xml:space="preserve"> </w:t>
      </w:r>
      <w:r w:rsidR="006A0002" w:rsidRPr="00A3753C">
        <w:rPr>
          <w:noProof w:val="0"/>
        </w:rPr>
        <w:t xml:space="preserve">is the additive genetic variance, </w:t>
      </w:r>
      <m:oMath>
        <m:r>
          <m:rPr>
            <m:sty m:val="b"/>
          </m:rPr>
          <w:rPr>
            <w:rFonts w:ascii="Cambria Math" w:hAnsi="Cambria Math"/>
            <w:noProof w:val="0"/>
          </w:rPr>
          <m:t>I</m:t>
        </m:r>
      </m:oMath>
      <w:r w:rsidR="00DA2AF0" w:rsidRPr="00DA2AF0">
        <w:rPr>
          <w:noProof w:val="0"/>
        </w:rPr>
        <w:t xml:space="preserve"> </w:t>
      </w:r>
      <w:r w:rsidR="006A0002" w:rsidRPr="00A3753C">
        <w:rPr>
          <w:noProof w:val="0"/>
        </w:rPr>
        <w:t xml:space="preserve">is an identity matrix, and </w:t>
      </w:r>
      <m:oMath>
        <m:sSubSup>
          <m:sSubSupPr>
            <m:ctrlPr>
              <w:rPr>
                <w:rFonts w:ascii="Cambria Math" w:hAnsi="Cambria Math"/>
                <w:i/>
                <w:noProof w:val="0"/>
              </w:rPr>
            </m:ctrlPr>
          </m:sSubSupPr>
          <m:e>
            <m:r>
              <w:rPr>
                <w:rFonts w:ascii="Cambria Math" w:hAnsi="Cambria Math" w:hint="eastAsia"/>
                <w:noProof w:val="0"/>
              </w:rPr>
              <m:t>σ</m:t>
            </m:r>
          </m:e>
          <m:sub>
            <m:r>
              <w:rPr>
                <w:rFonts w:ascii="Cambria Math" w:hAnsi="Cambria Math"/>
                <w:noProof w:val="0"/>
              </w:rPr>
              <m:t>e</m:t>
            </m:r>
          </m:sub>
          <m:sup>
            <m:r>
              <w:rPr>
                <w:rFonts w:ascii="Cambria Math" w:hAnsi="Cambria Math"/>
                <w:noProof w:val="0"/>
              </w:rPr>
              <m:t>2</m:t>
            </m:r>
          </m:sup>
        </m:sSubSup>
      </m:oMath>
      <w:r w:rsidR="006A0002" w:rsidRPr="00DA2AF0">
        <w:rPr>
          <w:noProof w:val="0"/>
        </w:rPr>
        <w:t xml:space="preserve"> </w:t>
      </w:r>
      <w:r w:rsidR="006A0002" w:rsidRPr="00A3753C">
        <w:rPr>
          <w:noProof w:val="0"/>
        </w:rPr>
        <w:t xml:space="preserve">is the residual variance. These analyses </w:t>
      </w:r>
      <w:r>
        <w:rPr>
          <w:noProof w:val="0"/>
        </w:rPr>
        <w:t xml:space="preserve">were </w:t>
      </w:r>
      <w:r w:rsidR="006A0002" w:rsidRPr="00A3753C">
        <w:rPr>
          <w:noProof w:val="0"/>
        </w:rPr>
        <w:t xml:space="preserve">performed </w:t>
      </w:r>
      <w:r>
        <w:rPr>
          <w:noProof w:val="0"/>
        </w:rPr>
        <w:t>with the</w:t>
      </w:r>
      <w:r w:rsidR="006A0002" w:rsidRPr="00A3753C">
        <w:rPr>
          <w:noProof w:val="0"/>
        </w:rPr>
        <w:t xml:space="preserve"> Golden Helix software, </w:t>
      </w:r>
      <w:r>
        <w:rPr>
          <w:noProof w:val="0"/>
        </w:rPr>
        <w:t xml:space="preserve">which </w:t>
      </w:r>
      <w:r w:rsidR="006A0002" w:rsidRPr="00A3753C">
        <w:rPr>
          <w:noProof w:val="0"/>
        </w:rPr>
        <w:t xml:space="preserve">allowed </w:t>
      </w:r>
      <w:proofErr w:type="gramStart"/>
      <w:r w:rsidR="006A0002" w:rsidRPr="00A3753C">
        <w:rPr>
          <w:noProof w:val="0"/>
        </w:rPr>
        <w:t>to fit</w:t>
      </w:r>
      <w:proofErr w:type="gramEnd"/>
      <w:r w:rsidR="006A0002" w:rsidRPr="00A3753C">
        <w:rPr>
          <w:noProof w:val="0"/>
        </w:rPr>
        <w:t xml:space="preserve"> both additive and non-additive models. For the additive model, the software recodes the major homozygous genotype to 0, the heterozygous to 1, and the minor homozygous to 2. For the dominant model, the genotypes are recoded as follow</w:t>
      </w:r>
      <w:r>
        <w:rPr>
          <w:noProof w:val="0"/>
        </w:rPr>
        <w:t>s</w:t>
      </w:r>
      <w:r w:rsidR="006A0002" w:rsidRPr="00A3753C">
        <w:rPr>
          <w:noProof w:val="0"/>
        </w:rPr>
        <w:t xml:space="preserve">: major homozygous genotype to 0 and both heterozygous and minor homozygous to 1. For the recessive model, the genotypes are recoded as: major homozygous and heterozygous recoded to 0 and minor homozygous recoded to 1. </w:t>
      </w:r>
      <w:r w:rsidR="00DA2AF0">
        <w:rPr>
          <w:noProof w:val="0"/>
        </w:rPr>
        <w:t>F</w:t>
      </w:r>
      <w:r w:rsidR="006A0002" w:rsidRPr="00A3753C">
        <w:rPr>
          <w:noProof w:val="0"/>
        </w:rPr>
        <w:t>irst</w:t>
      </w:r>
      <w:r w:rsidR="00DA2AF0">
        <w:rPr>
          <w:noProof w:val="0"/>
        </w:rPr>
        <w:t>, we</w:t>
      </w:r>
      <w:r w:rsidR="006A0002" w:rsidRPr="00A3753C">
        <w:rPr>
          <w:noProof w:val="0"/>
        </w:rPr>
        <w:t xml:space="preserve"> fit the additive model for all </w:t>
      </w:r>
      <w:proofErr w:type="spellStart"/>
      <w:r w:rsidR="006A0002" w:rsidRPr="00A3753C">
        <w:rPr>
          <w:noProof w:val="0"/>
        </w:rPr>
        <w:t>GWAS</w:t>
      </w:r>
      <w:proofErr w:type="spellEnd"/>
      <w:r w:rsidR="006A0002" w:rsidRPr="00A3753C">
        <w:rPr>
          <w:noProof w:val="0"/>
        </w:rPr>
        <w:t xml:space="preserve">. Next, when autosomal </w:t>
      </w:r>
      <w:proofErr w:type="spellStart"/>
      <w:r w:rsidR="006A0002" w:rsidRPr="00A3753C">
        <w:rPr>
          <w:noProof w:val="0"/>
        </w:rPr>
        <w:t>QTL</w:t>
      </w:r>
      <w:proofErr w:type="spellEnd"/>
      <w:r w:rsidR="006A0002" w:rsidRPr="00A3753C">
        <w:rPr>
          <w:noProof w:val="0"/>
        </w:rPr>
        <w:t xml:space="preserve"> were identified, both dominant and recessive models were tested. Non-additive models were used to perform </w:t>
      </w:r>
      <w:proofErr w:type="spellStart"/>
      <w:r w:rsidR="006A0002" w:rsidRPr="00A3753C">
        <w:rPr>
          <w:noProof w:val="0"/>
        </w:rPr>
        <w:t>GWAS</w:t>
      </w:r>
      <w:proofErr w:type="spellEnd"/>
      <w:r w:rsidR="006A0002" w:rsidRPr="00A3753C">
        <w:rPr>
          <w:noProof w:val="0"/>
        </w:rPr>
        <w:t xml:space="preserve"> for </w:t>
      </w:r>
      <w:r w:rsidR="00DA2AF0">
        <w:rPr>
          <w:noProof w:val="0"/>
        </w:rPr>
        <w:t>i</w:t>
      </w:r>
      <w:r w:rsidR="00DA2AF0" w:rsidRPr="00A3753C">
        <w:rPr>
          <w:noProof w:val="0"/>
        </w:rPr>
        <w:t xml:space="preserve">nhibin </w:t>
      </w:r>
      <w:r w:rsidR="00DA2AF0">
        <w:rPr>
          <w:noProof w:val="0"/>
        </w:rPr>
        <w:t xml:space="preserve">level </w:t>
      </w:r>
      <w:r w:rsidR="006A0002" w:rsidRPr="00A3753C">
        <w:rPr>
          <w:noProof w:val="0"/>
        </w:rPr>
        <w:t xml:space="preserve">and </w:t>
      </w:r>
      <w:proofErr w:type="spellStart"/>
      <w:r w:rsidR="006A0002" w:rsidRPr="00A3753C">
        <w:rPr>
          <w:noProof w:val="0"/>
        </w:rPr>
        <w:t>DFI3</w:t>
      </w:r>
      <w:proofErr w:type="spellEnd"/>
      <w:r w:rsidR="006A0002" w:rsidRPr="00A3753C">
        <w:rPr>
          <w:noProof w:val="0"/>
        </w:rPr>
        <w:t xml:space="preserve"> in Brahman, </w:t>
      </w:r>
      <w:r>
        <w:rPr>
          <w:noProof w:val="0"/>
        </w:rPr>
        <w:t>since</w:t>
      </w:r>
      <w:r w:rsidRPr="00A3753C">
        <w:rPr>
          <w:noProof w:val="0"/>
        </w:rPr>
        <w:t xml:space="preserve"> </w:t>
      </w:r>
      <w:proofErr w:type="spellStart"/>
      <w:r w:rsidR="006A0002" w:rsidRPr="00A3753C">
        <w:rPr>
          <w:noProof w:val="0"/>
        </w:rPr>
        <w:t>QTL</w:t>
      </w:r>
      <w:proofErr w:type="spellEnd"/>
      <w:r w:rsidR="006A0002" w:rsidRPr="00A3753C">
        <w:rPr>
          <w:noProof w:val="0"/>
        </w:rPr>
        <w:t xml:space="preserve"> were identified </w:t>
      </w:r>
      <w:r w:rsidR="00DA2AF0">
        <w:rPr>
          <w:noProof w:val="0"/>
        </w:rPr>
        <w:t>on</w:t>
      </w:r>
      <w:r w:rsidR="00DA2AF0" w:rsidRPr="00A3753C">
        <w:rPr>
          <w:noProof w:val="0"/>
        </w:rPr>
        <w:t xml:space="preserve"> </w:t>
      </w:r>
      <w:r w:rsidR="006A0002" w:rsidRPr="00A3753C">
        <w:rPr>
          <w:noProof w:val="0"/>
        </w:rPr>
        <w:t xml:space="preserve">chromosomes 2 and 11 for these phenotypes. In Tropical Composites, non-additive models tested </w:t>
      </w:r>
      <w:proofErr w:type="spellStart"/>
      <w:r w:rsidR="006A0002" w:rsidRPr="00A3753C">
        <w:rPr>
          <w:noProof w:val="0"/>
        </w:rPr>
        <w:t>SNP</w:t>
      </w:r>
      <w:proofErr w:type="spellEnd"/>
      <w:r w:rsidR="006A0002" w:rsidRPr="00A3753C">
        <w:rPr>
          <w:noProof w:val="0"/>
        </w:rPr>
        <w:t xml:space="preserve"> associations for </w:t>
      </w:r>
      <w:proofErr w:type="spellStart"/>
      <w:r w:rsidR="006A0002" w:rsidRPr="00A3753C">
        <w:rPr>
          <w:noProof w:val="0"/>
        </w:rPr>
        <w:t>SC24</w:t>
      </w:r>
      <w:proofErr w:type="spellEnd"/>
      <w:r w:rsidR="006A0002" w:rsidRPr="00A3753C">
        <w:rPr>
          <w:noProof w:val="0"/>
        </w:rPr>
        <w:t xml:space="preserve"> </w:t>
      </w:r>
      <w:r w:rsidR="00DA2AF0">
        <w:rPr>
          <w:noProof w:val="0"/>
        </w:rPr>
        <w:t>o</w:t>
      </w:r>
      <w:r w:rsidR="00DA2AF0" w:rsidRPr="00A3753C">
        <w:rPr>
          <w:noProof w:val="0"/>
        </w:rPr>
        <w:t xml:space="preserve">n </w:t>
      </w:r>
      <w:r w:rsidR="006A0002" w:rsidRPr="00A3753C">
        <w:rPr>
          <w:noProof w:val="0"/>
        </w:rPr>
        <w:t xml:space="preserve">chromosome 5. In all models, we used the same </w:t>
      </w:r>
      <w:proofErr w:type="spellStart"/>
      <w:r w:rsidR="006A0002" w:rsidRPr="00A3753C">
        <w:rPr>
          <w:noProof w:val="0"/>
        </w:rPr>
        <w:t>precomputed</w:t>
      </w:r>
      <w:proofErr w:type="spellEnd"/>
      <w:r w:rsidR="006A0002" w:rsidRPr="00A3753C">
        <w:rPr>
          <w:noProof w:val="0"/>
        </w:rPr>
        <w:t xml:space="preserve"> </w:t>
      </w:r>
      <w:proofErr w:type="spellStart"/>
      <w:r w:rsidR="006A0002" w:rsidRPr="00A3753C">
        <w:rPr>
          <w:noProof w:val="0"/>
        </w:rPr>
        <w:t>GRM</w:t>
      </w:r>
      <w:proofErr w:type="spellEnd"/>
      <w:r w:rsidR="006A0002" w:rsidRPr="00A3753C">
        <w:rPr>
          <w:noProof w:val="0"/>
        </w:rPr>
        <w:t>.</w:t>
      </w:r>
    </w:p>
    <w:p w:rsidR="006A0002" w:rsidRPr="00A3753C" w:rsidRDefault="006A0002" w:rsidP="00475685">
      <w:pPr>
        <w:pStyle w:val="5275Body"/>
        <w:spacing w:before="0" w:after="0"/>
        <w:ind w:firstLine="0"/>
      </w:pPr>
      <w:r w:rsidRPr="00A3753C">
        <w:t xml:space="preserve">The precomputed GRM was also used to estimate genetic correlations and heritability for </w:t>
      </w:r>
      <w:r w:rsidR="006C051E">
        <w:t xml:space="preserve">the </w:t>
      </w:r>
      <w:r w:rsidRPr="00A3753C">
        <w:t xml:space="preserve">studied phenotypes, within breed. Genetic correlations were estimated by fitting bivariate genomic mixed models using </w:t>
      </w:r>
      <w:r w:rsidR="00DA2AF0">
        <w:t xml:space="preserve">the </w:t>
      </w:r>
      <w:r w:rsidRPr="00A3753C">
        <w:t>Qxpak5 software</w:t>
      </w:r>
      <w:r w:rsidR="00E0341C">
        <w:t xml:space="preserve"> [52]</w:t>
      </w:r>
      <w:r w:rsidRPr="00A3753C">
        <w:t xml:space="preserve">. Fixed effects and covariants were the same as mentioned above and the random polygenic effect was estimated from the precomputed GRM. The standard errors for heritability were </w:t>
      </w:r>
      <w:r w:rsidR="00E11F35" w:rsidRPr="00A3753C">
        <w:t>estimated twice: first</w:t>
      </w:r>
      <w:r w:rsidR="006C051E">
        <w:t>,</w:t>
      </w:r>
      <w:r w:rsidR="00E11F35" w:rsidRPr="00A3753C">
        <w:t xml:space="preserve"> with the Golden Helix software simultaneously with the estimates for heritability (same model)</w:t>
      </w:r>
      <w:r w:rsidR="006C051E">
        <w:t>,</w:t>
      </w:r>
      <w:r w:rsidR="00E11F35" w:rsidRPr="00A3753C">
        <w:t xml:space="preserve"> and second</w:t>
      </w:r>
      <w:r w:rsidR="006C051E">
        <w:t>,</w:t>
      </w:r>
      <w:r w:rsidR="00E11F35" w:rsidRPr="00A3753C">
        <w:t xml:space="preserve"> with </w:t>
      </w:r>
      <w:r w:rsidRPr="00A3753C">
        <w:t>the power calculations described above, derived with Visscher’s method</w:t>
      </w:r>
      <w:r w:rsidR="00E30EB8">
        <w:t xml:space="preserve"> [37].</w:t>
      </w:r>
    </w:p>
    <w:p w:rsidR="006A0002" w:rsidRPr="00A3753C" w:rsidRDefault="006A0002" w:rsidP="00475685">
      <w:pPr>
        <w:pStyle w:val="5275Body"/>
        <w:spacing w:before="0" w:after="0"/>
        <w:ind w:firstLine="0"/>
        <w:rPr>
          <w:noProof w:val="0"/>
        </w:rPr>
      </w:pPr>
      <w:r w:rsidRPr="00A3753C">
        <w:rPr>
          <w:noProof w:val="0"/>
        </w:rPr>
        <w:t xml:space="preserve">To report on significant </w:t>
      </w:r>
      <w:proofErr w:type="spellStart"/>
      <w:r w:rsidRPr="00A3753C">
        <w:rPr>
          <w:noProof w:val="0"/>
        </w:rPr>
        <w:t>SNP</w:t>
      </w:r>
      <w:r w:rsidR="00DA2AF0">
        <w:rPr>
          <w:noProof w:val="0"/>
        </w:rPr>
        <w:t>s</w:t>
      </w:r>
      <w:proofErr w:type="spellEnd"/>
      <w:r w:rsidRPr="00A3753C">
        <w:rPr>
          <w:noProof w:val="0"/>
        </w:rPr>
        <w:t xml:space="preserve">, </w:t>
      </w:r>
      <w:proofErr w:type="spellStart"/>
      <w:r w:rsidRPr="00A3753C">
        <w:rPr>
          <w:noProof w:val="0"/>
        </w:rPr>
        <w:t>MAF</w:t>
      </w:r>
      <w:proofErr w:type="spellEnd"/>
      <w:r w:rsidRPr="00A3753C">
        <w:rPr>
          <w:noProof w:val="0"/>
        </w:rPr>
        <w:t xml:space="preserve"> was considered and the results for </w:t>
      </w:r>
      <w:proofErr w:type="spellStart"/>
      <w:r w:rsidRPr="00A3753C">
        <w:rPr>
          <w:noProof w:val="0"/>
        </w:rPr>
        <w:t>SNPs</w:t>
      </w:r>
      <w:proofErr w:type="spellEnd"/>
      <w:r w:rsidRPr="00A3753C">
        <w:rPr>
          <w:noProof w:val="0"/>
        </w:rPr>
        <w:t xml:space="preserve"> with </w:t>
      </w:r>
      <w:proofErr w:type="spellStart"/>
      <w:r w:rsidRPr="00A3753C">
        <w:rPr>
          <w:noProof w:val="0"/>
        </w:rPr>
        <w:t>MAF</w:t>
      </w:r>
      <w:proofErr w:type="spellEnd"/>
      <w:r w:rsidRPr="00A3753C">
        <w:rPr>
          <w:noProof w:val="0"/>
        </w:rPr>
        <w:t xml:space="preserve"> lower than 0.05 (within breed) were not deemed significant regardless of the estimated </w:t>
      </w:r>
      <w:r w:rsidRPr="00A3753C">
        <w:rPr>
          <w:i/>
          <w:noProof w:val="0"/>
        </w:rPr>
        <w:t>P</w:t>
      </w:r>
      <w:r w:rsidRPr="00A3753C">
        <w:rPr>
          <w:noProof w:val="0"/>
        </w:rPr>
        <w:t xml:space="preserve">-values. The significant </w:t>
      </w:r>
      <w:proofErr w:type="spellStart"/>
      <w:r w:rsidRPr="00A3753C">
        <w:rPr>
          <w:noProof w:val="0"/>
        </w:rPr>
        <w:t>SNP</w:t>
      </w:r>
      <w:proofErr w:type="spellEnd"/>
      <w:r w:rsidRPr="00A3753C">
        <w:rPr>
          <w:noProof w:val="0"/>
        </w:rPr>
        <w:t xml:space="preserve"> reported for each trait followed the thresholds</w:t>
      </w:r>
      <w:r w:rsidR="00DA2AF0">
        <w:rPr>
          <w:noProof w:val="0"/>
        </w:rPr>
        <w:t xml:space="preserve"> that</w:t>
      </w:r>
      <w:r w:rsidRPr="00A3753C">
        <w:rPr>
          <w:noProof w:val="0"/>
        </w:rPr>
        <w:t xml:space="preserve"> we </w:t>
      </w:r>
      <w:r w:rsidRPr="00A3753C">
        <w:rPr>
          <w:noProof w:val="0"/>
        </w:rPr>
        <w:lastRenderedPageBreak/>
        <w:t xml:space="preserve">established: a </w:t>
      </w:r>
      <w:r w:rsidRPr="00A3753C">
        <w:rPr>
          <w:i/>
          <w:noProof w:val="0"/>
        </w:rPr>
        <w:t>P</w:t>
      </w:r>
      <w:r w:rsidRPr="00A3753C">
        <w:rPr>
          <w:noProof w:val="0"/>
        </w:rPr>
        <w:t> &lt; 10</w:t>
      </w:r>
      <w:r w:rsidRPr="00A3753C">
        <w:rPr>
          <w:noProof w:val="0"/>
          <w:vertAlign w:val="superscript"/>
        </w:rPr>
        <w:t>-8</w:t>
      </w:r>
      <w:r w:rsidRPr="00A3753C">
        <w:rPr>
          <w:noProof w:val="0"/>
        </w:rPr>
        <w:t xml:space="preserve"> and a </w:t>
      </w:r>
      <w:proofErr w:type="spellStart"/>
      <w:r w:rsidRPr="00A3753C">
        <w:rPr>
          <w:noProof w:val="0"/>
        </w:rPr>
        <w:t>MAF</w:t>
      </w:r>
      <w:proofErr w:type="spellEnd"/>
      <w:r w:rsidRPr="00A3753C">
        <w:rPr>
          <w:noProof w:val="0"/>
        </w:rPr>
        <w:t xml:space="preserve"> higher than 0.05, which is a conservative </w:t>
      </w:r>
      <w:proofErr w:type="spellStart"/>
      <w:r w:rsidRPr="00A3753C">
        <w:rPr>
          <w:noProof w:val="0"/>
        </w:rPr>
        <w:t>Bonferroni</w:t>
      </w:r>
      <w:proofErr w:type="spellEnd"/>
      <w:r w:rsidRPr="00A3753C">
        <w:rPr>
          <w:noProof w:val="0"/>
        </w:rPr>
        <w:t xml:space="preserve"> correction, because it considered all </w:t>
      </w:r>
      <w:proofErr w:type="spellStart"/>
      <w:r w:rsidRPr="00A3753C">
        <w:rPr>
          <w:noProof w:val="0"/>
        </w:rPr>
        <w:t>SNP</w:t>
      </w:r>
      <w:r w:rsidR="00DA2AF0">
        <w:rPr>
          <w:noProof w:val="0"/>
        </w:rPr>
        <w:t>s</w:t>
      </w:r>
      <w:proofErr w:type="spellEnd"/>
      <w:r w:rsidRPr="00A3753C">
        <w:rPr>
          <w:noProof w:val="0"/>
        </w:rPr>
        <w:t xml:space="preserve"> as independent tests (</w:t>
      </w:r>
      <w:r w:rsidRPr="00A3753C">
        <w:rPr>
          <w:i/>
          <w:noProof w:val="0"/>
        </w:rPr>
        <w:t>P</w:t>
      </w:r>
      <w:r w:rsidRPr="00A3753C">
        <w:rPr>
          <w:noProof w:val="0"/>
        </w:rPr>
        <w:t> = 7 x 10</w:t>
      </w:r>
      <w:r w:rsidRPr="00A3753C">
        <w:rPr>
          <w:noProof w:val="0"/>
          <w:vertAlign w:val="superscript"/>
        </w:rPr>
        <w:t>-8</w:t>
      </w:r>
      <w:r w:rsidRPr="00A3753C">
        <w:rPr>
          <w:noProof w:val="0"/>
        </w:rPr>
        <w:t xml:space="preserve"> equivalent to </w:t>
      </w:r>
      <w:r w:rsidRPr="00A3753C">
        <w:rPr>
          <w:i/>
          <w:noProof w:val="0"/>
        </w:rPr>
        <w:t>P</w:t>
      </w:r>
      <w:r w:rsidRPr="00A3753C">
        <w:rPr>
          <w:noProof w:val="0"/>
        </w:rPr>
        <w:t> = 0.05 when considering 722,208 tests).</w:t>
      </w:r>
    </w:p>
    <w:p w:rsidR="006A0002" w:rsidRPr="00A3753C" w:rsidRDefault="006A0002" w:rsidP="00475685">
      <w:pPr>
        <w:pStyle w:val="5275Body"/>
        <w:spacing w:before="0" w:after="0"/>
        <w:ind w:firstLine="0"/>
        <w:rPr>
          <w:noProof w:val="0"/>
        </w:rPr>
      </w:pPr>
    </w:p>
    <w:p w:rsidR="006A0002" w:rsidRPr="00A3753C" w:rsidRDefault="00B25D8B" w:rsidP="00475685">
      <w:pPr>
        <w:pStyle w:val="CEHeading1"/>
        <w:spacing w:before="0" w:after="0"/>
        <w:rPr>
          <w:lang w:val="en-US"/>
        </w:rPr>
      </w:pPr>
      <w:r>
        <w:rPr>
          <w:lang w:val="en-US"/>
        </w:rPr>
        <w:t>Additional</w:t>
      </w:r>
      <w:r w:rsidR="006A0002" w:rsidRPr="00A3753C">
        <w:rPr>
          <w:lang w:val="en-US"/>
        </w:rPr>
        <w:t xml:space="preserve"> Results</w:t>
      </w:r>
    </w:p>
    <w:p w:rsidR="006A0002" w:rsidRPr="00A3753C" w:rsidRDefault="006A0002" w:rsidP="00475685">
      <w:pPr>
        <w:spacing w:after="0" w:line="360" w:lineRule="auto"/>
        <w:jc w:val="both"/>
        <w:rPr>
          <w:rFonts w:ascii="Times New Roman" w:eastAsiaTheme="minorEastAsia" w:hAnsi="Times New Roman"/>
          <w:b/>
          <w:sz w:val="24"/>
          <w:szCs w:val="24"/>
          <w:lang w:val="en-US"/>
        </w:rPr>
      </w:pPr>
    </w:p>
    <w:p w:rsidR="006A0002" w:rsidRPr="00A3753C" w:rsidRDefault="006A0002" w:rsidP="00475685">
      <w:pPr>
        <w:spacing w:after="0" w:line="360" w:lineRule="auto"/>
        <w:jc w:val="both"/>
        <w:rPr>
          <w:rFonts w:ascii="Times New Roman" w:eastAsiaTheme="minorEastAsia" w:hAnsi="Times New Roman"/>
          <w:b/>
          <w:i/>
          <w:sz w:val="24"/>
          <w:szCs w:val="24"/>
          <w:lang w:val="en-US"/>
        </w:rPr>
      </w:pPr>
      <w:r w:rsidRPr="00A3753C">
        <w:rPr>
          <w:rFonts w:ascii="Times New Roman" w:eastAsiaTheme="minorEastAsia" w:hAnsi="Times New Roman"/>
          <w:b/>
          <w:i/>
          <w:sz w:val="24"/>
          <w:szCs w:val="24"/>
          <w:lang w:val="en-US"/>
        </w:rPr>
        <w:t>Computing the Genomic Relationship Matrix</w:t>
      </w:r>
    </w:p>
    <w:p w:rsidR="006A0002" w:rsidRPr="00A3753C" w:rsidRDefault="006C051E" w:rsidP="00475685">
      <w:pPr>
        <w:spacing w:after="0" w:line="360" w:lineRule="auto"/>
        <w:jc w:val="both"/>
        <w:rPr>
          <w:rFonts w:ascii="Times New Roman" w:eastAsiaTheme="minorEastAsia" w:hAnsi="Times New Roman"/>
          <w:noProof/>
          <w:sz w:val="24"/>
          <w:lang w:val="en-US"/>
        </w:rPr>
      </w:pPr>
      <w:r>
        <w:rPr>
          <w:rFonts w:ascii="Times New Roman" w:eastAsiaTheme="minorEastAsia" w:hAnsi="Times New Roman"/>
          <w:noProof/>
          <w:sz w:val="24"/>
          <w:lang w:val="en-US"/>
        </w:rPr>
        <w:t>When</w:t>
      </w:r>
      <w:r w:rsidRPr="00A3753C">
        <w:rPr>
          <w:rFonts w:ascii="Times New Roman" w:eastAsiaTheme="minorEastAsia" w:hAnsi="Times New Roman"/>
          <w:noProof/>
          <w:sz w:val="24"/>
          <w:lang w:val="en-US"/>
        </w:rPr>
        <w:t xml:space="preserve"> </w:t>
      </w:r>
      <w:r w:rsidR="006A0002" w:rsidRPr="00A3753C">
        <w:rPr>
          <w:rFonts w:ascii="Times New Roman" w:eastAsiaTheme="minorEastAsia" w:hAnsi="Times New Roman"/>
          <w:noProof/>
          <w:sz w:val="24"/>
          <w:lang w:val="en-US"/>
        </w:rPr>
        <w:t xml:space="preserve">computing the Genomic Relationship Matrix (GRM) for each breed, we identified population structures that were expected </w:t>
      </w:r>
      <w:r>
        <w:rPr>
          <w:rFonts w:ascii="Times New Roman" w:eastAsiaTheme="minorEastAsia" w:hAnsi="Times New Roman"/>
          <w:noProof/>
          <w:sz w:val="24"/>
          <w:lang w:val="en-US"/>
        </w:rPr>
        <w:t>base on</w:t>
      </w:r>
      <w:r w:rsidR="006A0002" w:rsidRPr="00A3753C">
        <w:rPr>
          <w:rFonts w:ascii="Times New Roman" w:eastAsiaTheme="minorEastAsia" w:hAnsi="Times New Roman"/>
          <w:noProof/>
          <w:sz w:val="24"/>
          <w:lang w:val="en-US"/>
        </w:rPr>
        <w:t xml:space="preserve"> pedigree </w:t>
      </w:r>
      <w:r>
        <w:rPr>
          <w:rFonts w:ascii="Times New Roman" w:eastAsiaTheme="minorEastAsia" w:hAnsi="Times New Roman"/>
          <w:noProof/>
          <w:sz w:val="24"/>
          <w:lang w:val="en-US"/>
        </w:rPr>
        <w:t>data</w:t>
      </w:r>
      <w:r w:rsidRPr="00A3753C">
        <w:rPr>
          <w:rFonts w:ascii="Times New Roman" w:eastAsiaTheme="minorEastAsia" w:hAnsi="Times New Roman"/>
          <w:noProof/>
          <w:sz w:val="24"/>
          <w:lang w:val="en-US"/>
        </w:rPr>
        <w:t xml:space="preserve"> </w:t>
      </w:r>
      <w:r w:rsidR="006A0002" w:rsidRPr="00A3753C">
        <w:rPr>
          <w:rFonts w:ascii="Times New Roman" w:eastAsiaTheme="minorEastAsia" w:hAnsi="Times New Roman"/>
          <w:noProof/>
          <w:sz w:val="24"/>
          <w:lang w:val="en-US"/>
        </w:rPr>
        <w:t>for these animals (many halfsibs). The Brahman population was formed by 55 sire families as illustrated before</w:t>
      </w:r>
      <w:r w:rsidR="00352E72">
        <w:rPr>
          <w:rFonts w:ascii="Times New Roman" w:eastAsiaTheme="minorEastAsia" w:hAnsi="Times New Roman"/>
          <w:noProof/>
          <w:sz w:val="24"/>
          <w:lang w:val="en-US"/>
        </w:rPr>
        <w:t xml:space="preserve"> [48]</w:t>
      </w:r>
      <w:r w:rsidR="006A0002" w:rsidRPr="00A3753C">
        <w:rPr>
          <w:rFonts w:ascii="Times New Roman" w:eastAsiaTheme="minorEastAsia" w:hAnsi="Times New Roman"/>
          <w:noProof/>
          <w:sz w:val="24"/>
          <w:lang w:val="en-US"/>
        </w:rPr>
        <w:t xml:space="preserve"> and the Tropical Composites were formed by 56 sire families </w:t>
      </w:r>
      <w:r w:rsidR="00352E72">
        <w:rPr>
          <w:rFonts w:ascii="Times New Roman" w:eastAsiaTheme="minorEastAsia" w:hAnsi="Times New Roman"/>
          <w:noProof/>
          <w:sz w:val="24"/>
          <w:lang w:val="en-US"/>
        </w:rPr>
        <w:t>[5]</w:t>
      </w:r>
      <w:r w:rsidR="006A0002" w:rsidRPr="00A3753C">
        <w:rPr>
          <w:rFonts w:ascii="Times New Roman" w:eastAsiaTheme="minorEastAsia" w:hAnsi="Times New Roman"/>
          <w:noProof/>
          <w:sz w:val="24"/>
          <w:lang w:val="en-US"/>
        </w:rPr>
        <w:t xml:space="preserve">. For each breed, the GRM was constructed using all SNPs that passed the quality control (described in the main text) by applying the first method proposed by VanRaden </w:t>
      </w:r>
      <w:r w:rsidR="0052115E">
        <w:rPr>
          <w:rFonts w:ascii="Times New Roman" w:eastAsiaTheme="minorEastAsia" w:hAnsi="Times New Roman"/>
          <w:noProof/>
          <w:sz w:val="24"/>
          <w:lang w:val="en-US"/>
        </w:rPr>
        <w:t>[46]</w:t>
      </w:r>
      <w:r w:rsidR="006A0002" w:rsidRPr="00A3753C">
        <w:rPr>
          <w:rFonts w:ascii="Times New Roman" w:eastAsiaTheme="minorEastAsia" w:hAnsi="Times New Roman"/>
          <w:noProof/>
          <w:sz w:val="24"/>
          <w:lang w:val="en-US"/>
        </w:rPr>
        <w:t xml:space="preserve"> and using the overall normalization and correcting for sex</w:t>
      </w:r>
      <w:r w:rsidR="0052115E">
        <w:rPr>
          <w:rFonts w:ascii="Times New Roman" w:eastAsiaTheme="minorEastAsia" w:hAnsi="Times New Roman"/>
          <w:noProof/>
          <w:sz w:val="24"/>
          <w:lang w:val="en-US"/>
        </w:rPr>
        <w:t xml:space="preserve"> [47]</w:t>
      </w:r>
      <w:r w:rsidR="006A0002" w:rsidRPr="00A3753C">
        <w:rPr>
          <w:rFonts w:ascii="Times New Roman" w:eastAsiaTheme="minorEastAsia" w:hAnsi="Times New Roman"/>
          <w:noProof/>
          <w:sz w:val="24"/>
          <w:lang w:val="en-US"/>
        </w:rPr>
        <w:t xml:space="preserve"> (see </w:t>
      </w:r>
      <w:r w:rsidR="00DA2AF0">
        <w:rPr>
          <w:rFonts w:ascii="Times New Roman" w:eastAsiaTheme="minorEastAsia" w:hAnsi="Times New Roman"/>
          <w:noProof/>
          <w:sz w:val="24"/>
          <w:lang w:val="en-US"/>
        </w:rPr>
        <w:t xml:space="preserve">the </w:t>
      </w:r>
      <w:r w:rsidR="006A0002" w:rsidRPr="00A3753C">
        <w:rPr>
          <w:rFonts w:ascii="Times New Roman" w:eastAsiaTheme="minorEastAsia" w:hAnsi="Times New Roman"/>
          <w:noProof/>
          <w:sz w:val="24"/>
          <w:lang w:val="en-US"/>
        </w:rPr>
        <w:t>methods section below for more details). The summary statistics of each GRM are discussed below.</w:t>
      </w:r>
    </w:p>
    <w:p w:rsidR="006A0002" w:rsidRPr="00A3753C" w:rsidRDefault="006A0002" w:rsidP="00475685">
      <w:pPr>
        <w:spacing w:after="0" w:line="360" w:lineRule="auto"/>
        <w:jc w:val="both"/>
        <w:rPr>
          <w:rFonts w:ascii="Times New Roman" w:eastAsiaTheme="minorEastAsia" w:hAnsi="Times New Roman"/>
          <w:noProof/>
          <w:sz w:val="24"/>
          <w:lang w:val="en-US"/>
        </w:rPr>
      </w:pPr>
      <w:r w:rsidRPr="00A3753C">
        <w:rPr>
          <w:rFonts w:ascii="Times New Roman" w:eastAsiaTheme="minorEastAsia" w:hAnsi="Times New Roman"/>
          <w:noProof/>
          <w:sz w:val="24"/>
          <w:lang w:val="en-US"/>
        </w:rPr>
        <w:t xml:space="preserve">In Brahman, the diagonal elements of the GRM had a mean of 1.00577 and a standard deviation of 0.04367 (minimun and maximum numbers were 0.89383 and 1.23434) with a variance of 0.00191. The off-diagonal elements of the Brahman GRM had a mean of -0.00092 and a standard deviation of 0.04876 (minimun and maximum numbers were -0.09646 and 0.59431) with a variance of </w:t>
      </w:r>
      <w:r w:rsidRPr="00A3753C">
        <w:rPr>
          <w:rFonts w:ascii="Times New Roman" w:eastAsiaTheme="minorEastAsia" w:hAnsi="Times New Roman" w:cs="Calibri"/>
          <w:noProof/>
          <w:sz w:val="24"/>
          <w:lang w:val="en-US"/>
        </w:rPr>
        <w:t>0.00238</w:t>
      </w:r>
      <w:r w:rsidRPr="00A3753C">
        <w:rPr>
          <w:rFonts w:ascii="Times New Roman" w:eastAsiaTheme="minorEastAsia" w:hAnsi="Times New Roman"/>
          <w:noProof/>
          <w:sz w:val="24"/>
          <w:lang w:val="en-US"/>
        </w:rPr>
        <w:t xml:space="preserve">. </w:t>
      </w:r>
    </w:p>
    <w:p w:rsidR="006A0002" w:rsidRPr="00A3753C" w:rsidRDefault="006A0002" w:rsidP="00475685">
      <w:pPr>
        <w:spacing w:after="0" w:line="360" w:lineRule="auto"/>
        <w:jc w:val="both"/>
        <w:rPr>
          <w:rFonts w:ascii="Times New Roman" w:eastAsiaTheme="minorEastAsia" w:hAnsi="Times New Roman"/>
          <w:noProof/>
          <w:sz w:val="24"/>
          <w:lang w:val="en-US"/>
        </w:rPr>
      </w:pPr>
      <w:r w:rsidRPr="00A3753C">
        <w:rPr>
          <w:rFonts w:ascii="Times New Roman" w:eastAsiaTheme="minorEastAsia" w:hAnsi="Times New Roman"/>
          <w:noProof/>
          <w:sz w:val="24"/>
          <w:lang w:val="en-US"/>
        </w:rPr>
        <w:t xml:space="preserve">In Tropical Composites, the diagonal elements of the GRM had a mean of 1.0036 and a standard deviation of 0.03574 (minimun and maximum numbers were 0.91839 and 1.17518) with a variance of 0.00128. The off-diagonal elements of the GRM for </w:t>
      </w:r>
      <w:r w:rsidR="006C051E">
        <w:rPr>
          <w:rFonts w:ascii="Times New Roman" w:eastAsiaTheme="minorEastAsia" w:hAnsi="Times New Roman"/>
          <w:noProof/>
          <w:sz w:val="24"/>
          <w:lang w:val="en-US"/>
        </w:rPr>
        <w:t>T</w:t>
      </w:r>
      <w:r w:rsidRPr="00A3753C">
        <w:rPr>
          <w:rFonts w:ascii="Times New Roman" w:eastAsiaTheme="minorEastAsia" w:hAnsi="Times New Roman"/>
          <w:noProof/>
          <w:sz w:val="24"/>
          <w:lang w:val="en-US"/>
        </w:rPr>
        <w:t xml:space="preserve">ropical </w:t>
      </w:r>
      <w:r w:rsidR="006C051E">
        <w:rPr>
          <w:rFonts w:ascii="Times New Roman" w:eastAsiaTheme="minorEastAsia" w:hAnsi="Times New Roman"/>
          <w:noProof/>
          <w:sz w:val="24"/>
          <w:lang w:val="en-US"/>
        </w:rPr>
        <w:t>C</w:t>
      </w:r>
      <w:r w:rsidR="006C051E" w:rsidRPr="00A3753C">
        <w:rPr>
          <w:rFonts w:ascii="Times New Roman" w:eastAsiaTheme="minorEastAsia" w:hAnsi="Times New Roman"/>
          <w:noProof/>
          <w:sz w:val="24"/>
          <w:lang w:val="en-US"/>
        </w:rPr>
        <w:t>omp</w:t>
      </w:r>
      <w:r w:rsidR="006C051E">
        <w:rPr>
          <w:rFonts w:ascii="Times New Roman" w:eastAsiaTheme="minorEastAsia" w:hAnsi="Times New Roman"/>
          <w:noProof/>
          <w:sz w:val="24"/>
          <w:lang w:val="en-US"/>
        </w:rPr>
        <w:t>o</w:t>
      </w:r>
      <w:r w:rsidR="006C051E" w:rsidRPr="00A3753C">
        <w:rPr>
          <w:rFonts w:ascii="Times New Roman" w:eastAsiaTheme="minorEastAsia" w:hAnsi="Times New Roman"/>
          <w:noProof/>
          <w:sz w:val="24"/>
          <w:lang w:val="en-US"/>
        </w:rPr>
        <w:t xml:space="preserve">sites </w:t>
      </w:r>
      <w:r w:rsidRPr="00A3753C">
        <w:rPr>
          <w:rFonts w:ascii="Times New Roman" w:eastAsiaTheme="minorEastAsia" w:hAnsi="Times New Roman"/>
          <w:noProof/>
          <w:sz w:val="24"/>
          <w:lang w:val="en-US"/>
        </w:rPr>
        <w:t xml:space="preserve">had a mean of -0.00058 and a standard deviation of 0.04747 (minimun and maximum numbers were -0.13056 and 0.58294) with a variance of 0.00225. </w:t>
      </w:r>
    </w:p>
    <w:p w:rsidR="006A0002" w:rsidRPr="00A3753C" w:rsidRDefault="006A0002" w:rsidP="00213071">
      <w:pPr>
        <w:spacing w:after="0" w:line="360" w:lineRule="auto"/>
        <w:jc w:val="both"/>
        <w:rPr>
          <w:rFonts w:ascii="Times New Roman" w:eastAsiaTheme="minorEastAsia" w:hAnsi="Times New Roman"/>
          <w:b/>
          <w:sz w:val="24"/>
          <w:lang w:val="en-US"/>
        </w:rPr>
        <w:sectPr w:rsidR="006A0002" w:rsidRPr="00A3753C" w:rsidSect="003629DB">
          <w:footerReference w:type="default" r:id="rId7"/>
          <w:pgSz w:w="11906" w:h="16838"/>
          <w:pgMar w:top="1440" w:right="1440" w:bottom="1440" w:left="1440" w:header="708" w:footer="708" w:gutter="0"/>
          <w:cols w:space="708"/>
          <w:docGrid w:linePitch="360"/>
        </w:sectPr>
      </w:pPr>
      <w:r w:rsidRPr="00A3753C">
        <w:rPr>
          <w:rFonts w:ascii="Times New Roman" w:eastAsiaTheme="minorEastAsia" w:hAnsi="Times New Roman"/>
          <w:noProof/>
          <w:sz w:val="24"/>
          <w:lang w:val="en-US"/>
        </w:rPr>
        <w:t>The variance of these SNP-derived relationships (off-diagonal</w:t>
      </w:r>
      <w:r w:rsidR="006C051E">
        <w:rPr>
          <w:rFonts w:ascii="Times New Roman" w:eastAsiaTheme="minorEastAsia" w:hAnsi="Times New Roman"/>
          <w:noProof/>
          <w:sz w:val="24"/>
          <w:lang w:val="en-US"/>
        </w:rPr>
        <w:t>s</w:t>
      </w:r>
      <w:r w:rsidRPr="00A3753C">
        <w:rPr>
          <w:rFonts w:ascii="Times New Roman" w:eastAsiaTheme="minorEastAsia" w:hAnsi="Times New Roman"/>
          <w:noProof/>
          <w:sz w:val="24"/>
          <w:lang w:val="en-US"/>
        </w:rPr>
        <w:t xml:space="preserve">) were used to calculate empirically the power of the GWAS. Power analyses used the methods derived by Visscher’s group, with a word of caution: their methods were </w:t>
      </w:r>
      <w:r w:rsidR="006C051E">
        <w:rPr>
          <w:rFonts w:ascii="Times New Roman" w:eastAsiaTheme="minorEastAsia" w:hAnsi="Times New Roman"/>
          <w:noProof/>
          <w:sz w:val="24"/>
          <w:lang w:val="en-US"/>
        </w:rPr>
        <w:t>optimized</w:t>
      </w:r>
      <w:r w:rsidR="006C051E" w:rsidRPr="00A3753C">
        <w:rPr>
          <w:rFonts w:ascii="Times New Roman" w:eastAsiaTheme="minorEastAsia" w:hAnsi="Times New Roman"/>
          <w:noProof/>
          <w:sz w:val="24"/>
          <w:lang w:val="en-US"/>
        </w:rPr>
        <w:t xml:space="preserve"> </w:t>
      </w:r>
      <w:r w:rsidRPr="00A3753C">
        <w:rPr>
          <w:rFonts w:ascii="Times New Roman" w:eastAsiaTheme="minorEastAsia" w:hAnsi="Times New Roman"/>
          <w:noProof/>
          <w:sz w:val="24"/>
          <w:lang w:val="en-US"/>
        </w:rPr>
        <w:t xml:space="preserve">for unrelated human populations </w:t>
      </w:r>
      <w:r w:rsidR="00BE6B0B">
        <w:rPr>
          <w:rFonts w:ascii="Times New Roman" w:eastAsiaTheme="minorEastAsia" w:hAnsi="Times New Roman"/>
          <w:noProof/>
          <w:sz w:val="24"/>
          <w:lang w:val="en-US"/>
        </w:rPr>
        <w:t>[37].</w:t>
      </w:r>
      <w:r w:rsidRPr="00A3753C">
        <w:rPr>
          <w:rFonts w:ascii="Times New Roman" w:eastAsiaTheme="minorEastAsia" w:hAnsi="Times New Roman"/>
          <w:noProof/>
          <w:sz w:val="24"/>
          <w:lang w:val="en-US"/>
        </w:rPr>
        <w:t xml:space="preserve"> The results for the power analyses are in Table S1</w:t>
      </w:r>
      <w:r w:rsidR="006C051E">
        <w:rPr>
          <w:rFonts w:ascii="Times New Roman" w:eastAsiaTheme="minorEastAsia" w:hAnsi="Times New Roman"/>
          <w:noProof/>
          <w:sz w:val="24"/>
          <w:lang w:val="en-US"/>
        </w:rPr>
        <w:t xml:space="preserve"> [see Additional file 1 Table S1]</w:t>
      </w:r>
      <w:r w:rsidR="006C051E" w:rsidRPr="00A3753C">
        <w:rPr>
          <w:rFonts w:ascii="Times New Roman" w:eastAsiaTheme="minorEastAsia" w:hAnsi="Times New Roman"/>
          <w:noProof/>
          <w:sz w:val="24"/>
          <w:lang w:val="en-US"/>
        </w:rPr>
        <w:t xml:space="preserve">. </w:t>
      </w:r>
      <w:r w:rsidR="00DA2AF0">
        <w:rPr>
          <w:rFonts w:ascii="Times New Roman" w:eastAsiaTheme="minorEastAsia" w:hAnsi="Times New Roman"/>
          <w:noProof/>
          <w:sz w:val="24"/>
          <w:lang w:val="en-US"/>
        </w:rPr>
        <w:t>O</w:t>
      </w:r>
      <w:r w:rsidR="00DA2AF0" w:rsidRPr="00A3753C">
        <w:rPr>
          <w:rFonts w:ascii="Times New Roman" w:eastAsiaTheme="minorEastAsia" w:hAnsi="Times New Roman"/>
          <w:noProof/>
          <w:sz w:val="24"/>
          <w:lang w:val="en-US"/>
        </w:rPr>
        <w:t xml:space="preserve">n </w:t>
      </w:r>
      <w:r w:rsidRPr="00A3753C">
        <w:rPr>
          <w:rFonts w:ascii="Times New Roman" w:eastAsiaTheme="minorEastAsia" w:hAnsi="Times New Roman"/>
          <w:noProof/>
          <w:sz w:val="24"/>
          <w:lang w:val="en-US"/>
        </w:rPr>
        <w:t xml:space="preserve">a scale from </w:t>
      </w:r>
      <w:r w:rsidR="00DA2AF0">
        <w:rPr>
          <w:rFonts w:ascii="Times New Roman" w:eastAsiaTheme="minorEastAsia" w:hAnsi="Times New Roman"/>
          <w:noProof/>
          <w:sz w:val="24"/>
          <w:lang w:val="en-US"/>
        </w:rPr>
        <w:t>0</w:t>
      </w:r>
      <w:r w:rsidR="00DA2AF0" w:rsidRPr="00A3753C">
        <w:rPr>
          <w:rFonts w:ascii="Times New Roman" w:eastAsiaTheme="minorEastAsia" w:hAnsi="Times New Roman"/>
          <w:noProof/>
          <w:sz w:val="24"/>
          <w:lang w:val="en-US"/>
        </w:rPr>
        <w:t xml:space="preserve"> </w:t>
      </w:r>
      <w:r w:rsidRPr="00A3753C">
        <w:rPr>
          <w:rFonts w:ascii="Times New Roman" w:eastAsiaTheme="minorEastAsia" w:hAnsi="Times New Roman"/>
          <w:noProof/>
          <w:sz w:val="24"/>
          <w:lang w:val="en-US"/>
        </w:rPr>
        <w:t>to 1, the power for all the presented GWAS ranged from 0.001 to 1. To be more cautio</w:t>
      </w:r>
      <w:r w:rsidR="00DA2AF0">
        <w:rPr>
          <w:rFonts w:ascii="Times New Roman" w:eastAsiaTheme="minorEastAsia" w:hAnsi="Times New Roman"/>
          <w:noProof/>
          <w:sz w:val="24"/>
          <w:lang w:val="en-US"/>
        </w:rPr>
        <w:t>u</w:t>
      </w:r>
      <w:r w:rsidRPr="00A3753C">
        <w:rPr>
          <w:rFonts w:ascii="Times New Roman" w:eastAsiaTheme="minorEastAsia" w:hAnsi="Times New Roman"/>
          <w:noProof/>
          <w:sz w:val="24"/>
          <w:lang w:val="en-US"/>
        </w:rPr>
        <w:t xml:space="preserve">s when reporting </w:t>
      </w:r>
      <w:r w:rsidR="006C051E">
        <w:rPr>
          <w:rFonts w:ascii="Times New Roman" w:eastAsiaTheme="minorEastAsia" w:hAnsi="Times New Roman"/>
          <w:noProof/>
          <w:sz w:val="24"/>
          <w:lang w:val="en-US"/>
        </w:rPr>
        <w:t xml:space="preserve">on </w:t>
      </w:r>
      <w:r w:rsidRPr="00A3753C">
        <w:rPr>
          <w:rFonts w:ascii="Times New Roman" w:eastAsiaTheme="minorEastAsia" w:hAnsi="Times New Roman"/>
          <w:noProof/>
          <w:sz w:val="24"/>
          <w:lang w:val="en-US"/>
        </w:rPr>
        <w:t>power analyses, we used a stric</w:t>
      </w:r>
      <w:r w:rsidR="00DA2AF0">
        <w:rPr>
          <w:rFonts w:ascii="Times New Roman" w:eastAsiaTheme="minorEastAsia" w:hAnsi="Times New Roman"/>
          <w:noProof/>
          <w:sz w:val="24"/>
          <w:lang w:val="en-US"/>
        </w:rPr>
        <w:t>ter</w:t>
      </w:r>
      <w:r w:rsidRPr="00A3753C">
        <w:rPr>
          <w:rFonts w:ascii="Times New Roman" w:eastAsiaTheme="minorEastAsia" w:hAnsi="Times New Roman"/>
          <w:noProof/>
          <w:sz w:val="24"/>
          <w:lang w:val="en-US"/>
        </w:rPr>
        <w:t xml:space="preserve"> cut-off for type one errror as discussed in the main text.</w:t>
      </w:r>
      <w:r w:rsidR="00213071" w:rsidRPr="00A3753C">
        <w:rPr>
          <w:rFonts w:ascii="Times New Roman" w:eastAsiaTheme="minorEastAsia" w:hAnsi="Times New Roman"/>
          <w:noProof/>
          <w:sz w:val="24"/>
          <w:lang w:val="en-US"/>
        </w:rPr>
        <w:t xml:space="preserve"> The SE for the heritability estimated with the power analyses were lower than the reported estimates, which were from the complete model for the GWAS, performed with Golden Helix. The SE from the power analyses ranged from 0.02 to </w:t>
      </w:r>
      <w:r w:rsidR="002F7F98" w:rsidRPr="00A3753C">
        <w:rPr>
          <w:rFonts w:ascii="Times New Roman" w:eastAsiaTheme="minorEastAsia" w:hAnsi="Times New Roman"/>
          <w:noProof/>
          <w:sz w:val="24"/>
          <w:lang w:val="en-US"/>
        </w:rPr>
        <w:t xml:space="preserve">0.06, </w:t>
      </w:r>
      <w:r w:rsidR="002F7F98" w:rsidRPr="00A3753C">
        <w:rPr>
          <w:rFonts w:ascii="Times New Roman" w:eastAsiaTheme="minorEastAsia" w:hAnsi="Times New Roman"/>
          <w:noProof/>
          <w:sz w:val="24"/>
          <w:lang w:val="en-US"/>
        </w:rPr>
        <w:lastRenderedPageBreak/>
        <w:t>while SE</w:t>
      </w:r>
      <w:r w:rsidR="006C051E">
        <w:rPr>
          <w:rFonts w:ascii="Times New Roman" w:eastAsiaTheme="minorEastAsia" w:hAnsi="Times New Roman"/>
          <w:noProof/>
          <w:sz w:val="24"/>
          <w:lang w:val="en-US"/>
        </w:rPr>
        <w:t xml:space="preserve"> reported </w:t>
      </w:r>
      <w:r w:rsidR="00704AE2">
        <w:rPr>
          <w:rFonts w:ascii="Times New Roman" w:eastAsiaTheme="minorEastAsia" w:hAnsi="Times New Roman"/>
          <w:noProof/>
          <w:sz w:val="24"/>
          <w:lang w:val="en-US"/>
        </w:rPr>
        <w:t xml:space="preserve">in this paper (calculated from our models fit in the Golden Helix software) </w:t>
      </w:r>
      <w:r w:rsidR="00DA2AF0" w:rsidRPr="00A3753C">
        <w:rPr>
          <w:rFonts w:ascii="Times New Roman" w:eastAsiaTheme="minorEastAsia" w:hAnsi="Times New Roman"/>
          <w:noProof/>
          <w:sz w:val="24"/>
          <w:lang w:val="en-US"/>
        </w:rPr>
        <w:t>rang</w:t>
      </w:r>
      <w:r w:rsidR="006C051E">
        <w:rPr>
          <w:rFonts w:ascii="Times New Roman" w:eastAsiaTheme="minorEastAsia" w:hAnsi="Times New Roman"/>
          <w:noProof/>
          <w:sz w:val="24"/>
          <w:lang w:val="en-US"/>
        </w:rPr>
        <w:t>ed</w:t>
      </w:r>
      <w:r w:rsidR="00DA2AF0">
        <w:rPr>
          <w:rFonts w:ascii="Times New Roman" w:eastAsiaTheme="minorEastAsia" w:hAnsi="Times New Roman"/>
          <w:noProof/>
          <w:sz w:val="24"/>
          <w:lang w:val="en-US"/>
        </w:rPr>
        <w:t xml:space="preserve"> </w:t>
      </w:r>
      <w:r w:rsidR="002F7F98" w:rsidRPr="00A3753C">
        <w:rPr>
          <w:rFonts w:ascii="Times New Roman" w:eastAsiaTheme="minorEastAsia" w:hAnsi="Times New Roman"/>
          <w:noProof/>
          <w:sz w:val="24"/>
          <w:lang w:val="en-US"/>
        </w:rPr>
        <w:t xml:space="preserve">from 0.02 to 0.11. Naturally, errors were </w:t>
      </w:r>
      <w:r w:rsidR="00DA2AF0">
        <w:rPr>
          <w:rFonts w:ascii="Times New Roman" w:eastAsiaTheme="minorEastAsia" w:hAnsi="Times New Roman"/>
          <w:noProof/>
          <w:sz w:val="24"/>
          <w:lang w:val="en-US"/>
        </w:rPr>
        <w:t>larg</w:t>
      </w:r>
      <w:r w:rsidR="00DA2AF0" w:rsidRPr="00A3753C">
        <w:rPr>
          <w:rFonts w:ascii="Times New Roman" w:eastAsiaTheme="minorEastAsia" w:hAnsi="Times New Roman"/>
          <w:noProof/>
          <w:sz w:val="24"/>
          <w:lang w:val="en-US"/>
        </w:rPr>
        <w:t xml:space="preserve">er </w:t>
      </w:r>
      <w:r w:rsidR="002F7F98" w:rsidRPr="00A3753C">
        <w:rPr>
          <w:rFonts w:ascii="Times New Roman" w:eastAsiaTheme="minorEastAsia" w:hAnsi="Times New Roman"/>
          <w:noProof/>
          <w:sz w:val="24"/>
          <w:lang w:val="en-US"/>
        </w:rPr>
        <w:t>when the sample size was smaller.</w:t>
      </w:r>
      <w:r w:rsidR="00213071" w:rsidRPr="00A3753C">
        <w:rPr>
          <w:rFonts w:ascii="Times New Roman" w:eastAsiaTheme="minorEastAsia" w:hAnsi="Times New Roman"/>
          <w:noProof/>
          <w:sz w:val="24"/>
          <w:lang w:val="en-US"/>
        </w:rPr>
        <w:t xml:space="preserve"> </w:t>
      </w:r>
      <w:r w:rsidR="005B41B7" w:rsidRPr="00A3753C">
        <w:rPr>
          <w:rFonts w:ascii="Times New Roman" w:eastAsiaTheme="minorEastAsia" w:hAnsi="Times New Roman"/>
          <w:noProof/>
          <w:sz w:val="24"/>
          <w:lang w:val="en-US"/>
        </w:rPr>
        <w:t>Visscher and colleagues report that their power analyses could be affected by population structure if the SE of heritability</w:t>
      </w:r>
      <w:r w:rsidR="006C051E">
        <w:rPr>
          <w:rFonts w:ascii="Times New Roman" w:eastAsiaTheme="minorEastAsia" w:hAnsi="Times New Roman"/>
          <w:noProof/>
          <w:sz w:val="24"/>
          <w:lang w:val="en-US"/>
        </w:rPr>
        <w:t xml:space="preserve"> estimates</w:t>
      </w:r>
      <w:r w:rsidR="005B41B7" w:rsidRPr="00A3753C">
        <w:rPr>
          <w:rFonts w:ascii="Times New Roman" w:eastAsiaTheme="minorEastAsia" w:hAnsi="Times New Roman"/>
          <w:noProof/>
          <w:sz w:val="24"/>
          <w:lang w:val="en-US"/>
        </w:rPr>
        <w:t xml:space="preserve"> were lower than their error estimates, which is not the case for our populations.</w:t>
      </w:r>
    </w:p>
    <w:p w:rsidR="006A0002" w:rsidRPr="00A3753C" w:rsidRDefault="006A0002" w:rsidP="00475685">
      <w:pPr>
        <w:pStyle w:val="CETabNote"/>
        <w:spacing w:before="0" w:after="0" w:line="480" w:lineRule="auto"/>
        <w:rPr>
          <w:b/>
          <w:noProof w:val="0"/>
          <w:sz w:val="24"/>
        </w:rPr>
      </w:pPr>
    </w:p>
    <w:p w:rsidR="006A0002" w:rsidRPr="00A3753C" w:rsidRDefault="006A0002" w:rsidP="00B83F82">
      <w:pPr>
        <w:spacing w:after="0" w:line="360" w:lineRule="auto"/>
        <w:jc w:val="both"/>
        <w:rPr>
          <w:rFonts w:ascii="Times New Roman" w:eastAsiaTheme="minorEastAsia" w:hAnsi="Times New Roman"/>
          <w:b/>
          <w:i/>
          <w:sz w:val="24"/>
          <w:szCs w:val="24"/>
          <w:lang w:val="en-US"/>
        </w:rPr>
      </w:pPr>
      <w:r w:rsidRPr="00A3753C">
        <w:rPr>
          <w:rFonts w:ascii="Times New Roman" w:eastAsiaTheme="minorEastAsia" w:hAnsi="Times New Roman"/>
          <w:b/>
          <w:i/>
          <w:sz w:val="24"/>
          <w:szCs w:val="24"/>
          <w:lang w:val="en-US"/>
        </w:rPr>
        <w:t>Genetic Correlations from Bivariate Analyses</w:t>
      </w:r>
    </w:p>
    <w:p w:rsidR="006A0002" w:rsidRPr="00A3753C" w:rsidRDefault="006A0002" w:rsidP="00B83F82">
      <w:pPr>
        <w:pStyle w:val="5275Body"/>
        <w:spacing w:before="0" w:after="0"/>
        <w:ind w:firstLine="0"/>
        <w:rPr>
          <w:sz w:val="20"/>
        </w:rPr>
      </w:pPr>
      <w:r w:rsidRPr="00A3753C">
        <w:t xml:space="preserve">Genetic correlations across traits were estimated for Brahman and Tropical Composite bulls </w:t>
      </w:r>
      <w:r w:rsidR="007C04F0">
        <w:t xml:space="preserve">[See Additional file 5 </w:t>
      </w:r>
      <w:r w:rsidRPr="00A3753C">
        <w:rPr>
          <w:noProof w:val="0"/>
        </w:rPr>
        <w:t>Fig</w:t>
      </w:r>
      <w:r w:rsidR="007C04F0">
        <w:rPr>
          <w:noProof w:val="0"/>
        </w:rPr>
        <w:t>ure</w:t>
      </w:r>
      <w:r w:rsidRPr="00A3753C">
        <w:t xml:space="preserve"> S1</w:t>
      </w:r>
      <w:r w:rsidR="007C04F0">
        <w:t>]</w:t>
      </w:r>
      <w:r w:rsidR="007C04F0" w:rsidRPr="00A3753C">
        <w:t xml:space="preserve">. </w:t>
      </w:r>
      <w:r w:rsidRPr="00A3753C">
        <w:t xml:space="preserve">In absolute values, genetic correlations </w:t>
      </w:r>
      <w:r w:rsidR="007C04F0">
        <w:t>ranged</w:t>
      </w:r>
      <w:r w:rsidR="007C04F0" w:rsidRPr="00A3753C">
        <w:t xml:space="preserve"> </w:t>
      </w:r>
      <w:r w:rsidRPr="00A3753C">
        <w:t xml:space="preserve">from as low as </w:t>
      </w:r>
      <w:r w:rsidR="007C04F0">
        <w:t>0</w:t>
      </w:r>
      <w:r w:rsidR="007C04F0" w:rsidRPr="00A3753C">
        <w:t xml:space="preserve"> </w:t>
      </w:r>
      <w:r w:rsidRPr="00A3753C">
        <w:t>(e.g., between TA and PD in Brahman) to as high as 0.999 (e.g., between HDS4 and HDS3 in Tropical Composites). These genetic correlations are as presented in Fig. 1</w:t>
      </w:r>
      <w:r w:rsidRPr="00A3753C">
        <w:rPr>
          <w:noProof w:val="0"/>
        </w:rPr>
        <w:t xml:space="preserve"> in the main text</w:t>
      </w:r>
      <w:r w:rsidRPr="00A3753C">
        <w:t>; hence, including them here provide</w:t>
      </w:r>
      <w:r w:rsidRPr="00A3753C">
        <w:rPr>
          <w:noProof w:val="0"/>
        </w:rPr>
        <w:t>s</w:t>
      </w:r>
      <w:r w:rsidRPr="00A3753C">
        <w:t xml:space="preserve"> all the numerical values estimated for each correlation. </w:t>
      </w:r>
      <w:r w:rsidR="007C04F0">
        <w:t>It should be noted that</w:t>
      </w:r>
      <w:r w:rsidRPr="00A3753C">
        <w:t xml:space="preserve"> the phenotypes from SCSA and SPDA were available only for a sub-set of </w:t>
      </w:r>
      <w:r w:rsidR="00341A2D">
        <w:t xml:space="preserve">the </w:t>
      </w:r>
      <w:r w:rsidRPr="00A3753C">
        <w:t xml:space="preserve">bulls </w:t>
      </w:r>
      <w:r w:rsidR="00341A2D">
        <w:t>since</w:t>
      </w:r>
      <w:r w:rsidR="00341A2D" w:rsidRPr="00A3753C">
        <w:t xml:space="preserve"> </w:t>
      </w:r>
      <w:r w:rsidRPr="00A3753C">
        <w:t xml:space="preserve">these phenotypes are not routinaly measured (n = 592 for Brahman and n = 538 for Tropical Composites). These phenotypes were described before, in a prior publication by Boe-Hansen and colleagues that focussed only on the phenotypes and </w:t>
      </w:r>
      <w:r w:rsidR="00341A2D" w:rsidRPr="00A3753C">
        <w:t>phenot</w:t>
      </w:r>
      <w:r w:rsidR="00341A2D">
        <w:t>y</w:t>
      </w:r>
      <w:r w:rsidR="00341A2D" w:rsidRPr="00A3753C">
        <w:t xml:space="preserve">pic </w:t>
      </w:r>
      <w:r w:rsidRPr="00A3753C">
        <w:t>correlations</w:t>
      </w:r>
      <w:r w:rsidR="00F26A19">
        <w:t xml:space="preserve"> [32].</w:t>
      </w:r>
      <w:r w:rsidR="00F26A19" w:rsidRPr="00A3753C">
        <w:rPr>
          <w:sz w:val="20"/>
        </w:rPr>
        <w:t xml:space="preserve"> </w:t>
      </w:r>
    </w:p>
    <w:p w:rsidR="006A0002" w:rsidRPr="00A3753C" w:rsidRDefault="006A0002" w:rsidP="00475685">
      <w:pPr>
        <w:pStyle w:val="CEHeading2"/>
        <w:spacing w:before="0" w:after="0" w:line="480" w:lineRule="auto"/>
        <w:rPr>
          <w:noProof w:val="0"/>
          <w:lang w:val="en-US"/>
        </w:rPr>
      </w:pPr>
    </w:p>
    <w:p w:rsidR="006A0002" w:rsidRPr="00A3753C" w:rsidRDefault="006A0002" w:rsidP="00B83F82">
      <w:pPr>
        <w:spacing w:after="0" w:line="360" w:lineRule="auto"/>
        <w:jc w:val="both"/>
        <w:rPr>
          <w:rFonts w:ascii="Times New Roman" w:eastAsiaTheme="minorEastAsia" w:hAnsi="Times New Roman"/>
          <w:b/>
          <w:i/>
          <w:sz w:val="24"/>
          <w:szCs w:val="24"/>
          <w:lang w:val="en-US"/>
        </w:rPr>
      </w:pPr>
      <w:r w:rsidRPr="00A3753C">
        <w:rPr>
          <w:rFonts w:ascii="Times New Roman" w:eastAsiaTheme="minorEastAsia" w:hAnsi="Times New Roman"/>
          <w:b/>
          <w:i/>
          <w:sz w:val="24"/>
          <w:szCs w:val="24"/>
          <w:lang w:val="en-US"/>
        </w:rPr>
        <w:t>Genome-wide Association Studies for each phenotype</w:t>
      </w:r>
    </w:p>
    <w:p w:rsidR="006A0002" w:rsidRPr="00A3753C" w:rsidRDefault="006A0002" w:rsidP="00475685">
      <w:pPr>
        <w:pStyle w:val="5275Body"/>
        <w:spacing w:before="0" w:after="0"/>
        <w:ind w:firstLine="0"/>
      </w:pPr>
      <w:r w:rsidRPr="00A3753C">
        <w:t xml:space="preserve">Significant associations at the </w:t>
      </w:r>
      <w:r w:rsidRPr="00A3753C">
        <w:rPr>
          <w:i/>
        </w:rPr>
        <w:t>P</w:t>
      </w:r>
      <w:r w:rsidRPr="00A3753C">
        <w:t>-value equal to 1</w:t>
      </w:r>
      <m:oMath>
        <m:r>
          <w:rPr>
            <w:rFonts w:ascii="Cambria Math" w:hAnsi="Cambria Math"/>
          </w:rPr>
          <m:t>×</m:t>
        </m:r>
      </m:oMath>
      <w:r w:rsidRPr="00A3753C">
        <w:t>10</w:t>
      </w:r>
      <w:r w:rsidRPr="00A3753C">
        <w:rPr>
          <w:vertAlign w:val="superscript"/>
        </w:rPr>
        <w:t>-8</w:t>
      </w:r>
      <w:r w:rsidRPr="00A3753C">
        <w:t xml:space="preserve"> level (as reported in the main text) point to the QTL proposed in this study. The Manhattan plots provided </w:t>
      </w:r>
      <w:r w:rsidR="00341A2D">
        <w:t xml:space="preserve">in </w:t>
      </w:r>
      <w:r w:rsidR="00341A2D" w:rsidRPr="00A3753C">
        <w:t>Fig</w:t>
      </w:r>
      <w:r w:rsidR="00341A2D">
        <w:t>ures</w:t>
      </w:r>
      <w:r w:rsidR="00341A2D" w:rsidRPr="00A3753C">
        <w:t xml:space="preserve"> S2 </w:t>
      </w:r>
      <w:r w:rsidR="00341A2D">
        <w:t>to</w:t>
      </w:r>
      <w:r w:rsidR="00341A2D" w:rsidRPr="00A3753C">
        <w:t xml:space="preserve"> S10</w:t>
      </w:r>
      <w:r w:rsidR="00341A2D">
        <w:t xml:space="preserve"> [see Additional file 5 </w:t>
      </w:r>
      <w:r w:rsidR="00341A2D" w:rsidRPr="00A3753C">
        <w:t>Fig</w:t>
      </w:r>
      <w:r w:rsidR="00341A2D">
        <w:t>ures</w:t>
      </w:r>
      <w:r w:rsidR="00341A2D" w:rsidRPr="00A3753C">
        <w:t xml:space="preserve"> S2 </w:t>
      </w:r>
      <w:r w:rsidR="00341A2D">
        <w:t>to</w:t>
      </w:r>
      <w:r w:rsidR="00341A2D" w:rsidRPr="00A3753C">
        <w:t xml:space="preserve"> S10</w:t>
      </w:r>
      <w:r w:rsidR="00341A2D">
        <w:t>]</w:t>
      </w:r>
      <w:r w:rsidRPr="00A3753C">
        <w:t xml:space="preserve"> allow </w:t>
      </w:r>
      <w:r w:rsidR="00341A2D">
        <w:t xml:space="preserve">a </w:t>
      </w:r>
      <w:r w:rsidRPr="00A3753C">
        <w:t>visual inspection of each QTL in a genome-wide context</w:t>
      </w:r>
      <w:r w:rsidR="007C04F0" w:rsidRPr="00A3753C">
        <w:t xml:space="preserve">. </w:t>
      </w:r>
      <w:r w:rsidRPr="00A3753C">
        <w:t>We show the results from the two breeds side-by-side to support the idea that some QTL are breed</w:t>
      </w:r>
      <w:r w:rsidR="007C04F0">
        <w:t>-</w:t>
      </w:r>
      <w:r w:rsidRPr="00A3753C">
        <w:t xml:space="preserve">specific, while others may occur in both breeds. It is evident from these figures that the proposed QTL are supported by association peaks that are typical of robust GWAS signals. </w:t>
      </w:r>
    </w:p>
    <w:p w:rsidR="006A0002" w:rsidRPr="00F26A19" w:rsidRDefault="006A0002" w:rsidP="00F26A19">
      <w:pPr>
        <w:spacing w:after="0" w:line="360" w:lineRule="auto"/>
        <w:jc w:val="both"/>
        <w:rPr>
          <w:rFonts w:ascii="Times New Roman" w:eastAsiaTheme="minorEastAsia" w:hAnsi="Times New Roman"/>
          <w:sz w:val="24"/>
          <w:lang w:val="en-US"/>
        </w:rPr>
      </w:pPr>
      <w:r w:rsidRPr="00A3753C">
        <w:rPr>
          <w:rFonts w:ascii="Times New Roman" w:eastAsiaTheme="minorEastAsia" w:hAnsi="Times New Roman"/>
          <w:sz w:val="24"/>
          <w:lang w:val="en-US"/>
        </w:rPr>
        <w:t xml:space="preserve">For the </w:t>
      </w:r>
      <w:proofErr w:type="spellStart"/>
      <w:r w:rsidRPr="00A3753C">
        <w:rPr>
          <w:rFonts w:ascii="Times New Roman" w:eastAsiaTheme="minorEastAsia" w:hAnsi="Times New Roman"/>
          <w:sz w:val="24"/>
          <w:lang w:val="en-US"/>
        </w:rPr>
        <w:t>SNP</w:t>
      </w:r>
      <w:proofErr w:type="spellEnd"/>
      <w:r w:rsidRPr="00A3753C">
        <w:rPr>
          <w:rFonts w:ascii="Times New Roman" w:eastAsiaTheme="minorEastAsia" w:hAnsi="Times New Roman"/>
          <w:sz w:val="24"/>
          <w:lang w:val="en-US"/>
        </w:rPr>
        <w:t xml:space="preserve"> associations </w:t>
      </w:r>
      <w:r w:rsidR="007C04F0">
        <w:rPr>
          <w:rFonts w:ascii="Times New Roman" w:eastAsiaTheme="minorEastAsia" w:hAnsi="Times New Roman"/>
          <w:sz w:val="24"/>
          <w:lang w:val="en-US"/>
        </w:rPr>
        <w:t>o</w:t>
      </w:r>
      <w:r w:rsidR="007C04F0" w:rsidRPr="00A3753C">
        <w:rPr>
          <w:rFonts w:ascii="Times New Roman" w:eastAsiaTheme="minorEastAsia" w:hAnsi="Times New Roman"/>
          <w:sz w:val="24"/>
          <w:lang w:val="en-US"/>
        </w:rPr>
        <w:t xml:space="preserve">n </w:t>
      </w:r>
      <w:r w:rsidRPr="00A3753C">
        <w:rPr>
          <w:rFonts w:ascii="Times New Roman" w:eastAsiaTheme="minorEastAsia" w:hAnsi="Times New Roman"/>
          <w:sz w:val="24"/>
          <w:lang w:val="en-US"/>
        </w:rPr>
        <w:t xml:space="preserve">autosomes, we also used non-additive models to verify if any recessive or dominant effects could explain the proposed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In Brahman, two autosomal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were </w:t>
      </w:r>
      <w:r w:rsidR="00341A2D">
        <w:rPr>
          <w:rFonts w:ascii="Times New Roman" w:eastAsiaTheme="minorEastAsia" w:hAnsi="Times New Roman"/>
          <w:sz w:val="24"/>
          <w:lang w:val="en-US"/>
        </w:rPr>
        <w:t>detected</w:t>
      </w:r>
      <w:r w:rsidR="00341A2D" w:rsidRPr="00A3753C">
        <w:rPr>
          <w:rFonts w:ascii="Times New Roman" w:eastAsiaTheme="minorEastAsia" w:hAnsi="Times New Roman"/>
          <w:sz w:val="24"/>
          <w:lang w:val="en-US"/>
        </w:rPr>
        <w:t xml:space="preserve"> </w:t>
      </w:r>
      <w:r w:rsidRPr="00A3753C">
        <w:rPr>
          <w:rFonts w:ascii="Times New Roman" w:eastAsiaTheme="minorEastAsia" w:hAnsi="Times New Roman"/>
          <w:sz w:val="24"/>
          <w:lang w:val="en-US"/>
        </w:rPr>
        <w:t xml:space="preserve">(see main text, Fig. 2): a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for </w:t>
      </w:r>
      <w:r w:rsidR="007C04F0">
        <w:rPr>
          <w:rFonts w:ascii="Times New Roman" w:eastAsiaTheme="minorEastAsia" w:hAnsi="Times New Roman"/>
          <w:sz w:val="24"/>
          <w:lang w:val="en-US"/>
        </w:rPr>
        <w:t>i</w:t>
      </w:r>
      <w:r w:rsidRPr="00A3753C">
        <w:rPr>
          <w:rFonts w:ascii="Times New Roman" w:eastAsiaTheme="minorEastAsia" w:hAnsi="Times New Roman"/>
          <w:sz w:val="24"/>
          <w:lang w:val="en-US"/>
        </w:rPr>
        <w:t>nhibin</w:t>
      </w:r>
      <w:r w:rsidR="007C04F0">
        <w:rPr>
          <w:rFonts w:ascii="Times New Roman" w:eastAsiaTheme="minorEastAsia" w:hAnsi="Times New Roman"/>
          <w:sz w:val="24"/>
          <w:lang w:val="en-US"/>
        </w:rPr>
        <w:t xml:space="preserve"> level o</w:t>
      </w:r>
      <w:r w:rsidRPr="00A3753C">
        <w:rPr>
          <w:rFonts w:ascii="Times New Roman" w:eastAsiaTheme="minorEastAsia" w:hAnsi="Times New Roman"/>
          <w:sz w:val="24"/>
          <w:lang w:val="en-US"/>
        </w:rPr>
        <w:t xml:space="preserve">n chromosome 2 and a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for </w:t>
      </w:r>
      <w:proofErr w:type="spellStart"/>
      <w:r w:rsidRPr="00A3753C">
        <w:rPr>
          <w:rFonts w:ascii="Times New Roman" w:eastAsiaTheme="minorEastAsia" w:hAnsi="Times New Roman"/>
          <w:sz w:val="24"/>
          <w:lang w:val="en-US"/>
        </w:rPr>
        <w:t>DFI3</w:t>
      </w:r>
      <w:proofErr w:type="spellEnd"/>
      <w:r w:rsidRPr="00A3753C">
        <w:rPr>
          <w:rFonts w:ascii="Times New Roman" w:eastAsiaTheme="minorEastAsia" w:hAnsi="Times New Roman"/>
          <w:sz w:val="24"/>
          <w:lang w:val="en-US"/>
        </w:rPr>
        <w:t xml:space="preserve"> </w:t>
      </w:r>
      <w:r w:rsidR="007C04F0">
        <w:rPr>
          <w:rFonts w:ascii="Times New Roman" w:eastAsiaTheme="minorEastAsia" w:hAnsi="Times New Roman"/>
          <w:sz w:val="24"/>
          <w:lang w:val="en-US"/>
        </w:rPr>
        <w:t>o</w:t>
      </w:r>
      <w:r w:rsidRPr="00A3753C">
        <w:rPr>
          <w:rFonts w:ascii="Times New Roman" w:eastAsiaTheme="minorEastAsia" w:hAnsi="Times New Roman"/>
          <w:sz w:val="24"/>
          <w:lang w:val="en-US"/>
        </w:rPr>
        <w:t xml:space="preserve">n chromosome 11. In Tropical Composites, the only autosomal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was associated with </w:t>
      </w:r>
      <w:proofErr w:type="spellStart"/>
      <w:r w:rsidRPr="00A3753C">
        <w:rPr>
          <w:rFonts w:ascii="Times New Roman" w:eastAsiaTheme="minorEastAsia" w:hAnsi="Times New Roman"/>
          <w:sz w:val="24"/>
          <w:lang w:val="en-US"/>
        </w:rPr>
        <w:t>SC24</w:t>
      </w:r>
      <w:proofErr w:type="spellEnd"/>
      <w:r w:rsidRPr="00A3753C">
        <w:rPr>
          <w:rFonts w:ascii="Times New Roman" w:eastAsiaTheme="minorEastAsia" w:hAnsi="Times New Roman"/>
          <w:sz w:val="24"/>
          <w:lang w:val="en-US"/>
        </w:rPr>
        <w:t xml:space="preserve"> on chromosome 5. The </w:t>
      </w:r>
      <w:proofErr w:type="spellStart"/>
      <w:r w:rsidRPr="00A3753C">
        <w:rPr>
          <w:rFonts w:ascii="Times New Roman" w:eastAsiaTheme="minorEastAsia" w:hAnsi="Times New Roman"/>
          <w:sz w:val="24"/>
          <w:lang w:val="en-US"/>
        </w:rPr>
        <w:t>QTL</w:t>
      </w:r>
      <w:proofErr w:type="spellEnd"/>
      <w:r w:rsidRPr="00A3753C">
        <w:rPr>
          <w:rFonts w:ascii="Times New Roman" w:eastAsiaTheme="minorEastAsia" w:hAnsi="Times New Roman"/>
          <w:sz w:val="24"/>
          <w:lang w:val="en-US"/>
        </w:rPr>
        <w:t xml:space="preserve"> </w:t>
      </w:r>
      <w:r w:rsidR="007C04F0">
        <w:rPr>
          <w:rFonts w:ascii="Times New Roman" w:eastAsiaTheme="minorEastAsia" w:hAnsi="Times New Roman"/>
          <w:sz w:val="24"/>
          <w:lang w:val="en-US"/>
        </w:rPr>
        <w:t>for i</w:t>
      </w:r>
      <w:r w:rsidR="007C04F0" w:rsidRPr="00A3753C">
        <w:rPr>
          <w:rFonts w:ascii="Times New Roman" w:eastAsiaTheme="minorEastAsia" w:hAnsi="Times New Roman"/>
          <w:sz w:val="24"/>
          <w:lang w:val="en-US"/>
        </w:rPr>
        <w:t xml:space="preserve">nhibin </w:t>
      </w:r>
      <w:r w:rsidR="007C04F0">
        <w:rPr>
          <w:rFonts w:ascii="Times New Roman" w:eastAsiaTheme="minorEastAsia" w:hAnsi="Times New Roman"/>
          <w:sz w:val="24"/>
          <w:lang w:val="en-US"/>
        </w:rPr>
        <w:t>level in</w:t>
      </w:r>
      <w:r w:rsidR="007C04F0" w:rsidRPr="00A3753C">
        <w:rPr>
          <w:rFonts w:ascii="Times New Roman" w:eastAsiaTheme="minorEastAsia" w:hAnsi="Times New Roman"/>
          <w:sz w:val="24"/>
          <w:lang w:val="en-US"/>
        </w:rPr>
        <w:t xml:space="preserve"> </w:t>
      </w:r>
      <w:r w:rsidRPr="00A3753C">
        <w:rPr>
          <w:rFonts w:ascii="Times New Roman" w:eastAsiaTheme="minorEastAsia" w:hAnsi="Times New Roman"/>
          <w:sz w:val="24"/>
          <w:lang w:val="en-US"/>
        </w:rPr>
        <w:t xml:space="preserve">Brahman on chromosome 2 seemed less significant when non-additive models were used. The same was true for </w:t>
      </w:r>
      <w:r w:rsidR="00341A2D">
        <w:rPr>
          <w:rFonts w:ascii="Times New Roman" w:eastAsiaTheme="minorEastAsia" w:hAnsi="Times New Roman"/>
          <w:sz w:val="24"/>
          <w:lang w:val="en-US"/>
        </w:rPr>
        <w:t xml:space="preserve">the </w:t>
      </w:r>
      <w:proofErr w:type="spellStart"/>
      <w:r w:rsidR="00341A2D" w:rsidRPr="00A3753C">
        <w:rPr>
          <w:rFonts w:ascii="Times New Roman" w:eastAsiaTheme="minorEastAsia" w:hAnsi="Times New Roman"/>
          <w:sz w:val="24"/>
          <w:lang w:val="en-US"/>
        </w:rPr>
        <w:t>SC24</w:t>
      </w:r>
      <w:proofErr w:type="spellEnd"/>
      <w:r w:rsidR="00341A2D" w:rsidRPr="00A3753C">
        <w:rPr>
          <w:rFonts w:ascii="Times New Roman" w:eastAsiaTheme="minorEastAsia" w:hAnsi="Times New Roman"/>
          <w:sz w:val="24"/>
          <w:lang w:val="en-US"/>
        </w:rPr>
        <w:t xml:space="preserve"> </w:t>
      </w:r>
      <w:proofErr w:type="spellStart"/>
      <w:r w:rsidR="00341A2D" w:rsidRPr="00A3753C">
        <w:rPr>
          <w:rFonts w:ascii="Times New Roman" w:eastAsiaTheme="minorEastAsia" w:hAnsi="Times New Roman"/>
          <w:sz w:val="24"/>
          <w:lang w:val="en-US"/>
        </w:rPr>
        <w:t>QTL</w:t>
      </w:r>
      <w:proofErr w:type="spellEnd"/>
      <w:r w:rsidR="00341A2D" w:rsidRPr="00A3753C">
        <w:rPr>
          <w:rFonts w:ascii="Times New Roman" w:eastAsiaTheme="minorEastAsia" w:hAnsi="Times New Roman"/>
          <w:sz w:val="24"/>
          <w:lang w:val="en-US"/>
        </w:rPr>
        <w:t xml:space="preserve"> </w:t>
      </w:r>
      <w:r w:rsidR="00341A2D">
        <w:rPr>
          <w:rFonts w:ascii="Times New Roman" w:eastAsiaTheme="minorEastAsia" w:hAnsi="Times New Roman"/>
          <w:sz w:val="24"/>
          <w:lang w:val="en-US"/>
        </w:rPr>
        <w:t xml:space="preserve">on </w:t>
      </w:r>
      <w:r w:rsidRPr="00A3753C">
        <w:rPr>
          <w:rFonts w:ascii="Times New Roman" w:eastAsiaTheme="minorEastAsia" w:hAnsi="Times New Roman"/>
          <w:sz w:val="24"/>
          <w:lang w:val="en-US"/>
        </w:rPr>
        <w:t xml:space="preserve">chromosome 5 in Tropical composites. </w:t>
      </w:r>
      <w:r w:rsidR="00341A2D">
        <w:rPr>
          <w:rFonts w:ascii="Times New Roman" w:eastAsiaTheme="minorEastAsia" w:hAnsi="Times New Roman"/>
          <w:sz w:val="24"/>
          <w:lang w:val="en-US"/>
        </w:rPr>
        <w:t>The only case for which</w:t>
      </w:r>
      <w:r w:rsidRPr="00A3753C">
        <w:rPr>
          <w:rFonts w:ascii="Times New Roman" w:eastAsiaTheme="minorEastAsia" w:hAnsi="Times New Roman"/>
          <w:sz w:val="24"/>
          <w:lang w:val="en-US"/>
        </w:rPr>
        <w:t xml:space="preserve"> the </w:t>
      </w:r>
      <w:r w:rsidRPr="00A3753C">
        <w:rPr>
          <w:rFonts w:ascii="Times New Roman" w:eastAsiaTheme="minorEastAsia" w:hAnsi="Times New Roman"/>
          <w:sz w:val="24"/>
          <w:lang w:val="en-US"/>
        </w:rPr>
        <w:lastRenderedPageBreak/>
        <w:t xml:space="preserve">recessive model was able to capture more extreme </w:t>
      </w:r>
      <w:proofErr w:type="spellStart"/>
      <w:r w:rsidRPr="00A3753C">
        <w:rPr>
          <w:rFonts w:ascii="Times New Roman" w:eastAsiaTheme="minorEastAsia" w:hAnsi="Times New Roman"/>
          <w:sz w:val="24"/>
          <w:lang w:val="en-US"/>
        </w:rPr>
        <w:t>SNP</w:t>
      </w:r>
      <w:proofErr w:type="spellEnd"/>
      <w:r w:rsidRPr="00A3753C">
        <w:rPr>
          <w:rFonts w:ascii="Times New Roman" w:eastAsiaTheme="minorEastAsia" w:hAnsi="Times New Roman"/>
          <w:sz w:val="24"/>
          <w:lang w:val="en-US"/>
        </w:rPr>
        <w:t xml:space="preserve"> associations (lowest </w:t>
      </w:r>
      <w:r w:rsidRPr="00A3753C">
        <w:rPr>
          <w:rFonts w:ascii="Times New Roman" w:eastAsiaTheme="minorEastAsia" w:hAnsi="Times New Roman"/>
          <w:i/>
          <w:sz w:val="24"/>
          <w:lang w:val="en-US"/>
        </w:rPr>
        <w:t>P</w:t>
      </w:r>
      <w:r w:rsidRPr="00A3753C">
        <w:rPr>
          <w:rFonts w:ascii="Times New Roman" w:eastAsiaTheme="minorEastAsia" w:hAnsi="Times New Roman"/>
          <w:sz w:val="24"/>
          <w:lang w:val="en-US"/>
        </w:rPr>
        <w:t>-value = 3.38</w:t>
      </w:r>
      <m:oMath>
        <m:r>
          <w:rPr>
            <w:rFonts w:ascii="Cambria Math" w:eastAsiaTheme="minorEastAsia" w:hAnsi="Cambria Math"/>
            <w:sz w:val="24"/>
            <w:lang w:val="en-US"/>
          </w:rPr>
          <m:t>×</m:t>
        </m:r>
      </m:oMath>
      <w:r w:rsidRPr="00A3753C">
        <w:rPr>
          <w:rFonts w:ascii="Times New Roman" w:eastAsiaTheme="minorEastAsia" w:hAnsi="Times New Roman"/>
          <w:sz w:val="24"/>
          <w:lang w:val="en-US"/>
        </w:rPr>
        <w:t>10</w:t>
      </w:r>
      <w:r w:rsidRPr="00A3753C">
        <w:rPr>
          <w:rFonts w:ascii="Times New Roman" w:eastAsiaTheme="minorEastAsia" w:hAnsi="Times New Roman"/>
          <w:sz w:val="24"/>
          <w:vertAlign w:val="superscript"/>
          <w:lang w:val="en-US"/>
        </w:rPr>
        <w:t>-30</w:t>
      </w:r>
      <w:r w:rsidRPr="00A3753C">
        <w:rPr>
          <w:rFonts w:ascii="Times New Roman" w:eastAsiaTheme="minorEastAsia" w:hAnsi="Times New Roman"/>
          <w:sz w:val="24"/>
          <w:lang w:val="en-US"/>
        </w:rPr>
        <w:t xml:space="preserve">; peak </w:t>
      </w:r>
      <w:proofErr w:type="spellStart"/>
      <w:r w:rsidRPr="00A3753C">
        <w:rPr>
          <w:rFonts w:ascii="Times New Roman" w:eastAsiaTheme="minorEastAsia" w:hAnsi="Times New Roman"/>
          <w:sz w:val="24"/>
          <w:lang w:val="en-US"/>
        </w:rPr>
        <w:t>SNP</w:t>
      </w:r>
      <w:proofErr w:type="spellEnd"/>
      <w:r w:rsidRPr="00A3753C">
        <w:rPr>
          <w:rFonts w:ascii="Times New Roman" w:eastAsiaTheme="minorEastAsia" w:hAnsi="Times New Roman"/>
          <w:sz w:val="24"/>
          <w:lang w:val="en-US"/>
        </w:rPr>
        <w:t xml:space="preserve"> was located at 11:105,086,184 bp)</w:t>
      </w:r>
      <w:r w:rsidR="00341A2D">
        <w:rPr>
          <w:rFonts w:ascii="Times New Roman" w:eastAsiaTheme="minorEastAsia" w:hAnsi="Times New Roman"/>
          <w:sz w:val="24"/>
          <w:lang w:val="en-US"/>
        </w:rPr>
        <w:t xml:space="preserve"> was for the</w:t>
      </w:r>
      <w:r w:rsidR="00341A2D" w:rsidRPr="00341A2D">
        <w:rPr>
          <w:rFonts w:ascii="Times New Roman" w:eastAsiaTheme="minorEastAsia" w:hAnsi="Times New Roman"/>
          <w:sz w:val="24"/>
          <w:lang w:val="en-US"/>
        </w:rPr>
        <w:t xml:space="preserve"> </w:t>
      </w:r>
      <w:proofErr w:type="spellStart"/>
      <w:r w:rsidR="00341A2D" w:rsidRPr="00A3753C">
        <w:rPr>
          <w:rFonts w:ascii="Times New Roman" w:eastAsiaTheme="minorEastAsia" w:hAnsi="Times New Roman"/>
          <w:sz w:val="24"/>
          <w:lang w:val="en-US"/>
        </w:rPr>
        <w:t>DFI3</w:t>
      </w:r>
      <w:proofErr w:type="spellEnd"/>
      <w:r w:rsidR="00341A2D" w:rsidRPr="00A3753C">
        <w:rPr>
          <w:rFonts w:ascii="Times New Roman" w:eastAsiaTheme="minorEastAsia" w:hAnsi="Times New Roman"/>
          <w:sz w:val="24"/>
          <w:lang w:val="en-US"/>
        </w:rPr>
        <w:t xml:space="preserve"> </w:t>
      </w:r>
      <w:proofErr w:type="spellStart"/>
      <w:r w:rsidR="00341A2D" w:rsidRPr="00A3753C">
        <w:rPr>
          <w:rFonts w:ascii="Times New Roman" w:eastAsiaTheme="minorEastAsia" w:hAnsi="Times New Roman"/>
          <w:sz w:val="24"/>
          <w:lang w:val="en-US"/>
        </w:rPr>
        <w:t>QTL</w:t>
      </w:r>
      <w:proofErr w:type="spellEnd"/>
      <w:r w:rsidR="00341A2D" w:rsidRPr="00A3753C">
        <w:rPr>
          <w:rFonts w:ascii="Times New Roman" w:eastAsiaTheme="minorEastAsia" w:hAnsi="Times New Roman"/>
          <w:sz w:val="24"/>
          <w:lang w:val="en-US"/>
        </w:rPr>
        <w:t xml:space="preserve"> </w:t>
      </w:r>
      <w:r w:rsidR="00341A2D">
        <w:rPr>
          <w:rFonts w:ascii="Times New Roman" w:eastAsiaTheme="minorEastAsia" w:hAnsi="Times New Roman"/>
          <w:sz w:val="24"/>
          <w:lang w:val="en-US"/>
        </w:rPr>
        <w:t>o</w:t>
      </w:r>
      <w:r w:rsidR="00341A2D" w:rsidRPr="00A3753C">
        <w:rPr>
          <w:rFonts w:ascii="Times New Roman" w:eastAsiaTheme="minorEastAsia" w:hAnsi="Times New Roman"/>
          <w:sz w:val="24"/>
          <w:lang w:val="en-US"/>
        </w:rPr>
        <w:t>n chromosome 11</w:t>
      </w:r>
      <w:r w:rsidRPr="00A3753C">
        <w:rPr>
          <w:rFonts w:ascii="Times New Roman" w:eastAsiaTheme="minorEastAsia" w:hAnsi="Times New Roman"/>
          <w:sz w:val="24"/>
          <w:lang w:val="en-US"/>
        </w:rPr>
        <w:t xml:space="preserve">. Note that the peak </w:t>
      </w:r>
      <w:proofErr w:type="spellStart"/>
      <w:r w:rsidRPr="00A3753C">
        <w:rPr>
          <w:rFonts w:ascii="Times New Roman" w:eastAsiaTheme="minorEastAsia" w:hAnsi="Times New Roman"/>
          <w:sz w:val="24"/>
          <w:lang w:val="en-US"/>
        </w:rPr>
        <w:t>SNP</w:t>
      </w:r>
      <w:proofErr w:type="spellEnd"/>
      <w:r w:rsidRPr="00A3753C">
        <w:rPr>
          <w:rFonts w:ascii="Times New Roman" w:eastAsiaTheme="minorEastAsia" w:hAnsi="Times New Roman"/>
          <w:sz w:val="24"/>
          <w:lang w:val="en-US"/>
        </w:rPr>
        <w:t xml:space="preserve"> </w:t>
      </w:r>
      <w:r w:rsidR="00341A2D" w:rsidRPr="00A3753C">
        <w:rPr>
          <w:rFonts w:ascii="Times New Roman" w:eastAsiaTheme="minorEastAsia" w:hAnsi="Times New Roman"/>
          <w:sz w:val="24"/>
          <w:lang w:val="en-US"/>
        </w:rPr>
        <w:t xml:space="preserve">for </w:t>
      </w:r>
      <w:proofErr w:type="spellStart"/>
      <w:r w:rsidR="00341A2D" w:rsidRPr="00A3753C">
        <w:rPr>
          <w:rFonts w:ascii="Times New Roman" w:eastAsiaTheme="minorEastAsia" w:hAnsi="Times New Roman"/>
          <w:sz w:val="24"/>
          <w:lang w:val="en-US"/>
        </w:rPr>
        <w:t>DF13</w:t>
      </w:r>
      <w:proofErr w:type="spellEnd"/>
      <w:r w:rsidR="00341A2D">
        <w:rPr>
          <w:rFonts w:ascii="Times New Roman" w:eastAsiaTheme="minorEastAsia" w:hAnsi="Times New Roman"/>
          <w:sz w:val="24"/>
          <w:lang w:val="en-US"/>
        </w:rPr>
        <w:t xml:space="preserve"> </w:t>
      </w:r>
      <w:r w:rsidRPr="00A3753C">
        <w:rPr>
          <w:rFonts w:ascii="Times New Roman" w:eastAsiaTheme="minorEastAsia" w:hAnsi="Times New Roman"/>
          <w:sz w:val="24"/>
          <w:lang w:val="en-US"/>
        </w:rPr>
        <w:t xml:space="preserve">is different </w:t>
      </w:r>
      <w:r w:rsidR="00341A2D">
        <w:rPr>
          <w:rFonts w:ascii="Times New Roman" w:eastAsiaTheme="minorEastAsia" w:hAnsi="Times New Roman"/>
          <w:sz w:val="24"/>
          <w:lang w:val="en-US"/>
        </w:rPr>
        <w:t xml:space="preserve">between </w:t>
      </w:r>
      <w:r w:rsidRPr="00A3753C">
        <w:rPr>
          <w:rFonts w:ascii="Times New Roman" w:eastAsiaTheme="minorEastAsia" w:hAnsi="Times New Roman"/>
          <w:sz w:val="24"/>
          <w:lang w:val="en-US"/>
        </w:rPr>
        <w:t xml:space="preserve">the additive model </w:t>
      </w:r>
      <w:r w:rsidR="00341A2D">
        <w:rPr>
          <w:rFonts w:ascii="Times New Roman" w:eastAsiaTheme="minorEastAsia" w:hAnsi="Times New Roman"/>
          <w:sz w:val="24"/>
          <w:lang w:val="en-US"/>
        </w:rPr>
        <w:t>and</w:t>
      </w:r>
      <w:r w:rsidRPr="00A3753C">
        <w:rPr>
          <w:rFonts w:ascii="Times New Roman" w:eastAsiaTheme="minorEastAsia" w:hAnsi="Times New Roman"/>
          <w:sz w:val="24"/>
          <w:lang w:val="en-US"/>
        </w:rPr>
        <w:t xml:space="preserve"> the recessive model </w:t>
      </w:r>
      <w:r w:rsidR="007C04F0">
        <w:rPr>
          <w:rFonts w:ascii="Times New Roman" w:eastAsiaTheme="minorEastAsia" w:hAnsi="Times New Roman"/>
          <w:sz w:val="24"/>
          <w:lang w:val="en-US"/>
        </w:rPr>
        <w:t xml:space="preserve">[see Additional file 5 </w:t>
      </w:r>
      <w:r w:rsidRPr="00A3753C">
        <w:rPr>
          <w:rFonts w:ascii="Times New Roman" w:eastAsiaTheme="minorEastAsia" w:hAnsi="Times New Roman"/>
          <w:sz w:val="24"/>
          <w:lang w:val="en-US"/>
        </w:rPr>
        <w:t>Fig</w:t>
      </w:r>
      <w:r w:rsidR="007C04F0">
        <w:rPr>
          <w:rFonts w:ascii="Times New Roman" w:eastAsiaTheme="minorEastAsia" w:hAnsi="Times New Roman"/>
          <w:sz w:val="24"/>
          <w:lang w:val="en-US"/>
        </w:rPr>
        <w:t>ure</w:t>
      </w:r>
      <w:r w:rsidRPr="00A3753C">
        <w:rPr>
          <w:rFonts w:ascii="Times New Roman" w:eastAsiaTheme="minorEastAsia" w:hAnsi="Times New Roman"/>
          <w:sz w:val="24"/>
          <w:lang w:val="en-US"/>
        </w:rPr>
        <w:t xml:space="preserve"> </w:t>
      </w:r>
      <w:proofErr w:type="spellStart"/>
      <w:r w:rsidRPr="00A3753C">
        <w:rPr>
          <w:rFonts w:ascii="Times New Roman" w:eastAsiaTheme="minorEastAsia" w:hAnsi="Times New Roman"/>
          <w:sz w:val="24"/>
          <w:lang w:val="en-US"/>
        </w:rPr>
        <w:t>S11</w:t>
      </w:r>
      <w:proofErr w:type="spellEnd"/>
      <w:r w:rsidR="007C04F0">
        <w:rPr>
          <w:rFonts w:ascii="Times New Roman" w:eastAsiaTheme="minorEastAsia" w:hAnsi="Times New Roman"/>
          <w:sz w:val="24"/>
          <w:lang w:val="en-US"/>
        </w:rPr>
        <w:t>]</w:t>
      </w:r>
      <w:r w:rsidRPr="00A3753C">
        <w:rPr>
          <w:rFonts w:ascii="Times New Roman" w:eastAsiaTheme="minorEastAsia" w:hAnsi="Times New Roman"/>
          <w:sz w:val="24"/>
          <w:lang w:val="en-US"/>
        </w:rPr>
        <w:t>.</w:t>
      </w:r>
      <w:bookmarkStart w:id="0" w:name="_GoBack"/>
      <w:bookmarkEnd w:id="0"/>
    </w:p>
    <w:p w:rsidR="00646AA5" w:rsidRPr="00A3753C" w:rsidRDefault="00646AA5">
      <w:pPr>
        <w:rPr>
          <w:lang w:val="en-US"/>
        </w:rPr>
      </w:pPr>
    </w:p>
    <w:sectPr w:rsidR="00646AA5" w:rsidRPr="00A3753C" w:rsidSect="0099421C">
      <w:foot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9D0" w:rsidRDefault="006D69D0">
      <w:pPr>
        <w:spacing w:after="0" w:line="240" w:lineRule="auto"/>
      </w:pPr>
      <w:r>
        <w:separator/>
      </w:r>
    </w:p>
  </w:endnote>
  <w:endnote w:type="continuationSeparator" w:id="0">
    <w:p w:rsidR="006D69D0" w:rsidRDefault="006D6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941427465"/>
      <w:docPartObj>
        <w:docPartGallery w:val="Page Numbers (Bottom of Page)"/>
        <w:docPartUnique/>
      </w:docPartObj>
    </w:sdtPr>
    <w:sdtContent>
      <w:p w:rsidR="005C2989" w:rsidRPr="006F45E9" w:rsidRDefault="00C24087" w:rsidP="006F45E9">
        <w:pPr>
          <w:pStyle w:val="Footer"/>
          <w:jc w:val="right"/>
          <w:rPr>
            <w:rFonts w:ascii="Times New Roman" w:hAnsi="Times New Roman"/>
          </w:rPr>
        </w:pPr>
        <w:r w:rsidRPr="006F45E9">
          <w:rPr>
            <w:rFonts w:ascii="Times New Roman" w:hAnsi="Times New Roman"/>
          </w:rPr>
          <w:fldChar w:fldCharType="begin"/>
        </w:r>
        <w:r w:rsidR="003B61ED" w:rsidRPr="006F45E9">
          <w:rPr>
            <w:rFonts w:ascii="Times New Roman" w:hAnsi="Times New Roman"/>
          </w:rPr>
          <w:instrText xml:space="preserve"> PAGE   \* MERGEFORMAT </w:instrText>
        </w:r>
        <w:r w:rsidRPr="006F45E9">
          <w:rPr>
            <w:rFonts w:ascii="Times New Roman" w:hAnsi="Times New Roman"/>
          </w:rPr>
          <w:fldChar w:fldCharType="separate"/>
        </w:r>
        <w:r w:rsidR="00B25D8B">
          <w:rPr>
            <w:rFonts w:ascii="Times New Roman" w:hAnsi="Times New Roman"/>
            <w:noProof/>
          </w:rPr>
          <w:t>5</w:t>
        </w:r>
        <w:r w:rsidRPr="006F45E9">
          <w:rPr>
            <w:rFonts w:ascii="Times New Roman" w:hAnsi="Times New Roman"/>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2143621316"/>
      <w:docPartObj>
        <w:docPartGallery w:val="Page Numbers (Bottom of Page)"/>
        <w:docPartUnique/>
      </w:docPartObj>
    </w:sdtPr>
    <w:sdtContent>
      <w:p w:rsidR="005C2989" w:rsidRPr="006F45E9" w:rsidRDefault="00C24087" w:rsidP="006F45E9">
        <w:pPr>
          <w:pStyle w:val="Footer"/>
          <w:jc w:val="right"/>
          <w:rPr>
            <w:rFonts w:ascii="Times New Roman" w:hAnsi="Times New Roman"/>
          </w:rPr>
        </w:pPr>
        <w:r w:rsidRPr="006F45E9">
          <w:rPr>
            <w:rFonts w:ascii="Times New Roman" w:hAnsi="Times New Roman"/>
          </w:rPr>
          <w:fldChar w:fldCharType="begin"/>
        </w:r>
        <w:r w:rsidR="003B61ED" w:rsidRPr="006F45E9">
          <w:rPr>
            <w:rFonts w:ascii="Times New Roman" w:hAnsi="Times New Roman"/>
          </w:rPr>
          <w:instrText xml:space="preserve"> PAGE   \* MERGEFORMAT </w:instrText>
        </w:r>
        <w:r w:rsidRPr="006F45E9">
          <w:rPr>
            <w:rFonts w:ascii="Times New Roman" w:hAnsi="Times New Roman"/>
          </w:rPr>
          <w:fldChar w:fldCharType="separate"/>
        </w:r>
        <w:r w:rsidR="00B25D8B">
          <w:rPr>
            <w:rFonts w:ascii="Times New Roman" w:hAnsi="Times New Roman"/>
            <w:noProof/>
          </w:rPr>
          <w:t>6</w:t>
        </w:r>
        <w:r w:rsidRPr="006F45E9">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9D0" w:rsidRDefault="006D69D0">
      <w:pPr>
        <w:spacing w:after="0" w:line="240" w:lineRule="auto"/>
      </w:pPr>
      <w:r>
        <w:separator/>
      </w:r>
    </w:p>
  </w:footnote>
  <w:footnote w:type="continuationSeparator" w:id="0">
    <w:p w:rsidR="006D69D0" w:rsidRDefault="006D69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17681"/>
    <w:multiLevelType w:val="multilevel"/>
    <w:tmpl w:val="016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6A0002"/>
    <w:rsid w:val="001369B1"/>
    <w:rsid w:val="00144CBF"/>
    <w:rsid w:val="001B0F14"/>
    <w:rsid w:val="00213071"/>
    <w:rsid w:val="002F7F98"/>
    <w:rsid w:val="00327479"/>
    <w:rsid w:val="00341A2D"/>
    <w:rsid w:val="00352E72"/>
    <w:rsid w:val="003B61ED"/>
    <w:rsid w:val="0052115E"/>
    <w:rsid w:val="00574A08"/>
    <w:rsid w:val="005B41B7"/>
    <w:rsid w:val="00646AA5"/>
    <w:rsid w:val="006A0002"/>
    <w:rsid w:val="006C051E"/>
    <w:rsid w:val="006D0DC0"/>
    <w:rsid w:val="006D69D0"/>
    <w:rsid w:val="00704AE2"/>
    <w:rsid w:val="007937C5"/>
    <w:rsid w:val="00796CEC"/>
    <w:rsid w:val="007C04F0"/>
    <w:rsid w:val="007E1155"/>
    <w:rsid w:val="008F0151"/>
    <w:rsid w:val="009525E9"/>
    <w:rsid w:val="009A069F"/>
    <w:rsid w:val="009B4C24"/>
    <w:rsid w:val="00A15DE7"/>
    <w:rsid w:val="00A3753C"/>
    <w:rsid w:val="00A610D4"/>
    <w:rsid w:val="00A86D06"/>
    <w:rsid w:val="00B25D8B"/>
    <w:rsid w:val="00B91631"/>
    <w:rsid w:val="00B91E7F"/>
    <w:rsid w:val="00BE6B0B"/>
    <w:rsid w:val="00C24087"/>
    <w:rsid w:val="00D81189"/>
    <w:rsid w:val="00DA2AF0"/>
    <w:rsid w:val="00E0341C"/>
    <w:rsid w:val="00E11F35"/>
    <w:rsid w:val="00E30EB8"/>
    <w:rsid w:val="00F26A1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002"/>
    <w:rPr>
      <w:lang w:val="fr-FR"/>
    </w:rPr>
  </w:style>
  <w:style w:type="paragraph" w:styleId="Heading1">
    <w:name w:val="heading 1"/>
    <w:basedOn w:val="Normal"/>
    <w:link w:val="Heading1Char"/>
    <w:uiPriority w:val="9"/>
    <w:qFormat/>
    <w:rsid w:val="00A610D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Heading1">
    <w:name w:val="CE Heading 1"/>
    <w:qFormat/>
    <w:rsid w:val="006A0002"/>
    <w:pPr>
      <w:keepNext/>
      <w:widowControl w:val="0"/>
      <w:spacing w:before="240" w:after="240" w:line="360" w:lineRule="auto"/>
      <w:jc w:val="center"/>
      <w:outlineLvl w:val="0"/>
    </w:pPr>
    <w:rPr>
      <w:rFonts w:ascii="Times New Roman" w:eastAsiaTheme="minorEastAsia" w:hAnsi="Times New Roman"/>
      <w:b/>
      <w:noProof/>
      <w:sz w:val="24"/>
      <w:szCs w:val="24"/>
    </w:rPr>
  </w:style>
  <w:style w:type="paragraph" w:customStyle="1" w:styleId="CEHeading2">
    <w:name w:val="CE Heading 2"/>
    <w:qFormat/>
    <w:rsid w:val="006A0002"/>
    <w:pPr>
      <w:keepNext/>
      <w:widowControl w:val="0"/>
      <w:spacing w:before="240" w:after="240" w:line="360" w:lineRule="auto"/>
      <w:jc w:val="both"/>
      <w:outlineLvl w:val="1"/>
    </w:pPr>
    <w:rPr>
      <w:rFonts w:ascii="Times New Roman" w:eastAsiaTheme="minorEastAsia" w:hAnsi="Times New Roman"/>
      <w:b/>
      <w:noProof/>
      <w:sz w:val="24"/>
      <w:szCs w:val="24"/>
    </w:rPr>
  </w:style>
  <w:style w:type="paragraph" w:customStyle="1" w:styleId="CEHeading3">
    <w:name w:val="CE Heading 3"/>
    <w:qFormat/>
    <w:rsid w:val="006A0002"/>
    <w:pPr>
      <w:keepNext/>
      <w:widowControl w:val="0"/>
      <w:spacing w:before="240" w:after="240" w:line="360" w:lineRule="auto"/>
      <w:jc w:val="both"/>
      <w:outlineLvl w:val="2"/>
    </w:pPr>
    <w:rPr>
      <w:rFonts w:ascii="Times New Roman" w:eastAsiaTheme="minorEastAsia" w:hAnsi="Times New Roman"/>
      <w:b/>
      <w:i/>
      <w:noProof/>
      <w:sz w:val="24"/>
      <w:szCs w:val="24"/>
    </w:rPr>
  </w:style>
  <w:style w:type="paragraph" w:customStyle="1" w:styleId="5275Body">
    <w:name w:val="5275_Body"/>
    <w:basedOn w:val="Normal"/>
    <w:qFormat/>
    <w:rsid w:val="006A0002"/>
    <w:pPr>
      <w:spacing w:before="240" w:after="240" w:line="360" w:lineRule="auto"/>
      <w:ind w:firstLine="720"/>
      <w:jc w:val="both"/>
    </w:pPr>
    <w:rPr>
      <w:rFonts w:ascii="Times New Roman" w:eastAsiaTheme="minorEastAsia" w:hAnsi="Times New Roman"/>
      <w:noProof/>
      <w:sz w:val="24"/>
      <w:szCs w:val="24"/>
      <w:lang w:val="en-US"/>
    </w:rPr>
  </w:style>
  <w:style w:type="paragraph" w:customStyle="1" w:styleId="EndNoteBibliography">
    <w:name w:val="EndNote Bibliography"/>
    <w:basedOn w:val="Normal"/>
    <w:link w:val="EndNoteBibliographyChar"/>
    <w:rsid w:val="006A0002"/>
    <w:pPr>
      <w:spacing w:line="240" w:lineRule="auto"/>
    </w:pPr>
    <w:rPr>
      <w:rFonts w:ascii="Arial" w:hAnsi="Arial" w:cs="Arial"/>
      <w:lang w:val="en-AU"/>
    </w:rPr>
  </w:style>
  <w:style w:type="character" w:customStyle="1" w:styleId="EndNoteBibliographyChar">
    <w:name w:val="EndNote Bibliography Char"/>
    <w:basedOn w:val="DefaultParagraphFont"/>
    <w:link w:val="EndNoteBibliography"/>
    <w:rsid w:val="006A0002"/>
    <w:rPr>
      <w:rFonts w:ascii="Arial" w:hAnsi="Arial" w:cs="Arial"/>
    </w:rPr>
  </w:style>
  <w:style w:type="paragraph" w:styleId="Footer">
    <w:name w:val="footer"/>
    <w:basedOn w:val="Normal"/>
    <w:link w:val="FooterChar"/>
    <w:uiPriority w:val="99"/>
    <w:unhideWhenUsed/>
    <w:rsid w:val="006A0002"/>
    <w:pPr>
      <w:tabs>
        <w:tab w:val="center" w:pos="4513"/>
        <w:tab w:val="right" w:pos="9026"/>
      </w:tabs>
    </w:pPr>
    <w:rPr>
      <w:lang w:val="en-AU"/>
    </w:rPr>
  </w:style>
  <w:style w:type="character" w:customStyle="1" w:styleId="FooterChar">
    <w:name w:val="Footer Char"/>
    <w:basedOn w:val="DefaultParagraphFont"/>
    <w:link w:val="Footer"/>
    <w:uiPriority w:val="99"/>
    <w:rsid w:val="006A0002"/>
  </w:style>
  <w:style w:type="paragraph" w:customStyle="1" w:styleId="CETabH">
    <w:name w:val="CE Tab H"/>
    <w:qFormat/>
    <w:rsid w:val="006A0002"/>
    <w:pPr>
      <w:keepNext/>
      <w:widowControl w:val="0"/>
      <w:spacing w:before="240" w:after="240" w:line="360" w:lineRule="auto"/>
      <w:jc w:val="center"/>
    </w:pPr>
    <w:rPr>
      <w:rFonts w:ascii="Times New Roman" w:eastAsiaTheme="minorEastAsia" w:hAnsi="Times New Roman"/>
      <w:b/>
      <w:noProof/>
      <w:sz w:val="24"/>
      <w:szCs w:val="24"/>
    </w:rPr>
  </w:style>
  <w:style w:type="paragraph" w:customStyle="1" w:styleId="CETabText">
    <w:name w:val="CE Tab Text"/>
    <w:qFormat/>
    <w:rsid w:val="006A0002"/>
    <w:pPr>
      <w:widowControl w:val="0"/>
      <w:spacing w:line="360" w:lineRule="auto"/>
    </w:pPr>
    <w:rPr>
      <w:rFonts w:ascii="Times New Roman" w:eastAsiaTheme="minorEastAsia" w:hAnsi="Times New Roman"/>
      <w:noProof/>
      <w:szCs w:val="24"/>
    </w:rPr>
  </w:style>
  <w:style w:type="paragraph" w:customStyle="1" w:styleId="CETabNote">
    <w:name w:val="CE Tab Note"/>
    <w:qFormat/>
    <w:rsid w:val="006A0002"/>
    <w:pPr>
      <w:spacing w:before="60" w:after="360"/>
      <w:contextualSpacing/>
      <w:jc w:val="both"/>
    </w:pPr>
    <w:rPr>
      <w:rFonts w:ascii="Times New Roman" w:eastAsiaTheme="minorEastAsia" w:hAnsi="Times New Roman"/>
      <w:noProof/>
      <w:sz w:val="20"/>
      <w:szCs w:val="24"/>
    </w:rPr>
  </w:style>
  <w:style w:type="paragraph" w:customStyle="1" w:styleId="CEListNum">
    <w:name w:val="CE List Num"/>
    <w:qFormat/>
    <w:rsid w:val="006A0002"/>
    <w:pPr>
      <w:tabs>
        <w:tab w:val="left" w:pos="960"/>
      </w:tabs>
      <w:spacing w:before="240" w:after="240" w:line="360" w:lineRule="auto"/>
      <w:ind w:left="714" w:hanging="357"/>
      <w:contextualSpacing/>
      <w:jc w:val="both"/>
    </w:pPr>
    <w:rPr>
      <w:rFonts w:ascii="Times New Roman" w:eastAsiaTheme="minorEastAsia" w:hAnsi="Times New Roman"/>
      <w:noProof/>
      <w:sz w:val="24"/>
      <w:szCs w:val="24"/>
    </w:rPr>
  </w:style>
  <w:style w:type="paragraph" w:customStyle="1" w:styleId="EndNoteBibliographyTitle">
    <w:name w:val="EndNote Bibliography Title"/>
    <w:basedOn w:val="Normal"/>
    <w:link w:val="EndNoteBibliographyTitleChar"/>
    <w:rsid w:val="006A0002"/>
    <w:pPr>
      <w:spacing w:after="0"/>
      <w:jc w:val="center"/>
    </w:pPr>
    <w:rPr>
      <w:rFonts w:ascii="Arial" w:hAnsi="Arial" w:cs="Arial"/>
      <w:noProof/>
      <w:lang w:val="en-US"/>
    </w:rPr>
  </w:style>
  <w:style w:type="character" w:customStyle="1" w:styleId="EndNoteBibliographyTitleChar">
    <w:name w:val="EndNote Bibliography Title Char"/>
    <w:basedOn w:val="EndNoteBibliographyChar"/>
    <w:link w:val="EndNoteBibliographyTitle"/>
    <w:rsid w:val="006A0002"/>
    <w:rPr>
      <w:rFonts w:ascii="Arial" w:hAnsi="Arial" w:cs="Arial"/>
      <w:noProof/>
      <w:lang w:val="en-US"/>
    </w:rPr>
  </w:style>
  <w:style w:type="character" w:styleId="CommentReference">
    <w:name w:val="annotation reference"/>
    <w:basedOn w:val="DefaultParagraphFont"/>
    <w:uiPriority w:val="99"/>
    <w:semiHidden/>
    <w:unhideWhenUsed/>
    <w:rsid w:val="00A3753C"/>
    <w:rPr>
      <w:sz w:val="16"/>
      <w:szCs w:val="16"/>
    </w:rPr>
  </w:style>
  <w:style w:type="paragraph" w:styleId="CommentText">
    <w:name w:val="annotation text"/>
    <w:basedOn w:val="Normal"/>
    <w:link w:val="CommentTextChar"/>
    <w:uiPriority w:val="99"/>
    <w:semiHidden/>
    <w:unhideWhenUsed/>
    <w:rsid w:val="00A3753C"/>
    <w:pPr>
      <w:spacing w:line="240" w:lineRule="auto"/>
    </w:pPr>
    <w:rPr>
      <w:sz w:val="20"/>
      <w:szCs w:val="20"/>
    </w:rPr>
  </w:style>
  <w:style w:type="character" w:customStyle="1" w:styleId="CommentTextChar">
    <w:name w:val="Comment Text Char"/>
    <w:basedOn w:val="DefaultParagraphFont"/>
    <w:link w:val="CommentText"/>
    <w:uiPriority w:val="99"/>
    <w:semiHidden/>
    <w:rsid w:val="00A3753C"/>
    <w:rPr>
      <w:sz w:val="20"/>
      <w:szCs w:val="20"/>
      <w:lang w:val="fr-FR"/>
    </w:rPr>
  </w:style>
  <w:style w:type="paragraph" w:styleId="CommentSubject">
    <w:name w:val="annotation subject"/>
    <w:basedOn w:val="CommentText"/>
    <w:next w:val="CommentText"/>
    <w:link w:val="CommentSubjectChar"/>
    <w:uiPriority w:val="99"/>
    <w:semiHidden/>
    <w:unhideWhenUsed/>
    <w:rsid w:val="00A3753C"/>
    <w:rPr>
      <w:b/>
      <w:bCs/>
    </w:rPr>
  </w:style>
  <w:style w:type="character" w:customStyle="1" w:styleId="CommentSubjectChar">
    <w:name w:val="Comment Subject Char"/>
    <w:basedOn w:val="CommentTextChar"/>
    <w:link w:val="CommentSubject"/>
    <w:uiPriority w:val="99"/>
    <w:semiHidden/>
    <w:rsid w:val="00A3753C"/>
    <w:rPr>
      <w:b/>
      <w:bCs/>
      <w:sz w:val="20"/>
      <w:szCs w:val="20"/>
      <w:lang w:val="fr-FR"/>
    </w:rPr>
  </w:style>
  <w:style w:type="paragraph" w:styleId="BalloonText">
    <w:name w:val="Balloon Text"/>
    <w:basedOn w:val="Normal"/>
    <w:link w:val="BalloonTextChar"/>
    <w:uiPriority w:val="99"/>
    <w:semiHidden/>
    <w:unhideWhenUsed/>
    <w:rsid w:val="00A37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53C"/>
    <w:rPr>
      <w:rFonts w:ascii="Segoe UI" w:hAnsi="Segoe UI" w:cs="Segoe UI"/>
      <w:sz w:val="18"/>
      <w:szCs w:val="18"/>
      <w:lang w:val="fr-FR"/>
    </w:rPr>
  </w:style>
  <w:style w:type="character" w:customStyle="1" w:styleId="Heading1Char">
    <w:name w:val="Heading 1 Char"/>
    <w:basedOn w:val="DefaultParagraphFont"/>
    <w:link w:val="Heading1"/>
    <w:uiPriority w:val="9"/>
    <w:rsid w:val="00A610D4"/>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A610D4"/>
    <w:rPr>
      <w:color w:val="0000FF"/>
      <w:u w:val="single"/>
    </w:rPr>
  </w:style>
  <w:style w:type="paragraph" w:customStyle="1" w:styleId="c-article-info-details">
    <w:name w:val="c-article-info-details"/>
    <w:basedOn w:val="Normal"/>
    <w:rsid w:val="00A610D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u-visually-hidden">
    <w:name w:val="u-visually-hidden"/>
    <w:basedOn w:val="DefaultParagraphFont"/>
    <w:rsid w:val="00A610D4"/>
  </w:style>
</w:styles>
</file>

<file path=word/webSettings.xml><?xml version="1.0" encoding="utf-8"?>
<w:webSettings xmlns:r="http://schemas.openxmlformats.org/officeDocument/2006/relationships" xmlns:w="http://schemas.openxmlformats.org/wordprocessingml/2006/main">
  <w:divs>
    <w:div w:id="1168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1972</Words>
  <Characters>11244</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2020-07-21T12:57:00Z</dcterms:created>
  <dcterms:modified xsi:type="dcterms:W3CDTF">2020-07-23T01:42:00Z</dcterms:modified>
</cp:coreProperties>
</file>