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/>
        <w:jc w:val="both"/>
        <w:rPr/>
      </w:pPr>
      <w:r>
        <w:rPr/>
        <w:drawing>
          <wp:inline distT="0" distB="0" distL="0" distR="0">
            <wp:extent cx="6119495" cy="4319905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/>
        <w:jc w:val="both"/>
        <w:rPr/>
      </w:pPr>
      <w:r>
        <w:rPr>
          <w:b/>
          <w:bCs/>
        </w:rPr>
        <w:t xml:space="preserve">Figure S2 Distribution of true breeding values and their partitions by trait, year, and tier in the MaleFlow100 scenario. </w:t>
      </w:r>
      <w:r>
        <w:rPr/>
        <w:t>We show scaled densities of partitions in years 23 and 40 of one simulation replicate. MalerFlow100 uses only nucleus males in the multiplier. Trait 1 is measured in the nucleus and the multiplier, while trait 2 is measured only in the nucleus. Black vertical lines represent the nucleus mean breeding value for a trait in a year.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219"/>
  <w:defaultTabStop w:val="862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kern w:val="2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LibreOffice/6.4.4.2$Linux_X86_64 LibreOffice_project/40$Build-2</Application>
  <Pages>1</Pages>
  <Words>76</Words>
  <Characters>377</Characters>
  <CharactersWithSpaces>452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2020-08-17T13:30:20Z</dcterms:created>
  <dc:creator/>
  <dc:description/>
  <dc:language>en-GB</dc:language>
  <cp:lastModifiedBy/>
  <dcterms:modified xsi:type="dcterms:W3CDTF">2020-12-24T07:59:05Z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