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E2818" w14:textId="4848A56D" w:rsidR="003D29E4" w:rsidRPr="00D1039C" w:rsidRDefault="003D29E4" w:rsidP="00D1039C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color w:val="000000" w:themeColor="text1"/>
          <w:sz w:val="24"/>
        </w:rPr>
      </w:pPr>
      <w:r w:rsidRPr="00D1039C">
        <w:rPr>
          <w:rFonts w:ascii="Times New Roman" w:hAnsi="Times New Roman" w:cs="Times New Roman"/>
          <w:b/>
          <w:color w:val="000000" w:themeColor="text1"/>
          <w:sz w:val="24"/>
        </w:rPr>
        <w:t xml:space="preserve">Table </w:t>
      </w:r>
      <w:r w:rsidR="003A013C" w:rsidRPr="00D1039C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D27304" w:rsidRPr="00D1039C"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D1039C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bookmarkStart w:id="0" w:name="_Hlk29214149"/>
      <w:r w:rsidR="00ED0570" w:rsidRPr="00ED0570">
        <w:rPr>
          <w:rFonts w:ascii="Times New Roman" w:hAnsi="Times New Roman" w:cs="Times New Roman"/>
          <w:b/>
          <w:color w:val="000000" w:themeColor="text1"/>
          <w:sz w:val="24"/>
        </w:rPr>
        <w:t xml:space="preserve">Estimates of genetic and phenotypic correlations among growth and feed efficiency traits </w:t>
      </w:r>
      <w:bookmarkStart w:id="1" w:name="_Hlk28456906"/>
      <w:r w:rsidR="002F6379" w:rsidRPr="00D1039C">
        <w:rPr>
          <w:rFonts w:ascii="Times New Roman" w:hAnsi="Times New Roman" w:cs="Times New Roman"/>
          <w:b/>
          <w:color w:val="000000" w:themeColor="text1"/>
          <w:sz w:val="24"/>
        </w:rPr>
        <w:t>based on</w:t>
      </w:r>
      <w:r w:rsidR="00E2739E" w:rsidRPr="00D1039C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52BF0" w:rsidRPr="00D1039C">
        <w:rPr>
          <w:rFonts w:ascii="Times New Roman" w:hAnsi="Times New Roman" w:cs="Times New Roman"/>
          <w:b/>
          <w:color w:val="000000" w:themeColor="text1"/>
          <w:sz w:val="24"/>
        </w:rPr>
        <w:t>the</w:t>
      </w:r>
      <w:r w:rsidR="00E2739E" w:rsidRPr="00D1039C">
        <w:rPr>
          <w:rFonts w:ascii="Times New Roman" w:hAnsi="Times New Roman" w:cs="Times New Roman"/>
          <w:b/>
          <w:color w:val="000000" w:themeColor="text1"/>
          <w:sz w:val="24"/>
        </w:rPr>
        <w:t xml:space="preserve"> pedigree</w:t>
      </w:r>
      <w:bookmarkEnd w:id="1"/>
      <w:r w:rsidR="00E2739E" w:rsidRPr="00D1039C">
        <w:rPr>
          <w:rFonts w:ascii="Times New Roman" w:hAnsi="Times New Roman" w:cs="Times New Roman"/>
          <w:b/>
          <w:color w:val="000000" w:themeColor="text1"/>
          <w:sz w:val="24"/>
        </w:rPr>
        <w:t xml:space="preserve"> relationship matrix</w:t>
      </w:r>
      <w:bookmarkEnd w:id="0"/>
    </w:p>
    <w:tbl>
      <w:tblPr>
        <w:tblStyle w:val="2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976"/>
        <w:gridCol w:w="881"/>
        <w:gridCol w:w="932"/>
        <w:gridCol w:w="1116"/>
        <w:gridCol w:w="978"/>
        <w:gridCol w:w="976"/>
        <w:gridCol w:w="976"/>
        <w:gridCol w:w="975"/>
      </w:tblGrid>
      <w:tr w:rsidR="00B031AD" w:rsidRPr="00D1039C" w14:paraId="0F247F3B" w14:textId="77777777" w:rsidTr="00BA6946">
        <w:trPr>
          <w:trHeight w:val="238"/>
          <w:jc w:val="center"/>
        </w:trPr>
        <w:tc>
          <w:tcPr>
            <w:tcW w:w="6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CC50556" w14:textId="626D8441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bookmarkStart w:id="2" w:name="_Hlk39916307"/>
            <w:proofErr w:type="spellStart"/>
            <w:r w:rsidRPr="00D1039C">
              <w:rPr>
                <w:rFonts w:eastAsia="等线"/>
                <w:b/>
                <w:color w:val="000000" w:themeColor="text1"/>
                <w:sz w:val="20"/>
              </w:rPr>
              <w:t>Traits</w:t>
            </w:r>
            <w:r w:rsidR="007B772A" w:rsidRPr="00D1039C">
              <w:rPr>
                <w:rFonts w:eastAsia="等线"/>
                <w:b/>
                <w:color w:val="000000" w:themeColor="text1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6AA310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BW28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FE6917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BW42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126DC0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ADFI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0922C8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RFI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88502A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RFIa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781854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ADG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4A036A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FCR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71DC7D" w14:textId="77777777" w:rsidR="003D29E4" w:rsidRPr="00D1039C" w:rsidRDefault="003D29E4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AbF</w:t>
            </w:r>
          </w:p>
        </w:tc>
      </w:tr>
      <w:tr w:rsidR="001F0D9D" w:rsidRPr="00D1039C" w14:paraId="032814D1" w14:textId="77777777" w:rsidTr="00BA6946">
        <w:trPr>
          <w:trHeight w:val="238"/>
          <w:jc w:val="center"/>
        </w:trPr>
        <w:tc>
          <w:tcPr>
            <w:tcW w:w="695" w:type="dxa"/>
            <w:tcBorders>
              <w:top w:val="single" w:sz="8" w:space="0" w:color="auto"/>
            </w:tcBorders>
            <w:vAlign w:val="center"/>
          </w:tcPr>
          <w:p w14:paraId="0631A96B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BW28</w:t>
            </w:r>
          </w:p>
        </w:tc>
        <w:tc>
          <w:tcPr>
            <w:tcW w:w="976" w:type="dxa"/>
            <w:tcBorders>
              <w:top w:val="single" w:sz="8" w:space="0" w:color="auto"/>
            </w:tcBorders>
            <w:vAlign w:val="center"/>
          </w:tcPr>
          <w:p w14:paraId="3A3D1D14" w14:textId="3DE525FE" w:rsidR="001F0D9D" w:rsidRPr="00D1039C" w:rsidRDefault="001F0D9D" w:rsidP="00D1039C">
            <w:pPr>
              <w:widowControl w:val="0"/>
              <w:spacing w:after="0" w:line="240" w:lineRule="auto"/>
              <w:rPr>
                <w:rFonts w:eastAsia="等线"/>
                <w:b/>
                <w:color w:val="000000" w:themeColor="text1"/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auto"/>
            </w:tcBorders>
            <w:vAlign w:val="center"/>
          </w:tcPr>
          <w:p w14:paraId="55914C60" w14:textId="69BBDBF3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0.90±0.03</w:t>
            </w:r>
          </w:p>
        </w:tc>
        <w:tc>
          <w:tcPr>
            <w:tcW w:w="932" w:type="dxa"/>
            <w:tcBorders>
              <w:top w:val="single" w:sz="8" w:space="0" w:color="auto"/>
            </w:tcBorders>
            <w:vAlign w:val="center"/>
          </w:tcPr>
          <w:p w14:paraId="422BDCFC" w14:textId="38169282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0.56±0.09</w:t>
            </w:r>
          </w:p>
        </w:tc>
        <w:tc>
          <w:tcPr>
            <w:tcW w:w="1116" w:type="dxa"/>
            <w:tcBorders>
              <w:top w:val="single" w:sz="8" w:space="0" w:color="auto"/>
            </w:tcBorders>
            <w:vAlign w:val="center"/>
          </w:tcPr>
          <w:p w14:paraId="27C98EC8" w14:textId="623154E4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-0.13±0.13</w:t>
            </w:r>
          </w:p>
        </w:tc>
        <w:tc>
          <w:tcPr>
            <w:tcW w:w="978" w:type="dxa"/>
            <w:tcBorders>
              <w:top w:val="single" w:sz="8" w:space="0" w:color="auto"/>
            </w:tcBorders>
            <w:vAlign w:val="center"/>
          </w:tcPr>
          <w:p w14:paraId="7A776352" w14:textId="293DCF8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-0.05±0.16</w:t>
            </w:r>
          </w:p>
        </w:tc>
        <w:tc>
          <w:tcPr>
            <w:tcW w:w="976" w:type="dxa"/>
            <w:tcBorders>
              <w:top w:val="single" w:sz="8" w:space="0" w:color="auto"/>
            </w:tcBorders>
            <w:vAlign w:val="center"/>
          </w:tcPr>
          <w:p w14:paraId="512A4ABB" w14:textId="303AF13F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0.44±0.12</w:t>
            </w:r>
          </w:p>
        </w:tc>
        <w:tc>
          <w:tcPr>
            <w:tcW w:w="976" w:type="dxa"/>
            <w:tcBorders>
              <w:top w:val="single" w:sz="8" w:space="0" w:color="auto"/>
            </w:tcBorders>
            <w:vAlign w:val="center"/>
          </w:tcPr>
          <w:p w14:paraId="5E81D135" w14:textId="703B85B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0.22±0.14</w:t>
            </w:r>
          </w:p>
        </w:tc>
        <w:tc>
          <w:tcPr>
            <w:tcW w:w="975" w:type="dxa"/>
            <w:tcBorders>
              <w:top w:val="single" w:sz="8" w:space="0" w:color="auto"/>
            </w:tcBorders>
            <w:vAlign w:val="center"/>
          </w:tcPr>
          <w:p w14:paraId="3543BFF6" w14:textId="30BA029C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0.35±0.10</w:t>
            </w:r>
          </w:p>
        </w:tc>
      </w:tr>
      <w:tr w:rsidR="001F0D9D" w:rsidRPr="00D1039C" w14:paraId="23E1508D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33B33E3D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BW42</w:t>
            </w:r>
          </w:p>
        </w:tc>
        <w:tc>
          <w:tcPr>
            <w:tcW w:w="976" w:type="dxa"/>
            <w:vAlign w:val="center"/>
          </w:tcPr>
          <w:p w14:paraId="7E67795C" w14:textId="6C2BC7A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0.77±0.01</w:t>
            </w:r>
          </w:p>
        </w:tc>
        <w:tc>
          <w:tcPr>
            <w:tcW w:w="881" w:type="dxa"/>
            <w:vAlign w:val="center"/>
          </w:tcPr>
          <w:p w14:paraId="62A7AF0A" w14:textId="1AEF684D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932" w:type="dxa"/>
            <w:vAlign w:val="center"/>
          </w:tcPr>
          <w:p w14:paraId="55F2ECC5" w14:textId="66F1E6AC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0.80±0.05</w:t>
            </w:r>
          </w:p>
        </w:tc>
        <w:tc>
          <w:tcPr>
            <w:tcW w:w="1116" w:type="dxa"/>
            <w:vAlign w:val="center"/>
          </w:tcPr>
          <w:p w14:paraId="63722F1C" w14:textId="7C3B7AEE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0.02±0.13</w:t>
            </w:r>
          </w:p>
        </w:tc>
        <w:tc>
          <w:tcPr>
            <w:tcW w:w="978" w:type="dxa"/>
            <w:vAlign w:val="center"/>
          </w:tcPr>
          <w:p w14:paraId="2E863471" w14:textId="2EF4762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0.01±0.16</w:t>
            </w:r>
          </w:p>
        </w:tc>
        <w:tc>
          <w:tcPr>
            <w:tcW w:w="976" w:type="dxa"/>
            <w:vAlign w:val="center"/>
          </w:tcPr>
          <w:p w14:paraId="6D96A2C6" w14:textId="210C40EF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0.79±0.05</w:t>
            </w:r>
          </w:p>
        </w:tc>
        <w:tc>
          <w:tcPr>
            <w:tcW w:w="976" w:type="dxa"/>
            <w:vAlign w:val="center"/>
          </w:tcPr>
          <w:p w14:paraId="46EF69F5" w14:textId="70E324F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-0.02±0.15</w:t>
            </w:r>
          </w:p>
        </w:tc>
        <w:tc>
          <w:tcPr>
            <w:tcW w:w="975" w:type="dxa"/>
            <w:vAlign w:val="center"/>
          </w:tcPr>
          <w:p w14:paraId="69C0C8B9" w14:textId="02AC8D6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0.36±0.10</w:t>
            </w:r>
          </w:p>
        </w:tc>
      </w:tr>
      <w:tr w:rsidR="001F0D9D" w:rsidRPr="00D1039C" w14:paraId="0C2F0CB5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15DC07EB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ADFI</w:t>
            </w:r>
          </w:p>
        </w:tc>
        <w:tc>
          <w:tcPr>
            <w:tcW w:w="976" w:type="dxa"/>
            <w:vAlign w:val="center"/>
          </w:tcPr>
          <w:p w14:paraId="35287BEB" w14:textId="540FE54E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0.41±0.02</w:t>
            </w:r>
          </w:p>
        </w:tc>
        <w:tc>
          <w:tcPr>
            <w:tcW w:w="881" w:type="dxa"/>
            <w:vAlign w:val="center"/>
          </w:tcPr>
          <w:p w14:paraId="6D26AD07" w14:textId="30C8CAB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0.78±0.01</w:t>
            </w:r>
          </w:p>
        </w:tc>
        <w:tc>
          <w:tcPr>
            <w:tcW w:w="932" w:type="dxa"/>
            <w:vAlign w:val="center"/>
          </w:tcPr>
          <w:p w14:paraId="7FC8CA65" w14:textId="6D81227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1116" w:type="dxa"/>
            <w:vAlign w:val="center"/>
          </w:tcPr>
          <w:p w14:paraId="55097169" w14:textId="349C46D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0.57±0.1</w:t>
            </w:r>
          </w:p>
        </w:tc>
        <w:tc>
          <w:tcPr>
            <w:tcW w:w="978" w:type="dxa"/>
            <w:vAlign w:val="center"/>
          </w:tcPr>
          <w:p w14:paraId="6650B890" w14:textId="6EAFD03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0.38±0.15</w:t>
            </w:r>
          </w:p>
        </w:tc>
        <w:tc>
          <w:tcPr>
            <w:tcW w:w="976" w:type="dxa"/>
            <w:vAlign w:val="center"/>
          </w:tcPr>
          <w:p w14:paraId="41C549F9" w14:textId="575E0B40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0.86±0.04</w:t>
            </w:r>
          </w:p>
        </w:tc>
        <w:tc>
          <w:tcPr>
            <w:tcW w:w="976" w:type="dxa"/>
            <w:vAlign w:val="center"/>
          </w:tcPr>
          <w:p w14:paraId="48B3B13E" w14:textId="03A80BE2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0.16±0.15</w:t>
            </w:r>
          </w:p>
        </w:tc>
        <w:tc>
          <w:tcPr>
            <w:tcW w:w="975" w:type="dxa"/>
            <w:vAlign w:val="center"/>
          </w:tcPr>
          <w:p w14:paraId="30A384EC" w14:textId="4FEAEDA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0.48±0.10</w:t>
            </w:r>
          </w:p>
        </w:tc>
      </w:tr>
      <w:tr w:rsidR="001F0D9D" w:rsidRPr="00D1039C" w14:paraId="4863B781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04072D5C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RFI</w:t>
            </w:r>
          </w:p>
        </w:tc>
        <w:tc>
          <w:tcPr>
            <w:tcW w:w="976" w:type="dxa"/>
            <w:vAlign w:val="center"/>
          </w:tcPr>
          <w:p w14:paraId="2263DF57" w14:textId="1A1B1568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-0.02±0.02</w:t>
            </w:r>
          </w:p>
        </w:tc>
        <w:tc>
          <w:tcPr>
            <w:tcW w:w="881" w:type="dxa"/>
            <w:vAlign w:val="center"/>
          </w:tcPr>
          <w:p w14:paraId="6C7BD9EE" w14:textId="51760673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-0.01±0.02</w:t>
            </w:r>
          </w:p>
        </w:tc>
        <w:tc>
          <w:tcPr>
            <w:tcW w:w="932" w:type="dxa"/>
            <w:vAlign w:val="center"/>
          </w:tcPr>
          <w:p w14:paraId="66646AAE" w14:textId="7C9109D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0.54±0.01</w:t>
            </w:r>
          </w:p>
        </w:tc>
        <w:tc>
          <w:tcPr>
            <w:tcW w:w="1116" w:type="dxa"/>
            <w:vAlign w:val="center"/>
          </w:tcPr>
          <w:p w14:paraId="355D92B8" w14:textId="0E134C6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978" w:type="dxa"/>
            <w:vAlign w:val="center"/>
          </w:tcPr>
          <w:p w14:paraId="61D259D5" w14:textId="5D0A0EA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0.79±0.05</w:t>
            </w:r>
          </w:p>
        </w:tc>
        <w:tc>
          <w:tcPr>
            <w:tcW w:w="976" w:type="dxa"/>
            <w:vAlign w:val="center"/>
          </w:tcPr>
          <w:p w14:paraId="5DCD3B09" w14:textId="11C2999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0.19±0.15</w:t>
            </w:r>
          </w:p>
        </w:tc>
        <w:tc>
          <w:tcPr>
            <w:tcW w:w="976" w:type="dxa"/>
            <w:vAlign w:val="center"/>
          </w:tcPr>
          <w:p w14:paraId="255EAF5F" w14:textId="02FF2223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0.65±0.09</w:t>
            </w:r>
          </w:p>
        </w:tc>
        <w:tc>
          <w:tcPr>
            <w:tcW w:w="975" w:type="dxa"/>
            <w:vAlign w:val="center"/>
          </w:tcPr>
          <w:p w14:paraId="3C7AA6F4" w14:textId="2DAED3F6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0.42±0.12</w:t>
            </w:r>
          </w:p>
        </w:tc>
      </w:tr>
      <w:tr w:rsidR="001F0D9D" w:rsidRPr="00D1039C" w14:paraId="2E133135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3483BA0A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RFIa</w:t>
            </w:r>
          </w:p>
        </w:tc>
        <w:tc>
          <w:tcPr>
            <w:tcW w:w="976" w:type="dxa"/>
            <w:vAlign w:val="center"/>
          </w:tcPr>
          <w:p w14:paraId="3C84D3DF" w14:textId="38286225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-0.02±0.02</w:t>
            </w:r>
          </w:p>
        </w:tc>
        <w:tc>
          <w:tcPr>
            <w:tcW w:w="881" w:type="dxa"/>
            <w:vAlign w:val="center"/>
          </w:tcPr>
          <w:p w14:paraId="4EC0DB5E" w14:textId="3174631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-0.01±0.02</w:t>
            </w:r>
          </w:p>
        </w:tc>
        <w:tc>
          <w:tcPr>
            <w:tcW w:w="932" w:type="dxa"/>
            <w:vAlign w:val="center"/>
          </w:tcPr>
          <w:p w14:paraId="57AC7851" w14:textId="02912FB5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0.47±0.02</w:t>
            </w:r>
          </w:p>
        </w:tc>
        <w:tc>
          <w:tcPr>
            <w:tcW w:w="1116" w:type="dxa"/>
            <w:vAlign w:val="center"/>
          </w:tcPr>
          <w:p w14:paraId="0E90AD18" w14:textId="47B6EE90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0.92±0.00</w:t>
            </w:r>
          </w:p>
        </w:tc>
        <w:tc>
          <w:tcPr>
            <w:tcW w:w="978" w:type="dxa"/>
            <w:vAlign w:val="center"/>
          </w:tcPr>
          <w:p w14:paraId="5F4D3A3F" w14:textId="1566CEEE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976" w:type="dxa"/>
            <w:vAlign w:val="center"/>
          </w:tcPr>
          <w:p w14:paraId="30C07C7F" w14:textId="30D80AFF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0.11±0.19</w:t>
            </w:r>
          </w:p>
        </w:tc>
        <w:tc>
          <w:tcPr>
            <w:tcW w:w="976" w:type="dxa"/>
            <w:vAlign w:val="center"/>
          </w:tcPr>
          <w:p w14:paraId="6374E668" w14:textId="5CAF6ACA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0.47±0.14</w:t>
            </w:r>
          </w:p>
        </w:tc>
        <w:tc>
          <w:tcPr>
            <w:tcW w:w="975" w:type="dxa"/>
            <w:vAlign w:val="center"/>
          </w:tcPr>
          <w:p w14:paraId="16B80E8F" w14:textId="3E97CAE5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-0.02±0.16</w:t>
            </w:r>
          </w:p>
        </w:tc>
      </w:tr>
      <w:tr w:rsidR="001F0D9D" w:rsidRPr="00D1039C" w14:paraId="201FA188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31538D01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ADG</w:t>
            </w:r>
          </w:p>
        </w:tc>
        <w:tc>
          <w:tcPr>
            <w:tcW w:w="976" w:type="dxa"/>
            <w:vAlign w:val="center"/>
          </w:tcPr>
          <w:p w14:paraId="6D553587" w14:textId="66A3006C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0.17±0.02</w:t>
            </w:r>
          </w:p>
        </w:tc>
        <w:tc>
          <w:tcPr>
            <w:tcW w:w="881" w:type="dxa"/>
            <w:vAlign w:val="center"/>
          </w:tcPr>
          <w:p w14:paraId="78F377E5" w14:textId="32F2584C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0.76±0.01</w:t>
            </w:r>
          </w:p>
        </w:tc>
        <w:tc>
          <w:tcPr>
            <w:tcW w:w="932" w:type="dxa"/>
            <w:vAlign w:val="center"/>
          </w:tcPr>
          <w:p w14:paraId="2F4B9623" w14:textId="1D39A57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0.79±0.01</w:t>
            </w:r>
          </w:p>
        </w:tc>
        <w:tc>
          <w:tcPr>
            <w:tcW w:w="1116" w:type="dxa"/>
            <w:vAlign w:val="center"/>
          </w:tcPr>
          <w:p w14:paraId="01CB7FA1" w14:textId="0C5D901D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0.00±0.02</w:t>
            </w:r>
          </w:p>
        </w:tc>
        <w:tc>
          <w:tcPr>
            <w:tcW w:w="978" w:type="dxa"/>
            <w:vAlign w:val="center"/>
          </w:tcPr>
          <w:p w14:paraId="76EBFED4" w14:textId="04830DB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</w:t>
            </w:r>
            <w:r w:rsidR="00D757A7" w:rsidRPr="00D1039C">
              <w:rPr>
                <w:sz w:val="20"/>
              </w:rPr>
              <w:t>.00</w:t>
            </w:r>
            <w:r w:rsidRPr="00D1039C">
              <w:rPr>
                <w:sz w:val="20"/>
              </w:rPr>
              <w:t>±0.02</w:t>
            </w:r>
          </w:p>
        </w:tc>
        <w:tc>
          <w:tcPr>
            <w:tcW w:w="976" w:type="dxa"/>
            <w:vAlign w:val="center"/>
          </w:tcPr>
          <w:p w14:paraId="569C05D3" w14:textId="241D4D3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976" w:type="dxa"/>
            <w:vAlign w:val="center"/>
          </w:tcPr>
          <w:p w14:paraId="3A985555" w14:textId="1E26D09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-0.35±0.14</w:t>
            </w:r>
          </w:p>
        </w:tc>
        <w:tc>
          <w:tcPr>
            <w:tcW w:w="975" w:type="dxa"/>
            <w:vAlign w:val="center"/>
          </w:tcPr>
          <w:p w14:paraId="010E6404" w14:textId="5104D2F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0.24±0.13</w:t>
            </w:r>
          </w:p>
        </w:tc>
      </w:tr>
      <w:tr w:rsidR="001F0D9D" w:rsidRPr="00D1039C" w14:paraId="44944BDB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78849B19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FCR</w:t>
            </w:r>
          </w:p>
        </w:tc>
        <w:tc>
          <w:tcPr>
            <w:tcW w:w="976" w:type="dxa"/>
            <w:vAlign w:val="center"/>
          </w:tcPr>
          <w:p w14:paraId="123EF85F" w14:textId="3F310312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0.27±0.02</w:t>
            </w:r>
          </w:p>
        </w:tc>
        <w:tc>
          <w:tcPr>
            <w:tcW w:w="881" w:type="dxa"/>
            <w:vAlign w:val="center"/>
          </w:tcPr>
          <w:p w14:paraId="14CB0E22" w14:textId="476C9B39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-0.18±0.02</w:t>
            </w:r>
          </w:p>
        </w:tc>
        <w:tc>
          <w:tcPr>
            <w:tcW w:w="932" w:type="dxa"/>
            <w:vAlign w:val="center"/>
          </w:tcPr>
          <w:p w14:paraId="4CE9FBFA" w14:textId="04DBA5E6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0.05±0.02</w:t>
            </w:r>
          </w:p>
        </w:tc>
        <w:tc>
          <w:tcPr>
            <w:tcW w:w="1116" w:type="dxa"/>
            <w:vAlign w:val="center"/>
          </w:tcPr>
          <w:p w14:paraId="4774868D" w14:textId="113CA08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0.71±0.01</w:t>
            </w:r>
          </w:p>
        </w:tc>
        <w:tc>
          <w:tcPr>
            <w:tcW w:w="978" w:type="dxa"/>
            <w:vAlign w:val="center"/>
          </w:tcPr>
          <w:p w14:paraId="5C5ABC2B" w14:textId="1F00A0A5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0.61±0.01</w:t>
            </w:r>
          </w:p>
        </w:tc>
        <w:tc>
          <w:tcPr>
            <w:tcW w:w="976" w:type="dxa"/>
            <w:vAlign w:val="center"/>
          </w:tcPr>
          <w:p w14:paraId="1FF19B82" w14:textId="33B4D13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-0.55±0.01</w:t>
            </w:r>
          </w:p>
        </w:tc>
        <w:tc>
          <w:tcPr>
            <w:tcW w:w="976" w:type="dxa"/>
            <w:vAlign w:val="center"/>
          </w:tcPr>
          <w:p w14:paraId="12E7948F" w14:textId="13270448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</w:p>
        </w:tc>
        <w:tc>
          <w:tcPr>
            <w:tcW w:w="975" w:type="dxa"/>
            <w:vAlign w:val="center"/>
          </w:tcPr>
          <w:p w14:paraId="593AEC9E" w14:textId="19D53A58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0.35±0.13</w:t>
            </w:r>
          </w:p>
        </w:tc>
      </w:tr>
      <w:tr w:rsidR="001F0D9D" w:rsidRPr="00D1039C" w14:paraId="667BE922" w14:textId="77777777" w:rsidTr="00BA6946">
        <w:trPr>
          <w:trHeight w:val="238"/>
          <w:jc w:val="center"/>
        </w:trPr>
        <w:tc>
          <w:tcPr>
            <w:tcW w:w="695" w:type="dxa"/>
            <w:vAlign w:val="center"/>
          </w:tcPr>
          <w:p w14:paraId="082EDDF7" w14:textId="777777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  <w:r w:rsidRPr="00D1039C">
              <w:rPr>
                <w:rFonts w:eastAsia="等线"/>
                <w:b/>
                <w:color w:val="000000" w:themeColor="text1"/>
                <w:sz w:val="20"/>
              </w:rPr>
              <w:t>AbF</w:t>
            </w:r>
          </w:p>
        </w:tc>
        <w:tc>
          <w:tcPr>
            <w:tcW w:w="976" w:type="dxa"/>
            <w:vAlign w:val="center"/>
          </w:tcPr>
          <w:p w14:paraId="0905F233" w14:textId="45572961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0.29±0.02</w:t>
            </w:r>
          </w:p>
        </w:tc>
        <w:tc>
          <w:tcPr>
            <w:tcW w:w="881" w:type="dxa"/>
            <w:vAlign w:val="center"/>
          </w:tcPr>
          <w:p w14:paraId="44293B1C" w14:textId="66C4F4CC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0.35±0.02</w:t>
            </w:r>
          </w:p>
        </w:tc>
        <w:tc>
          <w:tcPr>
            <w:tcW w:w="932" w:type="dxa"/>
            <w:vAlign w:val="center"/>
          </w:tcPr>
          <w:p w14:paraId="7CCD7DEE" w14:textId="13CB4A7B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0.46±0.02</w:t>
            </w:r>
          </w:p>
        </w:tc>
        <w:tc>
          <w:tcPr>
            <w:tcW w:w="1116" w:type="dxa"/>
            <w:vAlign w:val="center"/>
          </w:tcPr>
          <w:p w14:paraId="72650EB7" w14:textId="6EACBC86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0.32±0.02</w:t>
            </w:r>
          </w:p>
        </w:tc>
        <w:tc>
          <w:tcPr>
            <w:tcW w:w="978" w:type="dxa"/>
            <w:vAlign w:val="center"/>
          </w:tcPr>
          <w:p w14:paraId="29F27B0B" w14:textId="0E26A068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-0.01±0.02</w:t>
            </w:r>
          </w:p>
        </w:tc>
        <w:tc>
          <w:tcPr>
            <w:tcW w:w="976" w:type="dxa"/>
            <w:vAlign w:val="center"/>
          </w:tcPr>
          <w:p w14:paraId="56671283" w14:textId="2733DFD3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0.26±0.02</w:t>
            </w:r>
          </w:p>
        </w:tc>
        <w:tc>
          <w:tcPr>
            <w:tcW w:w="976" w:type="dxa"/>
            <w:vAlign w:val="center"/>
          </w:tcPr>
          <w:p w14:paraId="4B3E0A4D" w14:textId="045E1186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color w:val="000000" w:themeColor="text1"/>
                <w:sz w:val="20"/>
              </w:rPr>
            </w:pPr>
            <w:r w:rsidRPr="00D1039C">
              <w:rPr>
                <w:sz w:val="20"/>
              </w:rPr>
              <w:t>0.17±0.02</w:t>
            </w:r>
          </w:p>
        </w:tc>
        <w:tc>
          <w:tcPr>
            <w:tcW w:w="975" w:type="dxa"/>
            <w:vAlign w:val="center"/>
          </w:tcPr>
          <w:p w14:paraId="261DF63A" w14:textId="5ADBE977" w:rsidR="001F0D9D" w:rsidRPr="00D1039C" w:rsidRDefault="001F0D9D" w:rsidP="00D1039C">
            <w:pPr>
              <w:widowControl w:val="0"/>
              <w:spacing w:after="0" w:line="240" w:lineRule="auto"/>
              <w:jc w:val="both"/>
              <w:rPr>
                <w:rFonts w:eastAsia="等线"/>
                <w:b/>
                <w:color w:val="000000" w:themeColor="text1"/>
                <w:sz w:val="20"/>
              </w:rPr>
            </w:pPr>
          </w:p>
        </w:tc>
      </w:tr>
    </w:tbl>
    <w:bookmarkEnd w:id="2"/>
    <w:p w14:paraId="65BCAE7C" w14:textId="01B0DC3D" w:rsidR="00772D96" w:rsidRPr="00D1039C" w:rsidRDefault="007B772A" w:rsidP="00D1039C">
      <w:pPr>
        <w:spacing w:after="0" w:line="200" w:lineRule="exact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="00E176F5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>pper</w:t>
      </w:r>
      <w:proofErr w:type="spellEnd"/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diagonal is genetic correlation, and lower diagonal is phenotypic correlation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; 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>BW28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body weight at 28 d of age; BW42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body weight at 42 d of age; ADFI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average daily feed intake; RFI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residual feed intake; RFIa, residual feed intake adjusted for weight of abdominal fat; ADG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average daily gain; FCR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feed conversion ratio; A</w:t>
      </w:r>
      <w:r w:rsidR="003D29E4" w:rsidRPr="00D1039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bF,</w:t>
      </w:r>
      <w:r w:rsidR="003D29E4" w:rsidRPr="00D10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weight of abdominal fat.</w:t>
      </w:r>
    </w:p>
    <w:sectPr w:rsidR="00772D96" w:rsidRPr="00D10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722EE" w14:textId="77777777" w:rsidR="00A416AF" w:rsidRDefault="00A416AF" w:rsidP="00FF70FC">
      <w:pPr>
        <w:spacing w:after="0" w:line="240" w:lineRule="auto"/>
      </w:pPr>
      <w:r>
        <w:separator/>
      </w:r>
    </w:p>
  </w:endnote>
  <w:endnote w:type="continuationSeparator" w:id="0">
    <w:p w14:paraId="09BA2D37" w14:textId="77777777" w:rsidR="00A416AF" w:rsidRDefault="00A416AF" w:rsidP="00FF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8E842" w14:textId="77777777" w:rsidR="00A416AF" w:rsidRDefault="00A416AF" w:rsidP="00FF70FC">
      <w:pPr>
        <w:spacing w:after="0" w:line="240" w:lineRule="auto"/>
      </w:pPr>
      <w:r>
        <w:separator/>
      </w:r>
    </w:p>
  </w:footnote>
  <w:footnote w:type="continuationSeparator" w:id="0">
    <w:p w14:paraId="5351CA2E" w14:textId="77777777" w:rsidR="00A416AF" w:rsidRDefault="00A416AF" w:rsidP="00FF7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E4"/>
    <w:rsid w:val="00022DEF"/>
    <w:rsid w:val="00030847"/>
    <w:rsid w:val="00067C16"/>
    <w:rsid w:val="00092F2B"/>
    <w:rsid w:val="000A07D5"/>
    <w:rsid w:val="000A0EEF"/>
    <w:rsid w:val="000A64A7"/>
    <w:rsid w:val="000B4A8B"/>
    <w:rsid w:val="000C5B3F"/>
    <w:rsid w:val="000D2805"/>
    <w:rsid w:val="000E1E84"/>
    <w:rsid w:val="00134724"/>
    <w:rsid w:val="001C4D86"/>
    <w:rsid w:val="001D1544"/>
    <w:rsid w:val="001F0D9D"/>
    <w:rsid w:val="002E7A7C"/>
    <w:rsid w:val="002F6379"/>
    <w:rsid w:val="00310ABB"/>
    <w:rsid w:val="00324E3F"/>
    <w:rsid w:val="00356D94"/>
    <w:rsid w:val="003679D9"/>
    <w:rsid w:val="00367BC1"/>
    <w:rsid w:val="00373E43"/>
    <w:rsid w:val="00382926"/>
    <w:rsid w:val="00390F2F"/>
    <w:rsid w:val="003A013C"/>
    <w:rsid w:val="003A4598"/>
    <w:rsid w:val="003C48C3"/>
    <w:rsid w:val="003C68E6"/>
    <w:rsid w:val="003D29E4"/>
    <w:rsid w:val="003D315F"/>
    <w:rsid w:val="00452BF0"/>
    <w:rsid w:val="004760AD"/>
    <w:rsid w:val="004A4C0B"/>
    <w:rsid w:val="004E6CDB"/>
    <w:rsid w:val="00561395"/>
    <w:rsid w:val="0059754F"/>
    <w:rsid w:val="005E105C"/>
    <w:rsid w:val="00694639"/>
    <w:rsid w:val="006971ED"/>
    <w:rsid w:val="006A2EEA"/>
    <w:rsid w:val="006B7C6F"/>
    <w:rsid w:val="00727EA1"/>
    <w:rsid w:val="007A0C98"/>
    <w:rsid w:val="007A2B1E"/>
    <w:rsid w:val="007B772A"/>
    <w:rsid w:val="00843F54"/>
    <w:rsid w:val="00876153"/>
    <w:rsid w:val="00883865"/>
    <w:rsid w:val="00913D92"/>
    <w:rsid w:val="0095005D"/>
    <w:rsid w:val="00981D33"/>
    <w:rsid w:val="009B641C"/>
    <w:rsid w:val="009C4FD3"/>
    <w:rsid w:val="009E37FE"/>
    <w:rsid w:val="00A2624F"/>
    <w:rsid w:val="00A309A6"/>
    <w:rsid w:val="00A416AF"/>
    <w:rsid w:val="00A474FA"/>
    <w:rsid w:val="00A83AB2"/>
    <w:rsid w:val="00A94678"/>
    <w:rsid w:val="00AE0659"/>
    <w:rsid w:val="00AE3A5A"/>
    <w:rsid w:val="00AF0E23"/>
    <w:rsid w:val="00B031AD"/>
    <w:rsid w:val="00B33850"/>
    <w:rsid w:val="00B601DE"/>
    <w:rsid w:val="00B6699C"/>
    <w:rsid w:val="00B83BBC"/>
    <w:rsid w:val="00B84D86"/>
    <w:rsid w:val="00B86438"/>
    <w:rsid w:val="00B902D3"/>
    <w:rsid w:val="00BA6946"/>
    <w:rsid w:val="00BC0A39"/>
    <w:rsid w:val="00BD480B"/>
    <w:rsid w:val="00BF42BB"/>
    <w:rsid w:val="00C0795C"/>
    <w:rsid w:val="00C347E1"/>
    <w:rsid w:val="00C5298E"/>
    <w:rsid w:val="00C54A34"/>
    <w:rsid w:val="00C776DC"/>
    <w:rsid w:val="00C93AC0"/>
    <w:rsid w:val="00CE30D7"/>
    <w:rsid w:val="00D1039C"/>
    <w:rsid w:val="00D27304"/>
    <w:rsid w:val="00D505CF"/>
    <w:rsid w:val="00D52480"/>
    <w:rsid w:val="00D757A7"/>
    <w:rsid w:val="00D775D0"/>
    <w:rsid w:val="00DC1427"/>
    <w:rsid w:val="00DC6319"/>
    <w:rsid w:val="00E176F5"/>
    <w:rsid w:val="00E20586"/>
    <w:rsid w:val="00E2739E"/>
    <w:rsid w:val="00E5403B"/>
    <w:rsid w:val="00E5569A"/>
    <w:rsid w:val="00E702E3"/>
    <w:rsid w:val="00EA2AA2"/>
    <w:rsid w:val="00ED0570"/>
    <w:rsid w:val="00EE1130"/>
    <w:rsid w:val="00F701E7"/>
    <w:rsid w:val="00F70A23"/>
    <w:rsid w:val="00F74574"/>
    <w:rsid w:val="00F76C10"/>
    <w:rsid w:val="00F852FC"/>
    <w:rsid w:val="00F940BA"/>
    <w:rsid w:val="00F94647"/>
    <w:rsid w:val="00FA78A3"/>
    <w:rsid w:val="00FC427D"/>
    <w:rsid w:val="00FF2B74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3FE23"/>
  <w15:chartTrackingRefBased/>
  <w15:docId w15:val="{C8AAE250-8CDD-49EA-AE41-8513F51E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9E4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39"/>
    <w:qFormat/>
    <w:rsid w:val="003D29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FF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0FC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0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0FC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0EE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0EEF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44</cp:revision>
  <dcterms:created xsi:type="dcterms:W3CDTF">2019-06-10T12:02:00Z</dcterms:created>
  <dcterms:modified xsi:type="dcterms:W3CDTF">2021-01-24T09:20:00Z</dcterms:modified>
</cp:coreProperties>
</file>