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B7ECFE" w14:textId="6A44CB6F" w:rsidR="006F1583" w:rsidRPr="0004055A" w:rsidRDefault="00917B98" w:rsidP="006F1583">
      <w:pPr>
        <w:spacing w:after="0" w:line="480" w:lineRule="auto"/>
        <w:jc w:val="both"/>
        <w:rPr>
          <w:rFonts w:ascii="Times New Roman" w:hAnsi="Times New Roman"/>
          <w:sz w:val="24"/>
          <w:szCs w:val="24"/>
          <w:lang w:val="en-GB"/>
        </w:rPr>
      </w:pPr>
      <w:r>
        <w:rPr>
          <w:rFonts w:ascii="Times New Roman" w:hAnsi="Times New Roman"/>
          <w:b/>
          <w:bCs/>
          <w:sz w:val="24"/>
          <w:szCs w:val="24"/>
          <w:lang w:val="en-GB"/>
        </w:rPr>
        <w:t>Additional file 12</w:t>
      </w:r>
      <w:r w:rsidR="006F1583" w:rsidRPr="0004055A">
        <w:rPr>
          <w:rFonts w:ascii="Times New Roman" w:hAnsi="Times New Roman"/>
          <w:b/>
          <w:bCs/>
          <w:sz w:val="24"/>
          <w:szCs w:val="24"/>
          <w:lang w:val="en-GB"/>
        </w:rPr>
        <w:t xml:space="preserve">. </w:t>
      </w:r>
      <w:r w:rsidR="006F1583" w:rsidRPr="0004055A">
        <w:rPr>
          <w:rFonts w:ascii="Times New Roman" w:hAnsi="Times New Roman"/>
          <w:sz w:val="24"/>
          <w:szCs w:val="24"/>
          <w:lang w:val="en-GB"/>
        </w:rPr>
        <w:t xml:space="preserve">Description of genes under divergent selection identified by </w:t>
      </w:r>
      <w:r w:rsidR="006F1583" w:rsidRPr="000C5D27">
        <w:rPr>
          <w:rFonts w:ascii="Times New Roman" w:hAnsi="Times New Roman"/>
          <w:sz w:val="24"/>
          <w:szCs w:val="24"/>
          <w:lang w:val="en-GB"/>
        </w:rPr>
        <w:t>Rsb and XP-EHH</w:t>
      </w:r>
      <w:r w:rsidR="006F1583" w:rsidRPr="0004055A">
        <w:rPr>
          <w:rFonts w:ascii="Times New Roman" w:hAnsi="Times New Roman"/>
          <w:sz w:val="24"/>
          <w:szCs w:val="24"/>
          <w:lang w:val="en-GB"/>
        </w:rPr>
        <w:t xml:space="preserve"> approaches</w:t>
      </w:r>
      <w:r w:rsidR="000F4F37" w:rsidRPr="0004055A">
        <w:rPr>
          <w:rFonts w:ascii="Times New Roman" w:hAnsi="Times New Roman"/>
          <w:sz w:val="24"/>
          <w:szCs w:val="24"/>
          <w:lang w:val="en-GB"/>
        </w:rPr>
        <w:t>.</w:t>
      </w:r>
    </w:p>
    <w:p w14:paraId="72350BCD" w14:textId="77777777" w:rsidR="00EE41D3" w:rsidRDefault="00EE41D3" w:rsidP="002356E3">
      <w:pPr>
        <w:spacing w:after="0" w:line="480" w:lineRule="auto"/>
        <w:jc w:val="both"/>
        <w:rPr>
          <w:rFonts w:ascii="Times New Roman" w:hAnsi="Times New Roman"/>
          <w:iCs/>
          <w:color w:val="000000"/>
          <w:sz w:val="24"/>
          <w:szCs w:val="24"/>
          <w:lang w:val="en-GB"/>
        </w:rPr>
      </w:pPr>
    </w:p>
    <w:p w14:paraId="540F892F" w14:textId="52787533" w:rsidR="00581942" w:rsidRDefault="00EE41D3" w:rsidP="002356E3">
      <w:pPr>
        <w:spacing w:after="0" w:line="480" w:lineRule="auto"/>
        <w:jc w:val="both"/>
        <w:rPr>
          <w:rFonts w:ascii="Times New Roman" w:hAnsi="Times New Roman"/>
          <w:iCs/>
          <w:color w:val="000000"/>
          <w:sz w:val="24"/>
          <w:szCs w:val="24"/>
          <w:lang w:val="en-GB"/>
        </w:rPr>
      </w:pPr>
      <w:r w:rsidRPr="00B054F8">
        <w:rPr>
          <w:rFonts w:ascii="Times New Roman" w:hAnsi="Times New Roman"/>
          <w:iCs/>
          <w:color w:val="000000"/>
          <w:sz w:val="24"/>
          <w:szCs w:val="24"/>
          <w:lang w:val="en-GB"/>
        </w:rPr>
        <w:t>A total of four genomic regions</w:t>
      </w:r>
      <w:r>
        <w:rPr>
          <w:rFonts w:ascii="Times New Roman" w:hAnsi="Times New Roman"/>
          <w:iCs/>
          <w:color w:val="000000"/>
          <w:sz w:val="24"/>
          <w:szCs w:val="24"/>
          <w:lang w:val="en-GB"/>
        </w:rPr>
        <w:t>,</w:t>
      </w:r>
      <w:r w:rsidRPr="00B054F8">
        <w:rPr>
          <w:rFonts w:ascii="Times New Roman" w:hAnsi="Times New Roman"/>
          <w:iCs/>
          <w:color w:val="000000"/>
          <w:sz w:val="24"/>
          <w:szCs w:val="24"/>
          <w:lang w:val="en-GB"/>
        </w:rPr>
        <w:t xml:space="preserve"> located on OAR1, OAR6 and OAR16</w:t>
      </w:r>
      <w:r>
        <w:rPr>
          <w:rFonts w:ascii="Times New Roman" w:hAnsi="Times New Roman"/>
          <w:iCs/>
          <w:color w:val="000000"/>
          <w:sz w:val="24"/>
          <w:szCs w:val="24"/>
          <w:lang w:val="en-GB"/>
        </w:rPr>
        <w:t>,</w:t>
      </w:r>
      <w:r w:rsidRPr="00B054F8">
        <w:rPr>
          <w:rFonts w:ascii="Times New Roman" w:hAnsi="Times New Roman"/>
          <w:iCs/>
          <w:color w:val="000000"/>
          <w:sz w:val="24"/>
          <w:szCs w:val="24"/>
          <w:lang w:val="en-GB"/>
        </w:rPr>
        <w:t xml:space="preserve"> were identified by </w:t>
      </w:r>
      <w:r w:rsidRPr="00DE501F">
        <w:rPr>
          <w:rFonts w:ascii="Times New Roman" w:hAnsi="Times New Roman"/>
          <w:iCs/>
          <w:sz w:val="24"/>
          <w:szCs w:val="24"/>
          <w:lang w:val="en-GB"/>
        </w:rPr>
        <w:t>Rsb and XP-EHH</w:t>
      </w:r>
      <w:r w:rsidRPr="00B054F8">
        <w:rPr>
          <w:rFonts w:ascii="Times New Roman" w:hAnsi="Times New Roman"/>
          <w:iCs/>
          <w:color w:val="000000"/>
          <w:sz w:val="24"/>
          <w:szCs w:val="24"/>
          <w:lang w:val="en-GB"/>
        </w:rPr>
        <w:t xml:space="preserve"> approaches</w:t>
      </w:r>
      <w:r>
        <w:rPr>
          <w:rFonts w:ascii="Times New Roman" w:hAnsi="Times New Roman"/>
          <w:iCs/>
          <w:color w:val="000000"/>
          <w:sz w:val="24"/>
          <w:szCs w:val="24"/>
          <w:lang w:val="en-GB"/>
        </w:rPr>
        <w:t>:</w:t>
      </w:r>
    </w:p>
    <w:p w14:paraId="240EC220" w14:textId="77777777" w:rsidR="00EE41D3" w:rsidRPr="00EC46FF" w:rsidRDefault="00EE41D3" w:rsidP="002356E3">
      <w:pPr>
        <w:spacing w:after="0" w:line="480" w:lineRule="auto"/>
        <w:jc w:val="both"/>
        <w:rPr>
          <w:rFonts w:ascii="Times New Roman" w:hAnsi="Times New Roman"/>
          <w:sz w:val="24"/>
          <w:szCs w:val="24"/>
          <w:lang w:val="en-GB"/>
        </w:rPr>
      </w:pPr>
    </w:p>
    <w:p w14:paraId="33F17C5E" w14:textId="7F73CBB6" w:rsidR="002356E3" w:rsidRPr="00EC46FF" w:rsidRDefault="00EE41D3" w:rsidP="002356E3">
      <w:pPr>
        <w:spacing w:after="0" w:line="480" w:lineRule="auto"/>
        <w:jc w:val="both"/>
        <w:rPr>
          <w:rFonts w:ascii="Times New Roman" w:hAnsi="Times New Roman"/>
          <w:sz w:val="24"/>
          <w:szCs w:val="24"/>
          <w:lang w:val="en-GB"/>
        </w:rPr>
      </w:pPr>
      <w:r w:rsidRPr="00EE41D3">
        <w:rPr>
          <w:rFonts w:ascii="Times New Roman" w:hAnsi="Times New Roman"/>
          <w:b/>
          <w:bCs/>
          <w:sz w:val="24"/>
          <w:szCs w:val="24"/>
          <w:lang w:val="en-GB"/>
        </w:rPr>
        <w:t>OAR1</w:t>
      </w:r>
      <w:r>
        <w:rPr>
          <w:rFonts w:ascii="Times New Roman" w:hAnsi="Times New Roman"/>
          <w:sz w:val="24"/>
          <w:szCs w:val="24"/>
          <w:lang w:val="en-GB"/>
        </w:rPr>
        <w:t xml:space="preserve"> - </w:t>
      </w:r>
      <w:r w:rsidR="002356E3" w:rsidRPr="00EC46FF">
        <w:rPr>
          <w:rFonts w:ascii="Times New Roman" w:hAnsi="Times New Roman"/>
          <w:sz w:val="24"/>
          <w:szCs w:val="24"/>
          <w:lang w:val="en-GB"/>
        </w:rPr>
        <w:t>A number of known genes, in addition to uncharacteri</w:t>
      </w:r>
      <w:r w:rsidR="001F6230">
        <w:rPr>
          <w:rFonts w:ascii="Times New Roman" w:hAnsi="Times New Roman"/>
          <w:sz w:val="24"/>
          <w:szCs w:val="24"/>
          <w:lang w:val="en-GB"/>
        </w:rPr>
        <w:t>s</w:t>
      </w:r>
      <w:r w:rsidR="002356E3" w:rsidRPr="00EC46FF">
        <w:rPr>
          <w:rFonts w:ascii="Times New Roman" w:hAnsi="Times New Roman"/>
          <w:sz w:val="24"/>
          <w:szCs w:val="24"/>
          <w:lang w:val="en-GB"/>
        </w:rPr>
        <w:t>ed loci, were located in the region of OAR1 putatively under selection (</w:t>
      </w:r>
      <w:r w:rsidR="002356E3" w:rsidRPr="00EC46FF">
        <w:rPr>
          <w:rFonts w:ascii="Times New Roman" w:hAnsi="Times New Roman"/>
          <w:i/>
          <w:sz w:val="24"/>
          <w:szCs w:val="24"/>
          <w:lang w:val="en-GB"/>
        </w:rPr>
        <w:t>LEKR1</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TIPARP</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SSR3</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KCNAB1</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GMPS</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SLC33A1</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PLCH1</w:t>
      </w:r>
      <w:r w:rsidR="003D579A" w:rsidRPr="003D579A">
        <w:rPr>
          <w:rFonts w:ascii="Times New Roman" w:hAnsi="Times New Roman"/>
          <w:iCs/>
          <w:sz w:val="24"/>
          <w:szCs w:val="24"/>
          <w:lang w:val="en-GB"/>
        </w:rPr>
        <w:t>,</w:t>
      </w:r>
      <w:r w:rsidR="002356E3" w:rsidRPr="00EC46FF">
        <w:rPr>
          <w:rFonts w:ascii="Times New Roman" w:hAnsi="Times New Roman"/>
          <w:sz w:val="24"/>
          <w:szCs w:val="24"/>
          <w:lang w:val="en-GB"/>
        </w:rPr>
        <w:t xml:space="preserve"> and </w:t>
      </w:r>
      <w:r w:rsidR="002356E3" w:rsidRPr="00EC46FF">
        <w:rPr>
          <w:rFonts w:ascii="Times New Roman" w:hAnsi="Times New Roman"/>
          <w:i/>
          <w:sz w:val="24"/>
          <w:szCs w:val="24"/>
          <w:lang w:val="en-GB"/>
        </w:rPr>
        <w:t>MME</w:t>
      </w:r>
      <w:r w:rsidR="002356E3" w:rsidRPr="00EC46FF">
        <w:rPr>
          <w:rFonts w:ascii="Times New Roman" w:hAnsi="Times New Roman"/>
          <w:sz w:val="24"/>
          <w:szCs w:val="24"/>
          <w:lang w:val="en-GB"/>
        </w:rPr>
        <w:t>). Some of them have been associated with morphological and growth traits (</w:t>
      </w:r>
      <w:r w:rsidR="002356E3" w:rsidRPr="00EC46FF">
        <w:rPr>
          <w:rFonts w:ascii="Times New Roman" w:hAnsi="Times New Roman"/>
          <w:i/>
          <w:sz w:val="24"/>
          <w:szCs w:val="24"/>
          <w:lang w:val="en-GB"/>
        </w:rPr>
        <w:t>LEKR1</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TIPARP</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SSR3</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KCNAB1</w:t>
      </w:r>
      <w:r w:rsidR="002356E3" w:rsidRPr="00EC46FF">
        <w:rPr>
          <w:rFonts w:ascii="Times New Roman" w:hAnsi="Times New Roman"/>
          <w:sz w:val="24"/>
          <w:szCs w:val="24"/>
          <w:lang w:val="en-GB"/>
        </w:rPr>
        <w:t>) and/or with haematological traits related with metabolism and immunity (</w:t>
      </w:r>
      <w:r w:rsidR="002356E3" w:rsidRPr="00EC46FF">
        <w:rPr>
          <w:rFonts w:ascii="Times New Roman" w:hAnsi="Times New Roman"/>
          <w:i/>
          <w:sz w:val="24"/>
          <w:szCs w:val="24"/>
          <w:lang w:val="en-GB"/>
        </w:rPr>
        <w:t>LEKR1</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TIPARP</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SSR3</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GMPS</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SLC33A1</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PLCH1</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MME</w:t>
      </w:r>
      <w:r w:rsidR="002356E3" w:rsidRPr="00EC46FF">
        <w:rPr>
          <w:rFonts w:ascii="Times New Roman" w:hAnsi="Times New Roman"/>
          <w:sz w:val="24"/>
          <w:szCs w:val="24"/>
          <w:lang w:val="en-GB"/>
        </w:rPr>
        <w:t xml:space="preserve">). In addition, for </w:t>
      </w:r>
      <w:r w:rsidR="002356E3" w:rsidRPr="00EC46FF">
        <w:rPr>
          <w:rFonts w:ascii="Times New Roman" w:hAnsi="Times New Roman"/>
          <w:i/>
          <w:sz w:val="24"/>
          <w:szCs w:val="24"/>
          <w:lang w:val="en-GB"/>
        </w:rPr>
        <w:t>SLC33A1</w:t>
      </w:r>
      <w:r w:rsidR="002356E3" w:rsidRPr="00EC46FF">
        <w:rPr>
          <w:rFonts w:ascii="Times New Roman" w:hAnsi="Times New Roman"/>
          <w:sz w:val="24"/>
          <w:szCs w:val="24"/>
          <w:lang w:val="en-GB"/>
        </w:rPr>
        <w:t>, Gene Ontology points to an involvement in BMP (Bone Morphogenetic Protein) signalling, with the Bone Morphogenetic Protein Receptor 1B (</w:t>
      </w:r>
      <w:r w:rsidR="002356E3" w:rsidRPr="00EC46FF">
        <w:rPr>
          <w:rFonts w:ascii="Times New Roman" w:hAnsi="Times New Roman"/>
          <w:i/>
          <w:sz w:val="24"/>
          <w:szCs w:val="24"/>
          <w:lang w:val="en-GB"/>
        </w:rPr>
        <w:t>BMPR1B</w:t>
      </w:r>
      <w:r w:rsidR="002356E3" w:rsidRPr="00EC46FF">
        <w:rPr>
          <w:rFonts w:ascii="Times New Roman" w:hAnsi="Times New Roman"/>
          <w:sz w:val="24"/>
          <w:szCs w:val="24"/>
          <w:lang w:val="en-GB"/>
        </w:rPr>
        <w:t>) interestingly being among the candidate genes in the large selection signature on OAR6 (26.50</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 xml:space="preserve">41.65 Mb). Moreover, </w:t>
      </w:r>
      <w:r w:rsidR="002356E3" w:rsidRPr="00EC46FF">
        <w:rPr>
          <w:rFonts w:ascii="Times New Roman" w:hAnsi="Times New Roman"/>
          <w:i/>
          <w:sz w:val="24"/>
          <w:szCs w:val="24"/>
          <w:lang w:val="en-GB"/>
        </w:rPr>
        <w:t>TIPARP</w:t>
      </w:r>
      <w:r w:rsidR="002356E3" w:rsidRPr="00EC46FF">
        <w:rPr>
          <w:rFonts w:ascii="Times New Roman" w:hAnsi="Times New Roman"/>
          <w:sz w:val="24"/>
          <w:szCs w:val="24"/>
          <w:lang w:val="en-GB"/>
        </w:rPr>
        <w:t xml:space="preserve"> has been involved in oxygen and glucose deprivation-induced neuronal injury [</w:t>
      </w:r>
      <w:r w:rsidR="00B73C2D" w:rsidRPr="00A97CAE">
        <w:rPr>
          <w:rFonts w:ascii="Times New Roman" w:hAnsi="Times New Roman"/>
          <w:sz w:val="24"/>
          <w:szCs w:val="24"/>
          <w:lang w:val="en-GB"/>
        </w:rPr>
        <w:t>1</w:t>
      </w:r>
      <w:r w:rsidR="002356E3" w:rsidRPr="00EC46FF">
        <w:rPr>
          <w:rFonts w:ascii="Times New Roman" w:hAnsi="Times New Roman"/>
          <w:sz w:val="24"/>
          <w:szCs w:val="24"/>
          <w:lang w:val="en-GB"/>
        </w:rPr>
        <w:t>].</w:t>
      </w:r>
    </w:p>
    <w:p w14:paraId="71D9FAD3" w14:textId="77777777" w:rsidR="00EE41D3" w:rsidRDefault="00EE41D3" w:rsidP="002356E3">
      <w:pPr>
        <w:spacing w:after="0" w:line="480" w:lineRule="auto"/>
        <w:jc w:val="both"/>
        <w:rPr>
          <w:rFonts w:ascii="Times New Roman" w:hAnsi="Times New Roman"/>
          <w:b/>
          <w:bCs/>
          <w:sz w:val="24"/>
          <w:szCs w:val="24"/>
          <w:lang w:val="en-GB"/>
        </w:rPr>
      </w:pPr>
    </w:p>
    <w:p w14:paraId="523CFD7C" w14:textId="609E0E00" w:rsidR="002356E3" w:rsidRPr="00EC46FF" w:rsidRDefault="00EE41D3" w:rsidP="002356E3">
      <w:pPr>
        <w:spacing w:after="0" w:line="480" w:lineRule="auto"/>
        <w:jc w:val="both"/>
        <w:rPr>
          <w:rFonts w:ascii="Times New Roman" w:hAnsi="Times New Roman"/>
          <w:sz w:val="24"/>
          <w:szCs w:val="24"/>
          <w:lang w:val="en-GB"/>
        </w:rPr>
      </w:pPr>
      <w:r w:rsidRPr="00EE41D3">
        <w:rPr>
          <w:rFonts w:ascii="Times New Roman" w:hAnsi="Times New Roman"/>
          <w:b/>
          <w:bCs/>
          <w:sz w:val="24"/>
          <w:szCs w:val="24"/>
          <w:lang w:val="en-GB"/>
        </w:rPr>
        <w:t>OAR6</w:t>
      </w:r>
      <w:r>
        <w:rPr>
          <w:rFonts w:ascii="Times New Roman" w:hAnsi="Times New Roman"/>
          <w:sz w:val="24"/>
          <w:szCs w:val="24"/>
          <w:lang w:val="en-GB"/>
        </w:rPr>
        <w:t xml:space="preserve"> - </w:t>
      </w:r>
      <w:r w:rsidR="002356E3" w:rsidRPr="00EC46FF">
        <w:rPr>
          <w:rFonts w:ascii="Times New Roman" w:hAnsi="Times New Roman"/>
          <w:sz w:val="24"/>
          <w:szCs w:val="24"/>
          <w:lang w:val="en-GB"/>
        </w:rPr>
        <w:t>The region 26.50</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41.65 Mb on OAR6 included a large number of characteri</w:t>
      </w:r>
      <w:r w:rsidR="001F6230">
        <w:rPr>
          <w:rFonts w:ascii="Times New Roman" w:hAnsi="Times New Roman"/>
          <w:sz w:val="24"/>
          <w:szCs w:val="24"/>
          <w:lang w:val="en-GB"/>
        </w:rPr>
        <w:t>s</w:t>
      </w:r>
      <w:r w:rsidR="002356E3" w:rsidRPr="00EC46FF">
        <w:rPr>
          <w:rFonts w:ascii="Times New Roman" w:hAnsi="Times New Roman"/>
          <w:sz w:val="24"/>
          <w:szCs w:val="24"/>
          <w:lang w:val="en-GB"/>
        </w:rPr>
        <w:t>ed and uncharacteri</w:t>
      </w:r>
      <w:r w:rsidR="001F6230">
        <w:rPr>
          <w:rFonts w:ascii="Times New Roman" w:hAnsi="Times New Roman"/>
          <w:sz w:val="24"/>
          <w:szCs w:val="24"/>
          <w:lang w:val="en-GB"/>
        </w:rPr>
        <w:t>s</w:t>
      </w:r>
      <w:r w:rsidR="002356E3" w:rsidRPr="00EC46FF">
        <w:rPr>
          <w:rFonts w:ascii="Times New Roman" w:hAnsi="Times New Roman"/>
          <w:sz w:val="24"/>
          <w:szCs w:val="24"/>
          <w:lang w:val="en-GB"/>
        </w:rPr>
        <w:t>ed loci (71). Among the characteri</w:t>
      </w:r>
      <w:r w:rsidR="001F6230">
        <w:rPr>
          <w:rFonts w:ascii="Times New Roman" w:hAnsi="Times New Roman"/>
          <w:sz w:val="24"/>
          <w:szCs w:val="24"/>
          <w:lang w:val="en-GB"/>
        </w:rPr>
        <w:t>s</w:t>
      </w:r>
      <w:r w:rsidR="002356E3" w:rsidRPr="00EC46FF">
        <w:rPr>
          <w:rFonts w:ascii="Times New Roman" w:hAnsi="Times New Roman"/>
          <w:sz w:val="24"/>
          <w:szCs w:val="24"/>
          <w:lang w:val="en-GB"/>
        </w:rPr>
        <w:t xml:space="preserve">ed genes, </w:t>
      </w:r>
      <w:r w:rsidR="002356E3" w:rsidRPr="00EC46FF">
        <w:rPr>
          <w:rFonts w:ascii="Times New Roman" w:hAnsi="Times New Roman"/>
          <w:i/>
          <w:sz w:val="24"/>
          <w:szCs w:val="24"/>
          <w:lang w:val="en-GB"/>
        </w:rPr>
        <w:t>LCORL</w:t>
      </w:r>
      <w:r w:rsidR="002356E3" w:rsidRPr="00EC46FF">
        <w:rPr>
          <w:rFonts w:ascii="Times New Roman" w:hAnsi="Times New Roman"/>
          <w:sz w:val="24"/>
          <w:szCs w:val="24"/>
          <w:lang w:val="en-GB"/>
        </w:rPr>
        <w:t xml:space="preserve"> clearly appeared as one of the most relevant genes, based on the vast literature on its effects on growth, body size and conformation traits in human [</w:t>
      </w:r>
      <w:r w:rsidR="00B73C2D" w:rsidRPr="00EC46FF">
        <w:rPr>
          <w:rFonts w:ascii="Times New Roman" w:hAnsi="Times New Roman"/>
          <w:sz w:val="24"/>
          <w:szCs w:val="24"/>
          <w:lang w:val="en-GB"/>
        </w:rPr>
        <w:t>2</w:t>
      </w:r>
      <w:r w:rsidR="002356E3"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3</w:t>
      </w:r>
      <w:r w:rsidR="002356E3" w:rsidRPr="00EC46FF">
        <w:rPr>
          <w:rFonts w:ascii="Times New Roman" w:hAnsi="Times New Roman"/>
          <w:sz w:val="24"/>
          <w:szCs w:val="24"/>
          <w:lang w:val="en-GB"/>
        </w:rPr>
        <w:t>], sheep [</w:t>
      </w:r>
      <w:r w:rsidR="00B73C2D" w:rsidRPr="00EC46FF">
        <w:rPr>
          <w:rFonts w:ascii="Times New Roman" w:hAnsi="Times New Roman"/>
          <w:sz w:val="24"/>
          <w:szCs w:val="24"/>
          <w:lang w:val="en-GB"/>
        </w:rPr>
        <w:t>4</w:t>
      </w:r>
      <w:r w:rsidR="002356E3"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5</w:t>
      </w:r>
      <w:r w:rsidR="002356E3"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6</w:t>
      </w:r>
      <w:r w:rsidR="002356E3" w:rsidRPr="00EC46FF">
        <w:rPr>
          <w:rFonts w:ascii="Times New Roman" w:hAnsi="Times New Roman"/>
          <w:sz w:val="24"/>
          <w:szCs w:val="24"/>
          <w:lang w:val="en-GB"/>
        </w:rPr>
        <w:t>], goats [</w:t>
      </w:r>
      <w:r w:rsidR="00B73C2D" w:rsidRPr="00EC46FF">
        <w:rPr>
          <w:rFonts w:ascii="Times New Roman" w:hAnsi="Times New Roman"/>
          <w:sz w:val="24"/>
          <w:szCs w:val="24"/>
          <w:lang w:val="en-GB"/>
        </w:rPr>
        <w:t>7</w:t>
      </w:r>
      <w:r w:rsidR="002356E3"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8</w:t>
      </w:r>
      <w:r w:rsidR="002356E3" w:rsidRPr="00EC46FF">
        <w:rPr>
          <w:rFonts w:ascii="Times New Roman" w:hAnsi="Times New Roman"/>
          <w:sz w:val="24"/>
          <w:szCs w:val="24"/>
          <w:lang w:val="en-GB"/>
        </w:rPr>
        <w:t>], cattle [</w:t>
      </w:r>
      <w:r w:rsidR="00B73C2D" w:rsidRPr="00EC46FF">
        <w:rPr>
          <w:rFonts w:ascii="Times New Roman" w:hAnsi="Times New Roman"/>
          <w:sz w:val="24"/>
          <w:szCs w:val="24"/>
          <w:lang w:val="en-GB"/>
        </w:rPr>
        <w:t>9</w:t>
      </w:r>
      <w:r w:rsidR="002356E3"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10</w:t>
      </w:r>
      <w:r w:rsidR="002356E3"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11</w:t>
      </w:r>
      <w:r w:rsidR="002356E3" w:rsidRPr="00EC46FF">
        <w:rPr>
          <w:rFonts w:ascii="Times New Roman" w:hAnsi="Times New Roman"/>
          <w:sz w:val="24"/>
          <w:szCs w:val="24"/>
          <w:lang w:val="en-GB"/>
        </w:rPr>
        <w:t>], pigs [</w:t>
      </w:r>
      <w:r w:rsidR="00B73C2D" w:rsidRPr="00EC46FF">
        <w:rPr>
          <w:rFonts w:ascii="Times New Roman" w:hAnsi="Times New Roman"/>
          <w:sz w:val="24"/>
          <w:szCs w:val="24"/>
          <w:lang w:val="en-GB"/>
        </w:rPr>
        <w:t>12</w:t>
      </w:r>
      <w:r w:rsidR="002356E3" w:rsidRPr="00EC46FF">
        <w:rPr>
          <w:rFonts w:ascii="Times New Roman" w:hAnsi="Times New Roman"/>
          <w:sz w:val="24"/>
          <w:szCs w:val="24"/>
          <w:lang w:val="en-GB"/>
        </w:rPr>
        <w:t>], horses [</w:t>
      </w:r>
      <w:r w:rsidR="00B73C2D" w:rsidRPr="00EC46FF">
        <w:rPr>
          <w:rFonts w:ascii="Times New Roman" w:hAnsi="Times New Roman"/>
          <w:sz w:val="24"/>
          <w:szCs w:val="24"/>
          <w:lang w:val="en-GB"/>
        </w:rPr>
        <w:t>13</w:t>
      </w:r>
      <w:r w:rsidR="002356E3"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14</w:t>
      </w:r>
      <w:r w:rsidR="002356E3"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15</w:t>
      </w:r>
      <w:r w:rsidR="002356E3" w:rsidRPr="00EC46FF">
        <w:rPr>
          <w:rFonts w:ascii="Times New Roman" w:hAnsi="Times New Roman"/>
          <w:sz w:val="24"/>
          <w:szCs w:val="24"/>
          <w:lang w:val="en-GB"/>
        </w:rPr>
        <w:t>], donkeys [</w:t>
      </w:r>
      <w:r w:rsidR="00B73C2D" w:rsidRPr="00EC46FF">
        <w:rPr>
          <w:rFonts w:ascii="Times New Roman" w:hAnsi="Times New Roman"/>
          <w:sz w:val="24"/>
          <w:szCs w:val="24"/>
          <w:lang w:val="en-GB"/>
        </w:rPr>
        <w:t>16</w:t>
      </w:r>
      <w:r w:rsidR="002356E3" w:rsidRPr="00EC46FF">
        <w:rPr>
          <w:rFonts w:ascii="Times New Roman" w:hAnsi="Times New Roman"/>
          <w:sz w:val="24"/>
          <w:szCs w:val="24"/>
          <w:lang w:val="en-GB"/>
        </w:rPr>
        <w:t>], dogs [</w:t>
      </w:r>
      <w:r w:rsidR="00B73C2D" w:rsidRPr="00EC46FF">
        <w:rPr>
          <w:rFonts w:ascii="Times New Roman" w:hAnsi="Times New Roman"/>
          <w:sz w:val="24"/>
          <w:szCs w:val="24"/>
          <w:lang w:val="en-GB"/>
        </w:rPr>
        <w:t>17</w:t>
      </w:r>
      <w:r w:rsidR="002356E3" w:rsidRPr="00EC46FF">
        <w:rPr>
          <w:rFonts w:ascii="Times New Roman" w:hAnsi="Times New Roman"/>
          <w:sz w:val="24"/>
          <w:szCs w:val="24"/>
          <w:lang w:val="en-GB"/>
        </w:rPr>
        <w:t>], chickens [</w:t>
      </w:r>
      <w:r w:rsidR="00B73C2D" w:rsidRPr="00EC46FF">
        <w:rPr>
          <w:rFonts w:ascii="Times New Roman" w:hAnsi="Times New Roman"/>
          <w:sz w:val="24"/>
          <w:szCs w:val="24"/>
          <w:lang w:val="en-GB"/>
        </w:rPr>
        <w:t>18</w:t>
      </w:r>
      <w:r w:rsidR="002356E3" w:rsidRPr="00EC46FF">
        <w:rPr>
          <w:rFonts w:ascii="Times New Roman" w:hAnsi="Times New Roman"/>
          <w:sz w:val="24"/>
          <w:szCs w:val="24"/>
          <w:lang w:val="en-GB"/>
        </w:rPr>
        <w:t>], rabbits [</w:t>
      </w:r>
      <w:r w:rsidR="00B73C2D" w:rsidRPr="00EC46FF">
        <w:rPr>
          <w:rFonts w:ascii="Times New Roman" w:hAnsi="Times New Roman"/>
          <w:sz w:val="24"/>
          <w:szCs w:val="24"/>
          <w:lang w:val="en-GB"/>
        </w:rPr>
        <w:t>19</w:t>
      </w:r>
      <w:r w:rsidR="002356E3" w:rsidRPr="00EC46FF">
        <w:rPr>
          <w:rFonts w:ascii="Times New Roman" w:hAnsi="Times New Roman"/>
          <w:sz w:val="24"/>
          <w:szCs w:val="24"/>
          <w:lang w:val="en-GB"/>
        </w:rPr>
        <w:t>]</w:t>
      </w:r>
      <w:r w:rsidR="003D579A">
        <w:rPr>
          <w:rFonts w:ascii="Times New Roman" w:hAnsi="Times New Roman"/>
          <w:sz w:val="24"/>
          <w:szCs w:val="24"/>
          <w:lang w:val="en-GB"/>
        </w:rPr>
        <w:t>.</w:t>
      </w:r>
      <w:r w:rsidR="002356E3" w:rsidRPr="00EC46FF">
        <w:rPr>
          <w:rFonts w:ascii="Times New Roman" w:hAnsi="Times New Roman"/>
          <w:sz w:val="24"/>
          <w:szCs w:val="24"/>
          <w:lang w:val="en-GB"/>
        </w:rPr>
        <w:t xml:space="preserve"> </w:t>
      </w:r>
      <w:r w:rsidR="003D579A">
        <w:rPr>
          <w:rFonts w:ascii="Times New Roman" w:hAnsi="Times New Roman"/>
          <w:sz w:val="24"/>
          <w:szCs w:val="24"/>
          <w:lang w:val="en-GB"/>
        </w:rPr>
        <w:t>Moreover, a</w:t>
      </w:r>
      <w:r w:rsidR="002356E3" w:rsidRPr="00EC46FF">
        <w:rPr>
          <w:rFonts w:ascii="Times New Roman" w:hAnsi="Times New Roman"/>
          <w:sz w:val="24"/>
          <w:szCs w:val="24"/>
          <w:lang w:val="en-GB"/>
        </w:rPr>
        <w:t xml:space="preserve"> possible role for </w:t>
      </w:r>
      <w:r w:rsidR="002356E3" w:rsidRPr="00EC46FF">
        <w:rPr>
          <w:rFonts w:ascii="Times New Roman" w:hAnsi="Times New Roman"/>
          <w:i/>
          <w:sz w:val="24"/>
          <w:szCs w:val="24"/>
          <w:lang w:val="en-GB"/>
        </w:rPr>
        <w:t>LCORL</w:t>
      </w:r>
      <w:r w:rsidR="002356E3" w:rsidRPr="00EC46FF">
        <w:rPr>
          <w:rFonts w:ascii="Times New Roman" w:hAnsi="Times New Roman"/>
          <w:sz w:val="24"/>
          <w:szCs w:val="24"/>
          <w:lang w:val="en-GB"/>
        </w:rPr>
        <w:t xml:space="preserve"> neighbouring genes cannot be excluded given the frequent pleiotropic nature of the association signals/QTLs detected in the genomic region including </w:t>
      </w:r>
      <w:r w:rsidR="002356E3" w:rsidRPr="00EC46FF">
        <w:rPr>
          <w:rFonts w:ascii="Times New Roman" w:hAnsi="Times New Roman"/>
          <w:i/>
          <w:sz w:val="24"/>
          <w:szCs w:val="24"/>
          <w:lang w:val="en-GB"/>
        </w:rPr>
        <w:t>LCORL</w:t>
      </w:r>
      <w:r w:rsidR="002356E3"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20</w:t>
      </w:r>
      <w:r w:rsidR="002356E3" w:rsidRPr="00EC46FF">
        <w:rPr>
          <w:rFonts w:ascii="Times New Roman" w:hAnsi="Times New Roman"/>
          <w:sz w:val="24"/>
          <w:szCs w:val="24"/>
          <w:lang w:val="en-GB"/>
        </w:rPr>
        <w:t>]. In the ovine species, Liu et al. [</w:t>
      </w:r>
      <w:r w:rsidR="00B73C2D" w:rsidRPr="00EC46FF">
        <w:rPr>
          <w:rFonts w:ascii="Times New Roman" w:hAnsi="Times New Roman"/>
          <w:sz w:val="24"/>
          <w:szCs w:val="24"/>
          <w:lang w:val="en-GB"/>
        </w:rPr>
        <w:t>21</w:t>
      </w:r>
      <w:r w:rsidR="002356E3" w:rsidRPr="00EC46FF">
        <w:rPr>
          <w:rFonts w:ascii="Times New Roman" w:hAnsi="Times New Roman"/>
          <w:sz w:val="24"/>
          <w:szCs w:val="24"/>
          <w:lang w:val="en-GB"/>
        </w:rPr>
        <w:t>] detected, in the region 35</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 xml:space="preserve">35.2 Mb on OAR6, selection signatures in South African Mutton Merino, a dual-purpose sheep breed whose primary selection goal is meat production, with significantly higher body weight and growth rate compared to the wool-type Merino breeds. In </w:t>
      </w:r>
      <w:r w:rsidR="002356E3" w:rsidRPr="00EC46FF">
        <w:rPr>
          <w:rFonts w:ascii="Times New Roman" w:hAnsi="Times New Roman"/>
          <w:sz w:val="24"/>
          <w:szCs w:val="24"/>
          <w:lang w:val="en-GB"/>
        </w:rPr>
        <w:lastRenderedPageBreak/>
        <w:t>Chinese Merino, by using the OvineSNP50 array, He et al. [</w:t>
      </w:r>
      <w:r w:rsidR="00B73C2D" w:rsidRPr="00EC46FF">
        <w:rPr>
          <w:rFonts w:ascii="Times New Roman" w:hAnsi="Times New Roman"/>
          <w:sz w:val="24"/>
          <w:szCs w:val="24"/>
          <w:lang w:val="en-GB"/>
        </w:rPr>
        <w:t>22</w:t>
      </w:r>
      <w:r w:rsidR="002356E3" w:rsidRPr="00EC46FF">
        <w:rPr>
          <w:rFonts w:ascii="Times New Roman" w:hAnsi="Times New Roman"/>
          <w:sz w:val="24"/>
          <w:szCs w:val="24"/>
          <w:lang w:val="en-GB"/>
        </w:rPr>
        <w:t>] detected a ROH hotspot in the OAR6 region spanning 35</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38.67 Mb. In a large population of Australian sheep genotyped with the high-density 600K ovine array, Al Kalaldeh et al. [</w:t>
      </w:r>
      <w:r w:rsidR="00B73C2D" w:rsidRPr="00EC46FF">
        <w:rPr>
          <w:rFonts w:ascii="Times New Roman" w:hAnsi="Times New Roman"/>
          <w:sz w:val="24"/>
          <w:szCs w:val="24"/>
          <w:lang w:val="en-GB"/>
        </w:rPr>
        <w:t>23</w:t>
      </w:r>
      <w:r w:rsidR="002356E3" w:rsidRPr="00EC46FF">
        <w:rPr>
          <w:rFonts w:ascii="Times New Roman" w:hAnsi="Times New Roman"/>
          <w:sz w:val="24"/>
          <w:szCs w:val="24"/>
          <w:lang w:val="en-GB"/>
        </w:rPr>
        <w:t>] robustly identified significant association signals with parasite resistance in the region between 34.7 and 39.2 Mb on OAR6. Signatures of selection were also identified in the intervals 36.6</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36.9 and 37.2</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38.6 Mb of OAR6 by Gutiérrez-Gil et al. [</w:t>
      </w:r>
      <w:r w:rsidR="00B73C2D" w:rsidRPr="00EC46FF">
        <w:rPr>
          <w:rFonts w:ascii="Times New Roman" w:hAnsi="Times New Roman"/>
          <w:sz w:val="24"/>
          <w:szCs w:val="24"/>
          <w:lang w:val="en-GB"/>
        </w:rPr>
        <w:t>24</w:t>
      </w:r>
      <w:r w:rsidR="002356E3" w:rsidRPr="00EC46FF">
        <w:rPr>
          <w:rFonts w:ascii="Times New Roman" w:hAnsi="Times New Roman"/>
          <w:sz w:val="24"/>
          <w:szCs w:val="24"/>
          <w:lang w:val="en-GB"/>
        </w:rPr>
        <w:t>] using a cross-population extended haplotype homozygosity (</w:t>
      </w:r>
      <w:r w:rsidR="002356E3" w:rsidRPr="00DE501F">
        <w:rPr>
          <w:rFonts w:ascii="Times New Roman" w:hAnsi="Times New Roman"/>
          <w:sz w:val="24"/>
          <w:szCs w:val="24"/>
          <w:lang w:val="en-GB"/>
        </w:rPr>
        <w:t>XP-EHH</w:t>
      </w:r>
      <w:r w:rsidR="002356E3" w:rsidRPr="00EC46FF">
        <w:rPr>
          <w:rFonts w:ascii="Times New Roman" w:hAnsi="Times New Roman"/>
          <w:sz w:val="24"/>
          <w:szCs w:val="24"/>
          <w:lang w:val="en-GB"/>
        </w:rPr>
        <w:t>) approach performed between Merino (Australian Industry Merino, Australian Merino and Australian Poll Merino) and the coarse-wool Churra population. Also, in Australian Merino sheep</w:t>
      </w:r>
      <w:r w:rsidR="003D579A">
        <w:rPr>
          <w:rFonts w:ascii="Times New Roman" w:hAnsi="Times New Roman"/>
          <w:sz w:val="24"/>
          <w:szCs w:val="24"/>
          <w:lang w:val="en-GB"/>
        </w:rPr>
        <w:t>,</w:t>
      </w:r>
      <w:r w:rsidR="002356E3" w:rsidRPr="00EC46FF">
        <w:rPr>
          <w:rFonts w:ascii="Times New Roman" w:hAnsi="Times New Roman"/>
          <w:sz w:val="24"/>
          <w:szCs w:val="24"/>
          <w:lang w:val="en-GB"/>
        </w:rPr>
        <w:t xml:space="preserve"> genotyped using the medium-density array, Al-Mamun et al. [</w:t>
      </w:r>
      <w:r w:rsidR="00B73C2D" w:rsidRPr="00EC46FF">
        <w:rPr>
          <w:rFonts w:ascii="Times New Roman" w:hAnsi="Times New Roman"/>
          <w:sz w:val="24"/>
          <w:szCs w:val="24"/>
          <w:lang w:val="en-GB"/>
        </w:rPr>
        <w:t>25</w:t>
      </w:r>
      <w:r w:rsidR="002356E3" w:rsidRPr="00EC46FF">
        <w:rPr>
          <w:rFonts w:ascii="Times New Roman" w:hAnsi="Times New Roman"/>
          <w:sz w:val="24"/>
          <w:szCs w:val="24"/>
          <w:lang w:val="en-GB"/>
        </w:rPr>
        <w:t>] detected 13 significant SNPs that were associated with birth weight on OAR6, spanning the interval 36.1 and 38.6 Mb.</w:t>
      </w:r>
    </w:p>
    <w:p w14:paraId="08D56800" w14:textId="1C41BE52" w:rsidR="002356E3" w:rsidRPr="00EC46FF" w:rsidRDefault="002356E3" w:rsidP="002356E3">
      <w:p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Other interesting genes in the 26.50</w:t>
      </w:r>
      <w:r w:rsidR="003D579A">
        <w:rPr>
          <w:rFonts w:ascii="Times New Roman" w:hAnsi="Times New Roman"/>
          <w:sz w:val="24"/>
          <w:szCs w:val="24"/>
          <w:lang w:val="en-GB"/>
        </w:rPr>
        <w:t xml:space="preserve"> </w:t>
      </w:r>
      <w:r w:rsidRPr="00EC46FF">
        <w:rPr>
          <w:rFonts w:ascii="Times New Roman" w:hAnsi="Times New Roman"/>
          <w:sz w:val="24"/>
          <w:szCs w:val="24"/>
          <w:lang w:val="en-GB"/>
        </w:rPr>
        <w:t>-</w:t>
      </w:r>
      <w:r w:rsidR="003D579A">
        <w:rPr>
          <w:rFonts w:ascii="Times New Roman" w:hAnsi="Times New Roman"/>
          <w:sz w:val="24"/>
          <w:szCs w:val="24"/>
          <w:lang w:val="en-GB"/>
        </w:rPr>
        <w:t xml:space="preserve"> </w:t>
      </w:r>
      <w:r w:rsidRPr="00EC46FF">
        <w:rPr>
          <w:rFonts w:ascii="Times New Roman" w:hAnsi="Times New Roman"/>
          <w:sz w:val="24"/>
          <w:szCs w:val="24"/>
          <w:lang w:val="en-GB"/>
        </w:rPr>
        <w:t xml:space="preserve">41.65 Mb region of OAR6 were: </w:t>
      </w:r>
      <w:r w:rsidRPr="00EC46FF">
        <w:rPr>
          <w:rFonts w:ascii="Times New Roman" w:hAnsi="Times New Roman"/>
          <w:i/>
          <w:sz w:val="24"/>
          <w:szCs w:val="24"/>
          <w:lang w:val="en-GB"/>
        </w:rPr>
        <w:t>NCAPG</w:t>
      </w:r>
      <w:r w:rsidRPr="00EC46FF">
        <w:rPr>
          <w:rFonts w:ascii="Times New Roman" w:hAnsi="Times New Roman"/>
          <w:sz w:val="24"/>
          <w:szCs w:val="24"/>
          <w:lang w:val="en-GB"/>
        </w:rPr>
        <w:t>, encoding for a subunit of the condensing complex, responsible for the condensation and stabili</w:t>
      </w:r>
      <w:r w:rsidR="001F6230">
        <w:rPr>
          <w:rFonts w:ascii="Times New Roman" w:hAnsi="Times New Roman"/>
          <w:sz w:val="24"/>
          <w:szCs w:val="24"/>
          <w:lang w:val="en-GB"/>
        </w:rPr>
        <w:t>s</w:t>
      </w:r>
      <w:r w:rsidRPr="00EC46FF">
        <w:rPr>
          <w:rFonts w:ascii="Times New Roman" w:hAnsi="Times New Roman"/>
          <w:sz w:val="24"/>
          <w:szCs w:val="24"/>
          <w:lang w:val="en-GB"/>
        </w:rPr>
        <w:t>ation of chromosomes during meiosis and mitosis, also identified as a prognostic biomarker of immune infiltration in various cancer types [</w:t>
      </w:r>
      <w:r w:rsidR="00B73C2D" w:rsidRPr="00EC46FF">
        <w:rPr>
          <w:rFonts w:ascii="Times New Roman" w:hAnsi="Times New Roman"/>
          <w:sz w:val="24"/>
          <w:szCs w:val="24"/>
          <w:lang w:val="en-GB"/>
        </w:rPr>
        <w:t>26</w:t>
      </w:r>
      <w:r w:rsidRPr="00EC46FF">
        <w:rPr>
          <w:rFonts w:ascii="Times New Roman" w:hAnsi="Times New Roman"/>
          <w:sz w:val="24"/>
          <w:szCs w:val="24"/>
          <w:lang w:val="en-GB"/>
        </w:rPr>
        <w:t xml:space="preserve">]; </w:t>
      </w:r>
      <w:r w:rsidRPr="00EC46FF">
        <w:rPr>
          <w:rFonts w:ascii="Times New Roman" w:hAnsi="Times New Roman"/>
          <w:i/>
          <w:sz w:val="24"/>
          <w:szCs w:val="24"/>
          <w:lang w:val="en-GB"/>
        </w:rPr>
        <w:t>BMPR1B</w:t>
      </w:r>
      <w:r w:rsidRPr="00EC46FF">
        <w:rPr>
          <w:rFonts w:ascii="Times New Roman" w:hAnsi="Times New Roman"/>
          <w:sz w:val="24"/>
          <w:szCs w:val="24"/>
          <w:lang w:val="en-GB"/>
        </w:rPr>
        <w:t>, renowned to be associated with litter size in sheep [</w:t>
      </w:r>
      <w:r w:rsidR="00B73C2D" w:rsidRPr="00EC46FF">
        <w:rPr>
          <w:rFonts w:ascii="Times New Roman" w:hAnsi="Times New Roman"/>
          <w:sz w:val="24"/>
          <w:szCs w:val="24"/>
          <w:lang w:val="en-GB"/>
        </w:rPr>
        <w:t>27</w:t>
      </w:r>
      <w:r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28</w:t>
      </w:r>
      <w:r w:rsidRPr="00EC46FF">
        <w:rPr>
          <w:rFonts w:ascii="Times New Roman" w:hAnsi="Times New Roman"/>
          <w:sz w:val="24"/>
          <w:szCs w:val="24"/>
          <w:lang w:val="en-GB"/>
        </w:rPr>
        <w:t xml:space="preserve">]; </w:t>
      </w:r>
      <w:r w:rsidRPr="00EC46FF">
        <w:rPr>
          <w:rFonts w:ascii="Times New Roman" w:hAnsi="Times New Roman"/>
          <w:i/>
          <w:sz w:val="24"/>
          <w:szCs w:val="24"/>
          <w:lang w:val="en-GB"/>
        </w:rPr>
        <w:t>PDLIM5,</w:t>
      </w:r>
      <w:r w:rsidRPr="00EC46FF">
        <w:rPr>
          <w:rFonts w:ascii="Times New Roman" w:hAnsi="Times New Roman"/>
          <w:sz w:val="24"/>
          <w:szCs w:val="24"/>
          <w:lang w:val="en-GB"/>
        </w:rPr>
        <w:t xml:space="preserve"> encoding for a cytoskeleton-related protein playing an important role in regulating cell proliferation, differentiation and cell fate decision in multiple tissues and cell types; </w:t>
      </w:r>
      <w:r w:rsidRPr="00EC46FF">
        <w:rPr>
          <w:rFonts w:ascii="Times New Roman" w:hAnsi="Times New Roman"/>
          <w:i/>
          <w:sz w:val="24"/>
          <w:szCs w:val="24"/>
          <w:lang w:val="en-GB"/>
        </w:rPr>
        <w:t>MED28</w:t>
      </w:r>
      <w:r w:rsidRPr="00EC46FF">
        <w:rPr>
          <w:rFonts w:ascii="Times New Roman" w:hAnsi="Times New Roman"/>
          <w:sz w:val="24"/>
          <w:szCs w:val="24"/>
          <w:lang w:val="en-GB"/>
        </w:rPr>
        <w:t xml:space="preserve">, also suggested as participating in cellular signalling to the actin cytoskeleton; </w:t>
      </w:r>
      <w:r w:rsidRPr="00EC46FF">
        <w:rPr>
          <w:rFonts w:ascii="Times New Roman" w:hAnsi="Times New Roman"/>
          <w:i/>
          <w:sz w:val="24"/>
          <w:szCs w:val="24"/>
          <w:lang w:val="en-GB"/>
        </w:rPr>
        <w:t>FAM13A</w:t>
      </w:r>
      <w:r w:rsidRPr="00EC46FF">
        <w:rPr>
          <w:rFonts w:ascii="Times New Roman" w:hAnsi="Times New Roman"/>
          <w:sz w:val="24"/>
          <w:szCs w:val="24"/>
          <w:lang w:val="en-GB"/>
        </w:rPr>
        <w:t>, characteri</w:t>
      </w:r>
      <w:r w:rsidR="001F6230">
        <w:rPr>
          <w:rFonts w:ascii="Times New Roman" w:hAnsi="Times New Roman"/>
          <w:sz w:val="24"/>
          <w:szCs w:val="24"/>
          <w:lang w:val="en-GB"/>
        </w:rPr>
        <w:t>s</w:t>
      </w:r>
      <w:r w:rsidRPr="00EC46FF">
        <w:rPr>
          <w:rFonts w:ascii="Times New Roman" w:hAnsi="Times New Roman"/>
          <w:sz w:val="24"/>
          <w:szCs w:val="24"/>
          <w:lang w:val="en-GB"/>
        </w:rPr>
        <w:t>ed as an hypoxia-inducible gene [</w:t>
      </w:r>
      <w:r w:rsidR="00B73C2D" w:rsidRPr="00EC46FF">
        <w:rPr>
          <w:rFonts w:ascii="Times New Roman" w:hAnsi="Times New Roman"/>
          <w:sz w:val="24"/>
          <w:szCs w:val="24"/>
          <w:lang w:val="en-GB"/>
        </w:rPr>
        <w:t>29</w:t>
      </w:r>
      <w:r w:rsidRPr="00EC46FF">
        <w:rPr>
          <w:rFonts w:ascii="Times New Roman" w:hAnsi="Times New Roman"/>
          <w:sz w:val="24"/>
          <w:szCs w:val="24"/>
          <w:lang w:val="en-GB"/>
        </w:rPr>
        <w:t xml:space="preserve">]; </w:t>
      </w:r>
      <w:r w:rsidRPr="00EC46FF">
        <w:rPr>
          <w:rFonts w:ascii="Times New Roman" w:hAnsi="Times New Roman"/>
          <w:i/>
          <w:sz w:val="24"/>
          <w:szCs w:val="24"/>
          <w:lang w:val="en-GB"/>
        </w:rPr>
        <w:t>KCNIP4</w:t>
      </w:r>
      <w:r w:rsidRPr="00EC46FF">
        <w:rPr>
          <w:rFonts w:ascii="Times New Roman" w:hAnsi="Times New Roman"/>
          <w:sz w:val="24"/>
          <w:szCs w:val="24"/>
          <w:lang w:val="en-GB"/>
        </w:rPr>
        <w:t>, encoding for an integral subunit component of oxygen-sensitive potassium channels [</w:t>
      </w:r>
      <w:r w:rsidR="00B73C2D" w:rsidRPr="00EC46FF">
        <w:rPr>
          <w:rFonts w:ascii="Times New Roman" w:hAnsi="Times New Roman"/>
          <w:sz w:val="24"/>
          <w:szCs w:val="24"/>
          <w:lang w:val="en-GB"/>
        </w:rPr>
        <w:t>30</w:t>
      </w:r>
      <w:r w:rsidRPr="00EC46FF">
        <w:rPr>
          <w:rFonts w:ascii="Times New Roman" w:hAnsi="Times New Roman"/>
          <w:sz w:val="24"/>
          <w:szCs w:val="24"/>
          <w:lang w:val="en-GB"/>
        </w:rPr>
        <w:t>]; and the members of the HERC family of ubiquitin ligases (</w:t>
      </w:r>
      <w:r w:rsidRPr="00EC46FF">
        <w:rPr>
          <w:rFonts w:ascii="Times New Roman" w:hAnsi="Times New Roman"/>
          <w:i/>
          <w:sz w:val="24"/>
          <w:szCs w:val="24"/>
          <w:lang w:val="en-GB"/>
        </w:rPr>
        <w:t>HERC3</w:t>
      </w:r>
      <w:r w:rsidRPr="00EC46FF">
        <w:rPr>
          <w:rFonts w:ascii="Times New Roman" w:hAnsi="Times New Roman"/>
          <w:sz w:val="24"/>
          <w:szCs w:val="24"/>
          <w:lang w:val="en-GB"/>
        </w:rPr>
        <w:t xml:space="preserve">, </w:t>
      </w:r>
      <w:r w:rsidRPr="00EC46FF">
        <w:rPr>
          <w:rFonts w:ascii="Times New Roman" w:hAnsi="Times New Roman"/>
          <w:i/>
          <w:sz w:val="24"/>
          <w:szCs w:val="24"/>
          <w:lang w:val="en-GB"/>
        </w:rPr>
        <w:t>HERC5</w:t>
      </w:r>
      <w:r w:rsidRPr="00EC46FF">
        <w:rPr>
          <w:rFonts w:ascii="Times New Roman" w:hAnsi="Times New Roman"/>
          <w:iCs/>
          <w:sz w:val="24"/>
          <w:szCs w:val="24"/>
          <w:lang w:val="en-GB"/>
        </w:rPr>
        <w:t>,</w:t>
      </w:r>
      <w:r w:rsidRPr="00EC46FF">
        <w:rPr>
          <w:rFonts w:ascii="Times New Roman" w:hAnsi="Times New Roman"/>
          <w:sz w:val="24"/>
          <w:szCs w:val="24"/>
          <w:lang w:val="en-GB"/>
        </w:rPr>
        <w:t xml:space="preserve"> and </w:t>
      </w:r>
      <w:r w:rsidRPr="00EC46FF">
        <w:rPr>
          <w:rFonts w:ascii="Times New Roman" w:hAnsi="Times New Roman"/>
          <w:i/>
          <w:sz w:val="24"/>
          <w:szCs w:val="24"/>
          <w:lang w:val="en-GB"/>
        </w:rPr>
        <w:t>HERC6</w:t>
      </w:r>
      <w:r w:rsidRPr="00EC46FF">
        <w:rPr>
          <w:rFonts w:ascii="Times New Roman" w:hAnsi="Times New Roman"/>
          <w:sz w:val="24"/>
          <w:szCs w:val="24"/>
          <w:lang w:val="en-GB"/>
        </w:rPr>
        <w:t>), emerging as key components of a wide range of cellular functions, including neurodevelopment, DNA damage repair, cell growth and immune response [</w:t>
      </w:r>
      <w:r w:rsidR="00B73C2D" w:rsidRPr="00EC46FF">
        <w:rPr>
          <w:rFonts w:ascii="Times New Roman" w:hAnsi="Times New Roman"/>
          <w:sz w:val="24"/>
          <w:szCs w:val="24"/>
          <w:lang w:val="en-GB"/>
        </w:rPr>
        <w:t>31</w:t>
      </w:r>
      <w:r w:rsidRPr="00EC46FF">
        <w:rPr>
          <w:rFonts w:ascii="Times New Roman" w:hAnsi="Times New Roman"/>
          <w:sz w:val="24"/>
          <w:szCs w:val="24"/>
          <w:lang w:val="en-GB"/>
        </w:rPr>
        <w:t xml:space="preserve">]. Notably, </w:t>
      </w:r>
      <w:r w:rsidRPr="00EC46FF">
        <w:rPr>
          <w:rFonts w:ascii="Times New Roman" w:hAnsi="Times New Roman"/>
          <w:i/>
          <w:sz w:val="24"/>
          <w:szCs w:val="24"/>
          <w:lang w:val="en-GB"/>
        </w:rPr>
        <w:t>HERC3</w:t>
      </w:r>
      <w:r w:rsidRPr="00EC46FF">
        <w:rPr>
          <w:rFonts w:ascii="Times New Roman" w:hAnsi="Times New Roman"/>
          <w:sz w:val="24"/>
          <w:szCs w:val="24"/>
          <w:lang w:val="en-GB"/>
        </w:rPr>
        <w:t xml:space="preserve"> has been involved in UVB-induced cellular senescence </w:t>
      </w:r>
      <w:r w:rsidRPr="00EC46FF">
        <w:rPr>
          <w:rFonts w:ascii="Times New Roman" w:hAnsi="Times New Roman"/>
          <w:i/>
          <w:sz w:val="24"/>
          <w:szCs w:val="24"/>
          <w:lang w:val="en-GB"/>
        </w:rPr>
        <w:t>in vitro</w:t>
      </w:r>
      <w:r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32</w:t>
      </w:r>
      <w:r w:rsidRPr="00EC46FF">
        <w:rPr>
          <w:rFonts w:ascii="Times New Roman" w:hAnsi="Times New Roman"/>
          <w:sz w:val="24"/>
          <w:szCs w:val="24"/>
          <w:lang w:val="en-GB"/>
        </w:rPr>
        <w:t>] and dairy cattle milk somatic cell score [</w:t>
      </w:r>
      <w:r w:rsidR="00B73C2D" w:rsidRPr="00EC46FF">
        <w:rPr>
          <w:rFonts w:ascii="Times New Roman" w:hAnsi="Times New Roman"/>
          <w:sz w:val="24"/>
          <w:szCs w:val="24"/>
          <w:lang w:val="en-GB"/>
        </w:rPr>
        <w:t>33</w:t>
      </w:r>
      <w:r w:rsidRPr="00EC46FF">
        <w:rPr>
          <w:rFonts w:ascii="Times New Roman" w:hAnsi="Times New Roman"/>
          <w:sz w:val="24"/>
          <w:szCs w:val="24"/>
          <w:lang w:val="en-GB"/>
        </w:rPr>
        <w:t xml:space="preserve">]. </w:t>
      </w:r>
      <w:r w:rsidRPr="00EC46FF">
        <w:rPr>
          <w:rFonts w:ascii="Times New Roman" w:hAnsi="Times New Roman"/>
          <w:i/>
          <w:sz w:val="24"/>
          <w:szCs w:val="24"/>
          <w:lang w:val="en-GB"/>
        </w:rPr>
        <w:t>HERC5</w:t>
      </w:r>
      <w:r w:rsidRPr="00EC46FF">
        <w:rPr>
          <w:rFonts w:ascii="Times New Roman" w:hAnsi="Times New Roman"/>
          <w:sz w:val="24"/>
          <w:szCs w:val="24"/>
          <w:lang w:val="en-GB"/>
        </w:rPr>
        <w:t xml:space="preserve"> has been involved in antiviral response [</w:t>
      </w:r>
      <w:r w:rsidR="00B73C2D" w:rsidRPr="00EC46FF">
        <w:rPr>
          <w:rFonts w:ascii="Times New Roman" w:hAnsi="Times New Roman"/>
          <w:sz w:val="24"/>
          <w:szCs w:val="24"/>
          <w:lang w:val="en-GB"/>
        </w:rPr>
        <w:t>34</w:t>
      </w:r>
      <w:r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35</w:t>
      </w:r>
      <w:r w:rsidRPr="00EC46FF">
        <w:rPr>
          <w:rFonts w:ascii="Times New Roman" w:hAnsi="Times New Roman"/>
          <w:sz w:val="24"/>
          <w:szCs w:val="24"/>
          <w:lang w:val="en-GB"/>
        </w:rPr>
        <w:t xml:space="preserve">], similarly to </w:t>
      </w:r>
      <w:r w:rsidRPr="00EC46FF">
        <w:rPr>
          <w:rFonts w:ascii="Times New Roman" w:hAnsi="Times New Roman"/>
          <w:i/>
          <w:sz w:val="24"/>
          <w:szCs w:val="24"/>
          <w:lang w:val="en-GB"/>
        </w:rPr>
        <w:t>HERC6</w:t>
      </w:r>
      <w:r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36</w:t>
      </w:r>
      <w:r w:rsidRPr="00EC46FF">
        <w:rPr>
          <w:rFonts w:ascii="Times New Roman" w:hAnsi="Times New Roman"/>
          <w:sz w:val="24"/>
          <w:szCs w:val="24"/>
          <w:lang w:val="en-GB"/>
        </w:rPr>
        <w:t>]. The latter gene product has been also shown to be modulated by interferon [</w:t>
      </w:r>
      <w:r w:rsidR="00B73C2D" w:rsidRPr="00EC46FF">
        <w:rPr>
          <w:rFonts w:ascii="Times New Roman" w:hAnsi="Times New Roman"/>
          <w:sz w:val="24"/>
          <w:szCs w:val="24"/>
          <w:lang w:val="en-GB"/>
        </w:rPr>
        <w:t>37</w:t>
      </w:r>
      <w:r w:rsidRPr="00EC46FF">
        <w:rPr>
          <w:rFonts w:ascii="Times New Roman" w:hAnsi="Times New Roman"/>
          <w:sz w:val="24"/>
          <w:szCs w:val="24"/>
          <w:lang w:val="en-GB"/>
        </w:rPr>
        <w:t>] and to be associated with feed efficiency in beef heifers [</w:t>
      </w:r>
      <w:r w:rsidR="00B73C2D" w:rsidRPr="00EC46FF">
        <w:rPr>
          <w:rFonts w:ascii="Times New Roman" w:hAnsi="Times New Roman"/>
          <w:sz w:val="24"/>
          <w:szCs w:val="24"/>
          <w:lang w:val="en-GB"/>
        </w:rPr>
        <w:t>38</w:t>
      </w:r>
      <w:r w:rsidRPr="00EC46FF">
        <w:rPr>
          <w:rFonts w:ascii="Times New Roman" w:hAnsi="Times New Roman"/>
          <w:sz w:val="24"/>
          <w:szCs w:val="24"/>
          <w:lang w:val="en-GB"/>
        </w:rPr>
        <w:t>].</w:t>
      </w:r>
      <w:r w:rsidRPr="00EC46FF">
        <w:rPr>
          <w:rFonts w:ascii="Times New Roman" w:hAnsi="Times New Roman"/>
          <w:i/>
          <w:sz w:val="24"/>
          <w:szCs w:val="24"/>
          <w:lang w:val="en-GB"/>
        </w:rPr>
        <w:t xml:space="preserve"> </w:t>
      </w:r>
      <w:r w:rsidRPr="00EC46FF">
        <w:rPr>
          <w:rFonts w:ascii="Times New Roman" w:hAnsi="Times New Roman"/>
          <w:sz w:val="24"/>
          <w:szCs w:val="24"/>
          <w:lang w:val="en-GB"/>
        </w:rPr>
        <w:t>All the three HERC proteins have been detected as having various roles in innate and acquired immune response mechanisms and associated with resistance to</w:t>
      </w:r>
      <w:r w:rsidRPr="00EC46FF">
        <w:rPr>
          <w:rFonts w:ascii="Times New Roman" w:hAnsi="Times New Roman"/>
          <w:i/>
          <w:sz w:val="24"/>
          <w:szCs w:val="24"/>
          <w:lang w:val="en-GB"/>
        </w:rPr>
        <w:t xml:space="preserve"> </w:t>
      </w:r>
      <w:r w:rsidRPr="00EC46FF">
        <w:rPr>
          <w:rFonts w:ascii="Times New Roman" w:hAnsi="Times New Roman"/>
          <w:sz w:val="24"/>
          <w:szCs w:val="24"/>
          <w:lang w:val="en-GB"/>
        </w:rPr>
        <w:lastRenderedPageBreak/>
        <w:t>gastrointestinal parasites in Australian sheep [</w:t>
      </w:r>
      <w:r w:rsidR="00B73C2D" w:rsidRPr="00EC46FF">
        <w:rPr>
          <w:rFonts w:ascii="Times New Roman" w:hAnsi="Times New Roman"/>
          <w:sz w:val="24"/>
          <w:szCs w:val="24"/>
          <w:lang w:val="en-GB"/>
        </w:rPr>
        <w:t>23</w:t>
      </w:r>
      <w:r w:rsidRPr="00EC46FF">
        <w:rPr>
          <w:rFonts w:ascii="Times New Roman" w:hAnsi="Times New Roman"/>
          <w:sz w:val="24"/>
          <w:szCs w:val="24"/>
          <w:lang w:val="en-GB"/>
        </w:rPr>
        <w:t xml:space="preserve">]. Among the genes with a role in immune response, also </w:t>
      </w:r>
      <w:r w:rsidRPr="00EC46FF">
        <w:rPr>
          <w:rFonts w:ascii="Times New Roman" w:hAnsi="Times New Roman"/>
          <w:i/>
          <w:sz w:val="24"/>
          <w:szCs w:val="24"/>
          <w:lang w:val="en-GB"/>
        </w:rPr>
        <w:t>SLIT2</w:t>
      </w:r>
      <w:r w:rsidRPr="00EC46FF">
        <w:rPr>
          <w:rFonts w:ascii="Times New Roman" w:hAnsi="Times New Roman"/>
          <w:sz w:val="24"/>
          <w:szCs w:val="24"/>
          <w:lang w:val="en-GB"/>
        </w:rPr>
        <w:t xml:space="preserve">, </w:t>
      </w:r>
      <w:r w:rsidRPr="00EC46FF">
        <w:rPr>
          <w:rFonts w:ascii="Times New Roman" w:hAnsi="Times New Roman"/>
          <w:i/>
          <w:sz w:val="24"/>
          <w:szCs w:val="24"/>
          <w:lang w:val="en-GB"/>
        </w:rPr>
        <w:t>HPGDS</w:t>
      </w:r>
      <w:r w:rsidRPr="00EC46FF">
        <w:rPr>
          <w:rFonts w:ascii="Times New Roman" w:hAnsi="Times New Roman"/>
          <w:sz w:val="24"/>
          <w:szCs w:val="24"/>
          <w:lang w:val="en-GB"/>
        </w:rPr>
        <w:t xml:space="preserve">, </w:t>
      </w:r>
      <w:r w:rsidRPr="00EC46FF">
        <w:rPr>
          <w:rFonts w:ascii="Times New Roman" w:hAnsi="Times New Roman"/>
          <w:i/>
          <w:sz w:val="24"/>
          <w:szCs w:val="24"/>
          <w:lang w:val="en-GB"/>
        </w:rPr>
        <w:t>LAP3</w:t>
      </w:r>
      <w:r w:rsidRPr="00EC46FF">
        <w:rPr>
          <w:rFonts w:ascii="Times New Roman" w:hAnsi="Times New Roman"/>
          <w:sz w:val="24"/>
          <w:szCs w:val="24"/>
          <w:lang w:val="en-GB"/>
        </w:rPr>
        <w:t xml:space="preserve"> (also involved in blood pressure regulation) and </w:t>
      </w:r>
      <w:r w:rsidRPr="00EC46FF">
        <w:rPr>
          <w:rFonts w:ascii="Times New Roman" w:hAnsi="Times New Roman"/>
          <w:i/>
          <w:sz w:val="24"/>
          <w:szCs w:val="24"/>
          <w:lang w:val="en-GB"/>
        </w:rPr>
        <w:t>SPP1</w:t>
      </w:r>
      <w:r w:rsidRPr="00EC46FF">
        <w:rPr>
          <w:rFonts w:ascii="Times New Roman" w:hAnsi="Times New Roman"/>
          <w:sz w:val="24"/>
          <w:szCs w:val="24"/>
          <w:lang w:val="en-GB"/>
        </w:rPr>
        <w:t xml:space="preserve"> (alias </w:t>
      </w:r>
      <w:r w:rsidRPr="003D579A">
        <w:rPr>
          <w:rFonts w:ascii="Times New Roman" w:hAnsi="Times New Roman"/>
          <w:i/>
          <w:iCs/>
          <w:sz w:val="24"/>
          <w:szCs w:val="24"/>
          <w:lang w:val="en-GB"/>
        </w:rPr>
        <w:t>osteopontin</w:t>
      </w:r>
      <w:r w:rsidRPr="00EC46FF">
        <w:rPr>
          <w:rFonts w:ascii="Times New Roman" w:hAnsi="Times New Roman"/>
          <w:sz w:val="24"/>
          <w:szCs w:val="24"/>
          <w:lang w:val="en-GB"/>
        </w:rPr>
        <w:t xml:space="preserve">, known to have multiple functions in developmental processes, immunological responses during inflammation and wound healing, and bone mineralization) were identified. Finally, the </w:t>
      </w:r>
      <w:r w:rsidRPr="00EC46FF">
        <w:rPr>
          <w:rFonts w:ascii="Times New Roman" w:hAnsi="Times New Roman"/>
          <w:i/>
          <w:sz w:val="24"/>
          <w:szCs w:val="24"/>
          <w:lang w:val="en-GB"/>
        </w:rPr>
        <w:t>MEPE</w:t>
      </w:r>
      <w:r w:rsidRPr="00EC46FF">
        <w:rPr>
          <w:rFonts w:ascii="Times New Roman" w:hAnsi="Times New Roman"/>
          <w:sz w:val="24"/>
          <w:szCs w:val="24"/>
          <w:lang w:val="en-GB"/>
        </w:rPr>
        <w:t xml:space="preserve"> gene plays a role in bone mineralization and bone mass, encoding for a secreted calcium-binding phosphoprotein.</w:t>
      </w:r>
    </w:p>
    <w:p w14:paraId="7E037554" w14:textId="6B2972FC" w:rsidR="002356E3" w:rsidRPr="00EC46FF" w:rsidRDefault="002356E3" w:rsidP="002356E3">
      <w:p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In the region 43.75</w:t>
      </w:r>
      <w:r w:rsidR="003D579A">
        <w:rPr>
          <w:rFonts w:ascii="Times New Roman" w:hAnsi="Times New Roman"/>
          <w:sz w:val="24"/>
          <w:szCs w:val="24"/>
          <w:lang w:val="en-GB"/>
        </w:rPr>
        <w:t xml:space="preserve"> </w:t>
      </w:r>
      <w:r w:rsidRPr="00EC46FF">
        <w:rPr>
          <w:rFonts w:ascii="Times New Roman" w:hAnsi="Times New Roman"/>
          <w:sz w:val="24"/>
          <w:szCs w:val="24"/>
          <w:lang w:val="en-GB"/>
        </w:rPr>
        <w:t>-</w:t>
      </w:r>
      <w:r w:rsidR="003D579A">
        <w:rPr>
          <w:rFonts w:ascii="Times New Roman" w:hAnsi="Times New Roman"/>
          <w:sz w:val="24"/>
          <w:szCs w:val="24"/>
          <w:lang w:val="en-GB"/>
        </w:rPr>
        <w:t xml:space="preserve"> </w:t>
      </w:r>
      <w:r w:rsidRPr="00EC46FF">
        <w:rPr>
          <w:rFonts w:ascii="Times New Roman" w:hAnsi="Times New Roman"/>
          <w:sz w:val="24"/>
          <w:szCs w:val="24"/>
          <w:lang w:val="en-GB"/>
        </w:rPr>
        <w:t xml:space="preserve">46.70 Mb on OAR6, 25 loci were detected. Out of them, the </w:t>
      </w:r>
      <w:r w:rsidRPr="00EC46FF">
        <w:rPr>
          <w:rFonts w:ascii="Times New Roman" w:hAnsi="Times New Roman"/>
          <w:i/>
          <w:iCs/>
          <w:sz w:val="24"/>
          <w:szCs w:val="24"/>
          <w:lang w:val="en-GB"/>
        </w:rPr>
        <w:t xml:space="preserve">PPARGC1A </w:t>
      </w:r>
      <w:r w:rsidRPr="00EC46FF">
        <w:rPr>
          <w:rFonts w:ascii="Times New Roman" w:hAnsi="Times New Roman"/>
          <w:sz w:val="24"/>
          <w:szCs w:val="24"/>
          <w:lang w:val="en-GB"/>
        </w:rPr>
        <w:t xml:space="preserve">gene, also known as </w:t>
      </w:r>
      <w:r w:rsidRPr="00EC46FF">
        <w:rPr>
          <w:rFonts w:ascii="Times New Roman" w:hAnsi="Times New Roman"/>
          <w:i/>
          <w:iCs/>
          <w:sz w:val="24"/>
          <w:szCs w:val="24"/>
          <w:lang w:val="en-GB"/>
        </w:rPr>
        <w:t>PGC1alpha</w:t>
      </w:r>
      <w:r w:rsidRPr="00EC46FF">
        <w:rPr>
          <w:rFonts w:ascii="Times New Roman" w:hAnsi="Times New Roman"/>
          <w:sz w:val="24"/>
          <w:szCs w:val="24"/>
          <w:lang w:val="en-GB"/>
        </w:rPr>
        <w:t>,</w:t>
      </w:r>
      <w:r w:rsidRPr="00EC46FF">
        <w:rPr>
          <w:rFonts w:ascii="Times New Roman" w:hAnsi="Times New Roman"/>
          <w:i/>
          <w:iCs/>
          <w:sz w:val="24"/>
          <w:szCs w:val="24"/>
          <w:lang w:val="en-GB"/>
        </w:rPr>
        <w:t xml:space="preserve"> </w:t>
      </w:r>
      <w:r w:rsidRPr="00EC46FF">
        <w:rPr>
          <w:rFonts w:ascii="Times New Roman" w:hAnsi="Times New Roman"/>
          <w:sz w:val="24"/>
          <w:szCs w:val="24"/>
          <w:lang w:val="en-GB"/>
        </w:rPr>
        <w:t>has repeatedly been proven to have functions in growth, carcass traits, and meat quality in different livestock species [</w:t>
      </w:r>
      <w:r w:rsidR="00BB2D92" w:rsidRPr="00EC46FF">
        <w:rPr>
          <w:rFonts w:ascii="Times New Roman" w:hAnsi="Times New Roman"/>
          <w:sz w:val="24"/>
          <w:szCs w:val="24"/>
          <w:lang w:val="en-GB"/>
        </w:rPr>
        <w:t>39</w:t>
      </w:r>
      <w:r w:rsidRPr="00EC46FF">
        <w:rPr>
          <w:rFonts w:ascii="Times New Roman" w:hAnsi="Times New Roman"/>
          <w:sz w:val="24"/>
          <w:szCs w:val="24"/>
          <w:lang w:val="en-GB"/>
        </w:rPr>
        <w:t xml:space="preserve">, </w:t>
      </w:r>
      <w:r w:rsidR="00BB2D92" w:rsidRPr="00EC46FF">
        <w:rPr>
          <w:rFonts w:ascii="Times New Roman" w:hAnsi="Times New Roman"/>
          <w:sz w:val="24"/>
          <w:szCs w:val="24"/>
          <w:lang w:val="en-GB"/>
        </w:rPr>
        <w:t>40</w:t>
      </w:r>
      <w:r w:rsidRPr="00EC46FF">
        <w:rPr>
          <w:rFonts w:ascii="Times New Roman" w:hAnsi="Times New Roman"/>
          <w:sz w:val="24"/>
          <w:szCs w:val="24"/>
          <w:lang w:val="en-GB"/>
        </w:rPr>
        <w:t xml:space="preserve">, </w:t>
      </w:r>
      <w:r w:rsidR="00BB2D92" w:rsidRPr="00EC46FF">
        <w:rPr>
          <w:rFonts w:ascii="Times New Roman" w:hAnsi="Times New Roman"/>
          <w:sz w:val="24"/>
          <w:szCs w:val="24"/>
          <w:lang w:val="en-GB"/>
        </w:rPr>
        <w:t>41</w:t>
      </w:r>
      <w:r w:rsidRPr="00EC46FF">
        <w:rPr>
          <w:rFonts w:ascii="Times New Roman" w:hAnsi="Times New Roman"/>
          <w:sz w:val="24"/>
          <w:szCs w:val="24"/>
          <w:lang w:val="en-GB"/>
        </w:rPr>
        <w:t xml:space="preserve">, </w:t>
      </w:r>
      <w:r w:rsidR="00BB2D92" w:rsidRPr="00EC46FF">
        <w:rPr>
          <w:rFonts w:ascii="Times New Roman" w:hAnsi="Times New Roman"/>
          <w:sz w:val="24"/>
          <w:szCs w:val="24"/>
          <w:lang w:val="en-GB"/>
        </w:rPr>
        <w:t>42</w:t>
      </w:r>
      <w:r w:rsidRPr="00EC46FF">
        <w:rPr>
          <w:rFonts w:ascii="Times New Roman" w:hAnsi="Times New Roman"/>
          <w:sz w:val="24"/>
          <w:szCs w:val="24"/>
          <w:lang w:val="en-GB"/>
        </w:rPr>
        <w:t>]. The gene is a transcription coactivator that interacts with multiple transcription factors involved in controlling energy metabolism, lipogenesis, and muscle fiber differentiation [</w:t>
      </w:r>
      <w:r w:rsidR="00BB2D92" w:rsidRPr="00EC46FF">
        <w:rPr>
          <w:rFonts w:ascii="Times New Roman" w:hAnsi="Times New Roman"/>
          <w:sz w:val="24"/>
          <w:szCs w:val="24"/>
          <w:lang w:val="en-GB"/>
        </w:rPr>
        <w:t>43</w:t>
      </w:r>
      <w:r w:rsidRPr="00EC46FF">
        <w:rPr>
          <w:rFonts w:ascii="Times New Roman" w:hAnsi="Times New Roman"/>
          <w:sz w:val="24"/>
          <w:szCs w:val="24"/>
          <w:lang w:val="en-GB"/>
        </w:rPr>
        <w:t>]. In Chinese sheep, Zhang et al. [</w:t>
      </w:r>
      <w:r w:rsidR="00BB2D92" w:rsidRPr="00EC46FF">
        <w:rPr>
          <w:rFonts w:ascii="Times New Roman" w:hAnsi="Times New Roman"/>
          <w:sz w:val="24"/>
          <w:szCs w:val="24"/>
          <w:lang w:val="en-GB"/>
        </w:rPr>
        <w:t>44</w:t>
      </w:r>
      <w:r w:rsidRPr="00EC46FF">
        <w:rPr>
          <w:rFonts w:ascii="Times New Roman" w:hAnsi="Times New Roman"/>
          <w:sz w:val="24"/>
          <w:szCs w:val="24"/>
          <w:lang w:val="en-GB"/>
        </w:rPr>
        <w:t>] reported its involvement in the nutrient sensing system by increasing the mitochondrial biogenesis as a consequence of metabolic adaptation to the frequent fluctuations of food availability. Jiao et al. [</w:t>
      </w:r>
      <w:r w:rsidR="00BB2D92" w:rsidRPr="00EC46FF">
        <w:rPr>
          <w:rFonts w:ascii="Times New Roman" w:hAnsi="Times New Roman"/>
          <w:sz w:val="24"/>
          <w:szCs w:val="24"/>
          <w:lang w:val="en-GB"/>
        </w:rPr>
        <w:t>45</w:t>
      </w:r>
      <w:r w:rsidRPr="00EC46FF">
        <w:rPr>
          <w:rFonts w:ascii="Times New Roman" w:hAnsi="Times New Roman"/>
          <w:sz w:val="24"/>
          <w:szCs w:val="24"/>
          <w:lang w:val="en-GB"/>
        </w:rPr>
        <w:t xml:space="preserve">] referred that </w:t>
      </w:r>
      <w:r w:rsidRPr="00EC46FF">
        <w:rPr>
          <w:rFonts w:ascii="Times New Roman" w:hAnsi="Times New Roman"/>
          <w:i/>
          <w:iCs/>
          <w:sz w:val="24"/>
          <w:szCs w:val="24"/>
          <w:lang w:val="en-GB"/>
        </w:rPr>
        <w:t xml:space="preserve">PPARGC1A </w:t>
      </w:r>
      <w:r w:rsidRPr="00EC46FF">
        <w:rPr>
          <w:rFonts w:ascii="Times New Roman" w:hAnsi="Times New Roman"/>
          <w:sz w:val="24"/>
          <w:szCs w:val="24"/>
          <w:lang w:val="en-GB"/>
        </w:rPr>
        <w:t>has a regulatory impact on adaptive thermogenesis in cold-exposed fat-tail sheep. For this gene, Sweet-Jones et al. [</w:t>
      </w:r>
      <w:r w:rsidR="00BB2D92" w:rsidRPr="00EC46FF">
        <w:rPr>
          <w:rFonts w:ascii="Times New Roman" w:hAnsi="Times New Roman"/>
          <w:sz w:val="24"/>
          <w:szCs w:val="24"/>
          <w:lang w:val="en-GB"/>
        </w:rPr>
        <w:t>46</w:t>
      </w:r>
      <w:r w:rsidRPr="00EC46FF">
        <w:rPr>
          <w:rFonts w:ascii="Times New Roman" w:hAnsi="Times New Roman"/>
          <w:sz w:val="24"/>
          <w:szCs w:val="24"/>
          <w:lang w:val="en-GB"/>
        </w:rPr>
        <w:t>] suggested a strong putative selection signature relating to a local adaptation in Welsh upland sheep breeds using sequencing data.</w:t>
      </w:r>
    </w:p>
    <w:p w14:paraId="65B91398" w14:textId="7FA49145" w:rsidR="002356E3" w:rsidRPr="00EC46FF" w:rsidRDefault="002356E3" w:rsidP="002356E3">
      <w:p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Within the same genomic region, other genes are also included, mainly involved in metabolic pathways and immune response (</w:t>
      </w:r>
      <w:r w:rsidRPr="00EC46FF">
        <w:rPr>
          <w:rFonts w:ascii="Times New Roman" w:hAnsi="Times New Roman"/>
          <w:i/>
          <w:iCs/>
          <w:sz w:val="24"/>
          <w:szCs w:val="24"/>
          <w:lang w:val="en-GB"/>
        </w:rPr>
        <w:t>PI4K2B</w:t>
      </w:r>
      <w:r w:rsidRPr="00EC46FF">
        <w:rPr>
          <w:rFonts w:ascii="Times New Roman" w:hAnsi="Times New Roman"/>
          <w:sz w:val="24"/>
          <w:szCs w:val="24"/>
          <w:lang w:val="en-GB"/>
        </w:rPr>
        <w:t xml:space="preserve">, </w:t>
      </w:r>
      <w:r w:rsidRPr="00EC46FF">
        <w:rPr>
          <w:rFonts w:ascii="Times New Roman" w:hAnsi="Times New Roman"/>
          <w:i/>
          <w:iCs/>
          <w:sz w:val="24"/>
          <w:szCs w:val="24"/>
          <w:lang w:val="en-GB"/>
        </w:rPr>
        <w:t>ANAPC4</w:t>
      </w:r>
      <w:r w:rsidRPr="00EC46FF">
        <w:rPr>
          <w:rFonts w:ascii="Times New Roman" w:hAnsi="Times New Roman"/>
          <w:sz w:val="24"/>
          <w:szCs w:val="24"/>
          <w:lang w:val="en-GB"/>
        </w:rPr>
        <w:t xml:space="preserve">, </w:t>
      </w:r>
      <w:r w:rsidRPr="00EC46FF">
        <w:rPr>
          <w:rFonts w:ascii="Times New Roman" w:hAnsi="Times New Roman"/>
          <w:i/>
          <w:iCs/>
          <w:sz w:val="24"/>
          <w:szCs w:val="24"/>
          <w:lang w:val="en-GB"/>
        </w:rPr>
        <w:t>RBPJ</w:t>
      </w:r>
      <w:r w:rsidRPr="00EC46FF">
        <w:rPr>
          <w:rFonts w:ascii="Times New Roman" w:hAnsi="Times New Roman"/>
          <w:sz w:val="24"/>
          <w:szCs w:val="24"/>
          <w:lang w:val="en-GB"/>
        </w:rPr>
        <w:t xml:space="preserve">, </w:t>
      </w:r>
      <w:r w:rsidRPr="00EC46FF">
        <w:rPr>
          <w:rFonts w:ascii="Times New Roman" w:hAnsi="Times New Roman"/>
          <w:i/>
          <w:iCs/>
          <w:sz w:val="24"/>
          <w:szCs w:val="24"/>
          <w:lang w:val="en-GB"/>
        </w:rPr>
        <w:t>STIM2</w:t>
      </w:r>
      <w:r w:rsidRPr="00EC46FF">
        <w:rPr>
          <w:rFonts w:ascii="Times New Roman" w:hAnsi="Times New Roman"/>
          <w:sz w:val="24"/>
          <w:szCs w:val="24"/>
          <w:lang w:val="en-GB"/>
        </w:rPr>
        <w:t xml:space="preserve">). </w:t>
      </w:r>
      <w:r w:rsidRPr="00EC46FF">
        <w:rPr>
          <w:rFonts w:ascii="Times New Roman" w:hAnsi="Times New Roman"/>
          <w:i/>
          <w:iCs/>
          <w:sz w:val="24"/>
          <w:szCs w:val="24"/>
          <w:lang w:val="en-GB"/>
        </w:rPr>
        <w:t>PI4K2B</w:t>
      </w:r>
      <w:r w:rsidRPr="00EC46FF">
        <w:rPr>
          <w:rFonts w:ascii="Times New Roman" w:hAnsi="Times New Roman"/>
          <w:sz w:val="24"/>
          <w:szCs w:val="24"/>
          <w:lang w:val="en-GB"/>
        </w:rPr>
        <w:t xml:space="preserve"> is implicated in the phosphatidylinositol signalling system, promoting a fundamental role in pathogen recognition and activation of innate immunity [</w:t>
      </w:r>
      <w:r w:rsidR="00BB2D92" w:rsidRPr="00EC46FF">
        <w:rPr>
          <w:rFonts w:ascii="Times New Roman" w:hAnsi="Times New Roman"/>
          <w:sz w:val="24"/>
          <w:szCs w:val="24"/>
          <w:lang w:val="en-GB"/>
        </w:rPr>
        <w:t>47</w:t>
      </w:r>
      <w:r w:rsidRPr="00EC46FF">
        <w:rPr>
          <w:rFonts w:ascii="Times New Roman" w:hAnsi="Times New Roman"/>
          <w:sz w:val="24"/>
          <w:szCs w:val="24"/>
          <w:lang w:val="en-GB"/>
        </w:rPr>
        <w:t xml:space="preserve">]. Another gene involved in the immunity pathway, </w:t>
      </w:r>
      <w:r w:rsidRPr="00EC46FF">
        <w:rPr>
          <w:rFonts w:ascii="Times New Roman" w:hAnsi="Times New Roman"/>
          <w:i/>
          <w:iCs/>
          <w:sz w:val="24"/>
          <w:szCs w:val="24"/>
          <w:lang w:val="en-GB"/>
        </w:rPr>
        <w:t>ANAPC4</w:t>
      </w:r>
      <w:r w:rsidRPr="00EC46FF">
        <w:rPr>
          <w:rFonts w:ascii="Times New Roman" w:hAnsi="Times New Roman"/>
          <w:sz w:val="24"/>
          <w:szCs w:val="24"/>
          <w:lang w:val="en-GB"/>
        </w:rPr>
        <w:t xml:space="preserve">, also seems to have an important role in cell mediated immunity within the Class I MHC mediated antigen processing and presentation on the cell surface to cytotoxic T lymphocytes. </w:t>
      </w:r>
      <w:r w:rsidRPr="00EC46FF">
        <w:rPr>
          <w:rFonts w:ascii="Times New Roman" w:hAnsi="Times New Roman"/>
          <w:i/>
          <w:iCs/>
          <w:sz w:val="24"/>
          <w:szCs w:val="24"/>
          <w:lang w:val="en-GB"/>
        </w:rPr>
        <w:t>ANAPC4</w:t>
      </w:r>
      <w:r w:rsidRPr="00EC46FF">
        <w:rPr>
          <w:rFonts w:ascii="Times New Roman" w:hAnsi="Times New Roman"/>
          <w:sz w:val="24"/>
          <w:szCs w:val="24"/>
          <w:lang w:val="en-GB"/>
        </w:rPr>
        <w:t xml:space="preserve"> has also been found to be associated with carcass traits in Korean beef cattle using a GWAS approach [</w:t>
      </w:r>
      <w:r w:rsidR="00BB2D92" w:rsidRPr="00EC46FF">
        <w:rPr>
          <w:rFonts w:ascii="Times New Roman" w:hAnsi="Times New Roman"/>
          <w:sz w:val="24"/>
          <w:szCs w:val="24"/>
          <w:lang w:val="en-GB"/>
        </w:rPr>
        <w:t>48</w:t>
      </w:r>
      <w:r w:rsidRPr="00EC46FF">
        <w:rPr>
          <w:rFonts w:ascii="Times New Roman" w:hAnsi="Times New Roman"/>
          <w:sz w:val="24"/>
          <w:szCs w:val="24"/>
          <w:lang w:val="en-GB"/>
        </w:rPr>
        <w:t xml:space="preserve">]. The </w:t>
      </w:r>
      <w:r w:rsidRPr="00EC46FF">
        <w:rPr>
          <w:rFonts w:ascii="Times New Roman" w:hAnsi="Times New Roman"/>
          <w:i/>
          <w:iCs/>
          <w:sz w:val="24"/>
          <w:szCs w:val="24"/>
          <w:lang w:val="en-GB"/>
        </w:rPr>
        <w:t>RBPJ</w:t>
      </w:r>
      <w:r w:rsidRPr="00EC46FF">
        <w:rPr>
          <w:rFonts w:ascii="Times New Roman" w:hAnsi="Times New Roman"/>
          <w:sz w:val="24"/>
          <w:szCs w:val="24"/>
          <w:lang w:val="en-GB"/>
        </w:rPr>
        <w:t xml:space="preserve"> gene is a crucial downstream effector of </w:t>
      </w:r>
      <w:r w:rsidR="001F6230">
        <w:rPr>
          <w:rFonts w:ascii="Times New Roman" w:hAnsi="Times New Roman"/>
          <w:sz w:val="24"/>
          <w:szCs w:val="24"/>
          <w:lang w:val="en-GB"/>
        </w:rPr>
        <w:t xml:space="preserve">the </w:t>
      </w:r>
      <w:r w:rsidRPr="00EC46FF">
        <w:rPr>
          <w:rFonts w:ascii="Times New Roman" w:hAnsi="Times New Roman"/>
          <w:sz w:val="24"/>
          <w:szCs w:val="24"/>
          <w:lang w:val="en-GB"/>
        </w:rPr>
        <w:t>“Notch signalling” pathway that is involved in cell proliferation, apoptosis, and the maintenance of stem cells [</w:t>
      </w:r>
      <w:r w:rsidR="00BB2D92" w:rsidRPr="00EC46FF">
        <w:rPr>
          <w:rFonts w:ascii="Times New Roman" w:hAnsi="Times New Roman"/>
          <w:sz w:val="24"/>
          <w:szCs w:val="24"/>
          <w:lang w:val="en-GB"/>
        </w:rPr>
        <w:t>49</w:t>
      </w:r>
      <w:r w:rsidRPr="00EC46FF">
        <w:rPr>
          <w:rFonts w:ascii="Times New Roman" w:hAnsi="Times New Roman"/>
          <w:sz w:val="24"/>
          <w:szCs w:val="24"/>
          <w:lang w:val="en-GB"/>
        </w:rPr>
        <w:t xml:space="preserve">]. In the literature, </w:t>
      </w:r>
      <w:r w:rsidRPr="00EC46FF">
        <w:rPr>
          <w:rFonts w:ascii="Times New Roman" w:hAnsi="Times New Roman"/>
          <w:i/>
          <w:iCs/>
          <w:sz w:val="24"/>
          <w:szCs w:val="24"/>
          <w:lang w:val="en-GB"/>
        </w:rPr>
        <w:t>RBPJ</w:t>
      </w:r>
      <w:r w:rsidRPr="00EC46FF">
        <w:rPr>
          <w:rFonts w:ascii="Times New Roman" w:hAnsi="Times New Roman"/>
          <w:sz w:val="24"/>
          <w:szCs w:val="24"/>
          <w:lang w:val="en-GB"/>
        </w:rPr>
        <w:t xml:space="preserve"> has also been reported as a key gene for hair follicle differentiation and development in Merino sheep [</w:t>
      </w:r>
      <w:r w:rsidR="00BB2D92" w:rsidRPr="00EC46FF">
        <w:rPr>
          <w:rFonts w:ascii="Times New Roman" w:hAnsi="Times New Roman"/>
          <w:sz w:val="24"/>
          <w:szCs w:val="24"/>
          <w:lang w:val="en-GB"/>
        </w:rPr>
        <w:t>50</w:t>
      </w:r>
      <w:r w:rsidRPr="00EC46FF">
        <w:rPr>
          <w:rFonts w:ascii="Times New Roman" w:hAnsi="Times New Roman"/>
          <w:sz w:val="24"/>
          <w:szCs w:val="24"/>
          <w:lang w:val="en-GB"/>
        </w:rPr>
        <w:t xml:space="preserve">]. The </w:t>
      </w:r>
      <w:r w:rsidRPr="00EC46FF">
        <w:rPr>
          <w:rFonts w:ascii="Times New Roman" w:hAnsi="Times New Roman"/>
          <w:i/>
          <w:iCs/>
          <w:sz w:val="24"/>
          <w:szCs w:val="24"/>
          <w:lang w:val="en-GB"/>
        </w:rPr>
        <w:lastRenderedPageBreak/>
        <w:t>STIM2</w:t>
      </w:r>
      <w:r w:rsidRPr="00EC46FF">
        <w:rPr>
          <w:rFonts w:ascii="Times New Roman" w:hAnsi="Times New Roman"/>
          <w:sz w:val="24"/>
          <w:szCs w:val="24"/>
          <w:lang w:val="en-GB"/>
        </w:rPr>
        <w:t xml:space="preserve"> gene, encoding the protein stromal interaction molecule 2, is an important regulator of intracellular Ca2+ concentration and myogenesis [</w:t>
      </w:r>
      <w:r w:rsidR="00B73C2D" w:rsidRPr="00EC46FF">
        <w:rPr>
          <w:rFonts w:ascii="Times New Roman" w:hAnsi="Times New Roman"/>
          <w:sz w:val="24"/>
          <w:szCs w:val="24"/>
          <w:lang w:val="en-GB"/>
        </w:rPr>
        <w:t>5</w:t>
      </w:r>
      <w:r w:rsidR="00BB2D92" w:rsidRPr="00EC46FF">
        <w:rPr>
          <w:rFonts w:ascii="Times New Roman" w:hAnsi="Times New Roman"/>
          <w:sz w:val="24"/>
          <w:szCs w:val="24"/>
          <w:lang w:val="en-GB"/>
        </w:rPr>
        <w:t>1</w:t>
      </w:r>
      <w:r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5</w:t>
      </w:r>
      <w:r w:rsidR="00BB2D92" w:rsidRPr="00EC46FF">
        <w:rPr>
          <w:rFonts w:ascii="Times New Roman" w:hAnsi="Times New Roman"/>
          <w:sz w:val="24"/>
          <w:szCs w:val="24"/>
          <w:lang w:val="en-GB"/>
        </w:rPr>
        <w:t>2</w:t>
      </w:r>
      <w:r w:rsidRPr="00EC46FF">
        <w:rPr>
          <w:rFonts w:ascii="Times New Roman" w:hAnsi="Times New Roman"/>
          <w:sz w:val="24"/>
          <w:szCs w:val="24"/>
          <w:lang w:val="en-GB"/>
        </w:rPr>
        <w:t xml:space="preserve">]. Interestingly, </w:t>
      </w:r>
      <w:r w:rsidRPr="00EC46FF">
        <w:rPr>
          <w:rFonts w:ascii="Times New Roman" w:hAnsi="Times New Roman"/>
          <w:i/>
          <w:iCs/>
          <w:sz w:val="24"/>
          <w:szCs w:val="24"/>
          <w:lang w:val="en-GB"/>
        </w:rPr>
        <w:t>STIM2</w:t>
      </w:r>
      <w:r w:rsidRPr="00EC46FF">
        <w:rPr>
          <w:rFonts w:ascii="Times New Roman" w:hAnsi="Times New Roman"/>
          <w:sz w:val="24"/>
          <w:szCs w:val="24"/>
          <w:lang w:val="en-GB"/>
        </w:rPr>
        <w:t xml:space="preserve"> is linked to various human cellular disorders </w:t>
      </w:r>
      <w:r w:rsidR="003D579A">
        <w:rPr>
          <w:rFonts w:ascii="Times New Roman" w:hAnsi="Times New Roman"/>
          <w:sz w:val="24"/>
          <w:szCs w:val="24"/>
          <w:lang w:val="en-GB"/>
        </w:rPr>
        <w:t>and</w:t>
      </w:r>
      <w:r w:rsidRPr="00EC46FF">
        <w:rPr>
          <w:rFonts w:ascii="Times New Roman" w:hAnsi="Times New Roman"/>
          <w:sz w:val="24"/>
          <w:szCs w:val="24"/>
          <w:lang w:val="en-GB"/>
        </w:rPr>
        <w:t xml:space="preserve"> also associated with the development and function of regulatory T cells [</w:t>
      </w:r>
      <w:r w:rsidR="00B73C2D" w:rsidRPr="00EC46FF">
        <w:rPr>
          <w:rFonts w:ascii="Times New Roman" w:hAnsi="Times New Roman"/>
          <w:sz w:val="24"/>
          <w:szCs w:val="24"/>
          <w:lang w:val="en-GB"/>
        </w:rPr>
        <w:t>5</w:t>
      </w:r>
      <w:r w:rsidR="00BB2D92" w:rsidRPr="00EC46FF">
        <w:rPr>
          <w:rFonts w:ascii="Times New Roman" w:hAnsi="Times New Roman"/>
          <w:sz w:val="24"/>
          <w:szCs w:val="24"/>
          <w:lang w:val="en-GB"/>
        </w:rPr>
        <w:t>3</w:t>
      </w:r>
      <w:r w:rsidRPr="00EC46FF">
        <w:rPr>
          <w:rFonts w:ascii="Times New Roman" w:hAnsi="Times New Roman"/>
          <w:sz w:val="24"/>
          <w:szCs w:val="24"/>
          <w:lang w:val="en-GB"/>
        </w:rPr>
        <w:t xml:space="preserve">]. Other authors found this gene </w:t>
      </w:r>
      <w:r w:rsidR="003D579A">
        <w:rPr>
          <w:rFonts w:ascii="Times New Roman" w:hAnsi="Times New Roman"/>
          <w:sz w:val="24"/>
          <w:szCs w:val="24"/>
          <w:lang w:val="en-GB"/>
        </w:rPr>
        <w:t>being</w:t>
      </w:r>
      <w:r w:rsidRPr="00EC46FF">
        <w:rPr>
          <w:rFonts w:ascii="Times New Roman" w:hAnsi="Times New Roman"/>
          <w:sz w:val="24"/>
          <w:szCs w:val="24"/>
          <w:lang w:val="en-GB"/>
        </w:rPr>
        <w:t xml:space="preserve"> associated with muscle growth in Brazilian Nelore beef cattle [</w:t>
      </w:r>
      <w:r w:rsidR="00B73C2D" w:rsidRPr="00EC46FF">
        <w:rPr>
          <w:rFonts w:ascii="Times New Roman" w:hAnsi="Times New Roman"/>
          <w:sz w:val="24"/>
          <w:szCs w:val="24"/>
          <w:lang w:val="en-GB"/>
        </w:rPr>
        <w:t>5</w:t>
      </w:r>
      <w:r w:rsidR="00BB2D92" w:rsidRPr="00EC46FF">
        <w:rPr>
          <w:rFonts w:ascii="Times New Roman" w:hAnsi="Times New Roman"/>
          <w:sz w:val="24"/>
          <w:szCs w:val="24"/>
          <w:lang w:val="en-GB"/>
        </w:rPr>
        <w:t>4</w:t>
      </w:r>
      <w:r w:rsidRPr="00EC46FF">
        <w:rPr>
          <w:rFonts w:ascii="Times New Roman" w:hAnsi="Times New Roman"/>
          <w:sz w:val="24"/>
          <w:szCs w:val="24"/>
          <w:lang w:val="en-GB"/>
        </w:rPr>
        <w:t>].</w:t>
      </w:r>
    </w:p>
    <w:p w14:paraId="49270E3E" w14:textId="77777777" w:rsidR="00EE41D3" w:rsidRDefault="00EE41D3" w:rsidP="002356E3">
      <w:pPr>
        <w:spacing w:after="0" w:line="480" w:lineRule="auto"/>
        <w:jc w:val="both"/>
        <w:rPr>
          <w:rFonts w:ascii="Times New Roman" w:hAnsi="Times New Roman"/>
          <w:b/>
          <w:bCs/>
          <w:sz w:val="24"/>
          <w:szCs w:val="24"/>
          <w:lang w:val="en-GB"/>
        </w:rPr>
      </w:pPr>
    </w:p>
    <w:p w14:paraId="0831A6A2" w14:textId="524772EB" w:rsidR="002356E3" w:rsidRPr="00EC46FF" w:rsidRDefault="00EE41D3" w:rsidP="002356E3">
      <w:pPr>
        <w:spacing w:after="0" w:line="480" w:lineRule="auto"/>
        <w:jc w:val="both"/>
        <w:rPr>
          <w:rFonts w:ascii="Times New Roman" w:hAnsi="Times New Roman"/>
          <w:sz w:val="24"/>
          <w:szCs w:val="24"/>
          <w:lang w:val="en-GB"/>
        </w:rPr>
      </w:pPr>
      <w:r w:rsidRPr="00EE41D3">
        <w:rPr>
          <w:rFonts w:ascii="Times New Roman" w:hAnsi="Times New Roman"/>
          <w:b/>
          <w:bCs/>
          <w:sz w:val="24"/>
          <w:szCs w:val="24"/>
          <w:lang w:val="en-GB"/>
        </w:rPr>
        <w:t>OAR16</w:t>
      </w:r>
      <w:r>
        <w:rPr>
          <w:rFonts w:ascii="Times New Roman" w:hAnsi="Times New Roman"/>
          <w:sz w:val="24"/>
          <w:szCs w:val="24"/>
          <w:lang w:val="en-GB"/>
        </w:rPr>
        <w:t xml:space="preserve"> - </w:t>
      </w:r>
      <w:r w:rsidR="002356E3" w:rsidRPr="00EC46FF">
        <w:rPr>
          <w:rFonts w:ascii="Times New Roman" w:hAnsi="Times New Roman"/>
          <w:sz w:val="24"/>
          <w:szCs w:val="24"/>
          <w:lang w:val="en-GB"/>
        </w:rPr>
        <w:t>In the region 28.70</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w:t>
      </w:r>
      <w:r w:rsidR="003D579A">
        <w:rPr>
          <w:rFonts w:ascii="Times New Roman" w:hAnsi="Times New Roman"/>
          <w:sz w:val="24"/>
          <w:szCs w:val="24"/>
          <w:lang w:val="en-GB"/>
        </w:rPr>
        <w:t xml:space="preserve"> </w:t>
      </w:r>
      <w:r w:rsidR="002356E3" w:rsidRPr="00EC46FF">
        <w:rPr>
          <w:rFonts w:ascii="Times New Roman" w:hAnsi="Times New Roman"/>
          <w:sz w:val="24"/>
          <w:szCs w:val="24"/>
          <w:lang w:val="en-GB"/>
        </w:rPr>
        <w:t>35.35 Mb on OAR16, 34 known genes were detected under putative selection. Some of them had been associated with immunity (</w:t>
      </w:r>
      <w:r w:rsidR="002356E3" w:rsidRPr="00EC46FF">
        <w:rPr>
          <w:rFonts w:ascii="Times New Roman" w:hAnsi="Times New Roman"/>
          <w:i/>
          <w:sz w:val="24"/>
          <w:szCs w:val="24"/>
          <w:lang w:val="en-GB"/>
        </w:rPr>
        <w:t>EMB</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CCL28</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SEPP1</w:t>
      </w:r>
      <w:r w:rsidR="002356E3" w:rsidRPr="00EC46FF">
        <w:rPr>
          <w:rFonts w:ascii="Times New Roman" w:hAnsi="Times New Roman"/>
          <w:sz w:val="24"/>
          <w:szCs w:val="24"/>
          <w:lang w:val="en-GB"/>
        </w:rPr>
        <w:t xml:space="preserve">, </w:t>
      </w:r>
      <w:r w:rsidR="002356E3" w:rsidRPr="00EC46FF">
        <w:rPr>
          <w:rFonts w:ascii="Times New Roman" w:hAnsi="Times New Roman"/>
          <w:i/>
          <w:sz w:val="24"/>
          <w:szCs w:val="24"/>
          <w:lang w:val="en-GB"/>
        </w:rPr>
        <w:t>FBOX4</w:t>
      </w:r>
      <w:r w:rsidR="002356E3" w:rsidRPr="00EC46FF">
        <w:rPr>
          <w:rFonts w:ascii="Times New Roman" w:hAnsi="Times New Roman"/>
          <w:iCs/>
          <w:sz w:val="24"/>
          <w:szCs w:val="24"/>
          <w:lang w:val="en-GB"/>
        </w:rPr>
        <w:t>,</w:t>
      </w:r>
      <w:r w:rsidR="002356E3" w:rsidRPr="00EC46FF">
        <w:rPr>
          <w:rFonts w:ascii="Times New Roman" w:hAnsi="Times New Roman"/>
          <w:i/>
          <w:sz w:val="24"/>
          <w:szCs w:val="24"/>
          <w:lang w:val="en-GB"/>
        </w:rPr>
        <w:t xml:space="preserve"> C6</w:t>
      </w:r>
      <w:r w:rsidR="002356E3" w:rsidRPr="00EC46FF">
        <w:rPr>
          <w:rFonts w:ascii="Times New Roman" w:hAnsi="Times New Roman"/>
          <w:iCs/>
          <w:sz w:val="24"/>
          <w:szCs w:val="24"/>
          <w:lang w:val="en-GB"/>
        </w:rPr>
        <w:t>,</w:t>
      </w:r>
      <w:r w:rsidR="002356E3" w:rsidRPr="00EC46FF">
        <w:rPr>
          <w:rFonts w:ascii="Times New Roman" w:hAnsi="Times New Roman"/>
          <w:i/>
          <w:sz w:val="24"/>
          <w:szCs w:val="24"/>
          <w:lang w:val="en-GB"/>
        </w:rPr>
        <w:t xml:space="preserve"> C7</w:t>
      </w:r>
      <w:r w:rsidR="002356E3" w:rsidRPr="00EC46FF">
        <w:rPr>
          <w:rFonts w:ascii="Times New Roman" w:hAnsi="Times New Roman"/>
          <w:iCs/>
          <w:sz w:val="24"/>
          <w:szCs w:val="24"/>
          <w:lang w:val="en-GB"/>
        </w:rPr>
        <w:t>,</w:t>
      </w:r>
      <w:r w:rsidR="002356E3" w:rsidRPr="00EC46FF">
        <w:rPr>
          <w:rFonts w:ascii="Times New Roman" w:hAnsi="Times New Roman"/>
          <w:i/>
          <w:sz w:val="24"/>
          <w:szCs w:val="24"/>
          <w:lang w:val="en-GB"/>
        </w:rPr>
        <w:t xml:space="preserve"> C9</w:t>
      </w:r>
      <w:r w:rsidR="002356E3" w:rsidRPr="00EC46FF">
        <w:rPr>
          <w:rFonts w:ascii="Times New Roman" w:hAnsi="Times New Roman"/>
          <w:iCs/>
          <w:sz w:val="24"/>
          <w:szCs w:val="24"/>
          <w:lang w:val="en-GB"/>
        </w:rPr>
        <w:t>,</w:t>
      </w:r>
      <w:r w:rsidR="002356E3" w:rsidRPr="00EC46FF">
        <w:rPr>
          <w:rFonts w:ascii="Times New Roman" w:hAnsi="Times New Roman"/>
          <w:i/>
          <w:sz w:val="24"/>
          <w:szCs w:val="24"/>
          <w:lang w:val="en-GB"/>
        </w:rPr>
        <w:t xml:space="preserve"> PTGER4</w:t>
      </w:r>
      <w:r w:rsidR="002356E3" w:rsidRPr="00EC46FF">
        <w:rPr>
          <w:rFonts w:ascii="Times New Roman" w:hAnsi="Times New Roman"/>
          <w:iCs/>
          <w:sz w:val="24"/>
          <w:szCs w:val="24"/>
          <w:lang w:val="en-GB"/>
        </w:rPr>
        <w:t>,</w:t>
      </w:r>
      <w:r w:rsidR="002356E3" w:rsidRPr="00EC46FF">
        <w:rPr>
          <w:rFonts w:ascii="Times New Roman" w:hAnsi="Times New Roman"/>
          <w:i/>
          <w:sz w:val="24"/>
          <w:szCs w:val="24"/>
          <w:lang w:val="en-GB"/>
        </w:rPr>
        <w:t xml:space="preserve"> FYB1</w:t>
      </w:r>
      <w:r w:rsidR="002356E3" w:rsidRPr="00EC46FF">
        <w:rPr>
          <w:rFonts w:ascii="Times New Roman" w:hAnsi="Times New Roman"/>
          <w:sz w:val="24"/>
          <w:szCs w:val="24"/>
          <w:lang w:val="en-GB"/>
        </w:rPr>
        <w:t>), metabolic traits (</w:t>
      </w:r>
      <w:r w:rsidR="002356E3" w:rsidRPr="00EC46FF">
        <w:rPr>
          <w:rFonts w:ascii="Times New Roman" w:hAnsi="Times New Roman"/>
          <w:i/>
          <w:sz w:val="24"/>
          <w:szCs w:val="24"/>
          <w:lang w:val="en-GB"/>
        </w:rPr>
        <w:t>PRKAA1</w:t>
      </w:r>
      <w:r w:rsidR="002356E3" w:rsidRPr="00EC46FF">
        <w:rPr>
          <w:rFonts w:ascii="Times New Roman" w:hAnsi="Times New Roman"/>
          <w:iCs/>
          <w:sz w:val="24"/>
          <w:szCs w:val="24"/>
          <w:lang w:val="en-GB"/>
        </w:rPr>
        <w:t xml:space="preserve">), morphogenesis and </w:t>
      </w:r>
      <w:r w:rsidR="002356E3" w:rsidRPr="00EC46FF">
        <w:rPr>
          <w:rFonts w:ascii="Times New Roman" w:hAnsi="Times New Roman"/>
          <w:sz w:val="24"/>
          <w:szCs w:val="24"/>
          <w:lang w:val="en-GB"/>
        </w:rPr>
        <w:t>morphological traits (</w:t>
      </w:r>
      <w:r w:rsidR="002356E3" w:rsidRPr="00EC46FF">
        <w:rPr>
          <w:rFonts w:ascii="Times New Roman" w:hAnsi="Times New Roman"/>
          <w:i/>
          <w:sz w:val="24"/>
          <w:szCs w:val="24"/>
          <w:lang w:val="en-GB"/>
        </w:rPr>
        <w:t>FGF10</w:t>
      </w:r>
      <w:r w:rsidR="002356E3" w:rsidRPr="00EC46FF">
        <w:rPr>
          <w:rFonts w:ascii="Times New Roman" w:hAnsi="Times New Roman"/>
          <w:iCs/>
          <w:sz w:val="24"/>
          <w:szCs w:val="24"/>
          <w:lang w:val="en-GB"/>
        </w:rPr>
        <w:t xml:space="preserve">, </w:t>
      </w:r>
      <w:r w:rsidR="002356E3" w:rsidRPr="00EC46FF">
        <w:rPr>
          <w:rFonts w:ascii="Times New Roman" w:hAnsi="Times New Roman"/>
          <w:i/>
          <w:iCs/>
          <w:sz w:val="24"/>
          <w:szCs w:val="24"/>
          <w:lang w:val="en-GB"/>
        </w:rPr>
        <w:t>GHR</w:t>
      </w:r>
      <w:r w:rsidR="002356E3" w:rsidRPr="00EC46FF">
        <w:rPr>
          <w:rFonts w:ascii="Times New Roman" w:hAnsi="Times New Roman"/>
          <w:sz w:val="24"/>
          <w:szCs w:val="24"/>
          <w:lang w:val="en-GB"/>
        </w:rPr>
        <w:t xml:space="preserve">). Among them, the most noteworthy are </w:t>
      </w:r>
      <w:r w:rsidR="002356E3" w:rsidRPr="00EC46FF">
        <w:rPr>
          <w:rFonts w:ascii="Times New Roman" w:hAnsi="Times New Roman"/>
          <w:i/>
          <w:iCs/>
          <w:sz w:val="24"/>
          <w:szCs w:val="24"/>
          <w:lang w:val="en-GB"/>
        </w:rPr>
        <w:t>GHR</w:t>
      </w:r>
      <w:r w:rsidR="002356E3" w:rsidRPr="00EC46FF">
        <w:rPr>
          <w:rFonts w:ascii="Times New Roman" w:hAnsi="Times New Roman"/>
          <w:sz w:val="24"/>
          <w:szCs w:val="24"/>
          <w:lang w:val="en-GB"/>
        </w:rPr>
        <w:t xml:space="preserve"> and </w:t>
      </w:r>
      <w:r w:rsidR="002356E3" w:rsidRPr="00EC46FF">
        <w:rPr>
          <w:rFonts w:ascii="Times New Roman" w:hAnsi="Times New Roman"/>
          <w:i/>
          <w:iCs/>
          <w:sz w:val="24"/>
          <w:szCs w:val="24"/>
          <w:lang w:val="en-GB"/>
        </w:rPr>
        <w:t>PRKAA1</w:t>
      </w:r>
      <w:r w:rsidR="002356E3" w:rsidRPr="00EC46FF">
        <w:rPr>
          <w:rFonts w:ascii="Times New Roman" w:hAnsi="Times New Roman"/>
          <w:sz w:val="24"/>
          <w:szCs w:val="24"/>
          <w:lang w:val="en-GB"/>
        </w:rPr>
        <w:t>.</w:t>
      </w:r>
    </w:p>
    <w:p w14:paraId="73D2445A" w14:textId="75362EB5" w:rsidR="002356E3" w:rsidRPr="00EC46FF" w:rsidRDefault="003D579A" w:rsidP="002356E3">
      <w:pPr>
        <w:spacing w:after="0" w:line="480" w:lineRule="auto"/>
        <w:jc w:val="both"/>
        <w:rPr>
          <w:rFonts w:ascii="Times New Roman" w:hAnsi="Times New Roman"/>
          <w:sz w:val="24"/>
          <w:szCs w:val="24"/>
          <w:lang w:val="en-GB"/>
        </w:rPr>
      </w:pPr>
      <w:r>
        <w:rPr>
          <w:rFonts w:ascii="Times New Roman" w:hAnsi="Times New Roman"/>
          <w:sz w:val="24"/>
          <w:szCs w:val="24"/>
          <w:lang w:val="en-GB"/>
        </w:rPr>
        <w:t xml:space="preserve">The </w:t>
      </w:r>
      <w:r w:rsidR="002356E3" w:rsidRPr="00EC46FF">
        <w:rPr>
          <w:rFonts w:ascii="Times New Roman" w:hAnsi="Times New Roman"/>
          <w:i/>
          <w:iCs/>
          <w:sz w:val="24"/>
          <w:szCs w:val="24"/>
          <w:lang w:val="en-GB"/>
        </w:rPr>
        <w:t>GHR</w:t>
      </w:r>
      <w:r w:rsidRPr="003D579A">
        <w:rPr>
          <w:rFonts w:ascii="Times New Roman" w:hAnsi="Times New Roman"/>
          <w:sz w:val="24"/>
          <w:szCs w:val="24"/>
          <w:lang w:val="en-GB"/>
        </w:rPr>
        <w:t xml:space="preserve"> </w:t>
      </w:r>
      <w:r>
        <w:rPr>
          <w:rFonts w:ascii="Times New Roman" w:hAnsi="Times New Roman"/>
          <w:sz w:val="24"/>
          <w:szCs w:val="24"/>
          <w:lang w:val="en-GB"/>
        </w:rPr>
        <w:t>gene</w:t>
      </w:r>
      <w:r w:rsidR="002356E3" w:rsidRPr="00EC46FF">
        <w:rPr>
          <w:rFonts w:ascii="Times New Roman" w:hAnsi="Times New Roman"/>
          <w:sz w:val="24"/>
          <w:szCs w:val="24"/>
          <w:lang w:val="en-GB"/>
        </w:rPr>
        <w:t xml:space="preserve">, encoding a member of the type I cytokine receptor family, is a transmembrane receptor for growth hormone. In human, </w:t>
      </w:r>
      <w:r w:rsidR="002356E3" w:rsidRPr="00EC46FF">
        <w:rPr>
          <w:rFonts w:ascii="Times New Roman" w:hAnsi="Times New Roman"/>
          <w:i/>
          <w:iCs/>
          <w:sz w:val="24"/>
          <w:szCs w:val="24"/>
          <w:lang w:val="en-GB"/>
        </w:rPr>
        <w:t>GHR</w:t>
      </w:r>
      <w:r w:rsidR="002356E3" w:rsidRPr="00EC46FF">
        <w:rPr>
          <w:rFonts w:ascii="Times New Roman" w:hAnsi="Times New Roman"/>
          <w:sz w:val="24"/>
          <w:szCs w:val="24"/>
          <w:lang w:val="en-GB"/>
        </w:rPr>
        <w:t xml:space="preserve"> mutations have been associated with Laron syndrome, a hereditary disorder leading to diminished growth hormone (GH) and phenotypically characteri</w:t>
      </w:r>
      <w:r w:rsidR="001F6230">
        <w:rPr>
          <w:rFonts w:ascii="Times New Roman" w:hAnsi="Times New Roman"/>
          <w:sz w:val="24"/>
          <w:szCs w:val="24"/>
          <w:lang w:val="en-GB"/>
        </w:rPr>
        <w:t>s</w:t>
      </w:r>
      <w:r w:rsidR="002356E3" w:rsidRPr="00EC46FF">
        <w:rPr>
          <w:rFonts w:ascii="Times New Roman" w:hAnsi="Times New Roman"/>
          <w:sz w:val="24"/>
          <w:szCs w:val="24"/>
          <w:lang w:val="en-GB"/>
        </w:rPr>
        <w:t>ed by short stature [</w:t>
      </w:r>
      <w:r w:rsidR="00BB2D92" w:rsidRPr="00EC46FF">
        <w:rPr>
          <w:rFonts w:ascii="Times New Roman" w:hAnsi="Times New Roman"/>
          <w:sz w:val="24"/>
          <w:szCs w:val="24"/>
          <w:lang w:val="en-GB"/>
        </w:rPr>
        <w:t>55</w:t>
      </w:r>
      <w:r w:rsidR="002356E3" w:rsidRPr="00EC46FF">
        <w:rPr>
          <w:rFonts w:ascii="Times New Roman" w:hAnsi="Times New Roman"/>
          <w:sz w:val="24"/>
          <w:szCs w:val="24"/>
          <w:lang w:val="en-GB"/>
        </w:rPr>
        <w:t xml:space="preserve">]. </w:t>
      </w:r>
      <w:r w:rsidR="002356E3" w:rsidRPr="00EC46FF">
        <w:rPr>
          <w:rFonts w:ascii="Times New Roman" w:hAnsi="Times New Roman"/>
          <w:i/>
          <w:iCs/>
          <w:sz w:val="24"/>
          <w:szCs w:val="24"/>
          <w:lang w:val="en-GB"/>
        </w:rPr>
        <w:t>GHR</w:t>
      </w:r>
      <w:r w:rsidR="002356E3" w:rsidRPr="00EC46FF">
        <w:rPr>
          <w:rFonts w:ascii="Times New Roman" w:hAnsi="Times New Roman"/>
          <w:sz w:val="24"/>
          <w:szCs w:val="24"/>
          <w:lang w:val="en-GB"/>
        </w:rPr>
        <w:t xml:space="preserve"> is an important growth-related gene affecting meat production and </w:t>
      </w:r>
      <w:r>
        <w:rPr>
          <w:rFonts w:ascii="Times New Roman" w:hAnsi="Times New Roman"/>
          <w:sz w:val="24"/>
          <w:szCs w:val="24"/>
          <w:lang w:val="en-GB"/>
        </w:rPr>
        <w:t xml:space="preserve">its </w:t>
      </w:r>
      <w:r w:rsidR="002356E3" w:rsidRPr="00EC46FF">
        <w:rPr>
          <w:rFonts w:ascii="Times New Roman" w:hAnsi="Times New Roman"/>
          <w:sz w:val="24"/>
          <w:szCs w:val="24"/>
          <w:lang w:val="en-GB"/>
        </w:rPr>
        <w:t>quality, as well as reproduction traits [</w:t>
      </w:r>
      <w:r w:rsidR="00BB2D92" w:rsidRPr="00EC46FF">
        <w:rPr>
          <w:rFonts w:ascii="Times New Roman" w:hAnsi="Times New Roman"/>
          <w:sz w:val="24"/>
          <w:szCs w:val="24"/>
          <w:lang w:val="en-GB"/>
        </w:rPr>
        <w:t>56</w:t>
      </w:r>
      <w:r w:rsidR="002356E3" w:rsidRPr="00EC46FF">
        <w:rPr>
          <w:rFonts w:ascii="Times New Roman" w:hAnsi="Times New Roman"/>
          <w:sz w:val="24"/>
          <w:szCs w:val="24"/>
          <w:lang w:val="en-GB"/>
        </w:rPr>
        <w:t xml:space="preserve">, </w:t>
      </w:r>
      <w:r w:rsidR="00BB2D92" w:rsidRPr="00EC46FF">
        <w:rPr>
          <w:rFonts w:ascii="Times New Roman" w:hAnsi="Times New Roman"/>
          <w:sz w:val="24"/>
          <w:szCs w:val="24"/>
          <w:lang w:val="en-GB"/>
        </w:rPr>
        <w:t>57</w:t>
      </w:r>
      <w:r w:rsidR="002356E3" w:rsidRPr="00EC46FF">
        <w:rPr>
          <w:rFonts w:ascii="Times New Roman" w:hAnsi="Times New Roman"/>
          <w:sz w:val="24"/>
          <w:szCs w:val="24"/>
          <w:lang w:val="en-GB"/>
        </w:rPr>
        <w:t xml:space="preserve">, </w:t>
      </w:r>
      <w:r w:rsidR="00BB2D92" w:rsidRPr="00EC46FF">
        <w:rPr>
          <w:rFonts w:ascii="Times New Roman" w:hAnsi="Times New Roman"/>
          <w:sz w:val="24"/>
          <w:szCs w:val="24"/>
          <w:lang w:val="en-GB"/>
        </w:rPr>
        <w:t>58</w:t>
      </w:r>
      <w:r w:rsidR="002356E3" w:rsidRPr="00EC46FF">
        <w:rPr>
          <w:rFonts w:ascii="Times New Roman" w:hAnsi="Times New Roman"/>
          <w:sz w:val="24"/>
          <w:szCs w:val="24"/>
          <w:lang w:val="en-GB"/>
        </w:rPr>
        <w:t>]. For instance, Wang et al. [</w:t>
      </w:r>
      <w:r w:rsidR="00EC46FF" w:rsidRPr="00EC46FF">
        <w:rPr>
          <w:rFonts w:ascii="Times New Roman" w:hAnsi="Times New Roman"/>
          <w:sz w:val="24"/>
          <w:szCs w:val="24"/>
          <w:lang w:val="en-GB"/>
        </w:rPr>
        <w:t>56</w:t>
      </w:r>
      <w:r w:rsidR="002356E3" w:rsidRPr="00EC46FF">
        <w:rPr>
          <w:rFonts w:ascii="Times New Roman" w:hAnsi="Times New Roman"/>
          <w:sz w:val="24"/>
          <w:szCs w:val="24"/>
          <w:lang w:val="en-GB"/>
        </w:rPr>
        <w:t xml:space="preserve">] highlighted the importance of </w:t>
      </w:r>
      <w:r w:rsidR="002356E3" w:rsidRPr="00EC46FF">
        <w:rPr>
          <w:rFonts w:ascii="Times New Roman" w:hAnsi="Times New Roman"/>
          <w:i/>
          <w:iCs/>
          <w:sz w:val="24"/>
          <w:szCs w:val="24"/>
          <w:lang w:val="en-GB"/>
        </w:rPr>
        <w:t>GHR</w:t>
      </w:r>
      <w:r w:rsidR="002356E3" w:rsidRPr="00EC46FF">
        <w:rPr>
          <w:rFonts w:ascii="Times New Roman" w:hAnsi="Times New Roman"/>
          <w:sz w:val="24"/>
          <w:szCs w:val="24"/>
          <w:lang w:val="en-GB"/>
        </w:rPr>
        <w:t xml:space="preserve"> on meat production and quality of German Mutton Merino sheep. </w:t>
      </w:r>
      <w:r w:rsidR="002356E3" w:rsidRPr="00EC46FF">
        <w:rPr>
          <w:rFonts w:ascii="Times New Roman" w:hAnsi="Times New Roman"/>
          <w:i/>
          <w:iCs/>
          <w:sz w:val="24"/>
          <w:szCs w:val="24"/>
          <w:lang w:val="en-GB"/>
        </w:rPr>
        <w:t>GHR</w:t>
      </w:r>
      <w:r w:rsidR="002356E3" w:rsidRPr="00EC46FF">
        <w:rPr>
          <w:rFonts w:ascii="Times New Roman" w:hAnsi="Times New Roman"/>
          <w:sz w:val="24"/>
          <w:szCs w:val="24"/>
          <w:lang w:val="en-GB"/>
        </w:rPr>
        <w:t xml:space="preserve"> has been associated with hypoxic adaptability and growth traits in Tibetan sheep living at high altitude [</w:t>
      </w:r>
      <w:r w:rsidR="00EC46FF" w:rsidRPr="00EC46FF">
        <w:rPr>
          <w:rFonts w:ascii="Times New Roman" w:hAnsi="Times New Roman"/>
          <w:sz w:val="24"/>
          <w:szCs w:val="24"/>
          <w:lang w:val="en-GB"/>
        </w:rPr>
        <w:t>59</w:t>
      </w:r>
      <w:r w:rsidR="002356E3" w:rsidRPr="00EC46FF">
        <w:rPr>
          <w:rFonts w:ascii="Times New Roman" w:hAnsi="Times New Roman"/>
          <w:sz w:val="24"/>
          <w:szCs w:val="24"/>
          <w:lang w:val="en-GB"/>
        </w:rPr>
        <w:t xml:space="preserve">, </w:t>
      </w:r>
      <w:r w:rsidR="00B73C2D" w:rsidRPr="00EC46FF">
        <w:rPr>
          <w:rFonts w:ascii="Times New Roman" w:hAnsi="Times New Roman"/>
          <w:sz w:val="24"/>
          <w:szCs w:val="24"/>
          <w:lang w:val="en-GB"/>
        </w:rPr>
        <w:t>6</w:t>
      </w:r>
      <w:r w:rsidR="00EC46FF" w:rsidRPr="00EC46FF">
        <w:rPr>
          <w:rFonts w:ascii="Times New Roman" w:hAnsi="Times New Roman"/>
          <w:sz w:val="24"/>
          <w:szCs w:val="24"/>
          <w:lang w:val="en-GB"/>
        </w:rPr>
        <w:t>0</w:t>
      </w:r>
      <w:r w:rsidR="002356E3" w:rsidRPr="00EC46FF">
        <w:rPr>
          <w:rFonts w:ascii="Times New Roman" w:hAnsi="Times New Roman"/>
          <w:sz w:val="24"/>
          <w:szCs w:val="24"/>
          <w:lang w:val="en-GB"/>
        </w:rPr>
        <w:t>]. Recently, it has been recogni</w:t>
      </w:r>
      <w:r w:rsidR="001F6230">
        <w:rPr>
          <w:rFonts w:ascii="Times New Roman" w:hAnsi="Times New Roman"/>
          <w:sz w:val="24"/>
          <w:szCs w:val="24"/>
          <w:lang w:val="en-GB"/>
        </w:rPr>
        <w:t>s</w:t>
      </w:r>
      <w:r w:rsidR="002356E3" w:rsidRPr="00EC46FF">
        <w:rPr>
          <w:rFonts w:ascii="Times New Roman" w:hAnsi="Times New Roman"/>
          <w:sz w:val="24"/>
          <w:szCs w:val="24"/>
          <w:lang w:val="en-GB"/>
        </w:rPr>
        <w:t>ed as a potential candidate gene for heat tolerance in sheep [</w:t>
      </w:r>
      <w:r w:rsidR="00B73C2D" w:rsidRPr="00EC46FF">
        <w:rPr>
          <w:rFonts w:ascii="Times New Roman" w:hAnsi="Times New Roman"/>
          <w:sz w:val="24"/>
          <w:szCs w:val="24"/>
          <w:lang w:val="en-GB"/>
        </w:rPr>
        <w:t>6</w:t>
      </w:r>
      <w:r w:rsidR="00EC46FF" w:rsidRPr="00EC46FF">
        <w:rPr>
          <w:rFonts w:ascii="Times New Roman" w:hAnsi="Times New Roman"/>
          <w:sz w:val="24"/>
          <w:szCs w:val="24"/>
          <w:lang w:val="en-GB"/>
        </w:rPr>
        <w:t>1</w:t>
      </w:r>
      <w:r w:rsidR="002356E3" w:rsidRPr="00EC46FF">
        <w:rPr>
          <w:rFonts w:ascii="Times New Roman" w:hAnsi="Times New Roman"/>
          <w:sz w:val="24"/>
          <w:szCs w:val="24"/>
          <w:lang w:val="en-GB"/>
        </w:rPr>
        <w:t>] and goats [</w:t>
      </w:r>
      <w:r w:rsidR="00B73C2D" w:rsidRPr="00EC46FF">
        <w:rPr>
          <w:rFonts w:ascii="Times New Roman" w:hAnsi="Times New Roman"/>
          <w:sz w:val="24"/>
          <w:szCs w:val="24"/>
          <w:lang w:val="en-GB"/>
        </w:rPr>
        <w:t>6</w:t>
      </w:r>
      <w:r w:rsidR="00EC46FF" w:rsidRPr="00EC46FF">
        <w:rPr>
          <w:rFonts w:ascii="Times New Roman" w:hAnsi="Times New Roman"/>
          <w:sz w:val="24"/>
          <w:szCs w:val="24"/>
          <w:lang w:val="en-GB"/>
        </w:rPr>
        <w:t>2</w:t>
      </w:r>
      <w:r w:rsidR="002356E3" w:rsidRPr="00EC46FF">
        <w:rPr>
          <w:rFonts w:ascii="Times New Roman" w:hAnsi="Times New Roman"/>
          <w:sz w:val="24"/>
          <w:szCs w:val="24"/>
          <w:lang w:val="en-GB"/>
        </w:rPr>
        <w:t>].</w:t>
      </w:r>
    </w:p>
    <w:p w14:paraId="6495370A" w14:textId="56D0C78A" w:rsidR="002356E3" w:rsidRPr="00EC46FF" w:rsidRDefault="002356E3" w:rsidP="002356E3">
      <w:p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 xml:space="preserve">The </w:t>
      </w:r>
      <w:r w:rsidRPr="00EC46FF">
        <w:rPr>
          <w:rFonts w:ascii="Times New Roman" w:hAnsi="Times New Roman"/>
          <w:i/>
          <w:iCs/>
          <w:sz w:val="24"/>
          <w:szCs w:val="24"/>
          <w:lang w:val="en-GB"/>
        </w:rPr>
        <w:t>PRKAA1</w:t>
      </w:r>
      <w:r w:rsidRPr="00EC46FF">
        <w:rPr>
          <w:rFonts w:ascii="Times New Roman" w:hAnsi="Times New Roman"/>
          <w:sz w:val="24"/>
          <w:szCs w:val="24"/>
          <w:lang w:val="en-GB"/>
        </w:rPr>
        <w:t xml:space="preserve"> gene encodes the alpha1 subunit of the AMP-activated protein kinase (AMPK), which represents the central metabolic switch responsible for maintaining energy homeostasis in response to nutrient and intracellular energy levels alterations [</w:t>
      </w:r>
      <w:r w:rsidR="00B73C2D" w:rsidRPr="00EC46FF">
        <w:rPr>
          <w:rFonts w:ascii="Times New Roman" w:hAnsi="Times New Roman"/>
          <w:sz w:val="24"/>
          <w:szCs w:val="24"/>
          <w:lang w:val="en-GB"/>
        </w:rPr>
        <w:t>6</w:t>
      </w:r>
      <w:r w:rsidR="00EC46FF" w:rsidRPr="00EC46FF">
        <w:rPr>
          <w:rFonts w:ascii="Times New Roman" w:hAnsi="Times New Roman"/>
          <w:sz w:val="24"/>
          <w:szCs w:val="24"/>
          <w:lang w:val="en-GB"/>
        </w:rPr>
        <w:t>3</w:t>
      </w:r>
      <w:r w:rsidRPr="00EC46FF">
        <w:rPr>
          <w:rFonts w:ascii="Times New Roman" w:hAnsi="Times New Roman"/>
          <w:sz w:val="24"/>
          <w:szCs w:val="24"/>
          <w:lang w:val="en-GB"/>
        </w:rPr>
        <w:t>]. In Tibetan sheep, Zhang et al. [</w:t>
      </w:r>
      <w:r w:rsidR="00B73C2D" w:rsidRPr="00EC46FF">
        <w:rPr>
          <w:rFonts w:ascii="Times New Roman" w:hAnsi="Times New Roman"/>
          <w:sz w:val="24"/>
          <w:szCs w:val="24"/>
          <w:lang w:val="en-GB"/>
        </w:rPr>
        <w:t>6</w:t>
      </w:r>
      <w:r w:rsidR="00EC46FF" w:rsidRPr="00EC46FF">
        <w:rPr>
          <w:rFonts w:ascii="Times New Roman" w:hAnsi="Times New Roman"/>
          <w:sz w:val="24"/>
          <w:szCs w:val="24"/>
          <w:lang w:val="en-GB"/>
        </w:rPr>
        <w:t>4</w:t>
      </w:r>
      <w:r w:rsidRPr="00EC46FF">
        <w:rPr>
          <w:rFonts w:ascii="Times New Roman" w:hAnsi="Times New Roman"/>
          <w:sz w:val="24"/>
          <w:szCs w:val="24"/>
          <w:lang w:val="en-GB"/>
        </w:rPr>
        <w:t xml:space="preserve">] identified a set of candidate genes, including </w:t>
      </w:r>
      <w:r w:rsidRPr="00EC46FF">
        <w:rPr>
          <w:rFonts w:ascii="Times New Roman" w:hAnsi="Times New Roman"/>
          <w:i/>
          <w:iCs/>
          <w:sz w:val="24"/>
          <w:szCs w:val="24"/>
          <w:lang w:val="en-GB"/>
        </w:rPr>
        <w:t>PRKAA1</w:t>
      </w:r>
      <w:r w:rsidRPr="00EC46FF">
        <w:rPr>
          <w:rFonts w:ascii="Times New Roman" w:hAnsi="Times New Roman"/>
          <w:sz w:val="24"/>
          <w:szCs w:val="24"/>
          <w:lang w:val="en-GB"/>
        </w:rPr>
        <w:t xml:space="preserve">, directly associated with pathways related to hypoxia responses. </w:t>
      </w:r>
      <w:r w:rsidRPr="00EC46FF">
        <w:rPr>
          <w:rFonts w:ascii="Times New Roman" w:hAnsi="Times New Roman"/>
          <w:i/>
          <w:iCs/>
          <w:sz w:val="24"/>
          <w:szCs w:val="24"/>
          <w:lang w:val="en-GB"/>
        </w:rPr>
        <w:t>PRKAA1</w:t>
      </w:r>
      <w:r w:rsidRPr="00EC46FF">
        <w:rPr>
          <w:rFonts w:ascii="Times New Roman" w:hAnsi="Times New Roman"/>
          <w:sz w:val="24"/>
          <w:szCs w:val="24"/>
          <w:lang w:val="en-GB"/>
        </w:rPr>
        <w:t xml:space="preserve"> is also involved in sheep follicular [</w:t>
      </w:r>
      <w:r w:rsidR="00EC46FF" w:rsidRPr="00EC46FF">
        <w:rPr>
          <w:rFonts w:ascii="Times New Roman" w:hAnsi="Times New Roman"/>
          <w:sz w:val="24"/>
          <w:szCs w:val="24"/>
          <w:lang w:val="en-GB"/>
        </w:rPr>
        <w:t>65</w:t>
      </w:r>
      <w:r w:rsidRPr="00EC46FF">
        <w:rPr>
          <w:rFonts w:ascii="Times New Roman" w:hAnsi="Times New Roman"/>
          <w:sz w:val="24"/>
          <w:szCs w:val="24"/>
          <w:lang w:val="en-GB"/>
        </w:rPr>
        <w:t>] and testicular [</w:t>
      </w:r>
      <w:r w:rsidR="00EC46FF" w:rsidRPr="00EC46FF">
        <w:rPr>
          <w:rFonts w:ascii="Times New Roman" w:hAnsi="Times New Roman"/>
          <w:sz w:val="24"/>
          <w:szCs w:val="24"/>
          <w:lang w:val="en-GB"/>
        </w:rPr>
        <w:t>66</w:t>
      </w:r>
      <w:r w:rsidRPr="00EC46FF">
        <w:rPr>
          <w:rFonts w:ascii="Times New Roman" w:hAnsi="Times New Roman"/>
          <w:sz w:val="24"/>
          <w:szCs w:val="24"/>
          <w:lang w:val="en-GB"/>
        </w:rPr>
        <w:t>] development.</w:t>
      </w:r>
    </w:p>
    <w:p w14:paraId="030D50D0" w14:textId="2F5FBC00" w:rsidR="006F44FD" w:rsidRPr="00EC46FF" w:rsidRDefault="00917B98">
      <w:pPr>
        <w:rPr>
          <w:rFonts w:ascii="Times New Roman" w:hAnsi="Times New Roman"/>
          <w:sz w:val="24"/>
          <w:szCs w:val="24"/>
          <w:lang w:val="en-GB"/>
        </w:rPr>
      </w:pPr>
    </w:p>
    <w:p w14:paraId="06BC1296" w14:textId="12BC251D" w:rsidR="00B73C2D" w:rsidRPr="00EC46FF" w:rsidRDefault="00B73C2D">
      <w:pPr>
        <w:rPr>
          <w:rFonts w:ascii="Times New Roman" w:hAnsi="Times New Roman"/>
          <w:b/>
          <w:bCs/>
          <w:sz w:val="24"/>
          <w:szCs w:val="24"/>
          <w:lang w:val="en-GB"/>
        </w:rPr>
      </w:pPr>
      <w:r w:rsidRPr="00EC46FF">
        <w:rPr>
          <w:rFonts w:ascii="Times New Roman" w:hAnsi="Times New Roman"/>
          <w:b/>
          <w:bCs/>
          <w:sz w:val="24"/>
          <w:szCs w:val="24"/>
          <w:lang w:val="en-GB"/>
        </w:rPr>
        <w:t>References</w:t>
      </w:r>
    </w:p>
    <w:p w14:paraId="37A25433"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lastRenderedPageBreak/>
        <w:t>Shen B, Wang L, Xu Y, Wang H, He S. Knockdown of lncRNA SNHG15 Ameliorates Oxygen and Glucose Deprivation (OGD)-Induced Neuronal Injury via Regulating the miR-9-5p/TIPARP Axis. Biochem Genet. 2022;60:755–69.</w:t>
      </w:r>
    </w:p>
    <w:p w14:paraId="6984F314"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Lin YJ, Liao WL, Wang CH, Tsai LP, Tang CH, Chen CH, et al. Association of human height-related genetic variants with familial short stature in Han Chinese in Taiwan. Sci Rep. 2017;7:6372.</w:t>
      </w:r>
    </w:p>
    <w:p w14:paraId="2C6E3C34"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He M, Xu M, Zhang B, Liang J, Chen P, Lee JY, et al. Meta-analysis of genome-wide association studies of adult height in East Asians identifies 17 novel loci. Hum Mol Genet. 2015;24:1791–1800.</w:t>
      </w:r>
    </w:p>
    <w:p w14:paraId="1C086CFC"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Posbergh CJ, Huson HJ. All sheeps and sizes: a genetic investigation of mature body size across sheep breeds reveals a polygenic nature. Anim Genet. 2021;52:99–107.</w:t>
      </w:r>
    </w:p>
    <w:p w14:paraId="0A49CE13"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Signer‐Hasler H, Burren A, Ammann P, Drögemüller C, Flury C. Runs of homozygosity and signatures of selection: A comparison among eight local Swiss sheep breeds. Anim Genet. 2019;50:512–25.</w:t>
      </w:r>
    </w:p>
    <w:p w14:paraId="4C73702A"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s-ES"/>
        </w:rPr>
        <w:t xml:space="preserve">Yurchenko AA, Deniskova TE, Yudin NS, Dotsev AV, Khamiruev TN, Selionova MI, et al. </w:t>
      </w:r>
      <w:r w:rsidRPr="00EC46FF">
        <w:rPr>
          <w:rFonts w:ascii="Times New Roman" w:hAnsi="Times New Roman"/>
          <w:sz w:val="24"/>
          <w:szCs w:val="24"/>
          <w:lang w:val="en-GB"/>
        </w:rPr>
        <w:t>High-density genotyping reveals signatures of selection related to acclimation and economically important traits in 15 local sheep breeds from Russia. BMC Genomics. 2019;20:294.</w:t>
      </w:r>
    </w:p>
    <w:p w14:paraId="03A2DD1E"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Graber JK, Signer‐Hasler H, Burren A, Drögemüller C. Evaluation of truncating variants in the LCORL gene in relation to body size of goats from Switzerland. Anim Genet. 2022;53:237–9.</w:t>
      </w:r>
    </w:p>
    <w:p w14:paraId="1A0983EB"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Saif R, Henkel J, Jagannathan V, Drögemüller C, Flury C, Leeb T. The LCORL locus is under selection in large-sized Pakistani goat breeds. Genes. 2020;11:168.</w:t>
      </w:r>
    </w:p>
    <w:p w14:paraId="7A1694CD"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Keogh K, Carthy TR, McClure MC, Waters SM, Kenny DA. Genome-wide association study of economically important traits in Charolais and Limousin beef cows. Animal. 2021;15:100011.</w:t>
      </w:r>
    </w:p>
    <w:p w14:paraId="4F5772C9"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s-ES"/>
        </w:rPr>
        <w:lastRenderedPageBreak/>
        <w:t xml:space="preserve">Martinez-Castillero M, Then C, Altarriba J, Srihi H, López-Carbonell D, Díaz C, et al. </w:t>
      </w:r>
      <w:r w:rsidRPr="00EC46FF">
        <w:rPr>
          <w:rFonts w:ascii="Times New Roman" w:hAnsi="Times New Roman"/>
          <w:sz w:val="24"/>
          <w:szCs w:val="24"/>
          <w:lang w:val="en-GB"/>
        </w:rPr>
        <w:t>Detection of Genomic Regions with Pleiotropic Effects for Growth and Carcass Quality Traits in the Rubia Gallega Cattle Breed. Animals. 2021;11:1682.</w:t>
      </w:r>
    </w:p>
    <w:p w14:paraId="68DB5BAA"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Naserkheil M, Mehrban H, Lee D, Park M. Genome-wide Association Study for Carcass Primal Cut Yields Using Single-step Bayesian Approach in Hanwoo Cattle. Front Genet. 2021;12:752424.</w:t>
      </w:r>
    </w:p>
    <w:p w14:paraId="42587002"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rPr>
        <w:t xml:space="preserve">Schiavo G, Bertolini F, Galimberti G, Bovo S, Dall’Olio S, Costa LN, et al. </w:t>
      </w:r>
      <w:r w:rsidRPr="00EC46FF">
        <w:rPr>
          <w:rFonts w:ascii="Times New Roman" w:hAnsi="Times New Roman"/>
          <w:sz w:val="24"/>
          <w:szCs w:val="24"/>
          <w:lang w:val="en-GB"/>
        </w:rPr>
        <w:t>A machine learning approach for the identification of population-informative markers from high-throughput genotyping data: application to several pig breeds. Animal. 2020;14:223–32.</w:t>
      </w:r>
    </w:p>
    <w:p w14:paraId="55CDE21B"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rPr>
        <w:t xml:space="preserve">de Faria DA, do Prado Paim T, Dos Santos CA, Paiva SR, Nogueira MB, McManus C (2022). </w:t>
      </w:r>
      <w:r w:rsidRPr="00EC46FF">
        <w:rPr>
          <w:rFonts w:ascii="Times New Roman" w:hAnsi="Times New Roman"/>
          <w:sz w:val="24"/>
          <w:szCs w:val="24"/>
          <w:lang w:val="en-GB"/>
        </w:rPr>
        <w:t>Selection signatures for heat tolerance in Brazilian horse breeds. Mol Genet Genom. 2022;297:449–62.</w:t>
      </w:r>
    </w:p>
    <w:p w14:paraId="5667F66E"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Ablondi M, Dadousis C, Vasini M, Eriksson S, Mikko S, Sabbioni A. Genetic diversity and signatures of selection in a native italian horse breed based on SNP data. Animals. 2020;10:1005.</w:t>
      </w:r>
    </w:p>
    <w:p w14:paraId="6D65C4E2"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rPr>
        <w:t xml:space="preserve">Al Abri MA, Holl HM, Kalla SE, Sutter NB, Brooks SA. </w:t>
      </w:r>
      <w:r w:rsidRPr="00EC46FF">
        <w:rPr>
          <w:rFonts w:ascii="Times New Roman" w:hAnsi="Times New Roman"/>
          <w:sz w:val="24"/>
          <w:szCs w:val="24"/>
          <w:lang w:val="en-GB"/>
        </w:rPr>
        <w:t>Whole genome detection of sequence and structural polymorphism in six diverse horses. PLoS One. 2020;15:e0230899.</w:t>
      </w:r>
    </w:p>
    <w:p w14:paraId="743EF3A8"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Shen J, Yu J, Dai X, Li M, Wang G, Chen N, et al. Genomic analyses reveal distinct genetic architectures and selective pressures in Chinese donkeys. J Genet Genomics. 2021;48:737–45.</w:t>
      </w:r>
    </w:p>
    <w:p w14:paraId="2E16610E" w14:textId="32A774C5"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 xml:space="preserve">Sheet S, Kim JS, Ko MJ, Kim NY, Lim YJ, </w:t>
      </w:r>
      <w:r w:rsidR="003D579A" w:rsidRPr="003D579A">
        <w:rPr>
          <w:rFonts w:ascii="Times New Roman" w:hAnsi="Times New Roman"/>
          <w:sz w:val="24"/>
          <w:szCs w:val="24"/>
          <w:lang w:val="en-GB"/>
        </w:rPr>
        <w:t>Park</w:t>
      </w:r>
      <w:r w:rsidR="003D579A">
        <w:rPr>
          <w:rFonts w:ascii="Times New Roman" w:hAnsi="Times New Roman"/>
          <w:sz w:val="24"/>
          <w:szCs w:val="24"/>
          <w:lang w:val="en-GB"/>
        </w:rPr>
        <w:t xml:space="preserve"> MR </w:t>
      </w:r>
      <w:r w:rsidRPr="00EC46FF">
        <w:rPr>
          <w:rFonts w:ascii="Times New Roman" w:hAnsi="Times New Roman"/>
          <w:sz w:val="24"/>
          <w:szCs w:val="24"/>
          <w:lang w:val="en-GB"/>
        </w:rPr>
        <w:t>et al. Insight into the Candidate Genes and Enriched Pathways Associated with Height, Length, Length to Height Ratio and Body-Weight of Korean Indigenous Breed, Jindo Dog Using Gene Set Enrichment-Based GWAS Analysis. Animals. 2021;11:3136.</w:t>
      </w:r>
    </w:p>
    <w:p w14:paraId="2B9614A7"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lastRenderedPageBreak/>
        <w:t>Liu J, Zhou J, Li J, Bao H. Identification of candidate genes associated with slaughter traits in F2 chicken population using genome‐wide association study. Anim Genet. 2021;52:532–5.</w:t>
      </w:r>
    </w:p>
    <w:p w14:paraId="37A317D8"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Ballan M, Bovo S, Schiavo G, Schiavitto M, Negrini R, Fontanesi L. Genomic diversity and signatures of selection in meat and fancy rabbit breeds based on high-density marker data. Genet Sel Evol. 2022;54:3.</w:t>
      </w:r>
    </w:p>
    <w:p w14:paraId="06D696C2"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Takasuga A. PLAG1 and NCAPG‐LCORL in livestock. Anim Sci J. 2016;87:159-67.</w:t>
      </w:r>
    </w:p>
    <w:p w14:paraId="7162496B"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s-ES"/>
        </w:rPr>
        <w:t xml:space="preserve">Liu Z, Bai C, Shi L, He Y, Hu M, Sun H, et al. </w:t>
      </w:r>
      <w:r w:rsidRPr="00EC46FF">
        <w:rPr>
          <w:rFonts w:ascii="Times New Roman" w:hAnsi="Times New Roman"/>
          <w:sz w:val="24"/>
          <w:szCs w:val="24"/>
          <w:lang w:val="en-GB"/>
        </w:rPr>
        <w:t>Detection of selection signatures in South African Mutton Merino sheep using whole‐genome sequencing data. Anim Genet. 2022;53:224–9.</w:t>
      </w:r>
    </w:p>
    <w:p w14:paraId="62A78FDF"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He S, Di J, Han B, Chen L, Liu M, Li W. Genome-wide scan for runs of homozygosity identifies candidate genes related to economically important traits in Chinese Merino. Animals. 2020;10:524.</w:t>
      </w:r>
    </w:p>
    <w:p w14:paraId="51473D8B"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s-ES"/>
        </w:rPr>
        <w:t xml:space="preserve">Al Kalaldeh M, Gibson J, Lee SH, Gondro C, Van Der Werf JH. </w:t>
      </w:r>
      <w:r w:rsidRPr="00EC46FF">
        <w:rPr>
          <w:rFonts w:ascii="Times New Roman" w:hAnsi="Times New Roman"/>
          <w:sz w:val="24"/>
          <w:szCs w:val="24"/>
          <w:lang w:val="en-GB"/>
        </w:rPr>
        <w:t>Detection of genomic regions underlying resistance to gastrointestinal parasites in Australian sheep. Genet Sel Evol. 2019;51:37.</w:t>
      </w:r>
    </w:p>
    <w:p w14:paraId="3510EE0A" w14:textId="77777777" w:rsidR="00B73C2D" w:rsidRPr="00EC46FF" w:rsidRDefault="00B73C2D" w:rsidP="00B73C2D">
      <w:pPr>
        <w:pStyle w:val="NormalWeb"/>
        <w:numPr>
          <w:ilvl w:val="0"/>
          <w:numId w:val="1"/>
        </w:numPr>
        <w:spacing w:after="0" w:line="480" w:lineRule="auto"/>
        <w:jc w:val="both"/>
        <w:rPr>
          <w:lang w:val="en-GB"/>
        </w:rPr>
      </w:pPr>
      <w:r w:rsidRPr="00EC46FF">
        <w:rPr>
          <w:lang w:val="es-ES"/>
        </w:rPr>
        <w:t xml:space="preserve">Gutiérrez-Gil B, Esteban-Blanco C, Wiener P, Chitneedi PK, Suarez-Vega A, Arranz JJ. </w:t>
      </w:r>
      <w:r w:rsidRPr="00EC46FF">
        <w:rPr>
          <w:lang w:val="en-GB"/>
        </w:rPr>
        <w:t>High-resolution analysis of selection sweeps identified between fine-wool Merino and coarse-wool Churra sheep breeds. Genet Sel Evol. 2017;49:81.</w:t>
      </w:r>
    </w:p>
    <w:p w14:paraId="6588C8BA"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Al-Mamun HA, Kwan P, Clark SA, Ferdosi MH, Tellam R, Gondro C. Genome-wide association study of body weight in Australian Merino sheep reveals an orthologous region on OAR6 to human and bovine genomic regions affecting height and weight. Genet Sel Evol. 2015;47:66.</w:t>
      </w:r>
    </w:p>
    <w:p w14:paraId="4B897245" w14:textId="77777777" w:rsidR="00B73C2D" w:rsidRPr="00EC46FF" w:rsidRDefault="00B73C2D" w:rsidP="00B73C2D">
      <w:pPr>
        <w:pStyle w:val="ListParagraph"/>
        <w:numPr>
          <w:ilvl w:val="0"/>
          <w:numId w:val="1"/>
        </w:numPr>
        <w:spacing w:after="0" w:line="480" w:lineRule="auto"/>
        <w:jc w:val="both"/>
        <w:rPr>
          <w:rFonts w:ascii="Times New Roman" w:hAnsi="Times New Roman"/>
          <w:bCs/>
          <w:sz w:val="24"/>
          <w:szCs w:val="24"/>
          <w:lang w:val="en-GB"/>
        </w:rPr>
      </w:pPr>
      <w:r w:rsidRPr="00EC46FF">
        <w:rPr>
          <w:rFonts w:ascii="Times New Roman" w:hAnsi="Times New Roman"/>
          <w:bCs/>
          <w:sz w:val="24"/>
          <w:szCs w:val="24"/>
          <w:lang w:val="es-ES"/>
        </w:rPr>
        <w:t xml:space="preserve">Zhou Y, Fan Y, Mao Y, Lou M, Liu X, Yuan K, et al. </w:t>
      </w:r>
      <w:r w:rsidRPr="00EC46FF">
        <w:rPr>
          <w:rFonts w:ascii="Times New Roman" w:hAnsi="Times New Roman"/>
          <w:bCs/>
          <w:sz w:val="24"/>
          <w:szCs w:val="24"/>
          <w:lang w:val="en-GB"/>
        </w:rPr>
        <w:t>NCAPG is a prognostic biomarker of immune infiltration in non-small-cell lung cancer. Biomark Med. 2022;16:523</w:t>
      </w:r>
      <w:r w:rsidRPr="00EC46FF">
        <w:rPr>
          <w:rFonts w:ascii="Times New Roman" w:hAnsi="Times New Roman"/>
          <w:sz w:val="24"/>
          <w:szCs w:val="24"/>
          <w:lang w:val="en-GB"/>
        </w:rPr>
        <w:t>–</w:t>
      </w:r>
      <w:r w:rsidRPr="00EC46FF">
        <w:rPr>
          <w:rFonts w:ascii="Times New Roman" w:hAnsi="Times New Roman"/>
          <w:bCs/>
          <w:sz w:val="24"/>
          <w:szCs w:val="24"/>
          <w:lang w:val="en-GB"/>
        </w:rPr>
        <w:t>35.</w:t>
      </w:r>
    </w:p>
    <w:p w14:paraId="72F18DB7"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s-ES"/>
        </w:rPr>
        <w:lastRenderedPageBreak/>
        <w:t xml:space="preserve">Yang Z, Yang X, Liu G, Deng M, Sun B, Guo Y, et al. </w:t>
      </w:r>
      <w:r w:rsidRPr="00EC46FF">
        <w:rPr>
          <w:rFonts w:ascii="Times New Roman" w:hAnsi="Times New Roman"/>
          <w:sz w:val="24"/>
          <w:szCs w:val="24"/>
          <w:lang w:val="en-GB"/>
        </w:rPr>
        <w:t>Polymorphisms in BMPR-IB gene and their association with litter size trait in Chinese Hu sheep. Anim Biotechnol. 2022;33:250–9.</w:t>
      </w:r>
    </w:p>
    <w:p w14:paraId="37D69EB7"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Gholizadeh M, Esmaeili-Fard SM. Meta-analysis of genome-wide association studies for litter size in sheep. Theriogenology. 2022;180:103–12.</w:t>
      </w:r>
    </w:p>
    <w:p w14:paraId="3F93A86C"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Liang C, Wang G, Raza SHA, Wang X, Li B, Zhang W, Zan L. FAM13A promotes proliferation of bovine preadipocytes by targeting Hypoxia-Inducible factor-1 signaling pathway. Adipocyte. 2021;10:546–57.</w:t>
      </w:r>
    </w:p>
    <w:p w14:paraId="1EB11E30"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Patel AJ, Honoré E. Properties and modulation of mammalian 2P domain K+ channels. Trends Neurosci. 2001;24:339–46.</w:t>
      </w:r>
    </w:p>
    <w:p w14:paraId="0BDFE0F2"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s-ES"/>
        </w:rPr>
        <w:t xml:space="preserve">Sánchez-Tena S, Cubillos-Rojas M, Schneider T, Rosa JL. </w:t>
      </w:r>
      <w:r w:rsidRPr="00EC46FF">
        <w:rPr>
          <w:rFonts w:ascii="Times New Roman" w:hAnsi="Times New Roman"/>
          <w:sz w:val="24"/>
          <w:szCs w:val="24"/>
          <w:lang w:val="en-GB"/>
        </w:rPr>
        <w:t>Functional and pathological relevance of HERC family proteins: a decade later. Cell Mol Life Sci. 2016;73:1955–68.</w:t>
      </w:r>
    </w:p>
    <w:p w14:paraId="26C55EA9"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Zheng X, Chen L, Jin S, Xiong L, Chen H, Hu K, et al. Ultraviolet B irradiation up‐regulates MM1 and induces photoageing of the epidermis. Photodermatol Photoimmunol Photomed. 2021;37:395–403.</w:t>
      </w:r>
    </w:p>
    <w:p w14:paraId="7CCD3C74"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rPr>
        <w:t xml:space="preserve">Ilie DE, Mizeranschi AE, Mihali CV, Neamț RI, Goilean GV, Georgescu OI, et al. </w:t>
      </w:r>
      <w:r w:rsidRPr="00EC46FF">
        <w:rPr>
          <w:rFonts w:ascii="Times New Roman" w:hAnsi="Times New Roman"/>
          <w:sz w:val="24"/>
          <w:szCs w:val="24"/>
          <w:lang w:val="en-GB"/>
        </w:rPr>
        <w:t>Genome-Wide Association Studies for Milk Somatic Cell Score in Romanian Dairy Cattle. Genes. 2021;12:1495.</w:t>
      </w:r>
    </w:p>
    <w:p w14:paraId="68951DC8"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Hasankhani A, Bahrami A, Sheybani N, Fatehi F, Abadeh R, Farahani HGM, et al. Integrated Network Analysis to Identify Key Modules and Potential Hub Genes Involved in Bovine Respiratory Disease: A Systems Biology Approach. Front Genet. 2021;12:753839.</w:t>
      </w:r>
    </w:p>
    <w:p w14:paraId="3BA4745F"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Wang K, Thomas C, Zhang S, Wathes DC, Cheng Z. Comparison of the Ability of High and Low Virulence Strains of Non-cytopathic Bovine Viral Diarrhea Virus-1 to Modulate Expression of Interferon Tau Stimulated Genes in Bovine Endometrium. Front Vet Sci. 2021;8:659330.</w:t>
      </w:r>
    </w:p>
    <w:p w14:paraId="2F113DE0"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lastRenderedPageBreak/>
        <w:t>Suen WW, Imoda M, Thomas AW, Nasir NN, Tearnsing N, Wang W, et al. An acute stress model in New Zealand white rabbits exhibits altered immune response to infection with West Nile Virus. Pathogens. 2019;8:195.</w:t>
      </w:r>
    </w:p>
    <w:p w14:paraId="437F7A4A"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Forde N, Duffy GB, McGettigan PA, Browne JA, Mehta JP, Kelly AK, et al. Evidence for an early endometrial response to pregnancy in cattle: both dependent upon and independent of interferon tau. Physiol Genomics. 2012;44:799–810.</w:t>
      </w:r>
    </w:p>
    <w:p w14:paraId="0C834067" w14:textId="000767A1"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Paradis F, Yue S, Grant JR, Stothard P, Basarab JA, Fitzsimmons C. Transcriptomic analysis by RNA sequencing reveals that hepatic interferon-induced genes may be associated with feed efficiency in beef heifers. J Anim Sci. 2015;93:3331–41.</w:t>
      </w:r>
    </w:p>
    <w:p w14:paraId="224A68E4"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Chen P, Zhao H, Wu M, He S, Yuan T, Yi X, et al. A novel 17 bp InDel polymorphism within the PPARGC1A gene is significantly associated with growth traits in sheep. Anim Biotechnol. 2022;33:312–20.</w:t>
      </w:r>
    </w:p>
    <w:p w14:paraId="1BA6B285"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Liao Y, Wang Z, Glória LS, Zhang K, Zhang C, Yang R, et al. Genome-wide association studies for growth curves in meat rabbits through the single-step nonlinear mixed model. Front Genet. 2021;12:750939.</w:t>
      </w:r>
    </w:p>
    <w:p w14:paraId="651B5AED"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Fernández-Barroso MÁ, Caraballo C, Silió L, Rodríguez C, Nuñez Y, Sánchez-Esquiliche F, et al. Differences in the loin tenderness of Iberian Pigs explained through dissimilarities in their transcriptome expression profile. Animals. 2020;10:1715.</w:t>
      </w:r>
    </w:p>
    <w:p w14:paraId="657C224B"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rPr>
        <w:t xml:space="preserve">Armstrong E, Ciappesoni G, Iriarte W, Da Silva C, Macedo F, Navajas EA, et al. </w:t>
      </w:r>
      <w:r w:rsidRPr="00EC46FF">
        <w:rPr>
          <w:rFonts w:ascii="Times New Roman" w:hAnsi="Times New Roman"/>
          <w:sz w:val="24"/>
          <w:szCs w:val="24"/>
          <w:lang w:val="en-GB"/>
        </w:rPr>
        <w:t>Novel genetic polymorphisms associated with carcass traits in grazing Texel sheep. Meat Sci. 2018;145:202–8.</w:t>
      </w:r>
    </w:p>
    <w:p w14:paraId="663C7C2C" w14:textId="0E27F415"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rPr>
        <w:t xml:space="preserve">Soria LA, Corva PM, Sica AB, Villarreal EL, Melucci LM, Mezzadra CA, et al. </w:t>
      </w:r>
      <w:r w:rsidRPr="00EC46FF">
        <w:rPr>
          <w:rFonts w:ascii="Times New Roman" w:hAnsi="Times New Roman"/>
          <w:sz w:val="24"/>
          <w:szCs w:val="24"/>
          <w:lang w:val="en-GB"/>
        </w:rPr>
        <w:t>Association of a novel polymorphism in the bovine PPARGC1A gene with growth, slaughter and meat quality traits in Brangus steers. Mol Cell Probes</w:t>
      </w:r>
      <w:r w:rsidR="00DE501F">
        <w:rPr>
          <w:rFonts w:ascii="Times New Roman" w:hAnsi="Times New Roman"/>
          <w:sz w:val="24"/>
          <w:szCs w:val="24"/>
          <w:lang w:val="en-GB"/>
        </w:rPr>
        <w:t>.</w:t>
      </w:r>
      <w:r w:rsidRPr="00EC46FF">
        <w:rPr>
          <w:rFonts w:ascii="Times New Roman" w:hAnsi="Times New Roman"/>
          <w:sz w:val="24"/>
          <w:szCs w:val="24"/>
          <w:lang w:val="en-GB"/>
        </w:rPr>
        <w:t xml:space="preserve"> 2009;23:304–8.</w:t>
      </w:r>
    </w:p>
    <w:p w14:paraId="39749786"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lastRenderedPageBreak/>
        <w:t>Zhang GM, Zhang TT, Jin YH, Liu JL, Guo YX, Fan YX, et al. Effect of caloric restriction and subsequent re-alimentation on oxidative stress in the liver of Hu sheep ram lambs. Anim Feed Sci Technol. 2018;237:68–77.</w:t>
      </w:r>
    </w:p>
    <w:p w14:paraId="48E5CCF7"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Jiao D, Ji KX, Liu H, Wang WQ, Wu X, Zhou J, et al. Transcriptome analysis reveals genes involved in thermogenesis in two cold-exposed sheep breeds. Genes. 2021;12:375.</w:t>
      </w:r>
    </w:p>
    <w:p w14:paraId="32F4FF0A"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Sweet-Jones J, Lenis VP, Yurchenko AA, Yudin NS, Swain M, Larkin DM. Genotyping and Whole-Genome Resequencing of Welsh Sheep Breeds Reveal Candidate Genes and Variants for Adaptation to Local Environment and Socioeconomic Traits. Front Genet. 2021;12:612492.</w:t>
      </w:r>
    </w:p>
    <w:p w14:paraId="7BE8FE44"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Bilodeau P, Jacobsen D, Law-Vinh D, Lee JM. Phosphatidylinositol 4-kinase III beta regulates cell shape, migration, and focal adhesion number. Mol Biol Cell. 2020;31:1904–16.</w:t>
      </w:r>
    </w:p>
    <w:p w14:paraId="346F7C87"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Srikanth K, Lee SH, Chung KY, Park JE, Jang GW, Park MR, et al. A gene-set enrichment and protein–protein interaction network-based GWAS with regulatory SNPs identifies candidate genes and pathways associated with carcass traits in Hanwoo cattle. Genes. 2020;11:316.</w:t>
      </w:r>
    </w:p>
    <w:p w14:paraId="34090A68"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rPr>
      </w:pPr>
      <w:r w:rsidRPr="00EC46FF">
        <w:rPr>
          <w:rFonts w:ascii="Times New Roman" w:hAnsi="Times New Roman"/>
          <w:sz w:val="24"/>
          <w:szCs w:val="24"/>
          <w:lang w:val="en-GB"/>
        </w:rPr>
        <w:t xml:space="preserve">Lake RJ, Tsai PF, Choi I, Won KJ, Fan HY. RBPJ, the major transcriptional effector of Notch signaling, remains associated with chromatin throughout mitosis, suggesting a role in mitotic bookmarking. </w:t>
      </w:r>
      <w:r w:rsidRPr="00EC46FF">
        <w:rPr>
          <w:rFonts w:ascii="Times New Roman" w:hAnsi="Times New Roman"/>
          <w:sz w:val="24"/>
          <w:szCs w:val="24"/>
        </w:rPr>
        <w:t>PLoS Genet. 2014;10:e1004204.</w:t>
      </w:r>
    </w:p>
    <w:p w14:paraId="59E0F692"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Zhao B, Luo H, He J, Huang X, Chen S, Fu X, et al. Comprehensive transcriptome and methylome analysis delineates the biological basis of hair follicle development and wool-related traits in Merino sheep. BMC Biol. 2021b;19:197.</w:t>
      </w:r>
    </w:p>
    <w:p w14:paraId="2660211F"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Berna-Erro A, Braun A, Kraft R, Kleinschnitz C, Schuhmann MK, Stegner D, et al. STIM2 regulates capacitive Ca2+ entry in neurons and plays a key role in hypoxic neuronal cell death. Sci Signal. 2009; 2:ra67.</w:t>
      </w:r>
    </w:p>
    <w:p w14:paraId="50E3732F"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Kim KM, Rana A, Park CY. Orai1 inhibitor STIM2β regulates myogenesis by controlling SOCE dependent transcriptional factors. Sci Rep. 2019;9:10794.</w:t>
      </w:r>
    </w:p>
    <w:p w14:paraId="40C6B282"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lastRenderedPageBreak/>
        <w:t>Oh-Hora M, Yamashita M, Hogan PG, Sharma S, Lamperti E, Chung W, et al. Dual functions for the endoplasmic reticulum calcium sensors STIM1 and STIM2 in T cell activation and tolerance. Nat Immunol. 2008;9:432–43.</w:t>
      </w:r>
    </w:p>
    <w:p w14:paraId="21BAF64D"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rPr>
        <w:t xml:space="preserve">Mudadu MA, Porto-Neto LR, Mokry FB, Tizioto PC, Oliveira PS, Tullio RR, et al. </w:t>
      </w:r>
      <w:r w:rsidRPr="00EC46FF">
        <w:rPr>
          <w:rFonts w:ascii="Times New Roman" w:hAnsi="Times New Roman"/>
          <w:sz w:val="24"/>
          <w:szCs w:val="24"/>
          <w:lang w:val="en-GB"/>
        </w:rPr>
        <w:t>Genomic structure and marker-derived gene networks for growth and meat quality traits of Brazilian Nelore beef cattle. BMC Genomics. 2016;17:235.</w:t>
      </w:r>
    </w:p>
    <w:p w14:paraId="1C87AFFB"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Hinrichs A, Renner S, Bidlingmaier M, Kopchick JJ, Wolf E. MECHANISMS IN ENDOCRINOLOGY: Transient juvenile hypoglycemia in growth hormone receptor deficiency–mechanistic insights from Laron syndrome and tailored animal models. Eur J Endocrinol. 2021;185:R35–R47.</w:t>
      </w:r>
    </w:p>
    <w:p w14:paraId="1C76F904"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Wang H, Zhang L, Cao J, Wu M, Ma X, Liu Z, et al. Genome-wide specific selection in three domestic sheep breeds. PLoS One, 2015;10:e0128688.</w:t>
      </w:r>
    </w:p>
    <w:p w14:paraId="1B3BD736"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Gorlov IF, Kolosov YA, Shirokova NV, Getmantseva LV, Slozhenkina MI, Mosolova NI, et al. Association of the growth hormone gene polymorphism with growth traits in Salsk sheep breed. Small Rumin Res. 2017;150:11–4.</w:t>
      </w:r>
    </w:p>
    <w:p w14:paraId="61BBF467"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Yang Q, Yan H, Li J, Xu H, Wang K, Zhu H, et al. A novel 14-bp duplicated deletion within goat GHR gene is significantly associated with growth traits and litter size. Anim Genet. 2017;48:499–500.</w:t>
      </w:r>
    </w:p>
    <w:p w14:paraId="029BFFB2"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rPr>
        <w:t xml:space="preserve">Li LL, Ma SK, Peng W, Fang YG, Duo HR, Fu HY, et al. </w:t>
      </w:r>
      <w:r w:rsidRPr="00EC46FF">
        <w:rPr>
          <w:rFonts w:ascii="Times New Roman" w:hAnsi="Times New Roman"/>
          <w:sz w:val="24"/>
          <w:szCs w:val="24"/>
          <w:lang w:val="en-GB"/>
        </w:rPr>
        <w:t>Genetic diversity and population structure of Tibetan sheep breeds determined by whole genome resequencing. Trop Anim Health Prod. 2021;53:174.</w:t>
      </w:r>
    </w:p>
    <w:p w14:paraId="35ACEED6" w14:textId="2DCB7C48"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Han YC, Sun YG, Li Q. Growth hormone polymorphisms and growth traits in Chinese Tibetan sheep Ovis aries. Genet Mol Res</w:t>
      </w:r>
      <w:r w:rsidR="00DE501F">
        <w:rPr>
          <w:rFonts w:ascii="Times New Roman" w:hAnsi="Times New Roman"/>
          <w:sz w:val="24"/>
          <w:szCs w:val="24"/>
          <w:lang w:val="en-GB"/>
        </w:rPr>
        <w:t>.</w:t>
      </w:r>
      <w:r w:rsidRPr="00EC46FF">
        <w:rPr>
          <w:rFonts w:ascii="Times New Roman" w:hAnsi="Times New Roman"/>
          <w:sz w:val="24"/>
          <w:szCs w:val="24"/>
          <w:lang w:val="en-GB"/>
        </w:rPr>
        <w:t xml:space="preserve"> 2016;15.</w:t>
      </w:r>
    </w:p>
    <w:p w14:paraId="465350CD"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Sejian V, Bagath M, Krishnan G, Rashamol VP, Pragna P, Devaraj C, et al. Genes for resilience to heat stress in small ruminants: A review. Small Rumin Res. 2019;173:42–53.</w:t>
      </w:r>
    </w:p>
    <w:p w14:paraId="054F96C7"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lastRenderedPageBreak/>
        <w:t>Angel SP, Bagath M, Sejian V, Krishnan G, Bhatta R. Expression patterns of candidate genes reflecting the growth performance of goats subjected to heat stress. Mol Biol Rep. 2018;45:2847–56.</w:t>
      </w:r>
    </w:p>
    <w:p w14:paraId="5957FCA6"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Hardie DG, Ross FA, Hawley SA. AMPK: a nutrient and energy sensor that maintains energy homeostasis. Nat Rev Mol Cell Biol. 2012;13:251–62.</w:t>
      </w:r>
    </w:p>
    <w:p w14:paraId="1F845A87"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Zhang Y, Xue X, Liu Y, Abied A, Ding Y, Zhao S, et al. Genome-wide comparative analyses reveal selection signatures underlying adaptation and production in Tibetan and Poll Dorset sheep. Sci Rep. 2021;11:2466.</w:t>
      </w:r>
    </w:p>
    <w:p w14:paraId="3391A7F0"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 xml:space="preserve">Foroughinia G, Fazileh A, Eghbalsaied S. Expression of genes involved in </w:t>
      </w:r>
      <w:bookmarkStart w:id="0" w:name="_GoBack"/>
      <w:bookmarkEnd w:id="0"/>
      <w:r w:rsidRPr="00EC46FF">
        <w:rPr>
          <w:rFonts w:ascii="Times New Roman" w:hAnsi="Times New Roman"/>
          <w:sz w:val="24"/>
          <w:szCs w:val="24"/>
          <w:lang w:val="en-GB"/>
        </w:rPr>
        <w:t>BMP and estrogen signaling and AMPK production can be important factors affecting total number of antral follicles in ewes. Theriogenology. 2017;91:36–43.</w:t>
      </w:r>
    </w:p>
    <w:p w14:paraId="75E4732F" w14:textId="77777777" w:rsidR="00B73C2D" w:rsidRPr="00EC46FF" w:rsidRDefault="00B73C2D" w:rsidP="00B73C2D">
      <w:pPr>
        <w:pStyle w:val="ListParagraph"/>
        <w:numPr>
          <w:ilvl w:val="0"/>
          <w:numId w:val="1"/>
        </w:numPr>
        <w:spacing w:after="0" w:line="480" w:lineRule="auto"/>
        <w:jc w:val="both"/>
        <w:rPr>
          <w:rFonts w:ascii="Times New Roman" w:hAnsi="Times New Roman"/>
          <w:sz w:val="24"/>
          <w:szCs w:val="24"/>
          <w:lang w:val="en-GB"/>
        </w:rPr>
      </w:pPr>
      <w:r w:rsidRPr="00EC46FF">
        <w:rPr>
          <w:rFonts w:ascii="Times New Roman" w:hAnsi="Times New Roman"/>
          <w:sz w:val="24"/>
          <w:szCs w:val="24"/>
          <w:lang w:val="en-GB"/>
        </w:rPr>
        <w:t>Pang J, Li F, Feng X, Yang H, Han L, Fan Y, et al. Influences of different dietary energy level on sheep testicular development associated with AMPK/ULK1/autophagy pathway. Theriogenology. 2018;108:362–70.</w:t>
      </w:r>
    </w:p>
    <w:p w14:paraId="56E88DCB" w14:textId="77777777" w:rsidR="00B73C2D" w:rsidRPr="00EC46FF" w:rsidRDefault="00B73C2D">
      <w:pPr>
        <w:rPr>
          <w:rFonts w:ascii="Times New Roman" w:hAnsi="Times New Roman"/>
          <w:sz w:val="24"/>
          <w:szCs w:val="24"/>
          <w:lang w:val="en-GB"/>
        </w:rPr>
      </w:pPr>
    </w:p>
    <w:sectPr w:rsidR="00B73C2D" w:rsidRPr="00EC46FF" w:rsidSect="006C72E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85DEC"/>
    <w:multiLevelType w:val="hybridMultilevel"/>
    <w:tmpl w:val="A4DAB63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6E3"/>
    <w:rsid w:val="0004055A"/>
    <w:rsid w:val="000C5D27"/>
    <w:rsid w:val="000F4F37"/>
    <w:rsid w:val="001C43C3"/>
    <w:rsid w:val="001E6A20"/>
    <w:rsid w:val="001F6230"/>
    <w:rsid w:val="002356E3"/>
    <w:rsid w:val="00255C6D"/>
    <w:rsid w:val="002F367A"/>
    <w:rsid w:val="0039175D"/>
    <w:rsid w:val="003D579A"/>
    <w:rsid w:val="00575EA1"/>
    <w:rsid w:val="00581942"/>
    <w:rsid w:val="006C72E7"/>
    <w:rsid w:val="006F1583"/>
    <w:rsid w:val="0076615A"/>
    <w:rsid w:val="00917B98"/>
    <w:rsid w:val="00B71018"/>
    <w:rsid w:val="00B73C2D"/>
    <w:rsid w:val="00BB2D92"/>
    <w:rsid w:val="00BF1271"/>
    <w:rsid w:val="00DE501F"/>
    <w:rsid w:val="00EC46FF"/>
    <w:rsid w:val="00EE41D3"/>
    <w:rsid w:val="00F8044D"/>
    <w:rsid w:val="00FB09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E9233"/>
  <w15:chartTrackingRefBased/>
  <w15:docId w15:val="{A19344E0-3699-4D29-928A-AE41EE4E3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6E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2356E3"/>
    <w:rPr>
      <w:sz w:val="16"/>
      <w:szCs w:val="16"/>
    </w:rPr>
  </w:style>
  <w:style w:type="paragraph" w:styleId="CommentText">
    <w:name w:val="annotation text"/>
    <w:basedOn w:val="Normal"/>
    <w:link w:val="CommentTextChar"/>
    <w:uiPriority w:val="99"/>
    <w:unhideWhenUsed/>
    <w:rsid w:val="002356E3"/>
    <w:pPr>
      <w:spacing w:line="240" w:lineRule="auto"/>
    </w:pPr>
    <w:rPr>
      <w:sz w:val="20"/>
      <w:szCs w:val="20"/>
    </w:rPr>
  </w:style>
  <w:style w:type="character" w:customStyle="1" w:styleId="CommentTextChar">
    <w:name w:val="Comment Text Char"/>
    <w:basedOn w:val="DefaultParagraphFont"/>
    <w:link w:val="CommentText"/>
    <w:uiPriority w:val="99"/>
    <w:rsid w:val="002356E3"/>
    <w:rPr>
      <w:rFonts w:ascii="Calibri" w:eastAsia="Calibri" w:hAnsi="Calibri" w:cs="Times New Roman"/>
      <w:sz w:val="20"/>
      <w:szCs w:val="20"/>
    </w:rPr>
  </w:style>
  <w:style w:type="paragraph" w:styleId="Revision">
    <w:name w:val="Revision"/>
    <w:hidden/>
    <w:uiPriority w:val="99"/>
    <w:semiHidden/>
    <w:rsid w:val="00B71018"/>
    <w:pPr>
      <w:spacing w:after="0" w:line="240" w:lineRule="auto"/>
    </w:pPr>
    <w:rPr>
      <w:rFonts w:ascii="Calibri" w:eastAsia="Calibri" w:hAnsi="Calibri" w:cs="Times New Roman"/>
    </w:rPr>
  </w:style>
  <w:style w:type="paragraph" w:styleId="ListParagraph">
    <w:name w:val="List Paragraph"/>
    <w:basedOn w:val="Normal"/>
    <w:uiPriority w:val="34"/>
    <w:qFormat/>
    <w:rsid w:val="00B73C2D"/>
    <w:pPr>
      <w:ind w:left="720"/>
      <w:contextualSpacing/>
    </w:pPr>
  </w:style>
  <w:style w:type="paragraph" w:styleId="NormalWeb">
    <w:name w:val="Normal (Web)"/>
    <w:basedOn w:val="Normal"/>
    <w:uiPriority w:val="99"/>
    <w:semiHidden/>
    <w:unhideWhenUsed/>
    <w:rsid w:val="00B73C2D"/>
    <w:pPr>
      <w:spacing w:before="100" w:beforeAutospacing="1" w:after="100" w:afterAutospacing="1" w:line="240" w:lineRule="auto"/>
    </w:pPr>
    <w:rPr>
      <w:rFonts w:ascii="Times New Roman" w:eastAsia="Times New Roman" w:hAnsi="Times New Roman"/>
      <w:sz w:val="24"/>
      <w:szCs w:val="24"/>
      <w:lang w:eastAsia="it-IT"/>
    </w:rPr>
  </w:style>
  <w:style w:type="character" w:styleId="LineNumber">
    <w:name w:val="line number"/>
    <w:basedOn w:val="DefaultParagraphFont"/>
    <w:uiPriority w:val="99"/>
    <w:semiHidden/>
    <w:unhideWhenUsed/>
    <w:rsid w:val="00255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38CC6-7DA8-469B-9E47-C2C671361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3298</Words>
  <Characters>18800</Characters>
  <Application>Microsoft Office Word</Application>
  <DocSecurity>0</DocSecurity>
  <Lines>156</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CECCOBELLI</dc:creator>
  <cp:keywords/>
  <dc:description/>
  <cp:lastModifiedBy>Jini Mol</cp:lastModifiedBy>
  <cp:revision>8</cp:revision>
  <dcterms:created xsi:type="dcterms:W3CDTF">2023-02-20T15:24:00Z</dcterms:created>
  <dcterms:modified xsi:type="dcterms:W3CDTF">2023-03-27T12:42:00Z</dcterms:modified>
</cp:coreProperties>
</file>