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2A6C20" w14:textId="3D403692" w:rsidR="0064575D" w:rsidRPr="00ED1B85" w:rsidRDefault="001C14FF" w:rsidP="00B85A18">
      <w:pPr>
        <w:spacing w:after="0" w:line="480" w:lineRule="auto"/>
        <w:jc w:val="both"/>
        <w:rPr>
          <w:rFonts w:ascii="Times New Roman" w:hAnsi="Times New Roman"/>
          <w:sz w:val="24"/>
          <w:szCs w:val="24"/>
          <w:lang w:val="en-GB"/>
        </w:rPr>
      </w:pPr>
      <w:r>
        <w:rPr>
          <w:rFonts w:ascii="Times New Roman" w:hAnsi="Times New Roman"/>
          <w:b/>
          <w:bCs/>
          <w:sz w:val="24"/>
          <w:szCs w:val="24"/>
          <w:lang w:val="en-GB"/>
        </w:rPr>
        <w:t>Additional file 14</w:t>
      </w:r>
      <w:bookmarkStart w:id="0" w:name="_GoBack"/>
      <w:bookmarkEnd w:id="0"/>
      <w:r w:rsidR="0064575D" w:rsidRPr="00ED1B85">
        <w:rPr>
          <w:rFonts w:ascii="Times New Roman" w:hAnsi="Times New Roman"/>
          <w:b/>
          <w:bCs/>
          <w:sz w:val="24"/>
          <w:szCs w:val="24"/>
          <w:lang w:val="en-GB"/>
        </w:rPr>
        <w:t>.</w:t>
      </w:r>
      <w:r w:rsidR="0064575D" w:rsidRPr="00255414">
        <w:rPr>
          <w:rFonts w:ascii="Times New Roman" w:hAnsi="Times New Roman"/>
          <w:sz w:val="24"/>
          <w:szCs w:val="24"/>
          <w:lang w:val="en-GB"/>
        </w:rPr>
        <w:t xml:space="preserve"> </w:t>
      </w:r>
      <w:r w:rsidR="00255414" w:rsidRPr="00255414">
        <w:rPr>
          <w:rFonts w:ascii="Times New Roman" w:hAnsi="Times New Roman"/>
          <w:sz w:val="24"/>
          <w:szCs w:val="24"/>
          <w:lang w:val="en-GB"/>
        </w:rPr>
        <w:t>Description of genes detected by ROH in the overlapping regions with those identified by Rsb and XP-EHH approaches.</w:t>
      </w:r>
    </w:p>
    <w:p w14:paraId="5B1722DC" w14:textId="77777777" w:rsidR="004A3E35" w:rsidRPr="00ED1B85" w:rsidRDefault="004A3E35" w:rsidP="00B85A18">
      <w:pPr>
        <w:spacing w:after="0" w:line="480" w:lineRule="auto"/>
        <w:jc w:val="both"/>
        <w:rPr>
          <w:rFonts w:ascii="Times New Roman" w:hAnsi="Times New Roman"/>
          <w:sz w:val="24"/>
          <w:szCs w:val="24"/>
          <w:lang w:val="en-GB"/>
        </w:rPr>
      </w:pPr>
    </w:p>
    <w:p w14:paraId="72045AEC" w14:textId="0287A292" w:rsidR="0064575D" w:rsidRDefault="004A3E35" w:rsidP="00B85A18">
      <w:pPr>
        <w:spacing w:after="0" w:line="480" w:lineRule="auto"/>
        <w:jc w:val="both"/>
        <w:rPr>
          <w:rFonts w:ascii="Times New Roman" w:hAnsi="Times New Roman"/>
          <w:sz w:val="24"/>
          <w:szCs w:val="24"/>
          <w:lang w:val="en-GB"/>
        </w:rPr>
      </w:pPr>
      <w:r w:rsidRPr="00ED1B85">
        <w:rPr>
          <w:rFonts w:ascii="Times New Roman" w:hAnsi="Times New Roman"/>
          <w:sz w:val="24"/>
          <w:szCs w:val="24"/>
          <w:lang w:val="en-GB"/>
        </w:rPr>
        <w:t>ROH island approach identified two regions on OAR6, characteri</w:t>
      </w:r>
      <w:r w:rsidR="00387CD9">
        <w:rPr>
          <w:rFonts w:ascii="Times New Roman" w:hAnsi="Times New Roman"/>
          <w:sz w:val="24"/>
          <w:szCs w:val="24"/>
          <w:lang w:val="en-GB"/>
        </w:rPr>
        <w:t>s</w:t>
      </w:r>
      <w:r w:rsidRPr="00ED1B85">
        <w:rPr>
          <w:rFonts w:ascii="Times New Roman" w:hAnsi="Times New Roman"/>
          <w:sz w:val="24"/>
          <w:szCs w:val="24"/>
          <w:lang w:val="en-GB"/>
        </w:rPr>
        <w:t>ed by a high frequency of ROH occurrence</w:t>
      </w:r>
      <w:r w:rsidR="00387CD9">
        <w:rPr>
          <w:rFonts w:ascii="Times New Roman" w:hAnsi="Times New Roman"/>
          <w:sz w:val="24"/>
          <w:szCs w:val="24"/>
          <w:lang w:val="en-GB"/>
        </w:rPr>
        <w:t>. These regions</w:t>
      </w:r>
      <w:r w:rsidRPr="00ED1B85">
        <w:rPr>
          <w:rFonts w:ascii="Times New Roman" w:hAnsi="Times New Roman"/>
          <w:sz w:val="24"/>
          <w:szCs w:val="24"/>
          <w:lang w:val="en-GB"/>
        </w:rPr>
        <w:t xml:space="preserve"> included </w:t>
      </w:r>
      <w:r w:rsidR="00CE198D">
        <w:rPr>
          <w:rFonts w:ascii="Times New Roman" w:hAnsi="Times New Roman"/>
          <w:sz w:val="24"/>
          <w:szCs w:val="24"/>
          <w:lang w:val="en-GB"/>
        </w:rPr>
        <w:t>eight</w:t>
      </w:r>
      <w:r w:rsidRPr="00ED1B85">
        <w:rPr>
          <w:rFonts w:ascii="Times New Roman" w:hAnsi="Times New Roman"/>
          <w:sz w:val="24"/>
          <w:szCs w:val="24"/>
          <w:lang w:val="en-GB"/>
        </w:rPr>
        <w:t xml:space="preserve"> genes</w:t>
      </w:r>
      <w:r w:rsidR="00CE198D">
        <w:rPr>
          <w:rFonts w:ascii="Times New Roman" w:hAnsi="Times New Roman"/>
          <w:sz w:val="24"/>
          <w:szCs w:val="24"/>
          <w:lang w:val="en-GB"/>
        </w:rPr>
        <w:t xml:space="preserve"> (</w:t>
      </w:r>
      <w:r w:rsidR="00CE198D" w:rsidRPr="00A36878">
        <w:rPr>
          <w:rFonts w:ascii="Times New Roman" w:hAnsi="Times New Roman"/>
          <w:i/>
          <w:iCs/>
          <w:sz w:val="24"/>
          <w:szCs w:val="24"/>
          <w:lang w:val="en-GB"/>
        </w:rPr>
        <w:t>SLIT2</w:t>
      </w:r>
      <w:r w:rsidR="00CE198D" w:rsidRPr="00A36878">
        <w:rPr>
          <w:rFonts w:ascii="Times New Roman" w:hAnsi="Times New Roman"/>
          <w:sz w:val="24"/>
          <w:szCs w:val="24"/>
          <w:lang w:val="en-GB"/>
        </w:rPr>
        <w:t xml:space="preserve">, </w:t>
      </w:r>
      <w:r w:rsidR="00CE198D" w:rsidRPr="00A36878">
        <w:rPr>
          <w:rFonts w:ascii="Times New Roman" w:hAnsi="Times New Roman"/>
          <w:i/>
          <w:iCs/>
          <w:sz w:val="24"/>
          <w:szCs w:val="24"/>
          <w:lang w:val="en-GB"/>
        </w:rPr>
        <w:t>LOC101122950</w:t>
      </w:r>
      <w:r w:rsidR="00CE198D" w:rsidRPr="00A36878">
        <w:rPr>
          <w:rFonts w:ascii="Times New Roman" w:hAnsi="Times New Roman"/>
          <w:sz w:val="24"/>
          <w:szCs w:val="24"/>
          <w:lang w:val="en-GB"/>
        </w:rPr>
        <w:t xml:space="preserve">, </w:t>
      </w:r>
      <w:r w:rsidR="00CE198D" w:rsidRPr="00A36878">
        <w:rPr>
          <w:rFonts w:ascii="Times New Roman" w:hAnsi="Times New Roman"/>
          <w:i/>
          <w:iCs/>
          <w:sz w:val="24"/>
          <w:szCs w:val="24"/>
          <w:lang w:val="en-GB"/>
        </w:rPr>
        <w:t>PACRGL</w:t>
      </w:r>
      <w:r w:rsidR="00CE198D" w:rsidRPr="00A36878">
        <w:rPr>
          <w:rFonts w:ascii="Times New Roman" w:hAnsi="Times New Roman"/>
          <w:sz w:val="24"/>
          <w:szCs w:val="24"/>
          <w:lang w:val="en-GB"/>
        </w:rPr>
        <w:t xml:space="preserve">, </w:t>
      </w:r>
      <w:r w:rsidR="00CE198D" w:rsidRPr="00A36878">
        <w:rPr>
          <w:rFonts w:ascii="Times New Roman" w:hAnsi="Times New Roman"/>
          <w:i/>
          <w:iCs/>
          <w:sz w:val="24"/>
          <w:szCs w:val="24"/>
          <w:lang w:val="en-GB"/>
        </w:rPr>
        <w:t>KCNIP4;</w:t>
      </w:r>
      <w:r w:rsidR="00CE198D" w:rsidRPr="00A36878">
        <w:rPr>
          <w:rFonts w:ascii="Times New Roman" w:hAnsi="Times New Roman"/>
          <w:sz w:val="24"/>
          <w:szCs w:val="24"/>
          <w:lang w:val="en-GB"/>
        </w:rPr>
        <w:t xml:space="preserve"> </w:t>
      </w:r>
      <w:r w:rsidR="00CE198D" w:rsidRPr="00A36878">
        <w:rPr>
          <w:rFonts w:ascii="Times New Roman" w:hAnsi="Times New Roman"/>
          <w:i/>
          <w:iCs/>
          <w:sz w:val="24"/>
          <w:szCs w:val="24"/>
          <w:lang w:val="en-GB"/>
        </w:rPr>
        <w:t>CCSER1</w:t>
      </w:r>
      <w:r w:rsidR="00CE198D" w:rsidRPr="00A36878">
        <w:rPr>
          <w:rFonts w:ascii="Times New Roman" w:hAnsi="Times New Roman"/>
          <w:sz w:val="24"/>
          <w:szCs w:val="24"/>
          <w:lang w:val="en-GB"/>
        </w:rPr>
        <w:t xml:space="preserve"> - alias </w:t>
      </w:r>
      <w:r w:rsidR="00CE198D" w:rsidRPr="00A36878">
        <w:rPr>
          <w:rFonts w:ascii="Times New Roman" w:hAnsi="Times New Roman"/>
          <w:i/>
          <w:iCs/>
          <w:sz w:val="24"/>
          <w:szCs w:val="24"/>
          <w:lang w:val="en-GB"/>
        </w:rPr>
        <w:t>FAM190A</w:t>
      </w:r>
      <w:r w:rsidR="00CE198D" w:rsidRPr="00A36878">
        <w:rPr>
          <w:rFonts w:ascii="Times New Roman" w:hAnsi="Times New Roman"/>
          <w:sz w:val="24"/>
          <w:szCs w:val="24"/>
          <w:lang w:val="en-GB"/>
        </w:rPr>
        <w:t xml:space="preserve">, </w:t>
      </w:r>
      <w:r w:rsidR="00CE198D" w:rsidRPr="00A36878">
        <w:rPr>
          <w:rFonts w:ascii="Times New Roman" w:hAnsi="Times New Roman"/>
          <w:i/>
          <w:iCs/>
          <w:sz w:val="24"/>
          <w:szCs w:val="24"/>
          <w:lang w:val="en-GB"/>
        </w:rPr>
        <w:t>TRNAW-CCA</w:t>
      </w:r>
      <w:r w:rsidR="00CE198D" w:rsidRPr="00A36878">
        <w:rPr>
          <w:rFonts w:ascii="Times New Roman" w:hAnsi="Times New Roman"/>
          <w:sz w:val="24"/>
          <w:szCs w:val="24"/>
          <w:lang w:val="en-GB"/>
        </w:rPr>
        <w:t xml:space="preserve">, </w:t>
      </w:r>
      <w:r w:rsidR="00CE198D" w:rsidRPr="00A36878">
        <w:rPr>
          <w:rFonts w:ascii="Times New Roman" w:hAnsi="Times New Roman"/>
          <w:i/>
          <w:iCs/>
          <w:sz w:val="24"/>
          <w:szCs w:val="24"/>
          <w:lang w:val="en-GB"/>
        </w:rPr>
        <w:t>LOC105615447</w:t>
      </w:r>
      <w:r w:rsidR="00CE198D" w:rsidRPr="00A36878">
        <w:rPr>
          <w:rFonts w:ascii="Times New Roman" w:hAnsi="Times New Roman"/>
          <w:sz w:val="24"/>
          <w:szCs w:val="24"/>
          <w:lang w:val="en-GB"/>
        </w:rPr>
        <w:t xml:space="preserve">, and </w:t>
      </w:r>
      <w:r w:rsidR="00CE198D" w:rsidRPr="00A36878">
        <w:rPr>
          <w:rFonts w:ascii="Times New Roman" w:hAnsi="Times New Roman"/>
          <w:i/>
          <w:iCs/>
          <w:sz w:val="24"/>
          <w:szCs w:val="24"/>
          <w:lang w:val="en-GB"/>
        </w:rPr>
        <w:t xml:space="preserve">LOC106991208). </w:t>
      </w:r>
      <w:r w:rsidR="00CE198D" w:rsidRPr="00A36878">
        <w:rPr>
          <w:rFonts w:ascii="Times New Roman" w:hAnsi="Times New Roman"/>
          <w:sz w:val="24"/>
          <w:szCs w:val="24"/>
          <w:lang w:val="en-GB"/>
        </w:rPr>
        <w:t>Following</w:t>
      </w:r>
      <w:r w:rsidR="00CE198D" w:rsidRPr="00A36878">
        <w:rPr>
          <w:rFonts w:ascii="Times New Roman" w:hAnsi="Times New Roman"/>
          <w:i/>
          <w:iCs/>
          <w:sz w:val="24"/>
          <w:szCs w:val="24"/>
          <w:lang w:val="en-GB"/>
        </w:rPr>
        <w:t>,</w:t>
      </w:r>
      <w:r w:rsidR="00CE198D" w:rsidRPr="00A36878">
        <w:rPr>
          <w:rFonts w:ascii="Times New Roman" w:hAnsi="Times New Roman"/>
          <w:sz w:val="24"/>
          <w:szCs w:val="24"/>
          <w:lang w:val="en-GB"/>
        </w:rPr>
        <w:t xml:space="preserve"> the main biological functions are reported for</w:t>
      </w:r>
      <w:r w:rsidRPr="00A36878">
        <w:rPr>
          <w:rFonts w:ascii="Times New Roman" w:hAnsi="Times New Roman"/>
          <w:sz w:val="24"/>
          <w:szCs w:val="24"/>
          <w:lang w:val="en-GB"/>
        </w:rPr>
        <w:t xml:space="preserve"> </w:t>
      </w:r>
      <w:r w:rsidRPr="00ED1B85">
        <w:rPr>
          <w:rFonts w:ascii="Times New Roman" w:hAnsi="Times New Roman"/>
          <w:i/>
          <w:iCs/>
          <w:sz w:val="24"/>
          <w:szCs w:val="24"/>
          <w:lang w:val="en-GB"/>
        </w:rPr>
        <w:t>SLIT2</w:t>
      </w:r>
      <w:r w:rsidRPr="00ED1B85">
        <w:rPr>
          <w:rFonts w:ascii="Times New Roman" w:hAnsi="Times New Roman"/>
          <w:sz w:val="24"/>
          <w:szCs w:val="24"/>
          <w:lang w:val="en-GB"/>
        </w:rPr>
        <w:t xml:space="preserve">, </w:t>
      </w:r>
      <w:r w:rsidRPr="00ED1B85">
        <w:rPr>
          <w:rFonts w:ascii="Times New Roman" w:hAnsi="Times New Roman"/>
          <w:i/>
          <w:iCs/>
          <w:sz w:val="24"/>
          <w:szCs w:val="24"/>
          <w:lang w:val="en-GB"/>
        </w:rPr>
        <w:t>CCSER1</w:t>
      </w:r>
      <w:r w:rsidRPr="00ED1B85">
        <w:rPr>
          <w:rFonts w:ascii="Times New Roman" w:hAnsi="Times New Roman"/>
          <w:sz w:val="24"/>
          <w:szCs w:val="24"/>
          <w:lang w:val="en-GB"/>
        </w:rPr>
        <w:t xml:space="preserve"> (alias </w:t>
      </w:r>
      <w:r w:rsidRPr="00ED1B85">
        <w:rPr>
          <w:rFonts w:ascii="Times New Roman" w:hAnsi="Times New Roman"/>
          <w:i/>
          <w:iCs/>
          <w:sz w:val="24"/>
          <w:szCs w:val="24"/>
          <w:lang w:val="en-GB"/>
        </w:rPr>
        <w:t>FAM190A</w:t>
      </w:r>
      <w:r w:rsidRPr="00ED1B85">
        <w:rPr>
          <w:rFonts w:ascii="Times New Roman" w:hAnsi="Times New Roman"/>
          <w:sz w:val="24"/>
          <w:szCs w:val="24"/>
          <w:lang w:val="en-GB"/>
        </w:rPr>
        <w:t xml:space="preserve">), </w:t>
      </w:r>
      <w:r w:rsidRPr="00ED1B85">
        <w:rPr>
          <w:rFonts w:ascii="Times New Roman" w:hAnsi="Times New Roman"/>
          <w:i/>
          <w:iCs/>
          <w:sz w:val="24"/>
          <w:szCs w:val="24"/>
          <w:lang w:val="en-GB"/>
        </w:rPr>
        <w:t>PACRGL</w:t>
      </w:r>
      <w:r w:rsidRPr="00ED1B85">
        <w:rPr>
          <w:rFonts w:ascii="Times New Roman" w:hAnsi="Times New Roman"/>
          <w:sz w:val="24"/>
          <w:szCs w:val="24"/>
          <w:lang w:val="en-GB"/>
        </w:rPr>
        <w:t xml:space="preserve">, and </w:t>
      </w:r>
      <w:r w:rsidRPr="00ED1B85">
        <w:rPr>
          <w:rFonts w:ascii="Times New Roman" w:hAnsi="Times New Roman"/>
          <w:i/>
          <w:iCs/>
          <w:sz w:val="24"/>
          <w:szCs w:val="24"/>
          <w:lang w:val="en-GB"/>
        </w:rPr>
        <w:t>KCNIP4</w:t>
      </w:r>
      <w:r w:rsidRPr="00ED1B85">
        <w:rPr>
          <w:rFonts w:ascii="Times New Roman" w:hAnsi="Times New Roman"/>
          <w:sz w:val="24"/>
          <w:szCs w:val="24"/>
          <w:lang w:val="en-GB"/>
        </w:rPr>
        <w:t>.</w:t>
      </w:r>
    </w:p>
    <w:p w14:paraId="1B2B73AB" w14:textId="77777777" w:rsidR="00CE198D" w:rsidRPr="00ED1B85" w:rsidRDefault="00CE198D" w:rsidP="00B85A18">
      <w:pPr>
        <w:spacing w:after="0" w:line="480" w:lineRule="auto"/>
        <w:jc w:val="both"/>
        <w:rPr>
          <w:rFonts w:ascii="Times New Roman" w:hAnsi="Times New Roman"/>
          <w:sz w:val="24"/>
          <w:szCs w:val="24"/>
          <w:lang w:val="en-GB"/>
        </w:rPr>
      </w:pPr>
    </w:p>
    <w:p w14:paraId="784C28A3" w14:textId="3C77E996" w:rsidR="00B85A18" w:rsidRPr="00ED1B85" w:rsidRDefault="00B85A18" w:rsidP="00B85A18">
      <w:pPr>
        <w:spacing w:after="0" w:line="480" w:lineRule="auto"/>
        <w:jc w:val="both"/>
        <w:rPr>
          <w:rFonts w:ascii="Times New Roman" w:hAnsi="Times New Roman"/>
          <w:sz w:val="24"/>
          <w:szCs w:val="24"/>
          <w:lang w:val="en-GB"/>
        </w:rPr>
      </w:pPr>
      <w:r w:rsidRPr="00EA393A">
        <w:rPr>
          <w:rFonts w:ascii="Times New Roman" w:hAnsi="Times New Roman"/>
          <w:b/>
          <w:bCs/>
          <w:i/>
          <w:iCs/>
          <w:sz w:val="24"/>
          <w:szCs w:val="24"/>
          <w:lang w:val="en-GB"/>
        </w:rPr>
        <w:t>SLIT2</w:t>
      </w:r>
      <w:r w:rsidR="004A3E35" w:rsidRPr="001C0E4B">
        <w:rPr>
          <w:rFonts w:ascii="Times New Roman" w:hAnsi="Times New Roman"/>
          <w:sz w:val="24"/>
          <w:szCs w:val="24"/>
          <w:lang w:val="en-GB"/>
        </w:rPr>
        <w:t xml:space="preserve"> - </w:t>
      </w:r>
      <w:r w:rsidRPr="00ED1B85">
        <w:rPr>
          <w:rFonts w:ascii="Times New Roman" w:hAnsi="Times New Roman"/>
          <w:sz w:val="24"/>
          <w:szCs w:val="24"/>
          <w:lang w:val="en-GB"/>
        </w:rPr>
        <w:t xml:space="preserve">This gene encodes a member of the slit family of secreted glycoproteins, which are ligands for the Robo (Roundabout) family of immunoglobulin receptors. Slit proteins play highly conserved roles in axon guidance and neuronal </w:t>
      </w:r>
      <w:r w:rsidR="00387CD9" w:rsidRPr="00ED1B85">
        <w:rPr>
          <w:rFonts w:ascii="Times New Roman" w:hAnsi="Times New Roman"/>
          <w:sz w:val="24"/>
          <w:szCs w:val="24"/>
          <w:lang w:val="en-GB"/>
        </w:rPr>
        <w:t>migration</w:t>
      </w:r>
      <w:r w:rsidR="00387CD9">
        <w:rPr>
          <w:rFonts w:ascii="Times New Roman" w:hAnsi="Times New Roman"/>
          <w:sz w:val="24"/>
          <w:szCs w:val="24"/>
          <w:lang w:val="en-GB"/>
        </w:rPr>
        <w:t xml:space="preserve"> and</w:t>
      </w:r>
      <w:r w:rsidRPr="00ED1B85">
        <w:rPr>
          <w:rFonts w:ascii="Times New Roman" w:hAnsi="Times New Roman"/>
          <w:sz w:val="24"/>
          <w:szCs w:val="24"/>
          <w:lang w:val="en-GB"/>
        </w:rPr>
        <w:t xml:space="preserve"> may also have functions during other cell migration processes including leukocyte migration [1].</w:t>
      </w:r>
      <w:r w:rsidR="001C0E4B">
        <w:rPr>
          <w:rFonts w:ascii="Times New Roman" w:hAnsi="Times New Roman"/>
          <w:sz w:val="24"/>
          <w:szCs w:val="24"/>
          <w:lang w:val="en-GB"/>
        </w:rPr>
        <w:t xml:space="preserve"> </w:t>
      </w:r>
      <w:r w:rsidRPr="00ED1B85">
        <w:rPr>
          <w:rFonts w:ascii="Times New Roman" w:hAnsi="Times New Roman"/>
          <w:sz w:val="24"/>
          <w:szCs w:val="24"/>
          <w:lang w:val="en-GB"/>
        </w:rPr>
        <w:t xml:space="preserve">During inflammation, leukocytes </w:t>
      </w:r>
      <w:r w:rsidR="00387CD9">
        <w:rPr>
          <w:rFonts w:ascii="Times New Roman" w:hAnsi="Times New Roman"/>
          <w:sz w:val="24"/>
          <w:szCs w:val="24"/>
          <w:lang w:val="en-GB"/>
        </w:rPr>
        <w:t>must</w:t>
      </w:r>
      <w:r w:rsidRPr="00ED1B85">
        <w:rPr>
          <w:rFonts w:ascii="Times New Roman" w:hAnsi="Times New Roman"/>
          <w:sz w:val="24"/>
          <w:szCs w:val="24"/>
          <w:lang w:val="en-GB"/>
        </w:rPr>
        <w:t xml:space="preserve"> migrate from the blood circulation into the interstitium of the involved tissue. Inflammatory cells respond to an orchestra of signals and eventually arrive at the appropriate site. While </w:t>
      </w:r>
      <w:r w:rsidR="00387CD9">
        <w:rPr>
          <w:rFonts w:ascii="Times New Roman" w:hAnsi="Times New Roman"/>
          <w:sz w:val="24"/>
          <w:szCs w:val="24"/>
          <w:lang w:val="en-GB"/>
        </w:rPr>
        <w:t>several</w:t>
      </w:r>
      <w:r w:rsidRPr="00ED1B85">
        <w:rPr>
          <w:rFonts w:ascii="Times New Roman" w:hAnsi="Times New Roman"/>
          <w:sz w:val="24"/>
          <w:szCs w:val="24"/>
          <w:lang w:val="en-GB"/>
        </w:rPr>
        <w:t xml:space="preserve"> studies have established the importance of positive regulators in controlling leukocyte chemotaxis, there has been only limited evidence for the existence of endogenous inhibitory regulators of this process [2].</w:t>
      </w:r>
    </w:p>
    <w:p w14:paraId="1CBFF126" w14:textId="7F331D98" w:rsidR="00B85A18" w:rsidRPr="00ED1B85" w:rsidRDefault="001C0E4B" w:rsidP="00B85A18">
      <w:pPr>
        <w:spacing w:after="0" w:line="480" w:lineRule="auto"/>
        <w:jc w:val="both"/>
        <w:rPr>
          <w:rFonts w:ascii="Times New Roman" w:hAnsi="Times New Roman"/>
          <w:sz w:val="24"/>
          <w:szCs w:val="24"/>
          <w:lang w:val="en-GB"/>
        </w:rPr>
      </w:pPr>
      <w:r w:rsidRPr="001C0E4B">
        <w:rPr>
          <w:rFonts w:ascii="Times New Roman" w:hAnsi="Times New Roman"/>
          <w:i/>
          <w:iCs/>
          <w:sz w:val="24"/>
          <w:szCs w:val="24"/>
          <w:lang w:val="en-GB"/>
        </w:rPr>
        <w:t>SLIT2</w:t>
      </w:r>
      <w:r w:rsidR="00B85A18" w:rsidRPr="00ED1B85">
        <w:rPr>
          <w:rFonts w:ascii="Times New Roman" w:hAnsi="Times New Roman"/>
          <w:sz w:val="24"/>
          <w:szCs w:val="24"/>
          <w:lang w:val="en-GB"/>
        </w:rPr>
        <w:t xml:space="preserve"> has been </w:t>
      </w:r>
      <w:r>
        <w:rPr>
          <w:rFonts w:ascii="Times New Roman" w:hAnsi="Times New Roman"/>
          <w:sz w:val="24"/>
          <w:szCs w:val="24"/>
          <w:lang w:val="en-GB"/>
        </w:rPr>
        <w:t xml:space="preserve">also </w:t>
      </w:r>
      <w:r w:rsidR="00B85A18" w:rsidRPr="00ED1B85">
        <w:rPr>
          <w:rFonts w:ascii="Times New Roman" w:hAnsi="Times New Roman"/>
          <w:sz w:val="24"/>
          <w:szCs w:val="24"/>
          <w:lang w:val="en-GB"/>
        </w:rPr>
        <w:t xml:space="preserve">shown to selectively impair neutrophil migration and inhibit neutrophil chemotaxis. In the model of renal ischemia-reperfusion injury, </w:t>
      </w:r>
      <w:r w:rsidRPr="001C0E4B">
        <w:rPr>
          <w:rFonts w:ascii="Times New Roman" w:hAnsi="Times New Roman"/>
          <w:i/>
          <w:iCs/>
          <w:sz w:val="24"/>
          <w:szCs w:val="24"/>
          <w:lang w:val="en-GB"/>
        </w:rPr>
        <w:t>SLIT2</w:t>
      </w:r>
      <w:r>
        <w:rPr>
          <w:rFonts w:ascii="Times New Roman" w:hAnsi="Times New Roman"/>
          <w:i/>
          <w:iCs/>
          <w:sz w:val="24"/>
          <w:szCs w:val="24"/>
          <w:lang w:val="en-GB"/>
        </w:rPr>
        <w:t xml:space="preserve"> </w:t>
      </w:r>
      <w:r w:rsidR="00B85A18" w:rsidRPr="00ED1B85">
        <w:rPr>
          <w:rFonts w:ascii="Times New Roman" w:hAnsi="Times New Roman"/>
          <w:sz w:val="24"/>
          <w:szCs w:val="24"/>
          <w:lang w:val="en-GB"/>
        </w:rPr>
        <w:t xml:space="preserve">blocked the capture and firm adhesion of human neutrophils to the inflamed vascular endothelial barrier. Another observation in a mouse model that </w:t>
      </w:r>
      <w:r w:rsidRPr="001C0E4B">
        <w:rPr>
          <w:rFonts w:ascii="Times New Roman" w:hAnsi="Times New Roman"/>
          <w:i/>
          <w:iCs/>
          <w:sz w:val="24"/>
          <w:szCs w:val="24"/>
          <w:lang w:val="en-GB"/>
        </w:rPr>
        <w:t>SLIT2</w:t>
      </w:r>
      <w:r>
        <w:rPr>
          <w:rFonts w:ascii="Times New Roman" w:hAnsi="Times New Roman"/>
          <w:i/>
          <w:iCs/>
          <w:sz w:val="24"/>
          <w:szCs w:val="24"/>
          <w:lang w:val="en-GB"/>
        </w:rPr>
        <w:t xml:space="preserve"> </w:t>
      </w:r>
      <w:r w:rsidR="00B85A18" w:rsidRPr="00ED1B85">
        <w:rPr>
          <w:rFonts w:ascii="Times New Roman" w:hAnsi="Times New Roman"/>
          <w:sz w:val="24"/>
          <w:szCs w:val="24"/>
          <w:lang w:val="en-GB"/>
        </w:rPr>
        <w:t xml:space="preserve">significantly reduces the recruitment of neutrophils to the site of inflammation is in accordance with other inflammation models, including glomerulonephritis-associated kidney injury, global cerebral ischemia, and skin sensitization to allergens. One study found that </w:t>
      </w:r>
      <w:r w:rsidRPr="00ED1B85">
        <w:rPr>
          <w:rFonts w:ascii="Times New Roman" w:hAnsi="Times New Roman"/>
          <w:sz w:val="24"/>
          <w:szCs w:val="24"/>
          <w:lang w:val="en-GB"/>
        </w:rPr>
        <w:t xml:space="preserve">SLIT/ROBO4 </w:t>
      </w:r>
      <w:r w:rsidR="00B85A18" w:rsidRPr="00ED1B85">
        <w:rPr>
          <w:rFonts w:ascii="Times New Roman" w:hAnsi="Times New Roman"/>
          <w:sz w:val="24"/>
          <w:szCs w:val="24"/>
          <w:lang w:val="en-GB"/>
        </w:rPr>
        <w:t xml:space="preserve">strengthens the vascular barrier and diminishes deleterious aspects of the host's response to the pathogen-induced cytokine reaction. Collectively, these </w:t>
      </w:r>
      <w:r w:rsidR="00266221" w:rsidRPr="00ED1B85">
        <w:rPr>
          <w:rFonts w:ascii="Times New Roman" w:hAnsi="Times New Roman"/>
          <w:sz w:val="24"/>
          <w:szCs w:val="24"/>
          <w:lang w:val="en-GB"/>
        </w:rPr>
        <w:t>evidence</w:t>
      </w:r>
      <w:r w:rsidR="00B85A18" w:rsidRPr="00ED1B85">
        <w:rPr>
          <w:rFonts w:ascii="Times New Roman" w:hAnsi="Times New Roman"/>
          <w:sz w:val="24"/>
          <w:szCs w:val="24"/>
          <w:lang w:val="en-GB"/>
        </w:rPr>
        <w:t xml:space="preserve"> shows that Slit/Robo inhibits chemotaxis of leukocytes toward </w:t>
      </w:r>
      <w:r w:rsidR="009D5034" w:rsidRPr="00ED1B85">
        <w:rPr>
          <w:rFonts w:ascii="Times New Roman" w:hAnsi="Times New Roman"/>
          <w:sz w:val="24"/>
          <w:szCs w:val="24"/>
          <w:lang w:val="en-GB"/>
        </w:rPr>
        <w:t>chemoattractants and</w:t>
      </w:r>
      <w:r w:rsidR="00B85A18" w:rsidRPr="00ED1B85">
        <w:rPr>
          <w:rFonts w:ascii="Times New Roman" w:hAnsi="Times New Roman"/>
          <w:sz w:val="24"/>
          <w:szCs w:val="24"/>
          <w:lang w:val="en-GB"/>
        </w:rPr>
        <w:t xml:space="preserve"> may have a therapeutic role as an inhibitor of inflammatory cell infiltration [3].</w:t>
      </w:r>
    </w:p>
    <w:p w14:paraId="0A930311" w14:textId="40728493" w:rsidR="00B85A18" w:rsidRPr="00ED1B85" w:rsidRDefault="00B85A18" w:rsidP="00B85A18">
      <w:pPr>
        <w:spacing w:after="0" w:line="480" w:lineRule="auto"/>
        <w:jc w:val="both"/>
        <w:rPr>
          <w:rFonts w:ascii="Times New Roman" w:hAnsi="Times New Roman"/>
          <w:sz w:val="24"/>
          <w:szCs w:val="24"/>
          <w:lang w:val="en-GB"/>
        </w:rPr>
      </w:pPr>
      <w:r w:rsidRPr="00ED1B85">
        <w:rPr>
          <w:rFonts w:ascii="Times New Roman" w:hAnsi="Times New Roman"/>
          <w:sz w:val="24"/>
          <w:szCs w:val="24"/>
          <w:lang w:val="en-GB"/>
        </w:rPr>
        <w:lastRenderedPageBreak/>
        <w:t xml:space="preserve">In addition, </w:t>
      </w:r>
      <w:r w:rsidR="001C0E4B" w:rsidRPr="001C0E4B">
        <w:rPr>
          <w:rFonts w:ascii="Times New Roman" w:hAnsi="Times New Roman"/>
          <w:i/>
          <w:iCs/>
          <w:sz w:val="24"/>
          <w:szCs w:val="24"/>
          <w:lang w:val="en-GB"/>
        </w:rPr>
        <w:t>SLIT2</w:t>
      </w:r>
      <w:r w:rsidR="001C0E4B">
        <w:rPr>
          <w:rFonts w:ascii="Times New Roman" w:hAnsi="Times New Roman"/>
          <w:i/>
          <w:iCs/>
          <w:sz w:val="24"/>
          <w:szCs w:val="24"/>
          <w:lang w:val="en-GB"/>
        </w:rPr>
        <w:t xml:space="preserve"> </w:t>
      </w:r>
      <w:r w:rsidRPr="00ED1B85">
        <w:rPr>
          <w:rFonts w:ascii="Times New Roman" w:hAnsi="Times New Roman"/>
          <w:sz w:val="24"/>
          <w:szCs w:val="24"/>
          <w:lang w:val="en-GB"/>
        </w:rPr>
        <w:t>has been shown to represent a thyrotropin-inducible factor within the thyroid-associated ophthalmopathy that can modulate the inflammatory phenotype of CD34</w:t>
      </w:r>
      <w:r w:rsidRPr="00ED1B85">
        <w:rPr>
          <w:rFonts w:ascii="Times New Roman" w:hAnsi="Times New Roman"/>
          <w:position w:val="8"/>
          <w:sz w:val="24"/>
          <w:szCs w:val="24"/>
          <w:lang w:val="en-GB"/>
        </w:rPr>
        <w:t>+</w:t>
      </w:r>
      <w:r w:rsidRPr="00ED1B85">
        <w:rPr>
          <w:rFonts w:ascii="Times New Roman" w:hAnsi="Times New Roman"/>
          <w:sz w:val="24"/>
          <w:szCs w:val="24"/>
          <w:lang w:val="en-GB"/>
        </w:rPr>
        <w:t xml:space="preserve"> orbital fibroblasts, therefore determining the activity and severity of the disease [4].</w:t>
      </w:r>
    </w:p>
    <w:p w14:paraId="44E968DC" w14:textId="098E6095" w:rsidR="00B85A18" w:rsidRPr="00ED1B85" w:rsidRDefault="00B85A18" w:rsidP="00B85A18">
      <w:pPr>
        <w:spacing w:after="0" w:line="480" w:lineRule="auto"/>
        <w:jc w:val="both"/>
        <w:rPr>
          <w:rFonts w:ascii="Times New Roman" w:hAnsi="Times New Roman"/>
          <w:sz w:val="24"/>
          <w:szCs w:val="24"/>
          <w:lang w:val="en-GB"/>
        </w:rPr>
      </w:pPr>
      <w:r w:rsidRPr="00ED1B85">
        <w:rPr>
          <w:rFonts w:ascii="Times New Roman" w:hAnsi="Times New Roman"/>
          <w:sz w:val="24"/>
          <w:szCs w:val="24"/>
          <w:lang w:val="en-GB"/>
        </w:rPr>
        <w:t xml:space="preserve">Evidence that </w:t>
      </w:r>
      <w:r w:rsidR="001C0E4B" w:rsidRPr="00ED1B85">
        <w:rPr>
          <w:rFonts w:ascii="Times New Roman" w:hAnsi="Times New Roman"/>
          <w:sz w:val="24"/>
          <w:szCs w:val="24"/>
          <w:lang w:val="en-GB"/>
        </w:rPr>
        <w:t>SLIT2/ROBO2</w:t>
      </w:r>
      <w:r w:rsidRPr="00ED1B85">
        <w:rPr>
          <w:rFonts w:ascii="Times New Roman" w:hAnsi="Times New Roman"/>
          <w:sz w:val="24"/>
          <w:szCs w:val="24"/>
          <w:lang w:val="en-GB"/>
        </w:rPr>
        <w:t xml:space="preserve"> signaling mediates the pathogenesis of hepatic fibrosis (a characteristic consequence of multiple chronic liver injuries, including metabolic disorders, toxins, viral hepatitis, steatohepatitis</w:t>
      </w:r>
      <w:r w:rsidR="001C0E4B">
        <w:rPr>
          <w:rFonts w:ascii="Times New Roman" w:hAnsi="Times New Roman"/>
          <w:sz w:val="24"/>
          <w:szCs w:val="24"/>
          <w:lang w:val="en-GB"/>
        </w:rPr>
        <w:t>,</w:t>
      </w:r>
      <w:r w:rsidRPr="00ED1B85">
        <w:rPr>
          <w:rFonts w:ascii="Times New Roman" w:hAnsi="Times New Roman"/>
          <w:sz w:val="24"/>
          <w:szCs w:val="24"/>
          <w:lang w:val="en-GB"/>
        </w:rPr>
        <w:t xml:space="preserve"> and autoimmune diseases) has been provided [5].</w:t>
      </w:r>
    </w:p>
    <w:p w14:paraId="4C72646D" w14:textId="6D87B096" w:rsidR="00B85A18" w:rsidRPr="00ED1B85" w:rsidRDefault="00B85A18" w:rsidP="00EA393A">
      <w:pPr>
        <w:spacing w:after="0" w:line="480" w:lineRule="auto"/>
        <w:jc w:val="both"/>
        <w:rPr>
          <w:rFonts w:ascii="Times New Roman" w:hAnsi="Times New Roman"/>
          <w:sz w:val="24"/>
          <w:szCs w:val="24"/>
          <w:lang w:val="en-GB"/>
        </w:rPr>
      </w:pPr>
      <w:r w:rsidRPr="00ED1B85">
        <w:rPr>
          <w:rFonts w:ascii="Times New Roman" w:hAnsi="Times New Roman"/>
          <w:sz w:val="24"/>
          <w:szCs w:val="24"/>
          <w:lang w:val="en-GB"/>
        </w:rPr>
        <w:t>SLIT2/ROBO1</w:t>
      </w:r>
      <w:r w:rsidR="001C0E4B">
        <w:rPr>
          <w:rFonts w:ascii="Times New Roman" w:hAnsi="Times New Roman"/>
          <w:sz w:val="24"/>
          <w:szCs w:val="24"/>
          <w:lang w:val="en-GB"/>
        </w:rPr>
        <w:t xml:space="preserve"> </w:t>
      </w:r>
      <w:r w:rsidRPr="00ED1B85">
        <w:rPr>
          <w:rFonts w:ascii="Times New Roman" w:hAnsi="Times New Roman"/>
          <w:sz w:val="24"/>
          <w:szCs w:val="24"/>
          <w:lang w:val="en-GB"/>
        </w:rPr>
        <w:t>signaling has been shown to inhibit macropinocytosis in vitro and in vivo by inducing cytoskeletal changes in macrophages. Several growth factors and inflammatory stimuli are known to induce macropinocytosis. Macropinocytosis is essential for myeloid cells to survey their environment [6].</w:t>
      </w:r>
    </w:p>
    <w:p w14:paraId="5B838622" w14:textId="6917E564" w:rsidR="00B85A18" w:rsidRPr="00ED1B85" w:rsidRDefault="00B85A18" w:rsidP="00EA393A">
      <w:pPr>
        <w:spacing w:after="0" w:line="480" w:lineRule="auto"/>
        <w:jc w:val="both"/>
        <w:rPr>
          <w:rFonts w:ascii="Times New Roman" w:hAnsi="Times New Roman"/>
          <w:sz w:val="24"/>
          <w:szCs w:val="24"/>
          <w:lang w:val="en-GB"/>
        </w:rPr>
      </w:pPr>
      <w:r w:rsidRPr="00ED1B85">
        <w:rPr>
          <w:rFonts w:ascii="Times New Roman" w:hAnsi="Times New Roman"/>
          <w:sz w:val="24"/>
          <w:szCs w:val="24"/>
          <w:lang w:val="en-GB"/>
        </w:rPr>
        <w:t>Netrin-1, which is a member of the SLIT2/ROBO1</w:t>
      </w:r>
      <w:r w:rsidR="001C0E4B">
        <w:rPr>
          <w:rFonts w:ascii="Times New Roman" w:hAnsi="Times New Roman"/>
          <w:sz w:val="24"/>
          <w:szCs w:val="24"/>
          <w:lang w:val="en-GB"/>
        </w:rPr>
        <w:t xml:space="preserve"> </w:t>
      </w:r>
      <w:r w:rsidRPr="00ED1B85">
        <w:rPr>
          <w:rFonts w:ascii="Times New Roman" w:hAnsi="Times New Roman"/>
          <w:sz w:val="24"/>
          <w:szCs w:val="24"/>
          <w:lang w:val="en-GB"/>
        </w:rPr>
        <w:t>signaling, has been shown to be an effective anti-inflammatory agent and to protect against acute lung injury in sepsis rats through its anti-inflammation effect [7], as well as to augment CD4(+) T cell chemokinesis and promote cellular infiltration in association with acute inflammation in vivo [8].</w:t>
      </w:r>
    </w:p>
    <w:p w14:paraId="5FBDACB4" w14:textId="559E2B6C" w:rsidR="00B85A18" w:rsidRPr="00ED1B85" w:rsidRDefault="001C0E4B" w:rsidP="00B85A18">
      <w:pPr>
        <w:spacing w:after="0" w:line="480" w:lineRule="auto"/>
        <w:jc w:val="both"/>
        <w:rPr>
          <w:rFonts w:ascii="Times New Roman" w:hAnsi="Times New Roman"/>
          <w:sz w:val="24"/>
          <w:szCs w:val="24"/>
          <w:lang w:val="en-GB"/>
        </w:rPr>
      </w:pPr>
      <w:r w:rsidRPr="001C0E4B">
        <w:rPr>
          <w:rFonts w:ascii="Times New Roman" w:hAnsi="Times New Roman"/>
          <w:i/>
          <w:iCs/>
          <w:sz w:val="24"/>
          <w:szCs w:val="24"/>
          <w:lang w:val="en-GB"/>
        </w:rPr>
        <w:t>SLIT2</w:t>
      </w:r>
      <w:r>
        <w:rPr>
          <w:rFonts w:ascii="Times New Roman" w:hAnsi="Times New Roman"/>
          <w:i/>
          <w:iCs/>
          <w:sz w:val="24"/>
          <w:szCs w:val="24"/>
          <w:lang w:val="en-GB"/>
        </w:rPr>
        <w:t xml:space="preserve"> </w:t>
      </w:r>
      <w:r w:rsidR="00B85A18" w:rsidRPr="00ED1B85">
        <w:rPr>
          <w:rFonts w:ascii="Times New Roman" w:hAnsi="Times New Roman"/>
          <w:sz w:val="24"/>
          <w:szCs w:val="24"/>
          <w:lang w:val="en-GB"/>
        </w:rPr>
        <w:t>has been suggested as a new treatment strategy to arrest chronic injury progression after ischemic and obstructive renal insults by attenuating inflammation and inhibiting renal fibrosis</w:t>
      </w:r>
      <w:r w:rsidR="0098089F" w:rsidRPr="00ED1B85">
        <w:rPr>
          <w:rFonts w:ascii="Times New Roman" w:hAnsi="Times New Roman"/>
          <w:sz w:val="24"/>
          <w:szCs w:val="24"/>
          <w:lang w:val="en-GB"/>
        </w:rPr>
        <w:t xml:space="preserve"> [9]</w:t>
      </w:r>
      <w:r w:rsidR="00B85A18" w:rsidRPr="00ED1B85">
        <w:rPr>
          <w:rFonts w:ascii="Times New Roman" w:hAnsi="Times New Roman"/>
          <w:sz w:val="24"/>
          <w:szCs w:val="24"/>
          <w:lang w:val="en-GB"/>
        </w:rPr>
        <w:t>.</w:t>
      </w:r>
    </w:p>
    <w:p w14:paraId="6A799416" w14:textId="4F97B200" w:rsidR="00B85A18" w:rsidRPr="00ED1B85" w:rsidRDefault="001C0E4B" w:rsidP="00B85A18">
      <w:pPr>
        <w:spacing w:after="0" w:line="480" w:lineRule="auto"/>
        <w:jc w:val="both"/>
        <w:rPr>
          <w:rFonts w:ascii="Times New Roman" w:hAnsi="Times New Roman"/>
          <w:sz w:val="24"/>
          <w:szCs w:val="24"/>
          <w:lang w:val="en-GB"/>
        </w:rPr>
      </w:pPr>
      <w:r w:rsidRPr="001C0E4B">
        <w:rPr>
          <w:rFonts w:ascii="Times New Roman" w:hAnsi="Times New Roman"/>
          <w:i/>
          <w:iCs/>
          <w:sz w:val="24"/>
          <w:szCs w:val="24"/>
          <w:lang w:val="en-GB"/>
        </w:rPr>
        <w:t>SLIT2</w:t>
      </w:r>
      <w:r>
        <w:rPr>
          <w:rFonts w:ascii="Times New Roman" w:hAnsi="Times New Roman"/>
          <w:i/>
          <w:iCs/>
          <w:sz w:val="24"/>
          <w:szCs w:val="24"/>
          <w:lang w:val="en-GB"/>
        </w:rPr>
        <w:t xml:space="preserve"> </w:t>
      </w:r>
      <w:r w:rsidR="00B85A18" w:rsidRPr="00ED1B85">
        <w:rPr>
          <w:rFonts w:ascii="Times New Roman" w:hAnsi="Times New Roman"/>
          <w:sz w:val="24"/>
          <w:szCs w:val="24"/>
          <w:lang w:val="en-GB"/>
        </w:rPr>
        <w:t>has also been suggested to be beneficial to reduce surgical brain injury-induced neuroinflammation</w:t>
      </w:r>
      <w:r w:rsidR="0098089F" w:rsidRPr="00ED1B85">
        <w:rPr>
          <w:rFonts w:ascii="Times New Roman" w:hAnsi="Times New Roman"/>
          <w:sz w:val="24"/>
          <w:szCs w:val="24"/>
          <w:lang w:val="en-GB"/>
        </w:rPr>
        <w:t xml:space="preserve"> [10]</w:t>
      </w:r>
      <w:r w:rsidR="00B85A18" w:rsidRPr="00ED1B85">
        <w:rPr>
          <w:rFonts w:ascii="Times New Roman" w:hAnsi="Times New Roman"/>
          <w:sz w:val="24"/>
          <w:szCs w:val="24"/>
          <w:lang w:val="en-GB"/>
        </w:rPr>
        <w:t>.</w:t>
      </w:r>
      <w:r>
        <w:rPr>
          <w:rFonts w:ascii="Times New Roman" w:hAnsi="Times New Roman"/>
          <w:sz w:val="24"/>
          <w:szCs w:val="24"/>
          <w:lang w:val="en-GB"/>
        </w:rPr>
        <w:t xml:space="preserve"> </w:t>
      </w:r>
      <w:r w:rsidR="00B85A18" w:rsidRPr="00ED1B85">
        <w:rPr>
          <w:rFonts w:ascii="Times New Roman" w:hAnsi="Times New Roman"/>
          <w:sz w:val="24"/>
          <w:szCs w:val="24"/>
          <w:lang w:val="en-GB"/>
        </w:rPr>
        <w:t xml:space="preserve">Limiting the disruptive effects of proinflammatory mediators on the vasculature is vital to limit the injury of host. During influenza A viruses (IAV) infection, cytokines produced in host inflammatory response </w:t>
      </w:r>
      <w:r w:rsidR="00B861EB" w:rsidRPr="00ED1B85">
        <w:rPr>
          <w:rFonts w:ascii="Times New Roman" w:hAnsi="Times New Roman"/>
          <w:sz w:val="24"/>
          <w:szCs w:val="24"/>
          <w:lang w:val="en-GB"/>
        </w:rPr>
        <w:t>led</w:t>
      </w:r>
      <w:r w:rsidR="00B85A18" w:rsidRPr="00ED1B85">
        <w:rPr>
          <w:rFonts w:ascii="Times New Roman" w:hAnsi="Times New Roman"/>
          <w:sz w:val="24"/>
          <w:szCs w:val="24"/>
          <w:lang w:val="en-GB"/>
        </w:rPr>
        <w:t xml:space="preserve"> to vascular leak and accumulation of protein-rich edema fluid in the alveolar space. Binding with </w:t>
      </w:r>
      <w:r w:rsidRPr="00ED1B85">
        <w:rPr>
          <w:rFonts w:ascii="Times New Roman" w:hAnsi="Times New Roman"/>
          <w:sz w:val="24"/>
          <w:szCs w:val="24"/>
          <w:lang w:val="en-GB"/>
        </w:rPr>
        <w:t>ROBO4</w:t>
      </w:r>
      <w:r w:rsidR="00B85A18" w:rsidRPr="00ED1B85">
        <w:rPr>
          <w:rFonts w:ascii="Times New Roman" w:hAnsi="Times New Roman"/>
          <w:sz w:val="24"/>
          <w:szCs w:val="24"/>
          <w:lang w:val="en-GB"/>
        </w:rPr>
        <w:t xml:space="preserve">, </w:t>
      </w:r>
      <w:r w:rsidRPr="001C0E4B">
        <w:rPr>
          <w:rFonts w:ascii="Times New Roman" w:hAnsi="Times New Roman"/>
          <w:i/>
          <w:iCs/>
          <w:sz w:val="24"/>
          <w:szCs w:val="24"/>
          <w:lang w:val="en-GB"/>
        </w:rPr>
        <w:t>SLIT2</w:t>
      </w:r>
      <w:r>
        <w:rPr>
          <w:rFonts w:ascii="Times New Roman" w:hAnsi="Times New Roman"/>
          <w:i/>
          <w:iCs/>
          <w:sz w:val="24"/>
          <w:szCs w:val="24"/>
          <w:lang w:val="en-GB"/>
        </w:rPr>
        <w:t xml:space="preserve"> </w:t>
      </w:r>
      <w:r w:rsidR="00B85A18" w:rsidRPr="00ED1B85">
        <w:rPr>
          <w:rFonts w:ascii="Times New Roman" w:hAnsi="Times New Roman"/>
          <w:sz w:val="24"/>
          <w:szCs w:val="24"/>
          <w:lang w:val="en-GB"/>
        </w:rPr>
        <w:t>enhances vascular barrier function against multiple cytokines. Thus, this strengthened barrier can protect host from the lethal effects of inflammatory response induced by influenza infection</w:t>
      </w:r>
      <w:r w:rsidR="0098089F" w:rsidRPr="00ED1B85">
        <w:rPr>
          <w:rFonts w:ascii="Times New Roman" w:hAnsi="Times New Roman"/>
          <w:sz w:val="24"/>
          <w:szCs w:val="24"/>
          <w:lang w:val="en-GB"/>
        </w:rPr>
        <w:t xml:space="preserve"> [11]</w:t>
      </w:r>
      <w:r w:rsidR="00B85A18" w:rsidRPr="00ED1B85">
        <w:rPr>
          <w:rFonts w:ascii="Times New Roman" w:hAnsi="Times New Roman"/>
          <w:sz w:val="24"/>
          <w:szCs w:val="24"/>
          <w:lang w:val="en-GB"/>
        </w:rPr>
        <w:t>.</w:t>
      </w:r>
    </w:p>
    <w:p w14:paraId="5532F66B" w14:textId="7A0E4F98" w:rsidR="00B85A18" w:rsidRPr="00ED1B85" w:rsidRDefault="00B85A18" w:rsidP="00B85A18">
      <w:pPr>
        <w:spacing w:after="0" w:line="480" w:lineRule="auto"/>
        <w:jc w:val="both"/>
        <w:rPr>
          <w:rFonts w:ascii="Times New Roman" w:hAnsi="Times New Roman"/>
          <w:sz w:val="24"/>
          <w:szCs w:val="24"/>
          <w:lang w:val="en-GB"/>
        </w:rPr>
      </w:pPr>
      <w:r w:rsidRPr="00ED1B85">
        <w:rPr>
          <w:rFonts w:ascii="Times New Roman" w:hAnsi="Times New Roman"/>
          <w:sz w:val="24"/>
          <w:szCs w:val="24"/>
          <w:lang w:val="en-GB"/>
        </w:rPr>
        <w:t xml:space="preserve">Slit2N, a ligand for the Roundabout (Robo) receptors, has been shown to block HIV-1-induced signaling and inhibited cell-to-cell transmission of HIV-1 in a Robo1-dependent manner, and </w:t>
      </w:r>
      <w:r w:rsidRPr="00ED1B85">
        <w:rPr>
          <w:rFonts w:ascii="Times New Roman" w:hAnsi="Times New Roman"/>
          <w:sz w:val="24"/>
          <w:szCs w:val="24"/>
          <w:lang w:val="en-GB"/>
        </w:rPr>
        <w:lastRenderedPageBreak/>
        <w:t>inhibited HIV-1 replication through mechanisms involving modulation of cytoskeletal dynamics</w:t>
      </w:r>
      <w:r w:rsidR="00B82B8A" w:rsidRPr="00ED1B85">
        <w:rPr>
          <w:rFonts w:ascii="Times New Roman" w:hAnsi="Times New Roman"/>
          <w:sz w:val="24"/>
          <w:szCs w:val="24"/>
          <w:lang w:val="en-GB"/>
        </w:rPr>
        <w:t xml:space="preserve"> [12, 13]</w:t>
      </w:r>
      <w:r w:rsidRPr="00ED1B85">
        <w:rPr>
          <w:rFonts w:ascii="Times New Roman" w:hAnsi="Times New Roman"/>
          <w:sz w:val="24"/>
          <w:szCs w:val="24"/>
          <w:lang w:val="en-GB"/>
        </w:rPr>
        <w:t>.</w:t>
      </w:r>
    </w:p>
    <w:p w14:paraId="1F244C54" w14:textId="085BD983" w:rsidR="00B85A18" w:rsidRPr="00ED1B85" w:rsidRDefault="00B85A18" w:rsidP="00B85A18">
      <w:pPr>
        <w:spacing w:after="0" w:line="480" w:lineRule="auto"/>
        <w:jc w:val="both"/>
        <w:rPr>
          <w:rFonts w:ascii="Times New Roman" w:hAnsi="Times New Roman"/>
          <w:sz w:val="24"/>
          <w:szCs w:val="24"/>
          <w:lang w:val="en-GB"/>
        </w:rPr>
      </w:pPr>
      <w:r w:rsidRPr="00ED1B85">
        <w:rPr>
          <w:rFonts w:ascii="Times New Roman" w:hAnsi="Times New Roman"/>
          <w:sz w:val="24"/>
          <w:szCs w:val="24"/>
          <w:lang w:val="en-GB"/>
        </w:rPr>
        <w:t>In the canine species, a ~</w:t>
      </w:r>
      <w:r w:rsidR="001C0E4B">
        <w:rPr>
          <w:rFonts w:ascii="Times New Roman" w:hAnsi="Times New Roman"/>
          <w:sz w:val="24"/>
          <w:szCs w:val="24"/>
          <w:lang w:val="en-GB"/>
        </w:rPr>
        <w:t xml:space="preserve"> </w:t>
      </w:r>
      <w:r w:rsidRPr="00ED1B85">
        <w:rPr>
          <w:rFonts w:ascii="Times New Roman" w:hAnsi="Times New Roman"/>
          <w:sz w:val="24"/>
          <w:szCs w:val="24"/>
          <w:lang w:val="en-GB"/>
        </w:rPr>
        <w:t xml:space="preserve">20kb long haplotype on the chromosome 28, significantly associated to IgA levels in Shar-Pei, was positioned within the first intron of the gene </w:t>
      </w:r>
      <w:r w:rsidRPr="001C0E4B">
        <w:rPr>
          <w:rFonts w:ascii="Times New Roman" w:hAnsi="Times New Roman"/>
          <w:i/>
          <w:iCs/>
          <w:sz w:val="24"/>
          <w:szCs w:val="24"/>
          <w:lang w:val="en-GB"/>
        </w:rPr>
        <w:t>SLIT1</w:t>
      </w:r>
      <w:r w:rsidRPr="00ED1B85">
        <w:rPr>
          <w:rFonts w:ascii="Times New Roman" w:hAnsi="Times New Roman"/>
          <w:sz w:val="24"/>
          <w:szCs w:val="24"/>
          <w:lang w:val="en-GB"/>
        </w:rPr>
        <w:t>, with Immunoglobulin A deficiency being the most common primary immune deficiency disorder in dogs</w:t>
      </w:r>
      <w:r w:rsidR="00B82B8A" w:rsidRPr="00ED1B85">
        <w:rPr>
          <w:rFonts w:ascii="Times New Roman" w:hAnsi="Times New Roman"/>
          <w:sz w:val="24"/>
          <w:szCs w:val="24"/>
          <w:lang w:val="en-GB"/>
        </w:rPr>
        <w:t xml:space="preserve"> [14]</w:t>
      </w:r>
      <w:r w:rsidRPr="00ED1B85">
        <w:rPr>
          <w:rFonts w:ascii="Times New Roman" w:hAnsi="Times New Roman"/>
          <w:sz w:val="24"/>
          <w:szCs w:val="24"/>
          <w:lang w:val="en-GB"/>
        </w:rPr>
        <w:t>.</w:t>
      </w:r>
    </w:p>
    <w:p w14:paraId="4E90E3BE" w14:textId="46D08B0F" w:rsidR="00B85A18" w:rsidRPr="00ED1B85" w:rsidRDefault="00B85A18" w:rsidP="00B85A18">
      <w:pPr>
        <w:spacing w:after="0" w:line="480" w:lineRule="auto"/>
        <w:jc w:val="both"/>
        <w:rPr>
          <w:rFonts w:ascii="Times New Roman" w:hAnsi="Times New Roman"/>
          <w:sz w:val="24"/>
          <w:szCs w:val="24"/>
          <w:lang w:val="en-GB"/>
        </w:rPr>
      </w:pPr>
      <w:r w:rsidRPr="00ED1B85">
        <w:rPr>
          <w:rFonts w:ascii="Times New Roman" w:hAnsi="Times New Roman"/>
          <w:sz w:val="24"/>
          <w:szCs w:val="24"/>
          <w:lang w:val="en-GB"/>
        </w:rPr>
        <w:t xml:space="preserve">Expression of </w:t>
      </w:r>
      <w:r w:rsidR="001C0E4B" w:rsidRPr="001C0E4B">
        <w:rPr>
          <w:rFonts w:ascii="Times New Roman" w:hAnsi="Times New Roman"/>
          <w:i/>
          <w:iCs/>
          <w:sz w:val="24"/>
          <w:szCs w:val="24"/>
          <w:lang w:val="en-GB"/>
        </w:rPr>
        <w:t>SLIT2</w:t>
      </w:r>
      <w:r w:rsidR="001C0E4B">
        <w:rPr>
          <w:rFonts w:ascii="Times New Roman" w:hAnsi="Times New Roman"/>
          <w:i/>
          <w:iCs/>
          <w:sz w:val="24"/>
          <w:szCs w:val="24"/>
          <w:lang w:val="en-GB"/>
        </w:rPr>
        <w:t xml:space="preserve"> </w:t>
      </w:r>
      <w:r w:rsidRPr="00ED1B85">
        <w:rPr>
          <w:rFonts w:ascii="Times New Roman" w:hAnsi="Times New Roman"/>
          <w:sz w:val="24"/>
          <w:szCs w:val="24"/>
          <w:lang w:val="en-GB"/>
        </w:rPr>
        <w:t xml:space="preserve">in skin has been reported to be upregulated at both 4 hours and 48 hours following hapten sensitization suggesting </w:t>
      </w:r>
      <w:r w:rsidR="001C0E4B" w:rsidRPr="001C0E4B">
        <w:rPr>
          <w:rFonts w:ascii="Times New Roman" w:hAnsi="Times New Roman"/>
          <w:i/>
          <w:iCs/>
          <w:sz w:val="24"/>
          <w:szCs w:val="24"/>
          <w:lang w:val="en-GB"/>
        </w:rPr>
        <w:t>SLIT2</w:t>
      </w:r>
      <w:r w:rsidR="001C0E4B">
        <w:rPr>
          <w:rFonts w:ascii="Times New Roman" w:hAnsi="Times New Roman"/>
          <w:i/>
          <w:iCs/>
          <w:sz w:val="24"/>
          <w:szCs w:val="24"/>
          <w:lang w:val="en-GB"/>
        </w:rPr>
        <w:t xml:space="preserve"> </w:t>
      </w:r>
      <w:r w:rsidRPr="00ED1B85">
        <w:rPr>
          <w:rFonts w:ascii="Times New Roman" w:hAnsi="Times New Roman"/>
          <w:sz w:val="24"/>
          <w:szCs w:val="24"/>
          <w:lang w:val="en-GB"/>
        </w:rPr>
        <w:t>can have a role both early and late in an inflammatory response</w:t>
      </w:r>
      <w:r w:rsidR="00B82B8A" w:rsidRPr="00ED1B85">
        <w:rPr>
          <w:rFonts w:ascii="Times New Roman" w:hAnsi="Times New Roman"/>
          <w:sz w:val="24"/>
          <w:szCs w:val="24"/>
          <w:lang w:val="en-GB"/>
        </w:rPr>
        <w:t xml:space="preserve"> [15]</w:t>
      </w:r>
      <w:r w:rsidRPr="00ED1B85">
        <w:rPr>
          <w:rFonts w:ascii="Times New Roman" w:hAnsi="Times New Roman"/>
          <w:sz w:val="24"/>
          <w:szCs w:val="24"/>
          <w:lang w:val="en-GB"/>
        </w:rPr>
        <w:t>.</w:t>
      </w:r>
    </w:p>
    <w:p w14:paraId="277DD6D4" w14:textId="092438F3" w:rsidR="00B85A18" w:rsidRPr="00ED1B85" w:rsidRDefault="00B85A18" w:rsidP="00B85A18">
      <w:pPr>
        <w:spacing w:after="0" w:line="480" w:lineRule="auto"/>
        <w:jc w:val="both"/>
        <w:rPr>
          <w:rFonts w:ascii="Times New Roman" w:hAnsi="Times New Roman"/>
          <w:sz w:val="24"/>
          <w:szCs w:val="24"/>
          <w:lang w:val="en-GB"/>
        </w:rPr>
      </w:pPr>
      <w:r w:rsidRPr="00ED1B85">
        <w:rPr>
          <w:rFonts w:ascii="Times New Roman" w:hAnsi="Times New Roman"/>
          <w:sz w:val="24"/>
          <w:szCs w:val="24"/>
          <w:lang w:val="en-GB"/>
        </w:rPr>
        <w:t xml:space="preserve">In chicken, in a GWAS study, a region </w:t>
      </w:r>
      <w:r w:rsidR="009D5034">
        <w:rPr>
          <w:rFonts w:ascii="Times New Roman" w:hAnsi="Times New Roman"/>
          <w:sz w:val="24"/>
          <w:szCs w:val="24"/>
          <w:lang w:val="en-GB"/>
        </w:rPr>
        <w:t>positioned at</w:t>
      </w:r>
      <w:r w:rsidRPr="00ED1B85">
        <w:rPr>
          <w:rFonts w:ascii="Times New Roman" w:hAnsi="Times New Roman"/>
          <w:sz w:val="24"/>
          <w:szCs w:val="24"/>
          <w:lang w:val="en-GB"/>
        </w:rPr>
        <w:t xml:space="preserve"> 100 Mb from the proximal end of chromosome 1, including the </w:t>
      </w:r>
      <w:r w:rsidRPr="00ED1B85">
        <w:rPr>
          <w:rStyle w:val="Emphasis"/>
          <w:rFonts w:ascii="Times New Roman" w:hAnsi="Times New Roman"/>
          <w:sz w:val="24"/>
          <w:szCs w:val="24"/>
          <w:lang w:val="en-GB"/>
        </w:rPr>
        <w:t>ROBO1</w:t>
      </w:r>
      <w:r w:rsidRPr="00ED1B85">
        <w:rPr>
          <w:rFonts w:ascii="Times New Roman" w:hAnsi="Times New Roman"/>
          <w:sz w:val="24"/>
          <w:szCs w:val="24"/>
          <w:lang w:val="en-GB"/>
        </w:rPr>
        <w:t xml:space="preserve"> and </w:t>
      </w:r>
      <w:r w:rsidRPr="00ED1B85">
        <w:rPr>
          <w:rStyle w:val="Emphasis"/>
          <w:rFonts w:ascii="Times New Roman" w:hAnsi="Times New Roman"/>
          <w:sz w:val="24"/>
          <w:szCs w:val="24"/>
          <w:lang w:val="en-GB"/>
        </w:rPr>
        <w:t>ROBO2</w:t>
      </w:r>
      <w:r w:rsidRPr="00ED1B85">
        <w:rPr>
          <w:rFonts w:ascii="Times New Roman" w:hAnsi="Times New Roman"/>
          <w:sz w:val="24"/>
          <w:szCs w:val="24"/>
          <w:lang w:val="en-GB"/>
        </w:rPr>
        <w:t xml:space="preserve"> genes, encoding integral membrane protein receptors for the SLIT-family, had a strong effect on the antibody response to the Newcastle disease virus </w:t>
      </w:r>
      <w:r w:rsidR="00B82B8A" w:rsidRPr="00ED1B85">
        <w:rPr>
          <w:rFonts w:ascii="Times New Roman" w:hAnsi="Times New Roman"/>
          <w:sz w:val="24"/>
          <w:szCs w:val="24"/>
          <w:lang w:val="en-GB"/>
        </w:rPr>
        <w:t>[16]</w:t>
      </w:r>
      <w:r w:rsidRPr="00ED1B85">
        <w:rPr>
          <w:rFonts w:ascii="Times New Roman" w:hAnsi="Times New Roman"/>
          <w:sz w:val="24"/>
          <w:szCs w:val="24"/>
          <w:lang w:val="en-GB"/>
        </w:rPr>
        <w:t>.</w:t>
      </w:r>
    </w:p>
    <w:p w14:paraId="21A73E96" w14:textId="56D12109" w:rsidR="00B85A18" w:rsidRPr="00ED1B85" w:rsidRDefault="00B85A18" w:rsidP="00B85A18">
      <w:pPr>
        <w:spacing w:after="0" w:line="480" w:lineRule="auto"/>
        <w:jc w:val="both"/>
        <w:rPr>
          <w:rFonts w:ascii="Times New Roman" w:hAnsi="Times New Roman"/>
          <w:sz w:val="24"/>
          <w:szCs w:val="24"/>
          <w:lang w:val="en-GB"/>
        </w:rPr>
      </w:pPr>
      <w:r w:rsidRPr="00ED1B85">
        <w:rPr>
          <w:rFonts w:ascii="Times New Roman" w:hAnsi="Times New Roman"/>
          <w:sz w:val="24"/>
          <w:szCs w:val="24"/>
          <w:lang w:val="en-GB"/>
        </w:rPr>
        <w:t xml:space="preserve">Hypoxia significantly increased both mRNA and protein levels of </w:t>
      </w:r>
      <w:r w:rsidRPr="001C0E4B">
        <w:rPr>
          <w:rFonts w:ascii="Times New Roman" w:hAnsi="Times New Roman"/>
          <w:i/>
          <w:iCs/>
          <w:sz w:val="24"/>
          <w:szCs w:val="24"/>
          <w:lang w:val="en-GB"/>
        </w:rPr>
        <w:t>SLIT2</w:t>
      </w:r>
      <w:r w:rsidRPr="00ED1B85">
        <w:rPr>
          <w:rFonts w:ascii="Times New Roman" w:hAnsi="Times New Roman"/>
          <w:sz w:val="24"/>
          <w:szCs w:val="24"/>
          <w:lang w:val="en-GB"/>
        </w:rPr>
        <w:t xml:space="preserve"> in BeWo cells and of </w:t>
      </w:r>
      <w:r w:rsidRPr="001C0E4B">
        <w:rPr>
          <w:rFonts w:ascii="Times New Roman" w:hAnsi="Times New Roman"/>
          <w:i/>
          <w:iCs/>
          <w:sz w:val="24"/>
          <w:szCs w:val="24"/>
          <w:lang w:val="en-GB"/>
        </w:rPr>
        <w:t>SLIT3</w:t>
      </w:r>
      <w:r w:rsidRPr="00ED1B85">
        <w:rPr>
          <w:rFonts w:ascii="Times New Roman" w:hAnsi="Times New Roman"/>
          <w:sz w:val="24"/>
          <w:szCs w:val="24"/>
          <w:lang w:val="en-GB"/>
        </w:rPr>
        <w:t>, ROBO1, and ROBB4 in HUVEC cell lines</w:t>
      </w:r>
      <w:r w:rsidR="00B82B8A" w:rsidRPr="00ED1B85">
        <w:rPr>
          <w:rFonts w:ascii="Times New Roman" w:hAnsi="Times New Roman"/>
          <w:sz w:val="24"/>
          <w:szCs w:val="24"/>
          <w:lang w:val="en-GB"/>
        </w:rPr>
        <w:t xml:space="preserve"> [17]</w:t>
      </w:r>
      <w:r w:rsidRPr="00ED1B85">
        <w:rPr>
          <w:rFonts w:ascii="Times New Roman" w:hAnsi="Times New Roman"/>
          <w:sz w:val="24"/>
          <w:szCs w:val="24"/>
          <w:lang w:val="en-GB"/>
        </w:rPr>
        <w:t>.</w:t>
      </w:r>
    </w:p>
    <w:p w14:paraId="646C5F36" w14:textId="77777777" w:rsidR="00711BC0" w:rsidRPr="00ED1B85" w:rsidRDefault="00711BC0">
      <w:pPr>
        <w:rPr>
          <w:rFonts w:ascii="Times New Roman" w:hAnsi="Times New Roman"/>
          <w:sz w:val="24"/>
          <w:szCs w:val="24"/>
          <w:lang w:val="en-GB"/>
        </w:rPr>
      </w:pPr>
    </w:p>
    <w:p w14:paraId="05C754D3" w14:textId="4CD6DAB8" w:rsidR="00652AFB" w:rsidRPr="00ED1B85" w:rsidRDefault="0064575D" w:rsidP="00652AFB">
      <w:pPr>
        <w:spacing w:after="0" w:line="480" w:lineRule="auto"/>
        <w:jc w:val="both"/>
        <w:rPr>
          <w:rFonts w:ascii="Times New Roman" w:hAnsi="Times New Roman"/>
          <w:sz w:val="24"/>
          <w:szCs w:val="24"/>
          <w:lang w:val="en-GB"/>
        </w:rPr>
      </w:pPr>
      <w:r w:rsidRPr="00EA393A">
        <w:rPr>
          <w:rFonts w:ascii="Times New Roman" w:hAnsi="Times New Roman"/>
          <w:b/>
          <w:bCs/>
          <w:i/>
          <w:iCs/>
          <w:sz w:val="24"/>
          <w:szCs w:val="24"/>
          <w:lang w:val="en-GB"/>
        </w:rPr>
        <w:t>CCSER1</w:t>
      </w:r>
      <w:r w:rsidR="004A3E35" w:rsidRPr="001C0E4B">
        <w:rPr>
          <w:rFonts w:ascii="Times New Roman" w:hAnsi="Times New Roman"/>
          <w:i/>
          <w:iCs/>
          <w:sz w:val="24"/>
          <w:szCs w:val="24"/>
          <w:lang w:val="en-GB"/>
        </w:rPr>
        <w:t xml:space="preserve"> </w:t>
      </w:r>
      <w:r w:rsidR="004A3E35" w:rsidRPr="00ED1B85">
        <w:rPr>
          <w:rFonts w:ascii="Times New Roman" w:hAnsi="Times New Roman"/>
          <w:b/>
          <w:bCs/>
          <w:sz w:val="24"/>
          <w:szCs w:val="24"/>
          <w:lang w:val="en-GB"/>
        </w:rPr>
        <w:t>-</w:t>
      </w:r>
      <w:r w:rsidR="004A3E35" w:rsidRPr="00ED1B85">
        <w:rPr>
          <w:rFonts w:ascii="Times New Roman" w:hAnsi="Times New Roman"/>
          <w:sz w:val="24"/>
          <w:szCs w:val="24"/>
          <w:lang w:val="en-GB"/>
        </w:rPr>
        <w:t xml:space="preserve"> </w:t>
      </w:r>
      <w:r w:rsidR="00652AFB" w:rsidRPr="00ED1B85">
        <w:rPr>
          <w:rFonts w:ascii="Times New Roman" w:hAnsi="Times New Roman"/>
          <w:sz w:val="24"/>
          <w:szCs w:val="24"/>
          <w:lang w:val="en-GB"/>
        </w:rPr>
        <w:t>The coiled-coil serine-rich protein 1 (</w:t>
      </w:r>
      <w:r w:rsidR="00652AFB" w:rsidRPr="00ED1B85">
        <w:rPr>
          <w:rFonts w:ascii="Times New Roman" w:hAnsi="Times New Roman"/>
          <w:i/>
          <w:sz w:val="24"/>
          <w:szCs w:val="24"/>
          <w:lang w:val="en-GB"/>
        </w:rPr>
        <w:t>CCSER1</w:t>
      </w:r>
      <w:r w:rsidR="00652AFB" w:rsidRPr="00ED1B85">
        <w:rPr>
          <w:rFonts w:ascii="Times New Roman" w:hAnsi="Times New Roman"/>
          <w:sz w:val="24"/>
          <w:szCs w:val="24"/>
          <w:lang w:val="en-GB"/>
        </w:rPr>
        <w:t>) gene is reported to be related to economic traits in livestock. It has been detected in putative selection signatures detected in the Jiaxian Red cattle contrasted with commercial beef breeds, suggesting a role in growth and feed efficiency</w:t>
      </w:r>
      <w:r w:rsidR="00F21FDF" w:rsidRPr="00ED1B85">
        <w:rPr>
          <w:rFonts w:ascii="Times New Roman" w:hAnsi="Times New Roman"/>
          <w:sz w:val="24"/>
          <w:szCs w:val="24"/>
          <w:lang w:val="en-GB"/>
        </w:rPr>
        <w:t xml:space="preserve"> [18]</w:t>
      </w:r>
      <w:r w:rsidR="00652AFB" w:rsidRPr="00ED1B85">
        <w:rPr>
          <w:rFonts w:ascii="Times New Roman" w:hAnsi="Times New Roman"/>
          <w:sz w:val="24"/>
          <w:szCs w:val="24"/>
          <w:lang w:val="en-GB"/>
        </w:rPr>
        <w:t xml:space="preserve">. SNPs genotypes within </w:t>
      </w:r>
      <w:r w:rsidR="001C0E4B" w:rsidRPr="001C0E4B">
        <w:rPr>
          <w:rFonts w:ascii="Times New Roman" w:hAnsi="Times New Roman"/>
          <w:i/>
          <w:iCs/>
          <w:sz w:val="24"/>
          <w:szCs w:val="24"/>
          <w:lang w:val="en-GB"/>
        </w:rPr>
        <w:t xml:space="preserve">CCSER1 </w:t>
      </w:r>
      <w:r w:rsidR="00652AFB" w:rsidRPr="00ED1B85">
        <w:rPr>
          <w:rFonts w:ascii="Times New Roman" w:hAnsi="Times New Roman"/>
          <w:sz w:val="24"/>
          <w:szCs w:val="24"/>
          <w:lang w:val="en-GB"/>
        </w:rPr>
        <w:t>showed significant over-dominance effects in Angus-Hereford crossbred cattle</w:t>
      </w:r>
      <w:r w:rsidR="00F21FDF" w:rsidRPr="00ED1B85">
        <w:rPr>
          <w:rFonts w:ascii="Times New Roman" w:hAnsi="Times New Roman"/>
          <w:sz w:val="24"/>
          <w:szCs w:val="24"/>
          <w:lang w:val="en-GB"/>
        </w:rPr>
        <w:t xml:space="preserve"> [19]</w:t>
      </w:r>
      <w:r w:rsidR="00652AFB" w:rsidRPr="00ED1B85">
        <w:rPr>
          <w:rFonts w:ascii="Times New Roman" w:hAnsi="Times New Roman"/>
          <w:sz w:val="24"/>
          <w:szCs w:val="24"/>
          <w:lang w:val="en-GB"/>
        </w:rPr>
        <w:t>. It encompasses a QTL associated with weight after slaughter in Hanwoo cattle</w:t>
      </w:r>
      <w:r w:rsidR="00F21FDF" w:rsidRPr="00ED1B85">
        <w:rPr>
          <w:rFonts w:ascii="Times New Roman" w:hAnsi="Times New Roman"/>
          <w:sz w:val="24"/>
          <w:szCs w:val="24"/>
          <w:lang w:val="en-GB"/>
        </w:rPr>
        <w:t xml:space="preserve"> [20]</w:t>
      </w:r>
      <w:r w:rsidR="00652AFB" w:rsidRPr="00ED1B85">
        <w:rPr>
          <w:rFonts w:ascii="Times New Roman" w:hAnsi="Times New Roman"/>
          <w:sz w:val="24"/>
          <w:szCs w:val="24"/>
          <w:lang w:val="en-GB"/>
        </w:rPr>
        <w:t xml:space="preserve">. It has been found associated to backfat </w:t>
      </w:r>
      <w:r w:rsidR="009D5034" w:rsidRPr="00ED1B85">
        <w:rPr>
          <w:rFonts w:ascii="Times New Roman" w:hAnsi="Times New Roman"/>
          <w:sz w:val="24"/>
          <w:szCs w:val="24"/>
          <w:lang w:val="en-GB"/>
        </w:rPr>
        <w:t>thickness</w:t>
      </w:r>
      <w:r w:rsidR="00652AFB" w:rsidRPr="00ED1B85">
        <w:rPr>
          <w:rFonts w:ascii="Times New Roman" w:hAnsi="Times New Roman"/>
          <w:sz w:val="24"/>
          <w:szCs w:val="24"/>
          <w:lang w:val="en-GB"/>
        </w:rPr>
        <w:t xml:space="preserve"> in a genome-wide association study in Chuying-black pigs</w:t>
      </w:r>
      <w:r w:rsidR="00F21FDF" w:rsidRPr="00ED1B85">
        <w:rPr>
          <w:rFonts w:ascii="Times New Roman" w:hAnsi="Times New Roman"/>
          <w:sz w:val="24"/>
          <w:szCs w:val="24"/>
          <w:lang w:val="en-GB"/>
        </w:rPr>
        <w:t xml:space="preserve"> [21]</w:t>
      </w:r>
      <w:r w:rsidR="00652AFB" w:rsidRPr="00ED1B85">
        <w:rPr>
          <w:rFonts w:ascii="Times New Roman" w:hAnsi="Times New Roman"/>
          <w:sz w:val="24"/>
          <w:szCs w:val="24"/>
          <w:lang w:val="en-GB"/>
        </w:rPr>
        <w:t xml:space="preserve">. </w:t>
      </w:r>
      <w:r w:rsidR="009D5034">
        <w:rPr>
          <w:rFonts w:ascii="Times New Roman" w:hAnsi="Times New Roman"/>
          <w:sz w:val="24"/>
          <w:szCs w:val="24"/>
          <w:lang w:val="en-GB"/>
        </w:rPr>
        <w:t>In</w:t>
      </w:r>
      <w:r w:rsidR="009D5034" w:rsidRPr="00ED1B85">
        <w:rPr>
          <w:rFonts w:ascii="Times New Roman" w:hAnsi="Times New Roman"/>
          <w:sz w:val="24"/>
          <w:szCs w:val="24"/>
          <w:lang w:val="en-GB"/>
        </w:rPr>
        <w:t xml:space="preserve"> this gene</w:t>
      </w:r>
      <w:r w:rsidR="009D5034">
        <w:rPr>
          <w:rFonts w:ascii="Times New Roman" w:hAnsi="Times New Roman"/>
          <w:sz w:val="24"/>
          <w:szCs w:val="24"/>
          <w:lang w:val="en-GB"/>
        </w:rPr>
        <w:t>,</w:t>
      </w:r>
      <w:r w:rsidR="009D5034" w:rsidRPr="00ED1B85">
        <w:rPr>
          <w:rFonts w:ascii="Times New Roman" w:hAnsi="Times New Roman"/>
          <w:sz w:val="24"/>
          <w:szCs w:val="24"/>
          <w:lang w:val="en-GB"/>
        </w:rPr>
        <w:t xml:space="preserve"> </w:t>
      </w:r>
      <w:r w:rsidR="00652AFB" w:rsidRPr="00ED1B85">
        <w:rPr>
          <w:rFonts w:ascii="Times New Roman" w:hAnsi="Times New Roman"/>
          <w:sz w:val="24"/>
          <w:szCs w:val="24"/>
          <w:lang w:val="en-GB"/>
        </w:rPr>
        <w:t>CNVs have been reported to be associated with growth traits in goats. It has been found among the genes included in selection signatures in the genomes of 15 local Russian sheep breeds, where it is suggested to have a possible role in growth and feed intake</w:t>
      </w:r>
      <w:r w:rsidR="0059367A" w:rsidRPr="00ED1B85">
        <w:rPr>
          <w:rFonts w:ascii="Times New Roman" w:hAnsi="Times New Roman"/>
          <w:sz w:val="24"/>
          <w:szCs w:val="24"/>
          <w:lang w:val="en-GB"/>
        </w:rPr>
        <w:t xml:space="preserve"> [22]</w:t>
      </w:r>
      <w:r w:rsidR="00652AFB" w:rsidRPr="00ED1B85">
        <w:rPr>
          <w:rFonts w:ascii="Times New Roman" w:hAnsi="Times New Roman"/>
          <w:sz w:val="24"/>
          <w:szCs w:val="24"/>
          <w:lang w:val="en-GB"/>
        </w:rPr>
        <w:t>, and in Chinese Mongolian fat-tailed sheep, where it is suggested to have a role in marbling</w:t>
      </w:r>
      <w:r w:rsidR="0059367A" w:rsidRPr="00ED1B85">
        <w:rPr>
          <w:rFonts w:ascii="Times New Roman" w:hAnsi="Times New Roman"/>
          <w:sz w:val="24"/>
          <w:szCs w:val="24"/>
          <w:lang w:val="en-GB"/>
        </w:rPr>
        <w:t xml:space="preserve"> [23]</w:t>
      </w:r>
      <w:r w:rsidR="00652AFB" w:rsidRPr="00ED1B85">
        <w:rPr>
          <w:rFonts w:ascii="Times New Roman" w:hAnsi="Times New Roman"/>
          <w:sz w:val="24"/>
          <w:szCs w:val="24"/>
          <w:lang w:val="en-GB"/>
        </w:rPr>
        <w:t xml:space="preserve">. It has been proposed, </w:t>
      </w:r>
      <w:r w:rsidR="00652AFB" w:rsidRPr="009D5034">
        <w:rPr>
          <w:rFonts w:ascii="Times New Roman" w:hAnsi="Times New Roman"/>
          <w:sz w:val="24"/>
          <w:szCs w:val="24"/>
          <w:lang w:val="en-GB"/>
        </w:rPr>
        <w:t>via</w:t>
      </w:r>
      <w:r w:rsidR="00652AFB" w:rsidRPr="00ED1B85">
        <w:rPr>
          <w:rFonts w:ascii="Times New Roman" w:hAnsi="Times New Roman"/>
          <w:sz w:val="24"/>
          <w:szCs w:val="24"/>
          <w:lang w:val="en-GB"/>
        </w:rPr>
        <w:t xml:space="preserve"> in vitro studies, to function as a regulator or structural component required for normal mitosis</w:t>
      </w:r>
      <w:r w:rsidR="0059367A" w:rsidRPr="00ED1B85">
        <w:rPr>
          <w:rFonts w:ascii="Times New Roman" w:hAnsi="Times New Roman"/>
          <w:sz w:val="24"/>
          <w:szCs w:val="24"/>
          <w:lang w:val="en-GB"/>
        </w:rPr>
        <w:t xml:space="preserve"> [24]</w:t>
      </w:r>
      <w:r w:rsidR="00652AFB" w:rsidRPr="00ED1B85">
        <w:rPr>
          <w:rFonts w:ascii="Times New Roman" w:hAnsi="Times New Roman"/>
          <w:sz w:val="24"/>
          <w:szCs w:val="24"/>
          <w:lang w:val="en-GB"/>
        </w:rPr>
        <w:t>.</w:t>
      </w:r>
    </w:p>
    <w:p w14:paraId="23930737" w14:textId="5ECE5EBE" w:rsidR="0064575D" w:rsidRPr="00ED1B85" w:rsidRDefault="0064575D">
      <w:pPr>
        <w:rPr>
          <w:rFonts w:ascii="Times New Roman" w:hAnsi="Times New Roman"/>
          <w:sz w:val="24"/>
          <w:szCs w:val="24"/>
          <w:lang w:val="en-GB"/>
        </w:rPr>
      </w:pPr>
    </w:p>
    <w:p w14:paraId="725C255E" w14:textId="2804D187" w:rsidR="004A3E35" w:rsidRPr="00ED1B85" w:rsidRDefault="004A3E35" w:rsidP="004A3E35">
      <w:pPr>
        <w:spacing w:after="0" w:line="480" w:lineRule="auto"/>
        <w:jc w:val="both"/>
        <w:rPr>
          <w:rFonts w:ascii="Times New Roman" w:hAnsi="Times New Roman"/>
          <w:sz w:val="24"/>
          <w:szCs w:val="24"/>
          <w:lang w:val="en-GB"/>
        </w:rPr>
      </w:pPr>
      <w:r w:rsidRPr="00EA393A">
        <w:rPr>
          <w:rFonts w:ascii="Times New Roman" w:hAnsi="Times New Roman"/>
          <w:b/>
          <w:bCs/>
          <w:i/>
          <w:iCs/>
          <w:sz w:val="24"/>
          <w:szCs w:val="24"/>
          <w:lang w:val="en-GB"/>
        </w:rPr>
        <w:t>PACRGL</w:t>
      </w:r>
      <w:r w:rsidRPr="00ED1B85">
        <w:rPr>
          <w:rFonts w:ascii="Times New Roman" w:hAnsi="Times New Roman"/>
          <w:i/>
          <w:iCs/>
          <w:sz w:val="24"/>
          <w:szCs w:val="24"/>
          <w:lang w:val="en-GB"/>
        </w:rPr>
        <w:t xml:space="preserve"> - </w:t>
      </w:r>
      <w:r w:rsidRPr="00ED1B85">
        <w:rPr>
          <w:rFonts w:ascii="Times New Roman" w:hAnsi="Times New Roman"/>
          <w:sz w:val="24"/>
          <w:szCs w:val="24"/>
          <w:lang w:val="en-GB"/>
        </w:rPr>
        <w:t xml:space="preserve">Parkin Coregulated Like is a Protein Coding gene. Gene Ontology (GO) annotations related to this gene include </w:t>
      </w:r>
      <w:r w:rsidRPr="00ED1B85">
        <w:rPr>
          <w:rStyle w:val="Emphasis"/>
          <w:rFonts w:ascii="Times New Roman" w:hAnsi="Times New Roman"/>
          <w:sz w:val="24"/>
          <w:szCs w:val="24"/>
          <w:lang w:val="en-GB"/>
        </w:rPr>
        <w:t>binding</w:t>
      </w:r>
      <w:r w:rsidRPr="00ED1B85">
        <w:rPr>
          <w:rFonts w:ascii="Times New Roman" w:hAnsi="Times New Roman"/>
          <w:sz w:val="24"/>
          <w:szCs w:val="24"/>
          <w:lang w:val="en-GB"/>
        </w:rPr>
        <w:t>. There is a dramatic lack of knowledge about the function of this gene. It has been detected in a selection signature in South African Mutton Merino sheep [25], where it is suggested to be related with fat deposition traits, and in a QTL affecting growth and muscle mass in chicken</w:t>
      </w:r>
      <w:r w:rsidR="00763D73" w:rsidRPr="00ED1B85">
        <w:rPr>
          <w:rFonts w:ascii="Times New Roman" w:hAnsi="Times New Roman"/>
          <w:sz w:val="24"/>
          <w:szCs w:val="24"/>
          <w:lang w:val="en-GB"/>
        </w:rPr>
        <w:t xml:space="preserve"> [26]</w:t>
      </w:r>
      <w:r w:rsidRPr="00ED1B85">
        <w:rPr>
          <w:rFonts w:ascii="Times New Roman" w:hAnsi="Times New Roman"/>
          <w:sz w:val="24"/>
          <w:szCs w:val="24"/>
          <w:lang w:val="en-GB"/>
        </w:rPr>
        <w:t xml:space="preserve">. An important paralog of this gene is </w:t>
      </w:r>
      <w:r w:rsidRPr="00ED1B85">
        <w:rPr>
          <w:rFonts w:ascii="Times New Roman" w:hAnsi="Times New Roman"/>
          <w:i/>
          <w:iCs/>
          <w:sz w:val="24"/>
          <w:szCs w:val="24"/>
          <w:lang w:val="en-GB"/>
        </w:rPr>
        <w:t>PACRG</w:t>
      </w:r>
      <w:r w:rsidRPr="00ED1B85">
        <w:rPr>
          <w:rFonts w:ascii="Times New Roman" w:hAnsi="Times New Roman"/>
          <w:sz w:val="24"/>
          <w:szCs w:val="24"/>
          <w:lang w:val="en-GB"/>
        </w:rPr>
        <w:t xml:space="preserve">. In </w:t>
      </w:r>
      <w:r w:rsidRPr="00ED1B85">
        <w:rPr>
          <w:rFonts w:ascii="Times New Roman" w:hAnsi="Times New Roman"/>
          <w:i/>
          <w:iCs/>
          <w:sz w:val="24"/>
          <w:szCs w:val="24"/>
          <w:lang w:val="en-GB"/>
        </w:rPr>
        <w:t>Ovis aries</w:t>
      </w:r>
      <w:r w:rsidRPr="00ED1B85">
        <w:rPr>
          <w:rFonts w:ascii="Times New Roman" w:hAnsi="Times New Roman"/>
          <w:sz w:val="24"/>
          <w:szCs w:val="24"/>
          <w:lang w:val="en-GB"/>
        </w:rPr>
        <w:t xml:space="preserve">, it is located on chromosome 8. It was identified in 2003 while studying mutations at the nearby </w:t>
      </w:r>
      <w:r w:rsidR="001C0E4B">
        <w:rPr>
          <w:rFonts w:ascii="Times New Roman" w:hAnsi="Times New Roman"/>
          <w:i/>
          <w:iCs/>
          <w:sz w:val="24"/>
          <w:szCs w:val="24"/>
          <w:lang w:val="en-GB"/>
        </w:rPr>
        <w:t>P</w:t>
      </w:r>
      <w:r w:rsidRPr="001C0E4B">
        <w:rPr>
          <w:rFonts w:ascii="Times New Roman" w:hAnsi="Times New Roman"/>
          <w:i/>
          <w:iCs/>
          <w:sz w:val="24"/>
          <w:szCs w:val="24"/>
          <w:lang w:val="en-GB"/>
        </w:rPr>
        <w:t>arkin</w:t>
      </w:r>
      <w:r w:rsidRPr="00ED1B85">
        <w:rPr>
          <w:rFonts w:ascii="Times New Roman" w:hAnsi="Times New Roman"/>
          <w:sz w:val="24"/>
          <w:szCs w:val="24"/>
          <w:lang w:val="en-GB"/>
        </w:rPr>
        <w:t xml:space="preserve"> gene in humans where </w:t>
      </w:r>
      <w:r w:rsidR="001C0E4B">
        <w:rPr>
          <w:rFonts w:ascii="Times New Roman" w:hAnsi="Times New Roman"/>
          <w:sz w:val="24"/>
          <w:szCs w:val="24"/>
          <w:lang w:val="en-GB"/>
        </w:rPr>
        <w:t>it</w:t>
      </w:r>
      <w:r w:rsidRPr="00ED1B85">
        <w:rPr>
          <w:rFonts w:ascii="Times New Roman" w:hAnsi="Times New Roman"/>
          <w:sz w:val="24"/>
          <w:szCs w:val="24"/>
          <w:lang w:val="en-GB"/>
        </w:rPr>
        <w:t xml:space="preserve"> represent</w:t>
      </w:r>
      <w:r w:rsidR="001C0E4B">
        <w:rPr>
          <w:rFonts w:ascii="Times New Roman" w:hAnsi="Times New Roman"/>
          <w:sz w:val="24"/>
          <w:szCs w:val="24"/>
          <w:lang w:val="en-GB"/>
        </w:rPr>
        <w:t>s</w:t>
      </w:r>
      <w:r w:rsidRPr="00ED1B85">
        <w:rPr>
          <w:rFonts w:ascii="Times New Roman" w:hAnsi="Times New Roman"/>
          <w:sz w:val="24"/>
          <w:szCs w:val="24"/>
          <w:lang w:val="en-GB"/>
        </w:rPr>
        <w:t xml:space="preserve"> the predominant genetic cause of early-onset and autosomal recessive juvenile parkinsonism</w:t>
      </w:r>
      <w:r w:rsidR="00763D73" w:rsidRPr="00ED1B85">
        <w:rPr>
          <w:rFonts w:ascii="Times New Roman" w:hAnsi="Times New Roman"/>
          <w:sz w:val="24"/>
          <w:szCs w:val="24"/>
          <w:lang w:val="en-GB"/>
        </w:rPr>
        <w:t xml:space="preserve"> [27]</w:t>
      </w:r>
      <w:r w:rsidRPr="00ED1B85">
        <w:rPr>
          <w:rFonts w:ascii="Times New Roman" w:hAnsi="Times New Roman"/>
          <w:sz w:val="24"/>
          <w:szCs w:val="24"/>
          <w:lang w:val="en-GB"/>
        </w:rPr>
        <w:t xml:space="preserve">. </w:t>
      </w:r>
      <w:r w:rsidRPr="001C0E4B">
        <w:rPr>
          <w:rFonts w:ascii="Times New Roman" w:hAnsi="Times New Roman"/>
          <w:i/>
          <w:iCs/>
          <w:sz w:val="24"/>
          <w:szCs w:val="24"/>
          <w:lang w:val="en-GB"/>
        </w:rPr>
        <w:t>Parkin</w:t>
      </w:r>
      <w:r w:rsidRPr="00ED1B85">
        <w:rPr>
          <w:rFonts w:ascii="Times New Roman" w:hAnsi="Times New Roman"/>
          <w:sz w:val="24"/>
          <w:szCs w:val="24"/>
          <w:lang w:val="en-GB"/>
        </w:rPr>
        <w:t xml:space="preserve"> is a multi-domain protein with ubiquitin-protein E3 ligase activity that has a role in the proteasome-mediated degradation of target substrates. At that time, </w:t>
      </w:r>
      <w:r w:rsidRPr="00ED1B85">
        <w:rPr>
          <w:rFonts w:ascii="Times New Roman" w:hAnsi="Times New Roman"/>
          <w:i/>
          <w:iCs/>
          <w:sz w:val="24"/>
          <w:szCs w:val="24"/>
          <w:lang w:val="en-GB"/>
        </w:rPr>
        <w:t>PACRG</w:t>
      </w:r>
      <w:r w:rsidR="001C0E4B">
        <w:rPr>
          <w:rFonts w:ascii="Times New Roman" w:hAnsi="Times New Roman"/>
          <w:sz w:val="24"/>
          <w:szCs w:val="24"/>
          <w:lang w:val="en-GB"/>
        </w:rPr>
        <w:t xml:space="preserve"> </w:t>
      </w:r>
      <w:r w:rsidRPr="00ED1B85">
        <w:rPr>
          <w:rFonts w:ascii="Times New Roman" w:hAnsi="Times New Roman"/>
          <w:sz w:val="24"/>
          <w:szCs w:val="24"/>
          <w:lang w:val="en-GB"/>
        </w:rPr>
        <w:t>was suggested via in silico prediction to have a potential link to the ubiquitin/proteasome system, evidence experimentally confirmed later on</w:t>
      </w:r>
      <w:r w:rsidR="00763D73" w:rsidRPr="00ED1B85">
        <w:rPr>
          <w:rFonts w:ascii="Times New Roman" w:hAnsi="Times New Roman"/>
          <w:sz w:val="24"/>
          <w:szCs w:val="24"/>
          <w:lang w:val="en-GB"/>
        </w:rPr>
        <w:t xml:space="preserve"> [28]</w:t>
      </w:r>
      <w:r w:rsidRPr="00ED1B85">
        <w:rPr>
          <w:rFonts w:ascii="Times New Roman" w:hAnsi="Times New Roman"/>
          <w:sz w:val="24"/>
          <w:szCs w:val="24"/>
          <w:lang w:val="en-GB"/>
        </w:rPr>
        <w:t>. It was shown to form a large molecular chaperone complex containing heat shock proteins 70 and 90 and chaperonin components</w:t>
      </w:r>
      <w:r w:rsidR="00763D73" w:rsidRPr="00ED1B85">
        <w:rPr>
          <w:rFonts w:ascii="Times New Roman" w:hAnsi="Times New Roman"/>
          <w:sz w:val="24"/>
          <w:szCs w:val="24"/>
          <w:lang w:val="en-GB"/>
        </w:rPr>
        <w:t xml:space="preserve"> [29]</w:t>
      </w:r>
      <w:r w:rsidRPr="00ED1B85">
        <w:rPr>
          <w:rFonts w:ascii="Times New Roman" w:hAnsi="Times New Roman"/>
          <w:sz w:val="24"/>
          <w:szCs w:val="24"/>
          <w:lang w:val="en-GB"/>
        </w:rPr>
        <w:t>. Via positional</w:t>
      </w:r>
      <w:r w:rsidR="00763D73" w:rsidRPr="00ED1B85">
        <w:rPr>
          <w:rFonts w:ascii="Times New Roman" w:hAnsi="Times New Roman"/>
          <w:sz w:val="24"/>
          <w:szCs w:val="24"/>
          <w:lang w:val="en-GB"/>
        </w:rPr>
        <w:t xml:space="preserve"> </w:t>
      </w:r>
      <w:r w:rsidRPr="00ED1B85">
        <w:rPr>
          <w:rFonts w:ascii="Times New Roman" w:hAnsi="Times New Roman"/>
          <w:sz w:val="24"/>
          <w:szCs w:val="24"/>
          <w:lang w:val="en-GB"/>
        </w:rPr>
        <w:t xml:space="preserve">cloning, </w:t>
      </w:r>
      <w:r w:rsidRPr="00ED1B85">
        <w:rPr>
          <w:rFonts w:ascii="Times New Roman" w:hAnsi="Times New Roman"/>
          <w:i/>
          <w:iCs/>
          <w:sz w:val="24"/>
          <w:szCs w:val="24"/>
          <w:lang w:val="en-GB"/>
        </w:rPr>
        <w:t>PARK2/PACRG</w:t>
      </w:r>
      <w:r w:rsidRPr="00ED1B85">
        <w:rPr>
          <w:rFonts w:ascii="Times New Roman" w:hAnsi="Times New Roman"/>
          <w:sz w:val="24"/>
          <w:szCs w:val="24"/>
          <w:lang w:val="en-GB"/>
        </w:rPr>
        <w:t xml:space="preserve"> were identified in humans to represent a </w:t>
      </w:r>
      <w:r w:rsidR="00763D73" w:rsidRPr="00ED1B85">
        <w:rPr>
          <w:rFonts w:ascii="Times New Roman" w:hAnsi="Times New Roman"/>
          <w:sz w:val="24"/>
          <w:szCs w:val="24"/>
          <w:lang w:val="en-GB"/>
        </w:rPr>
        <w:t>worldwide risk factor</w:t>
      </w:r>
      <w:r w:rsidRPr="00ED1B85">
        <w:rPr>
          <w:rFonts w:ascii="Times New Roman" w:hAnsi="Times New Roman"/>
          <w:sz w:val="24"/>
          <w:szCs w:val="24"/>
          <w:lang w:val="en-GB"/>
        </w:rPr>
        <w:t xml:space="preserve"> for leprosy, a chronic infectious disease caused by </w:t>
      </w:r>
      <w:r w:rsidRPr="00ED1B85">
        <w:rPr>
          <w:rFonts w:ascii="Times New Roman" w:hAnsi="Times New Roman"/>
          <w:i/>
          <w:iCs/>
          <w:sz w:val="24"/>
          <w:szCs w:val="24"/>
          <w:lang w:val="en-GB"/>
        </w:rPr>
        <w:t>Mycobacterium leprae</w:t>
      </w:r>
      <w:r w:rsidR="00763D73" w:rsidRPr="00ED1B85">
        <w:rPr>
          <w:rFonts w:ascii="Times New Roman" w:hAnsi="Times New Roman"/>
          <w:sz w:val="24"/>
          <w:szCs w:val="24"/>
          <w:lang w:val="en-GB"/>
        </w:rPr>
        <w:t xml:space="preserve"> [30]</w:t>
      </w:r>
      <w:r w:rsidRPr="00ED1B85">
        <w:rPr>
          <w:rFonts w:ascii="Times New Roman" w:hAnsi="Times New Roman"/>
          <w:sz w:val="24"/>
          <w:szCs w:val="24"/>
          <w:lang w:val="en-GB"/>
        </w:rPr>
        <w:t xml:space="preserve">. It has also been included among the susceptibility candidate genes for tuberculosis, a common infectious disease caused by </w:t>
      </w:r>
      <w:r w:rsidRPr="00ED1B85">
        <w:rPr>
          <w:rFonts w:ascii="Times New Roman" w:hAnsi="Times New Roman"/>
          <w:i/>
          <w:iCs/>
          <w:sz w:val="24"/>
          <w:szCs w:val="24"/>
          <w:lang w:val="en-GB"/>
        </w:rPr>
        <w:t>M. tuberculosis</w:t>
      </w:r>
      <w:r w:rsidR="003A6409" w:rsidRPr="00ED1B85">
        <w:rPr>
          <w:rFonts w:ascii="Times New Roman" w:hAnsi="Times New Roman"/>
          <w:sz w:val="24"/>
          <w:szCs w:val="24"/>
          <w:lang w:val="en-GB"/>
        </w:rPr>
        <w:t xml:space="preserve"> [31]</w:t>
      </w:r>
      <w:r w:rsidRPr="00ED1B85">
        <w:rPr>
          <w:rFonts w:ascii="Times New Roman" w:hAnsi="Times New Roman"/>
          <w:sz w:val="24"/>
          <w:szCs w:val="24"/>
          <w:lang w:val="en-GB"/>
        </w:rPr>
        <w:t xml:space="preserve">. It was suggested to play a role in susceptibility to the intracellular pathogens </w:t>
      </w:r>
      <w:r w:rsidRPr="00ED1B85">
        <w:rPr>
          <w:rFonts w:ascii="Times New Roman" w:hAnsi="Times New Roman"/>
          <w:i/>
          <w:iCs/>
          <w:sz w:val="24"/>
          <w:szCs w:val="24"/>
          <w:lang w:val="en-GB"/>
        </w:rPr>
        <w:t>S. typhi</w:t>
      </w:r>
      <w:r w:rsidRPr="00ED1B85">
        <w:rPr>
          <w:rFonts w:ascii="Times New Roman" w:hAnsi="Times New Roman"/>
          <w:sz w:val="24"/>
          <w:szCs w:val="24"/>
          <w:lang w:val="en-GB"/>
        </w:rPr>
        <w:t xml:space="preserve"> and </w:t>
      </w:r>
      <w:r w:rsidRPr="00ED1B85">
        <w:rPr>
          <w:rFonts w:ascii="Times New Roman" w:hAnsi="Times New Roman"/>
          <w:i/>
          <w:iCs/>
          <w:sz w:val="24"/>
          <w:szCs w:val="24"/>
          <w:lang w:val="en-GB"/>
        </w:rPr>
        <w:t>S. paratyphi</w:t>
      </w:r>
      <w:r w:rsidR="003A6409" w:rsidRPr="00ED1B85">
        <w:rPr>
          <w:rFonts w:ascii="Times New Roman" w:hAnsi="Times New Roman"/>
          <w:sz w:val="24"/>
          <w:szCs w:val="24"/>
          <w:lang w:val="en-GB"/>
        </w:rPr>
        <w:t xml:space="preserve"> [32]</w:t>
      </w:r>
      <w:r w:rsidRPr="00ED1B85">
        <w:rPr>
          <w:rFonts w:ascii="Times New Roman" w:hAnsi="Times New Roman"/>
          <w:sz w:val="24"/>
          <w:szCs w:val="24"/>
          <w:lang w:val="en-GB"/>
        </w:rPr>
        <w:t xml:space="preserve">. It was detected among the candidate genes in a genome-wide association studies on Holstein </w:t>
      </w:r>
      <w:r w:rsidR="00093AF5" w:rsidRPr="00ED1B85">
        <w:rPr>
          <w:rFonts w:ascii="Times New Roman" w:hAnsi="Times New Roman"/>
          <w:sz w:val="24"/>
          <w:szCs w:val="24"/>
          <w:lang w:val="en-GB"/>
        </w:rPr>
        <w:t>cow’s</w:t>
      </w:r>
      <w:r w:rsidRPr="00ED1B85">
        <w:rPr>
          <w:rFonts w:ascii="Times New Roman" w:hAnsi="Times New Roman"/>
          <w:sz w:val="24"/>
          <w:szCs w:val="24"/>
          <w:lang w:val="en-GB"/>
        </w:rPr>
        <w:t xml:space="preserve"> milk samples collected after an intramammary experimental challenge with </w:t>
      </w:r>
      <w:r w:rsidRPr="00ED1B85">
        <w:rPr>
          <w:rFonts w:ascii="Times New Roman" w:hAnsi="Times New Roman"/>
          <w:i/>
          <w:iCs/>
          <w:sz w:val="24"/>
          <w:szCs w:val="24"/>
          <w:lang w:val="en-GB"/>
        </w:rPr>
        <w:t>S. uberis</w:t>
      </w:r>
      <w:r w:rsidR="00615ED5" w:rsidRPr="00ED1B85">
        <w:rPr>
          <w:rFonts w:ascii="Times New Roman" w:hAnsi="Times New Roman"/>
          <w:sz w:val="24"/>
          <w:szCs w:val="24"/>
          <w:lang w:val="en-GB"/>
        </w:rPr>
        <w:t xml:space="preserve"> [33]</w:t>
      </w:r>
      <w:r w:rsidRPr="00ED1B85">
        <w:rPr>
          <w:rFonts w:ascii="Times New Roman" w:hAnsi="Times New Roman"/>
          <w:sz w:val="24"/>
          <w:szCs w:val="24"/>
          <w:lang w:val="en-GB"/>
        </w:rPr>
        <w:t xml:space="preserve">. </w:t>
      </w:r>
      <w:r w:rsidRPr="00ED1B85">
        <w:rPr>
          <w:rFonts w:ascii="Times New Roman" w:hAnsi="Times New Roman"/>
          <w:i/>
          <w:iCs/>
          <w:sz w:val="24"/>
          <w:szCs w:val="24"/>
          <w:lang w:val="en-GB"/>
        </w:rPr>
        <w:t>PACRG</w:t>
      </w:r>
      <w:r w:rsidRPr="00ED1B85">
        <w:rPr>
          <w:rFonts w:ascii="Times New Roman" w:hAnsi="Times New Roman"/>
          <w:sz w:val="24"/>
          <w:szCs w:val="24"/>
          <w:lang w:val="en-GB"/>
        </w:rPr>
        <w:t xml:space="preserve"> was shown to play a role in tumor necrosis factor (</w:t>
      </w:r>
      <w:r w:rsidRPr="00ED1B85">
        <w:rPr>
          <w:rFonts w:ascii="Times New Roman" w:hAnsi="Times New Roman"/>
          <w:i/>
          <w:iCs/>
          <w:sz w:val="24"/>
          <w:szCs w:val="24"/>
          <w:lang w:val="en-GB"/>
        </w:rPr>
        <w:t>TNF</w:t>
      </w:r>
      <w:r w:rsidRPr="00ED1B85">
        <w:rPr>
          <w:rFonts w:ascii="Times New Roman" w:hAnsi="Times New Roman"/>
          <w:sz w:val="24"/>
          <w:szCs w:val="24"/>
          <w:lang w:val="en-GB"/>
        </w:rPr>
        <w:t xml:space="preserve">) signaling. </w:t>
      </w:r>
      <w:r w:rsidR="00227FB3" w:rsidRPr="00ED1B85">
        <w:rPr>
          <w:rFonts w:ascii="Times New Roman" w:hAnsi="Times New Roman"/>
          <w:sz w:val="24"/>
          <w:szCs w:val="24"/>
          <w:lang w:val="en-GB"/>
        </w:rPr>
        <w:t>Similarly</w:t>
      </w:r>
      <w:r w:rsidRPr="00ED1B85">
        <w:rPr>
          <w:rFonts w:ascii="Times New Roman" w:hAnsi="Times New Roman"/>
          <w:sz w:val="24"/>
          <w:szCs w:val="24"/>
          <w:lang w:val="en-GB"/>
        </w:rPr>
        <w:t xml:space="preserve"> to Parkin, </w:t>
      </w:r>
      <w:r w:rsidRPr="001C0E4B">
        <w:rPr>
          <w:rFonts w:ascii="Times New Roman" w:hAnsi="Times New Roman"/>
          <w:i/>
          <w:iCs/>
          <w:sz w:val="24"/>
          <w:szCs w:val="24"/>
          <w:lang w:val="en-GB"/>
        </w:rPr>
        <w:t>PACRG</w:t>
      </w:r>
      <w:r w:rsidRPr="00ED1B85">
        <w:rPr>
          <w:rFonts w:ascii="Times New Roman" w:hAnsi="Times New Roman"/>
          <w:sz w:val="24"/>
          <w:szCs w:val="24"/>
          <w:lang w:val="en-GB"/>
        </w:rPr>
        <w:t xml:space="preserve"> promoted nuclear factor κB (NF-κB) activation in response to </w:t>
      </w:r>
      <w:r w:rsidRPr="001C0E4B">
        <w:rPr>
          <w:rFonts w:ascii="Times New Roman" w:hAnsi="Times New Roman"/>
          <w:i/>
          <w:iCs/>
          <w:sz w:val="24"/>
          <w:szCs w:val="24"/>
          <w:lang w:val="en-GB"/>
        </w:rPr>
        <w:t>TNF</w:t>
      </w:r>
      <w:r w:rsidRPr="00ED1B85">
        <w:rPr>
          <w:rFonts w:ascii="Times New Roman" w:hAnsi="Times New Roman"/>
          <w:sz w:val="24"/>
          <w:szCs w:val="24"/>
          <w:lang w:val="en-GB"/>
        </w:rPr>
        <w:t xml:space="preserve">. This function of </w:t>
      </w:r>
      <w:r w:rsidRPr="00ED1B85">
        <w:rPr>
          <w:rFonts w:ascii="Times New Roman" w:hAnsi="Times New Roman"/>
          <w:i/>
          <w:iCs/>
          <w:sz w:val="24"/>
          <w:szCs w:val="24"/>
          <w:lang w:val="en-GB"/>
        </w:rPr>
        <w:t>PACRG</w:t>
      </w:r>
      <w:r w:rsidRPr="00ED1B85">
        <w:rPr>
          <w:rFonts w:ascii="Times New Roman" w:hAnsi="Times New Roman"/>
          <w:sz w:val="24"/>
          <w:szCs w:val="24"/>
          <w:lang w:val="en-GB"/>
        </w:rPr>
        <w:t xml:space="preserve"> in positively regulating TNF signaling may help to explain the association of </w:t>
      </w:r>
      <w:r w:rsidRPr="00ED1B85">
        <w:rPr>
          <w:rFonts w:ascii="Times New Roman" w:hAnsi="Times New Roman"/>
          <w:i/>
          <w:sz w:val="24"/>
          <w:szCs w:val="24"/>
          <w:lang w:val="en-GB"/>
        </w:rPr>
        <w:t>PACRG</w:t>
      </w:r>
      <w:r w:rsidRPr="00ED1B85">
        <w:rPr>
          <w:rFonts w:ascii="Times New Roman" w:hAnsi="Times New Roman"/>
          <w:sz w:val="24"/>
          <w:szCs w:val="24"/>
          <w:lang w:val="en-GB"/>
        </w:rPr>
        <w:t xml:space="preserve"> and </w:t>
      </w:r>
      <w:r w:rsidRPr="00ED1B85">
        <w:rPr>
          <w:rFonts w:ascii="Times New Roman" w:hAnsi="Times New Roman"/>
          <w:i/>
          <w:sz w:val="24"/>
          <w:szCs w:val="24"/>
          <w:lang w:val="en-GB"/>
        </w:rPr>
        <w:t>PRKN</w:t>
      </w:r>
      <w:r w:rsidRPr="00ED1B85">
        <w:rPr>
          <w:rFonts w:ascii="Times New Roman" w:hAnsi="Times New Roman"/>
          <w:sz w:val="24"/>
          <w:szCs w:val="24"/>
          <w:lang w:val="en-GB"/>
        </w:rPr>
        <w:t xml:space="preserve"> polymorphisms with an increased susceptibility to intracellular pathogens</w:t>
      </w:r>
      <w:r w:rsidR="00E67B89" w:rsidRPr="00ED1B85">
        <w:rPr>
          <w:rFonts w:ascii="Times New Roman" w:hAnsi="Times New Roman"/>
          <w:sz w:val="24"/>
          <w:szCs w:val="24"/>
          <w:lang w:val="en-GB"/>
        </w:rPr>
        <w:t xml:space="preserve"> [34]</w:t>
      </w:r>
      <w:r w:rsidRPr="00ED1B85">
        <w:rPr>
          <w:rFonts w:ascii="Times New Roman" w:hAnsi="Times New Roman"/>
          <w:sz w:val="24"/>
          <w:szCs w:val="24"/>
          <w:lang w:val="en-GB"/>
        </w:rPr>
        <w:t xml:space="preserve">. In patients with autoimmune thyroid disease compared to controls, </w:t>
      </w:r>
      <w:r w:rsidR="001C0E4B">
        <w:rPr>
          <w:rFonts w:ascii="Times New Roman" w:hAnsi="Times New Roman"/>
          <w:sz w:val="24"/>
          <w:szCs w:val="24"/>
          <w:lang w:val="en-GB"/>
        </w:rPr>
        <w:t>the gene</w:t>
      </w:r>
      <w:r w:rsidRPr="00ED1B85">
        <w:rPr>
          <w:rFonts w:ascii="Times New Roman" w:hAnsi="Times New Roman"/>
          <w:sz w:val="24"/>
          <w:szCs w:val="24"/>
          <w:lang w:val="en-GB"/>
        </w:rPr>
        <w:t xml:space="preserve"> was shown to display an expression that was anti-correlated with that of miRNAs</w:t>
      </w:r>
      <w:r w:rsidR="001C0E4B">
        <w:rPr>
          <w:rFonts w:ascii="Times New Roman" w:hAnsi="Times New Roman"/>
          <w:sz w:val="24"/>
          <w:szCs w:val="24"/>
          <w:lang w:val="en-GB"/>
        </w:rPr>
        <w:t xml:space="preserve">; </w:t>
      </w:r>
      <w:r w:rsidR="00227FB3">
        <w:rPr>
          <w:rFonts w:ascii="Times New Roman" w:hAnsi="Times New Roman"/>
          <w:sz w:val="24"/>
          <w:szCs w:val="24"/>
          <w:lang w:val="en-GB"/>
        </w:rPr>
        <w:t>moreover,</w:t>
      </w:r>
      <w:r w:rsidRPr="00ED1B85">
        <w:rPr>
          <w:rFonts w:ascii="Times New Roman" w:hAnsi="Times New Roman"/>
          <w:sz w:val="24"/>
          <w:szCs w:val="24"/>
          <w:lang w:val="en-GB"/>
        </w:rPr>
        <w:t xml:space="preserve"> the miRNA/mRNAs differential expression was associated with cilia organization</w:t>
      </w:r>
      <w:r w:rsidR="00E67B89" w:rsidRPr="00ED1B85">
        <w:rPr>
          <w:rFonts w:ascii="Times New Roman" w:hAnsi="Times New Roman"/>
          <w:sz w:val="24"/>
          <w:szCs w:val="24"/>
          <w:lang w:val="en-GB"/>
        </w:rPr>
        <w:t xml:space="preserve"> [35]</w:t>
      </w:r>
      <w:r w:rsidRPr="00ED1B85">
        <w:rPr>
          <w:rFonts w:ascii="Times New Roman" w:hAnsi="Times New Roman"/>
          <w:sz w:val="24"/>
          <w:szCs w:val="24"/>
          <w:lang w:val="en-GB"/>
        </w:rPr>
        <w:t xml:space="preserve">. It was also demonstrated that, together with </w:t>
      </w:r>
      <w:r w:rsidRPr="00ED1B85">
        <w:rPr>
          <w:rFonts w:ascii="Times New Roman" w:hAnsi="Times New Roman"/>
          <w:i/>
          <w:iCs/>
          <w:sz w:val="24"/>
          <w:szCs w:val="24"/>
          <w:lang w:val="en-GB"/>
        </w:rPr>
        <w:t>PARK2</w:t>
      </w:r>
      <w:r w:rsidRPr="00ED1B85">
        <w:rPr>
          <w:rFonts w:ascii="Times New Roman" w:hAnsi="Times New Roman"/>
          <w:sz w:val="24"/>
          <w:szCs w:val="24"/>
          <w:lang w:val="en-GB"/>
        </w:rPr>
        <w:t xml:space="preserve">, </w:t>
      </w:r>
      <w:r w:rsidRPr="00ED1B85">
        <w:rPr>
          <w:rFonts w:ascii="Times New Roman" w:hAnsi="Times New Roman"/>
          <w:i/>
          <w:iCs/>
          <w:sz w:val="24"/>
          <w:szCs w:val="24"/>
          <w:lang w:val="en-GB"/>
        </w:rPr>
        <w:lastRenderedPageBreak/>
        <w:t>PACRG</w:t>
      </w:r>
      <w:r w:rsidRPr="00ED1B85">
        <w:rPr>
          <w:rFonts w:ascii="Times New Roman" w:hAnsi="Times New Roman"/>
          <w:sz w:val="24"/>
          <w:szCs w:val="24"/>
          <w:lang w:val="en-GB"/>
        </w:rPr>
        <w:t xml:space="preserve"> is epigenetically regulated in human leukemia, suggesting that abnormal methylation and regulation of </w:t>
      </w:r>
      <w:r w:rsidRPr="00ED1B85">
        <w:rPr>
          <w:rFonts w:ascii="Times New Roman" w:hAnsi="Times New Roman"/>
          <w:i/>
          <w:iCs/>
          <w:sz w:val="24"/>
          <w:szCs w:val="24"/>
          <w:lang w:val="en-GB"/>
        </w:rPr>
        <w:t>PARK2</w:t>
      </w:r>
      <w:r w:rsidRPr="00ED1B85">
        <w:rPr>
          <w:rFonts w:ascii="Times New Roman" w:hAnsi="Times New Roman"/>
          <w:sz w:val="24"/>
          <w:szCs w:val="24"/>
          <w:lang w:val="en-GB"/>
        </w:rPr>
        <w:t xml:space="preserve"> and </w:t>
      </w:r>
      <w:r w:rsidRPr="00ED1B85">
        <w:rPr>
          <w:rFonts w:ascii="Times New Roman" w:hAnsi="Times New Roman"/>
          <w:i/>
          <w:iCs/>
          <w:sz w:val="24"/>
          <w:szCs w:val="24"/>
          <w:lang w:val="en-GB"/>
        </w:rPr>
        <w:t>PACRG</w:t>
      </w:r>
      <w:r w:rsidRPr="00ED1B85">
        <w:rPr>
          <w:rFonts w:ascii="Times New Roman" w:hAnsi="Times New Roman"/>
          <w:sz w:val="24"/>
          <w:szCs w:val="24"/>
          <w:lang w:val="en-GB"/>
        </w:rPr>
        <w:t xml:space="preserve"> may play a role in the pathogenesis and development of this hematological neoplasm</w:t>
      </w:r>
      <w:r w:rsidR="00E67B89" w:rsidRPr="00ED1B85">
        <w:rPr>
          <w:rFonts w:ascii="Times New Roman" w:hAnsi="Times New Roman"/>
          <w:sz w:val="24"/>
          <w:szCs w:val="24"/>
          <w:lang w:val="en-GB"/>
        </w:rPr>
        <w:t xml:space="preserve"> [36]</w:t>
      </w:r>
      <w:r w:rsidRPr="00ED1B85">
        <w:rPr>
          <w:rFonts w:ascii="Times New Roman" w:hAnsi="Times New Roman"/>
          <w:sz w:val="24"/>
          <w:szCs w:val="24"/>
          <w:lang w:val="en-GB"/>
        </w:rPr>
        <w:t xml:space="preserve">. Since male mice homozygous for the </w:t>
      </w:r>
      <w:r w:rsidRPr="00ED1B85">
        <w:rPr>
          <w:rFonts w:ascii="Times New Roman" w:hAnsi="Times New Roman"/>
          <w:i/>
          <w:sz w:val="24"/>
          <w:szCs w:val="24"/>
          <w:lang w:val="en-GB"/>
        </w:rPr>
        <w:t xml:space="preserve">quaking viable </w:t>
      </w:r>
      <w:r w:rsidRPr="00ED1B85">
        <w:rPr>
          <w:rFonts w:ascii="Times New Roman" w:hAnsi="Times New Roman"/>
          <w:sz w:val="24"/>
          <w:szCs w:val="24"/>
          <w:lang w:val="en-GB"/>
        </w:rPr>
        <w:t xml:space="preserve">mutation, lacking </w:t>
      </w:r>
      <w:r w:rsidRPr="00ED1B85">
        <w:rPr>
          <w:rFonts w:ascii="Times New Roman" w:hAnsi="Times New Roman"/>
          <w:i/>
          <w:sz w:val="24"/>
          <w:szCs w:val="24"/>
          <w:lang w:val="en-GB"/>
        </w:rPr>
        <w:t xml:space="preserve">PACRG, </w:t>
      </w:r>
      <w:r w:rsidRPr="00ED1B85">
        <w:rPr>
          <w:rFonts w:ascii="Times New Roman" w:hAnsi="Times New Roman"/>
          <w:sz w:val="24"/>
          <w:szCs w:val="24"/>
          <w:lang w:val="en-GB"/>
        </w:rPr>
        <w:t>are sterile</w:t>
      </w:r>
      <w:r w:rsidR="001C0E4B">
        <w:rPr>
          <w:rFonts w:ascii="Times New Roman" w:hAnsi="Times New Roman"/>
          <w:sz w:val="24"/>
          <w:szCs w:val="24"/>
          <w:lang w:val="en-GB"/>
        </w:rPr>
        <w:t>,</w:t>
      </w:r>
      <w:r w:rsidRPr="00ED1B85">
        <w:rPr>
          <w:rFonts w:ascii="Times New Roman" w:hAnsi="Times New Roman"/>
          <w:sz w:val="24"/>
          <w:szCs w:val="24"/>
          <w:lang w:val="en-GB"/>
        </w:rPr>
        <w:t xml:space="preserve"> </w:t>
      </w:r>
      <w:r w:rsidRPr="00ED1B85">
        <w:rPr>
          <w:rFonts w:ascii="Times New Roman" w:hAnsi="Times New Roman"/>
          <w:i/>
          <w:iCs/>
          <w:sz w:val="24"/>
          <w:szCs w:val="24"/>
          <w:lang w:val="en-GB"/>
        </w:rPr>
        <w:t>PACRG</w:t>
      </w:r>
      <w:r w:rsidRPr="00ED1B85">
        <w:rPr>
          <w:rFonts w:ascii="Times New Roman" w:hAnsi="Times New Roman"/>
          <w:sz w:val="24"/>
          <w:szCs w:val="24"/>
          <w:lang w:val="en-GB"/>
        </w:rPr>
        <w:t>, which is expressed at high levels in the testis, has been suggested to play a key role in spermatogenesis</w:t>
      </w:r>
      <w:r w:rsidR="005F78FB" w:rsidRPr="00ED1B85">
        <w:rPr>
          <w:rFonts w:ascii="Times New Roman" w:hAnsi="Times New Roman"/>
          <w:sz w:val="24"/>
          <w:szCs w:val="24"/>
          <w:lang w:val="en-GB"/>
        </w:rPr>
        <w:t xml:space="preserve"> [37</w:t>
      </w:r>
      <w:r w:rsidR="00A35732" w:rsidRPr="00ED1B85">
        <w:rPr>
          <w:rFonts w:ascii="Times New Roman" w:hAnsi="Times New Roman"/>
          <w:sz w:val="24"/>
          <w:szCs w:val="24"/>
          <w:lang w:val="en-GB"/>
        </w:rPr>
        <w:t>, 38</w:t>
      </w:r>
      <w:r w:rsidR="005F78FB" w:rsidRPr="00ED1B85">
        <w:rPr>
          <w:rFonts w:ascii="Times New Roman" w:hAnsi="Times New Roman"/>
          <w:sz w:val="24"/>
          <w:szCs w:val="24"/>
          <w:lang w:val="en-GB"/>
        </w:rPr>
        <w:t>]</w:t>
      </w:r>
      <w:r w:rsidRPr="00ED1B85">
        <w:rPr>
          <w:rFonts w:ascii="Times New Roman" w:hAnsi="Times New Roman"/>
          <w:sz w:val="24"/>
          <w:szCs w:val="24"/>
          <w:lang w:val="en-GB"/>
        </w:rPr>
        <w:t xml:space="preserve">. In 2005, </w:t>
      </w:r>
      <w:r w:rsidR="00227FB3" w:rsidRPr="00ED1B85">
        <w:rPr>
          <w:rFonts w:ascii="Times New Roman" w:hAnsi="Times New Roman"/>
          <w:sz w:val="24"/>
          <w:szCs w:val="24"/>
          <w:lang w:val="en-GB"/>
        </w:rPr>
        <w:t>to</w:t>
      </w:r>
      <w:r w:rsidRPr="00ED1B85">
        <w:rPr>
          <w:rFonts w:ascii="Times New Roman" w:hAnsi="Times New Roman"/>
          <w:sz w:val="24"/>
          <w:szCs w:val="24"/>
          <w:lang w:val="en-GB"/>
        </w:rPr>
        <w:t xml:space="preserve"> elucidate the involvement of </w:t>
      </w:r>
      <w:r w:rsidRPr="00ED1B85">
        <w:rPr>
          <w:rFonts w:ascii="Times New Roman" w:hAnsi="Times New Roman"/>
          <w:i/>
          <w:iCs/>
          <w:sz w:val="24"/>
          <w:szCs w:val="24"/>
          <w:lang w:val="en-GB"/>
        </w:rPr>
        <w:t>PACRG</w:t>
      </w:r>
      <w:r w:rsidRPr="00ED1B85">
        <w:rPr>
          <w:rFonts w:ascii="Times New Roman" w:hAnsi="Times New Roman"/>
          <w:sz w:val="24"/>
          <w:szCs w:val="24"/>
          <w:lang w:val="en-GB"/>
        </w:rPr>
        <w:t xml:space="preserve"> in sterility, the gene was demonstrated to function within the axoneme, where </w:t>
      </w:r>
      <w:r w:rsidRPr="00ED1B85">
        <w:rPr>
          <w:rFonts w:ascii="Times New Roman" w:hAnsi="Times New Roman"/>
          <w:i/>
          <w:iCs/>
          <w:sz w:val="24"/>
          <w:szCs w:val="24"/>
          <w:lang w:val="en-GB"/>
        </w:rPr>
        <w:t>PACRG</w:t>
      </w:r>
      <w:r w:rsidRPr="00ED1B85">
        <w:rPr>
          <w:rFonts w:ascii="Times New Roman" w:hAnsi="Times New Roman"/>
          <w:sz w:val="24"/>
          <w:szCs w:val="24"/>
          <w:lang w:val="en-GB"/>
        </w:rPr>
        <w:t xml:space="preserve"> would act to maintain functional stability of the axonemal outer doublets of both motile and sensory cilia and flagella</w:t>
      </w:r>
      <w:r w:rsidR="005F78FB" w:rsidRPr="00ED1B85">
        <w:rPr>
          <w:rFonts w:ascii="Times New Roman" w:hAnsi="Times New Roman"/>
          <w:sz w:val="24"/>
          <w:szCs w:val="24"/>
          <w:lang w:val="en-GB"/>
        </w:rPr>
        <w:t xml:space="preserve"> [38]</w:t>
      </w:r>
      <w:r w:rsidRPr="00ED1B85">
        <w:rPr>
          <w:rFonts w:ascii="Times New Roman" w:hAnsi="Times New Roman"/>
          <w:sz w:val="24"/>
          <w:szCs w:val="24"/>
          <w:lang w:val="en-GB"/>
        </w:rPr>
        <w:t xml:space="preserve">. Co-sedimentation experiments revealed that </w:t>
      </w:r>
      <w:r w:rsidRPr="001C0E4B">
        <w:rPr>
          <w:rFonts w:ascii="Times New Roman" w:hAnsi="Times New Roman"/>
          <w:i/>
          <w:iCs/>
          <w:sz w:val="24"/>
          <w:szCs w:val="24"/>
          <w:lang w:val="en-GB"/>
        </w:rPr>
        <w:t>PACRG</w:t>
      </w:r>
      <w:r w:rsidRPr="00ED1B85">
        <w:rPr>
          <w:rFonts w:ascii="Times New Roman" w:hAnsi="Times New Roman"/>
          <w:sz w:val="24"/>
          <w:szCs w:val="24"/>
          <w:lang w:val="en-GB"/>
        </w:rPr>
        <w:t xml:space="preserve"> directly binds to microtubules and alpha/beta-tubulin heterodimers with high affinity. Microscopic studies showed that </w:t>
      </w:r>
      <w:r w:rsidRPr="001C0E4B">
        <w:rPr>
          <w:rFonts w:ascii="Times New Roman" w:hAnsi="Times New Roman"/>
          <w:i/>
          <w:iCs/>
          <w:sz w:val="24"/>
          <w:szCs w:val="24"/>
          <w:lang w:val="en-GB"/>
        </w:rPr>
        <w:t>PACRG</w:t>
      </w:r>
      <w:r w:rsidRPr="00ED1B85">
        <w:rPr>
          <w:rFonts w:ascii="Times New Roman" w:hAnsi="Times New Roman"/>
          <w:sz w:val="24"/>
          <w:szCs w:val="24"/>
          <w:lang w:val="en-GB"/>
        </w:rPr>
        <w:t xml:space="preserve"> bundles microtubules and forms branched aggregates with unpolymeri</w:t>
      </w:r>
      <w:r w:rsidR="00EA393A">
        <w:rPr>
          <w:rFonts w:ascii="Times New Roman" w:hAnsi="Times New Roman"/>
          <w:sz w:val="24"/>
          <w:szCs w:val="24"/>
          <w:lang w:val="en-GB"/>
        </w:rPr>
        <w:t>s</w:t>
      </w:r>
      <w:r w:rsidRPr="00ED1B85">
        <w:rPr>
          <w:rFonts w:ascii="Times New Roman" w:hAnsi="Times New Roman"/>
          <w:sz w:val="24"/>
          <w:szCs w:val="24"/>
          <w:lang w:val="en-GB"/>
        </w:rPr>
        <w:t>ed tubulin dimers</w:t>
      </w:r>
      <w:r w:rsidR="005F78FB" w:rsidRPr="00ED1B85">
        <w:rPr>
          <w:rFonts w:ascii="Times New Roman" w:hAnsi="Times New Roman"/>
          <w:sz w:val="24"/>
          <w:szCs w:val="24"/>
          <w:lang w:val="en-GB"/>
        </w:rPr>
        <w:t xml:space="preserve"> [39]</w:t>
      </w:r>
      <w:r w:rsidRPr="00ED1B85">
        <w:rPr>
          <w:rFonts w:ascii="Times New Roman" w:hAnsi="Times New Roman"/>
          <w:sz w:val="24"/>
          <w:szCs w:val="24"/>
          <w:lang w:val="en-GB"/>
        </w:rPr>
        <w:t xml:space="preserve">. It has been shown to be a component of the ependymal cilia and possibly be </w:t>
      </w:r>
      <w:r w:rsidR="005F78FB" w:rsidRPr="00ED1B85">
        <w:rPr>
          <w:rFonts w:ascii="Times New Roman" w:hAnsi="Times New Roman"/>
          <w:sz w:val="24"/>
          <w:szCs w:val="24"/>
          <w:lang w:val="en-GB"/>
        </w:rPr>
        <w:t>involved</w:t>
      </w:r>
      <w:r w:rsidRPr="00ED1B85">
        <w:rPr>
          <w:rFonts w:ascii="Times New Roman" w:hAnsi="Times New Roman"/>
          <w:sz w:val="24"/>
          <w:szCs w:val="24"/>
          <w:lang w:val="en-GB"/>
        </w:rPr>
        <w:t xml:space="preserve"> in ciliopathies</w:t>
      </w:r>
      <w:r w:rsidR="005F78FB" w:rsidRPr="00ED1B85">
        <w:rPr>
          <w:rFonts w:ascii="Times New Roman" w:hAnsi="Times New Roman"/>
          <w:sz w:val="24"/>
          <w:szCs w:val="24"/>
          <w:lang w:val="en-GB"/>
        </w:rPr>
        <w:t xml:space="preserve"> [40]</w:t>
      </w:r>
      <w:r w:rsidRPr="00ED1B85">
        <w:rPr>
          <w:rFonts w:ascii="Times New Roman" w:hAnsi="Times New Roman"/>
          <w:sz w:val="24"/>
          <w:szCs w:val="24"/>
          <w:lang w:val="en-GB"/>
        </w:rPr>
        <w:t xml:space="preserve">. Cell sensory/signaling functions have also been suggested for </w:t>
      </w:r>
      <w:r w:rsidRPr="001C0E4B">
        <w:rPr>
          <w:rFonts w:ascii="Times New Roman" w:hAnsi="Times New Roman"/>
          <w:i/>
          <w:iCs/>
          <w:sz w:val="24"/>
          <w:szCs w:val="24"/>
          <w:lang w:val="en-GB"/>
        </w:rPr>
        <w:t>PACRG</w:t>
      </w:r>
      <w:r w:rsidR="005F78FB" w:rsidRPr="00ED1B85">
        <w:rPr>
          <w:rFonts w:ascii="Times New Roman" w:hAnsi="Times New Roman"/>
          <w:sz w:val="24"/>
          <w:szCs w:val="24"/>
          <w:lang w:val="en-GB"/>
        </w:rPr>
        <w:t xml:space="preserve"> [41]</w:t>
      </w:r>
      <w:r w:rsidRPr="00ED1B85">
        <w:rPr>
          <w:rFonts w:ascii="Times New Roman" w:hAnsi="Times New Roman"/>
          <w:sz w:val="24"/>
          <w:szCs w:val="24"/>
          <w:lang w:val="en-GB"/>
        </w:rPr>
        <w:t xml:space="preserve">. Variation in the promoter of </w:t>
      </w:r>
      <w:r w:rsidRPr="00ED1B85">
        <w:rPr>
          <w:rFonts w:ascii="Times New Roman" w:hAnsi="Times New Roman"/>
          <w:i/>
          <w:iCs/>
          <w:sz w:val="24"/>
          <w:szCs w:val="24"/>
          <w:lang w:val="en-GB"/>
        </w:rPr>
        <w:t>PACRG</w:t>
      </w:r>
      <w:r w:rsidRPr="00ED1B85">
        <w:rPr>
          <w:rFonts w:ascii="Times New Roman" w:hAnsi="Times New Roman"/>
          <w:sz w:val="24"/>
          <w:szCs w:val="24"/>
          <w:lang w:val="en-GB"/>
        </w:rPr>
        <w:t xml:space="preserve"> was demonstrated to be a risk factor associated with azoospermia in humans</w:t>
      </w:r>
      <w:r w:rsidR="005F78FB" w:rsidRPr="00ED1B85">
        <w:rPr>
          <w:rFonts w:ascii="Times New Roman" w:hAnsi="Times New Roman"/>
          <w:sz w:val="24"/>
          <w:szCs w:val="24"/>
          <w:lang w:val="en-GB"/>
        </w:rPr>
        <w:t xml:space="preserve"> [42]</w:t>
      </w:r>
      <w:r w:rsidRPr="00ED1B85">
        <w:rPr>
          <w:rFonts w:ascii="Times New Roman" w:hAnsi="Times New Roman"/>
          <w:sz w:val="24"/>
          <w:szCs w:val="24"/>
          <w:lang w:val="en-GB"/>
        </w:rPr>
        <w:t xml:space="preserve">. It was shown </w:t>
      </w:r>
      <w:r w:rsidR="005F78FB" w:rsidRPr="00ED1B85">
        <w:rPr>
          <w:rFonts w:ascii="Times New Roman" w:hAnsi="Times New Roman"/>
          <w:sz w:val="24"/>
          <w:szCs w:val="24"/>
          <w:lang w:val="en-GB"/>
        </w:rPr>
        <w:t>to</w:t>
      </w:r>
      <w:r w:rsidRPr="00ED1B85">
        <w:rPr>
          <w:rFonts w:ascii="Times New Roman" w:hAnsi="Times New Roman"/>
          <w:sz w:val="24"/>
          <w:szCs w:val="24"/>
          <w:lang w:val="en-GB"/>
        </w:rPr>
        <w:t xml:space="preserve"> associate with </w:t>
      </w:r>
      <w:r w:rsidRPr="003409DC">
        <w:rPr>
          <w:rFonts w:ascii="Times New Roman" w:hAnsi="Times New Roman"/>
          <w:sz w:val="24"/>
          <w:szCs w:val="24"/>
          <w:lang w:val="en-GB"/>
        </w:rPr>
        <w:t>MEIG1</w:t>
      </w:r>
      <w:r w:rsidRPr="00ED1B85">
        <w:rPr>
          <w:rFonts w:ascii="Times New Roman" w:hAnsi="Times New Roman"/>
          <w:sz w:val="24"/>
          <w:szCs w:val="24"/>
          <w:lang w:val="en-GB"/>
        </w:rPr>
        <w:t xml:space="preserve">, a protein whose inactivating mutations were shown to generate sterile mice as a result of impaired spermatogenesis at the stage of elongation and condensation, overall suggesting a critical role for the </w:t>
      </w:r>
      <w:r w:rsidRPr="003409DC">
        <w:rPr>
          <w:rFonts w:ascii="Times New Roman" w:hAnsi="Times New Roman"/>
          <w:sz w:val="24"/>
          <w:szCs w:val="24"/>
          <w:lang w:val="en-GB"/>
        </w:rPr>
        <w:t>MEIG1/PARCG</w:t>
      </w:r>
      <w:r w:rsidRPr="00ED1B85">
        <w:rPr>
          <w:rFonts w:ascii="Times New Roman" w:hAnsi="Times New Roman"/>
          <w:sz w:val="24"/>
          <w:szCs w:val="24"/>
          <w:lang w:val="en-GB"/>
        </w:rPr>
        <w:t xml:space="preserve"> partnership in manchette structure and function and the control of spermiogenesis</w:t>
      </w:r>
      <w:r w:rsidR="005F78FB" w:rsidRPr="00ED1B85">
        <w:rPr>
          <w:rFonts w:ascii="Times New Roman" w:hAnsi="Times New Roman"/>
          <w:sz w:val="24"/>
          <w:szCs w:val="24"/>
          <w:lang w:val="en-GB"/>
        </w:rPr>
        <w:t xml:space="preserve"> [43]</w:t>
      </w:r>
      <w:r w:rsidRPr="00ED1B85">
        <w:rPr>
          <w:rFonts w:ascii="Times New Roman" w:hAnsi="Times New Roman"/>
          <w:sz w:val="24"/>
          <w:szCs w:val="24"/>
          <w:lang w:val="en-GB"/>
        </w:rPr>
        <w:t>. In cattle, it was found associated with testis maturation</w:t>
      </w:r>
      <w:r w:rsidR="005F78FB" w:rsidRPr="00ED1B85">
        <w:rPr>
          <w:rFonts w:ascii="Times New Roman" w:hAnsi="Times New Roman"/>
          <w:sz w:val="24"/>
          <w:szCs w:val="24"/>
          <w:lang w:val="en-GB"/>
        </w:rPr>
        <w:t xml:space="preserve"> [44]</w:t>
      </w:r>
      <w:r w:rsidRPr="00ED1B85">
        <w:rPr>
          <w:rFonts w:ascii="Times New Roman" w:hAnsi="Times New Roman"/>
          <w:sz w:val="24"/>
          <w:szCs w:val="24"/>
          <w:lang w:val="en-GB"/>
        </w:rPr>
        <w:t xml:space="preserve">. In humans, variants at the </w:t>
      </w:r>
      <w:r w:rsidRPr="00ED1B85">
        <w:rPr>
          <w:rFonts w:ascii="Times New Roman" w:hAnsi="Times New Roman"/>
          <w:i/>
          <w:iCs/>
          <w:sz w:val="24"/>
          <w:szCs w:val="24"/>
          <w:lang w:val="en-GB"/>
        </w:rPr>
        <w:t>PACRG</w:t>
      </w:r>
      <w:r w:rsidRPr="00ED1B85">
        <w:rPr>
          <w:rFonts w:ascii="Times New Roman" w:hAnsi="Times New Roman"/>
          <w:sz w:val="24"/>
          <w:szCs w:val="24"/>
          <w:lang w:val="en-GB"/>
        </w:rPr>
        <w:t xml:space="preserve"> gene were found in infertile men</w:t>
      </w:r>
      <w:r w:rsidR="005F78FB" w:rsidRPr="00ED1B85">
        <w:rPr>
          <w:rFonts w:ascii="Times New Roman" w:hAnsi="Times New Roman"/>
          <w:sz w:val="24"/>
          <w:szCs w:val="24"/>
          <w:lang w:val="en-GB"/>
        </w:rPr>
        <w:t xml:space="preserve"> [45]</w:t>
      </w:r>
      <w:r w:rsidRPr="00ED1B85">
        <w:rPr>
          <w:rFonts w:ascii="Times New Roman" w:hAnsi="Times New Roman"/>
          <w:sz w:val="24"/>
          <w:szCs w:val="24"/>
          <w:lang w:val="en-GB"/>
        </w:rPr>
        <w:t>.</w:t>
      </w:r>
    </w:p>
    <w:p w14:paraId="2E157F75" w14:textId="09C77C94" w:rsidR="004A3E35" w:rsidRPr="00ED1B85" w:rsidRDefault="004A3E35">
      <w:pPr>
        <w:rPr>
          <w:rFonts w:ascii="Times New Roman" w:hAnsi="Times New Roman"/>
          <w:sz w:val="24"/>
          <w:szCs w:val="24"/>
          <w:lang w:val="en-GB"/>
        </w:rPr>
      </w:pPr>
    </w:p>
    <w:p w14:paraId="450301C6" w14:textId="7ED0B64C" w:rsidR="004A3E35" w:rsidRPr="00B64551" w:rsidRDefault="00ED1B85" w:rsidP="00B64551">
      <w:pPr>
        <w:spacing w:after="0" w:line="480" w:lineRule="auto"/>
        <w:jc w:val="both"/>
        <w:rPr>
          <w:rFonts w:ascii="Times New Roman" w:hAnsi="Times New Roman"/>
          <w:sz w:val="24"/>
          <w:szCs w:val="24"/>
          <w:lang w:val="en-GB"/>
        </w:rPr>
      </w:pPr>
      <w:r w:rsidRPr="00EA393A">
        <w:rPr>
          <w:rFonts w:ascii="Times New Roman" w:hAnsi="Times New Roman"/>
          <w:b/>
          <w:bCs/>
          <w:i/>
          <w:iCs/>
          <w:sz w:val="24"/>
          <w:szCs w:val="24"/>
          <w:lang w:val="en-GB"/>
        </w:rPr>
        <w:t>KCNIP4</w:t>
      </w:r>
      <w:r w:rsidRPr="00B64551">
        <w:rPr>
          <w:rFonts w:ascii="Times New Roman" w:hAnsi="Times New Roman"/>
          <w:i/>
          <w:iCs/>
          <w:sz w:val="24"/>
          <w:szCs w:val="24"/>
          <w:lang w:val="en-GB"/>
        </w:rPr>
        <w:t xml:space="preserve"> - </w:t>
      </w:r>
      <w:r w:rsidRPr="00B64551">
        <w:rPr>
          <w:rFonts w:ascii="Times New Roman" w:hAnsi="Times New Roman"/>
          <w:sz w:val="24"/>
          <w:szCs w:val="24"/>
          <w:lang w:val="en-GB"/>
        </w:rPr>
        <w:t>This gene encodes a member of the family of voltage-gated potassium (Kv) channel-interacting proteins (KCNIPs), which belong to the recoverin branch of the EF-hand superfamily</w:t>
      </w:r>
      <w:r w:rsidR="003409DC">
        <w:rPr>
          <w:rFonts w:ascii="Times New Roman" w:hAnsi="Times New Roman"/>
          <w:sz w:val="24"/>
          <w:szCs w:val="24"/>
          <w:lang w:val="en-GB"/>
        </w:rPr>
        <w:t xml:space="preserve"> [46]</w:t>
      </w:r>
      <w:r w:rsidRPr="00B64551">
        <w:rPr>
          <w:rFonts w:ascii="Times New Roman" w:hAnsi="Times New Roman"/>
          <w:sz w:val="24"/>
          <w:szCs w:val="24"/>
          <w:lang w:val="en-GB"/>
        </w:rPr>
        <w:t xml:space="preserve">. Members of the </w:t>
      </w:r>
      <w:r w:rsidRPr="00B64551">
        <w:rPr>
          <w:rFonts w:ascii="Times New Roman" w:hAnsi="Times New Roman"/>
          <w:i/>
          <w:iCs/>
          <w:sz w:val="24"/>
          <w:szCs w:val="24"/>
          <w:lang w:val="en-GB"/>
        </w:rPr>
        <w:t>KCNIP</w:t>
      </w:r>
      <w:r w:rsidRPr="00B64551">
        <w:rPr>
          <w:rFonts w:ascii="Times New Roman" w:hAnsi="Times New Roman"/>
          <w:sz w:val="24"/>
          <w:szCs w:val="24"/>
          <w:lang w:val="en-GB"/>
        </w:rPr>
        <w:t xml:space="preserve"> family are small calcium binding proteins. </w:t>
      </w:r>
      <w:r w:rsidRPr="00B64551">
        <w:rPr>
          <w:rFonts w:ascii="Times New Roman" w:hAnsi="Times New Roman"/>
          <w:i/>
          <w:iCs/>
          <w:sz w:val="24"/>
          <w:szCs w:val="24"/>
          <w:lang w:val="en-GB"/>
        </w:rPr>
        <w:t>KCNIP4</w:t>
      </w:r>
      <w:r w:rsidRPr="00B64551">
        <w:rPr>
          <w:rFonts w:ascii="Times New Roman" w:hAnsi="Times New Roman"/>
          <w:sz w:val="24"/>
          <w:szCs w:val="24"/>
          <w:lang w:val="en-GB"/>
        </w:rPr>
        <w:t xml:space="preserve"> has been identified as a β-catenin/Nurr1 target that modulates Wnt signaling by interacting with the presenilin complex [</w:t>
      </w:r>
      <w:r w:rsidR="003409DC" w:rsidRPr="003409DC">
        <w:rPr>
          <w:rFonts w:ascii="Times New Roman" w:hAnsi="Times New Roman"/>
          <w:sz w:val="24"/>
          <w:szCs w:val="24"/>
          <w:lang w:val="en-GB"/>
        </w:rPr>
        <w:t>46,</w:t>
      </w:r>
      <w:r w:rsidR="003409DC">
        <w:rPr>
          <w:rFonts w:ascii="Times New Roman" w:hAnsi="Times New Roman"/>
          <w:sz w:val="24"/>
          <w:szCs w:val="24"/>
          <w:lang w:val="en-GB"/>
        </w:rPr>
        <w:t xml:space="preserve"> </w:t>
      </w:r>
      <w:r w:rsidRPr="00B64551">
        <w:rPr>
          <w:rFonts w:ascii="Times New Roman" w:hAnsi="Times New Roman"/>
          <w:sz w:val="24"/>
          <w:szCs w:val="24"/>
          <w:lang w:val="en-GB"/>
        </w:rPr>
        <w:t xml:space="preserve">47]. </w:t>
      </w:r>
      <w:r w:rsidRPr="00B64551">
        <w:rPr>
          <w:rFonts w:ascii="Times New Roman" w:hAnsi="Times New Roman"/>
          <w:i/>
          <w:iCs/>
          <w:sz w:val="24"/>
          <w:szCs w:val="24"/>
          <w:lang w:val="en-GB"/>
        </w:rPr>
        <w:t>KCNIP4</w:t>
      </w:r>
      <w:r w:rsidRPr="00B64551">
        <w:rPr>
          <w:rFonts w:ascii="Times New Roman" w:hAnsi="Times New Roman"/>
          <w:sz w:val="24"/>
          <w:szCs w:val="24"/>
          <w:lang w:val="en-GB"/>
        </w:rPr>
        <w:t xml:space="preserve"> has been suggested as a candidate gene for renal cell cancer [48], lung cancer, pancreatic cancer [49], childhood acute lymphoblastic leukemia [50], ACE inhibitor-induced cough [51]. An alternative </w:t>
      </w:r>
      <w:r w:rsidRPr="003409DC">
        <w:rPr>
          <w:rFonts w:ascii="Times New Roman" w:hAnsi="Times New Roman"/>
          <w:i/>
          <w:iCs/>
          <w:sz w:val="24"/>
          <w:szCs w:val="24"/>
          <w:lang w:val="en-GB"/>
        </w:rPr>
        <w:t>KCNIP4</w:t>
      </w:r>
      <w:r w:rsidRPr="00B64551">
        <w:rPr>
          <w:rFonts w:ascii="Times New Roman" w:hAnsi="Times New Roman"/>
          <w:sz w:val="24"/>
          <w:szCs w:val="24"/>
          <w:lang w:val="en-GB"/>
        </w:rPr>
        <w:t xml:space="preserve"> isoform has been described, that cannot interact with the γ-secretase complex, </w:t>
      </w:r>
      <w:r w:rsidRPr="00B64551">
        <w:rPr>
          <w:rFonts w:ascii="Times New Roman" w:hAnsi="Times New Roman"/>
          <w:sz w:val="24"/>
          <w:szCs w:val="24"/>
          <w:lang w:val="en-GB"/>
        </w:rPr>
        <w:lastRenderedPageBreak/>
        <w:t xml:space="preserve">resulting in modification of γ-secretase activity, amyloid precursor protein processing, and increased secretion of β-amyloid enriched in the more toxic Aβ x-42 species. Notably, synthesis of the variant </w:t>
      </w:r>
      <w:r w:rsidRPr="003409DC">
        <w:rPr>
          <w:rFonts w:ascii="Times New Roman" w:hAnsi="Times New Roman"/>
          <w:i/>
          <w:iCs/>
          <w:sz w:val="24"/>
          <w:szCs w:val="24"/>
          <w:lang w:val="en-GB"/>
        </w:rPr>
        <w:t>KCNIP4</w:t>
      </w:r>
      <w:r w:rsidRPr="00B64551">
        <w:rPr>
          <w:rFonts w:ascii="Times New Roman" w:hAnsi="Times New Roman"/>
          <w:sz w:val="24"/>
          <w:szCs w:val="24"/>
          <w:lang w:val="en-GB"/>
        </w:rPr>
        <w:t xml:space="preserve"> isoform is also detrimental to brain physiology, as it results in the concomitant blockade of the fast kinetics of potassium channels. This alternative splicing shift is observed at high frequency in tissue samples from Alzheimer's disease patients</w:t>
      </w:r>
      <w:r w:rsidR="00D9739D" w:rsidRPr="00B64551">
        <w:rPr>
          <w:rFonts w:ascii="Times New Roman" w:hAnsi="Times New Roman"/>
          <w:sz w:val="24"/>
          <w:szCs w:val="24"/>
          <w:lang w:val="en-GB"/>
        </w:rPr>
        <w:t xml:space="preserve"> [52]</w:t>
      </w:r>
      <w:r w:rsidRPr="00B64551">
        <w:rPr>
          <w:rFonts w:ascii="Times New Roman" w:hAnsi="Times New Roman"/>
          <w:sz w:val="24"/>
          <w:szCs w:val="24"/>
          <w:lang w:val="en-GB"/>
        </w:rPr>
        <w:t>. It has also suggested as a candidate gene for attention-deficit/hyperactivity disorder, a neurodevelopmental disorder in children with striking persistence into adulthood and a high co-morbidity with other psychiatric disorders, including personality disorders</w:t>
      </w:r>
      <w:r w:rsidR="00D9739D" w:rsidRPr="00B64551">
        <w:rPr>
          <w:rFonts w:ascii="Times New Roman" w:hAnsi="Times New Roman"/>
          <w:sz w:val="24"/>
          <w:szCs w:val="24"/>
          <w:lang w:val="en-GB"/>
        </w:rPr>
        <w:t xml:space="preserve"> [53]</w:t>
      </w:r>
      <w:r w:rsidRPr="00B64551">
        <w:rPr>
          <w:rFonts w:ascii="Times New Roman" w:hAnsi="Times New Roman"/>
          <w:sz w:val="24"/>
          <w:szCs w:val="24"/>
          <w:lang w:val="en-GB"/>
        </w:rPr>
        <w:t>. In dogs, it has been suggested a candidate gene for cerebellar ataxia</w:t>
      </w:r>
      <w:r w:rsidR="00D9739D" w:rsidRPr="00B64551">
        <w:rPr>
          <w:rFonts w:ascii="Times New Roman" w:hAnsi="Times New Roman"/>
          <w:sz w:val="24"/>
          <w:szCs w:val="24"/>
          <w:lang w:val="en-GB"/>
        </w:rPr>
        <w:t xml:space="preserve"> [54]</w:t>
      </w:r>
      <w:r w:rsidRPr="00B64551">
        <w:rPr>
          <w:rFonts w:ascii="Times New Roman" w:hAnsi="Times New Roman"/>
          <w:sz w:val="24"/>
          <w:szCs w:val="24"/>
          <w:lang w:val="en-GB"/>
        </w:rPr>
        <w:t xml:space="preserve">. It was identified as a potential target gene in </w:t>
      </w:r>
      <w:r w:rsidR="00D9739D" w:rsidRPr="00B64551">
        <w:rPr>
          <w:rFonts w:ascii="Times New Roman" w:hAnsi="Times New Roman"/>
          <w:sz w:val="24"/>
          <w:szCs w:val="24"/>
          <w:lang w:val="en-GB"/>
        </w:rPr>
        <w:t>pathogenesis</w:t>
      </w:r>
      <w:r w:rsidRPr="00B64551">
        <w:rPr>
          <w:rFonts w:ascii="Times New Roman" w:hAnsi="Times New Roman"/>
          <w:sz w:val="24"/>
          <w:szCs w:val="24"/>
          <w:lang w:val="en-GB"/>
        </w:rPr>
        <w:t xml:space="preserve"> of autism </w:t>
      </w:r>
      <w:r w:rsidR="00D9739D" w:rsidRPr="00B64551">
        <w:rPr>
          <w:rFonts w:ascii="Times New Roman" w:hAnsi="Times New Roman"/>
          <w:sz w:val="24"/>
          <w:szCs w:val="24"/>
          <w:lang w:val="en-GB"/>
        </w:rPr>
        <w:t>[55]</w:t>
      </w:r>
      <w:r w:rsidRPr="00B64551">
        <w:rPr>
          <w:rFonts w:ascii="Times New Roman" w:hAnsi="Times New Roman"/>
          <w:sz w:val="24"/>
          <w:szCs w:val="24"/>
          <w:lang w:val="en-GB"/>
        </w:rPr>
        <w:t xml:space="preserve"> and epilepsy </w:t>
      </w:r>
      <w:r w:rsidR="00D9739D" w:rsidRPr="00B64551">
        <w:rPr>
          <w:rFonts w:ascii="Times New Roman" w:hAnsi="Times New Roman"/>
          <w:sz w:val="24"/>
          <w:szCs w:val="24"/>
          <w:lang w:val="en-GB"/>
        </w:rPr>
        <w:t>[56]</w:t>
      </w:r>
      <w:r w:rsidRPr="00B64551">
        <w:rPr>
          <w:rFonts w:ascii="Times New Roman" w:hAnsi="Times New Roman"/>
          <w:sz w:val="24"/>
          <w:szCs w:val="24"/>
          <w:lang w:val="en-GB"/>
        </w:rPr>
        <w:t>. It was also identified as associated with asthma</w:t>
      </w:r>
      <w:r w:rsidR="00D9739D" w:rsidRPr="00B64551">
        <w:rPr>
          <w:rFonts w:ascii="Times New Roman" w:hAnsi="Times New Roman"/>
          <w:sz w:val="24"/>
          <w:szCs w:val="24"/>
          <w:lang w:val="en-GB"/>
        </w:rPr>
        <w:t xml:space="preserve"> [57]</w:t>
      </w:r>
      <w:r w:rsidRPr="00B64551">
        <w:rPr>
          <w:rFonts w:ascii="Times New Roman" w:hAnsi="Times New Roman"/>
          <w:sz w:val="24"/>
          <w:szCs w:val="24"/>
          <w:lang w:val="en-GB"/>
        </w:rPr>
        <w:t>, a common chronic respiratory disease characteri</w:t>
      </w:r>
      <w:r w:rsidR="00EA393A">
        <w:rPr>
          <w:rFonts w:ascii="Times New Roman" w:hAnsi="Times New Roman"/>
          <w:sz w:val="24"/>
          <w:szCs w:val="24"/>
          <w:lang w:val="en-GB"/>
        </w:rPr>
        <w:t>s</w:t>
      </w:r>
      <w:r w:rsidRPr="00B64551">
        <w:rPr>
          <w:rFonts w:ascii="Times New Roman" w:hAnsi="Times New Roman"/>
          <w:sz w:val="24"/>
          <w:szCs w:val="24"/>
          <w:lang w:val="en-GB"/>
        </w:rPr>
        <w:t xml:space="preserve">ed by airway hyperresponsiveness </w:t>
      </w:r>
      <w:r w:rsidR="00EA393A">
        <w:rPr>
          <w:rFonts w:ascii="Times New Roman" w:hAnsi="Times New Roman"/>
          <w:sz w:val="24"/>
          <w:szCs w:val="24"/>
          <w:lang w:val="en-GB"/>
        </w:rPr>
        <w:t>and</w:t>
      </w:r>
      <w:r w:rsidRPr="00B64551">
        <w:rPr>
          <w:rFonts w:ascii="Times New Roman" w:hAnsi="Times New Roman"/>
          <w:sz w:val="24"/>
          <w:szCs w:val="24"/>
          <w:lang w:val="en-GB"/>
        </w:rPr>
        <w:t xml:space="preserve"> chronic kidney disease </w:t>
      </w:r>
      <w:r w:rsidR="00D9739D" w:rsidRPr="00B64551">
        <w:rPr>
          <w:rFonts w:ascii="Times New Roman" w:hAnsi="Times New Roman"/>
          <w:sz w:val="24"/>
          <w:szCs w:val="24"/>
          <w:lang w:val="en-GB"/>
        </w:rPr>
        <w:t>[58]</w:t>
      </w:r>
      <w:r w:rsidRPr="00B64551">
        <w:rPr>
          <w:rFonts w:ascii="Times New Roman" w:hAnsi="Times New Roman"/>
          <w:sz w:val="24"/>
          <w:szCs w:val="24"/>
          <w:lang w:val="en-GB"/>
        </w:rPr>
        <w:t>. Together with miR-3068-3p, it has been suggested to serve as a novel target for the treatment of ischemic stroke</w:t>
      </w:r>
      <w:r w:rsidR="00D9739D" w:rsidRPr="00B64551">
        <w:rPr>
          <w:rFonts w:ascii="Times New Roman" w:hAnsi="Times New Roman"/>
          <w:sz w:val="24"/>
          <w:szCs w:val="24"/>
          <w:lang w:val="en-GB"/>
        </w:rPr>
        <w:t xml:space="preserve"> [59]</w:t>
      </w:r>
      <w:r w:rsidRPr="00B64551">
        <w:rPr>
          <w:rFonts w:ascii="Times New Roman" w:hAnsi="Times New Roman"/>
          <w:sz w:val="24"/>
          <w:szCs w:val="24"/>
          <w:lang w:val="en-GB"/>
        </w:rPr>
        <w:t xml:space="preserve">. It was shown, through a whole-genome cardiac DNA methylation fingerprint and gene expression analysis in chronic Chagas disease cardiomyopathy, that methylation modified expression of key genes, among which </w:t>
      </w:r>
      <w:r w:rsidRPr="00790DC0">
        <w:rPr>
          <w:rFonts w:ascii="Times New Roman" w:hAnsi="Times New Roman"/>
          <w:i/>
          <w:iCs/>
          <w:sz w:val="24"/>
          <w:szCs w:val="24"/>
          <w:lang w:val="en-GB"/>
        </w:rPr>
        <w:t>KCNIP4</w:t>
      </w:r>
      <w:r w:rsidRPr="00B64551">
        <w:rPr>
          <w:rFonts w:ascii="Times New Roman" w:hAnsi="Times New Roman"/>
          <w:sz w:val="24"/>
          <w:szCs w:val="24"/>
          <w:lang w:val="en-GB"/>
        </w:rPr>
        <w:t xml:space="preserve"> </w:t>
      </w:r>
      <w:r w:rsidR="003409DC">
        <w:rPr>
          <w:rFonts w:ascii="Times New Roman" w:hAnsi="Times New Roman"/>
          <w:sz w:val="24"/>
          <w:szCs w:val="24"/>
          <w:lang w:val="en-GB"/>
        </w:rPr>
        <w:t xml:space="preserve">gene </w:t>
      </w:r>
      <w:r w:rsidR="00B64551" w:rsidRPr="00B64551">
        <w:rPr>
          <w:rFonts w:ascii="Times New Roman" w:hAnsi="Times New Roman"/>
          <w:sz w:val="24"/>
          <w:szCs w:val="24"/>
          <w:lang w:val="en-GB"/>
        </w:rPr>
        <w:t>[60]</w:t>
      </w:r>
      <w:r w:rsidRPr="00B64551">
        <w:rPr>
          <w:rFonts w:ascii="Times New Roman" w:hAnsi="Times New Roman"/>
          <w:sz w:val="24"/>
          <w:szCs w:val="24"/>
          <w:lang w:val="en-GB"/>
        </w:rPr>
        <w:t xml:space="preserve">. SNPs in </w:t>
      </w:r>
      <w:r w:rsidRPr="00B64551">
        <w:rPr>
          <w:rFonts w:ascii="Times New Roman" w:hAnsi="Times New Roman"/>
          <w:i/>
          <w:iCs/>
          <w:sz w:val="24"/>
          <w:szCs w:val="24"/>
          <w:lang w:val="en-GB"/>
        </w:rPr>
        <w:t>KCNIP3</w:t>
      </w:r>
      <w:r w:rsidRPr="00B64551">
        <w:rPr>
          <w:rFonts w:ascii="Times New Roman" w:hAnsi="Times New Roman"/>
          <w:sz w:val="24"/>
          <w:szCs w:val="24"/>
          <w:lang w:val="en-GB"/>
        </w:rPr>
        <w:t xml:space="preserve"> were found to be closely associated with growth traits in a genome-wide association study carried out in Red Angus cattle </w:t>
      </w:r>
      <w:r w:rsidR="00B64551" w:rsidRPr="00B64551">
        <w:rPr>
          <w:rFonts w:ascii="Times New Roman" w:hAnsi="Times New Roman"/>
          <w:sz w:val="24"/>
          <w:szCs w:val="24"/>
          <w:lang w:val="en-GB"/>
        </w:rPr>
        <w:t>[61]</w:t>
      </w:r>
      <w:r w:rsidRPr="00B64551">
        <w:rPr>
          <w:rFonts w:ascii="Times New Roman" w:hAnsi="Times New Roman"/>
          <w:sz w:val="24"/>
          <w:szCs w:val="24"/>
          <w:lang w:val="en-GB"/>
        </w:rPr>
        <w:t xml:space="preserve">, with body weigh in Chinese Yancheng chickens </w:t>
      </w:r>
      <w:r w:rsidR="00B64551" w:rsidRPr="00B64551">
        <w:rPr>
          <w:rFonts w:ascii="Times New Roman" w:hAnsi="Times New Roman"/>
          <w:sz w:val="24"/>
          <w:szCs w:val="24"/>
          <w:lang w:val="en-GB"/>
        </w:rPr>
        <w:t>[62]</w:t>
      </w:r>
      <w:r w:rsidRPr="00B64551">
        <w:rPr>
          <w:rFonts w:ascii="Times New Roman" w:hAnsi="Times New Roman"/>
          <w:sz w:val="24"/>
          <w:szCs w:val="24"/>
          <w:lang w:val="en-GB"/>
        </w:rPr>
        <w:t xml:space="preserve">, Korean Native Chickens </w:t>
      </w:r>
      <w:r w:rsidR="00B64551" w:rsidRPr="00B64551">
        <w:rPr>
          <w:rFonts w:ascii="Times New Roman" w:hAnsi="Times New Roman"/>
          <w:sz w:val="24"/>
          <w:szCs w:val="24"/>
          <w:lang w:val="en-GB"/>
        </w:rPr>
        <w:t>[63]</w:t>
      </w:r>
      <w:r w:rsidRPr="00B64551">
        <w:rPr>
          <w:rFonts w:ascii="Times New Roman" w:hAnsi="Times New Roman"/>
          <w:sz w:val="24"/>
          <w:szCs w:val="24"/>
          <w:lang w:val="en-GB"/>
        </w:rPr>
        <w:t xml:space="preserve"> and a chicken F2 resource population </w:t>
      </w:r>
      <w:r w:rsidR="00B64551" w:rsidRPr="00B64551">
        <w:rPr>
          <w:rFonts w:ascii="Times New Roman" w:hAnsi="Times New Roman"/>
          <w:sz w:val="24"/>
          <w:szCs w:val="24"/>
          <w:lang w:val="en-GB"/>
        </w:rPr>
        <w:t>[64]</w:t>
      </w:r>
      <w:r w:rsidRPr="00B64551">
        <w:rPr>
          <w:rFonts w:ascii="Times New Roman" w:hAnsi="Times New Roman"/>
          <w:sz w:val="24"/>
          <w:szCs w:val="24"/>
          <w:lang w:val="en-GB"/>
        </w:rPr>
        <w:t xml:space="preserve">, and with reproductive traits in a local Chinese chicken </w:t>
      </w:r>
      <w:r w:rsidR="00B64551" w:rsidRPr="00B64551">
        <w:rPr>
          <w:rFonts w:ascii="Times New Roman" w:hAnsi="Times New Roman"/>
          <w:sz w:val="24"/>
          <w:szCs w:val="24"/>
          <w:lang w:val="en-GB"/>
        </w:rPr>
        <w:t>[65]</w:t>
      </w:r>
      <w:r w:rsidRPr="00B64551">
        <w:rPr>
          <w:rFonts w:ascii="Times New Roman" w:hAnsi="Times New Roman"/>
          <w:sz w:val="24"/>
          <w:szCs w:val="24"/>
          <w:lang w:val="en-GB"/>
        </w:rPr>
        <w:t>.</w:t>
      </w:r>
    </w:p>
    <w:p w14:paraId="33E2B458" w14:textId="77777777" w:rsidR="00B64551" w:rsidRPr="00ED1B85" w:rsidRDefault="00B64551" w:rsidP="00B64551">
      <w:pPr>
        <w:spacing w:after="0" w:line="480" w:lineRule="auto"/>
        <w:jc w:val="both"/>
        <w:rPr>
          <w:rFonts w:ascii="Times New Roman" w:hAnsi="Times New Roman"/>
          <w:sz w:val="24"/>
          <w:szCs w:val="24"/>
          <w:lang w:val="en-GB"/>
        </w:rPr>
      </w:pPr>
    </w:p>
    <w:p w14:paraId="72C65BFB" w14:textId="219D4891" w:rsidR="00B85A18" w:rsidRPr="00ED1B85" w:rsidRDefault="00B85A18" w:rsidP="002C1C6F">
      <w:pPr>
        <w:jc w:val="both"/>
        <w:rPr>
          <w:rFonts w:ascii="Times New Roman" w:hAnsi="Times New Roman"/>
          <w:b/>
          <w:bCs/>
          <w:sz w:val="24"/>
          <w:szCs w:val="24"/>
          <w:lang w:val="en-GB"/>
        </w:rPr>
      </w:pPr>
      <w:r w:rsidRPr="00ED1B85">
        <w:rPr>
          <w:rFonts w:ascii="Times New Roman" w:hAnsi="Times New Roman"/>
          <w:b/>
          <w:bCs/>
          <w:sz w:val="24"/>
          <w:szCs w:val="24"/>
          <w:lang w:val="en-GB"/>
        </w:rPr>
        <w:t>References</w:t>
      </w:r>
    </w:p>
    <w:p w14:paraId="1AE356FB" w14:textId="5915744F" w:rsidR="00B85A18" w:rsidRPr="00ED1B85" w:rsidRDefault="00B85A18"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https://www.genecards.org/cgi-bin/carddisp.pl?gene=SLIT2</w:t>
      </w:r>
      <w:r w:rsidR="00255414">
        <w:rPr>
          <w:rFonts w:ascii="Times New Roman" w:hAnsi="Times New Roman"/>
          <w:sz w:val="24"/>
          <w:szCs w:val="24"/>
          <w:lang w:val="en-GB"/>
        </w:rPr>
        <w:t>.</w:t>
      </w:r>
    </w:p>
    <w:p w14:paraId="0F98C487" w14:textId="7691FBF2" w:rsidR="00B85A18" w:rsidRPr="00ED1B85" w:rsidRDefault="00B85A18"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rPr>
        <w:t>Kanellis J, Garcia GE, Li P, Parra G, Wilson CB, Rao Y</w:t>
      </w:r>
      <w:r w:rsidR="00B82B8A" w:rsidRPr="00ED1B85">
        <w:rPr>
          <w:rFonts w:ascii="Times New Roman" w:hAnsi="Times New Roman"/>
          <w:sz w:val="24"/>
          <w:szCs w:val="24"/>
        </w:rPr>
        <w:t>, et al.</w:t>
      </w:r>
      <w:r w:rsidRPr="00ED1B85">
        <w:rPr>
          <w:rFonts w:ascii="Times New Roman" w:hAnsi="Times New Roman"/>
          <w:sz w:val="24"/>
          <w:szCs w:val="24"/>
        </w:rPr>
        <w:t xml:space="preserve"> </w:t>
      </w:r>
      <w:r w:rsidRPr="00ED1B85">
        <w:rPr>
          <w:rFonts w:ascii="Times New Roman" w:hAnsi="Times New Roman"/>
          <w:sz w:val="24"/>
          <w:szCs w:val="24"/>
          <w:lang w:val="en-GB"/>
        </w:rPr>
        <w:t xml:space="preserve">Modulation of inflammation by slit protein in vivo in experimental crescentic glomerulonephritis. </w:t>
      </w:r>
      <w:r w:rsidR="00B82B8A" w:rsidRPr="00ED1B85">
        <w:rPr>
          <w:rFonts w:ascii="Times New Roman" w:hAnsi="Times New Roman"/>
          <w:sz w:val="24"/>
          <w:szCs w:val="24"/>
          <w:lang w:val="en-GB"/>
        </w:rPr>
        <w:t>Am J Clin Pathol. 2004;</w:t>
      </w:r>
      <w:r w:rsidRPr="00ED1B85">
        <w:rPr>
          <w:rFonts w:ascii="Times New Roman" w:hAnsi="Times New Roman"/>
          <w:sz w:val="24"/>
          <w:szCs w:val="24"/>
          <w:lang w:val="en-GB"/>
        </w:rPr>
        <w:t>165</w:t>
      </w:r>
      <w:r w:rsidR="00B82B8A" w:rsidRPr="00ED1B85">
        <w:rPr>
          <w:rFonts w:ascii="Times New Roman" w:hAnsi="Times New Roman"/>
          <w:sz w:val="24"/>
          <w:szCs w:val="24"/>
          <w:lang w:val="en-GB"/>
        </w:rPr>
        <w:t>:</w:t>
      </w:r>
      <w:r w:rsidRPr="00ED1B85">
        <w:rPr>
          <w:rFonts w:ascii="Times New Roman" w:hAnsi="Times New Roman"/>
          <w:sz w:val="24"/>
          <w:szCs w:val="24"/>
          <w:lang w:val="en-GB"/>
        </w:rPr>
        <w:t>341</w:t>
      </w:r>
      <w:r w:rsidR="00B82B8A" w:rsidRPr="00ED1B85">
        <w:rPr>
          <w:rFonts w:ascii="Times New Roman" w:hAnsi="Times New Roman"/>
          <w:sz w:val="24"/>
          <w:szCs w:val="24"/>
          <w:lang w:val="en-GB"/>
        </w:rPr>
        <w:t>–</w:t>
      </w:r>
      <w:r w:rsidRPr="00ED1B85">
        <w:rPr>
          <w:rFonts w:ascii="Times New Roman" w:hAnsi="Times New Roman"/>
          <w:sz w:val="24"/>
          <w:szCs w:val="24"/>
          <w:lang w:val="en-GB"/>
        </w:rPr>
        <w:t>52.</w:t>
      </w:r>
    </w:p>
    <w:p w14:paraId="71913C8A" w14:textId="271BD43E" w:rsidR="00B85A18" w:rsidRPr="00ED1B85" w:rsidRDefault="00B85A18"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Tong M, Jun T, Nie Y, Hao J, Fan D. The role of the Slit/Robo signaling pathway. J Cancer</w:t>
      </w:r>
      <w:r w:rsidR="00255414">
        <w:rPr>
          <w:rFonts w:ascii="Times New Roman" w:hAnsi="Times New Roman"/>
          <w:sz w:val="24"/>
          <w:szCs w:val="24"/>
          <w:lang w:val="en-GB"/>
        </w:rPr>
        <w:t>.</w:t>
      </w:r>
      <w:r w:rsidRPr="00ED1B85">
        <w:rPr>
          <w:rFonts w:ascii="Times New Roman" w:hAnsi="Times New Roman"/>
          <w:sz w:val="24"/>
          <w:szCs w:val="24"/>
          <w:lang w:val="en-GB"/>
        </w:rPr>
        <w:t xml:space="preserve"> </w:t>
      </w:r>
      <w:r w:rsidR="00B82B8A" w:rsidRPr="00ED1B85">
        <w:rPr>
          <w:rFonts w:ascii="Times New Roman" w:hAnsi="Times New Roman"/>
          <w:sz w:val="24"/>
          <w:szCs w:val="24"/>
          <w:lang w:val="en-GB"/>
        </w:rPr>
        <w:t>2019;</w:t>
      </w:r>
      <w:r w:rsidRPr="00ED1B85">
        <w:rPr>
          <w:rFonts w:ascii="Times New Roman" w:hAnsi="Times New Roman"/>
          <w:sz w:val="24"/>
          <w:szCs w:val="24"/>
          <w:lang w:val="en-GB"/>
        </w:rPr>
        <w:t>10</w:t>
      </w:r>
      <w:r w:rsidR="00B82B8A" w:rsidRPr="00ED1B85">
        <w:rPr>
          <w:rFonts w:ascii="Times New Roman" w:hAnsi="Times New Roman"/>
          <w:sz w:val="24"/>
          <w:szCs w:val="24"/>
          <w:lang w:val="en-GB"/>
        </w:rPr>
        <w:t>:</w:t>
      </w:r>
      <w:r w:rsidRPr="00ED1B85">
        <w:rPr>
          <w:rFonts w:ascii="Times New Roman" w:hAnsi="Times New Roman"/>
          <w:sz w:val="24"/>
          <w:szCs w:val="24"/>
          <w:lang w:val="en-GB"/>
        </w:rPr>
        <w:t>2694.</w:t>
      </w:r>
    </w:p>
    <w:p w14:paraId="48DC1CF3" w14:textId="71AA0452" w:rsidR="00B85A18" w:rsidRPr="00ED1B85" w:rsidRDefault="00B85A18"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lastRenderedPageBreak/>
        <w:t xml:space="preserve">Fernando R, Grisolia ABD, Lu Y, Atkins S, Smith TJ Slit2 modulates the inflammatory phenotype of orbit-infiltrating fibrocytes in Graves’ disease. J Immunol. </w:t>
      </w:r>
      <w:r w:rsidR="002C1C6F" w:rsidRPr="00ED1B85">
        <w:rPr>
          <w:rFonts w:ascii="Times New Roman" w:hAnsi="Times New Roman"/>
          <w:sz w:val="24"/>
          <w:szCs w:val="24"/>
          <w:lang w:val="en-GB"/>
        </w:rPr>
        <w:t>2018;</w:t>
      </w:r>
      <w:r w:rsidRPr="00ED1B85">
        <w:rPr>
          <w:rFonts w:ascii="Times New Roman" w:hAnsi="Times New Roman"/>
          <w:sz w:val="24"/>
          <w:szCs w:val="24"/>
          <w:lang w:val="en-GB"/>
        </w:rPr>
        <w:t>200</w:t>
      </w:r>
      <w:r w:rsidR="002C1C6F" w:rsidRPr="00ED1B85">
        <w:rPr>
          <w:rFonts w:ascii="Times New Roman" w:hAnsi="Times New Roman"/>
          <w:sz w:val="24"/>
          <w:szCs w:val="24"/>
          <w:lang w:val="en-GB"/>
        </w:rPr>
        <w:t>:</w:t>
      </w:r>
      <w:r w:rsidRPr="00ED1B85">
        <w:rPr>
          <w:rFonts w:ascii="Times New Roman" w:hAnsi="Times New Roman"/>
          <w:sz w:val="24"/>
          <w:szCs w:val="24"/>
          <w:lang w:val="en-GB"/>
        </w:rPr>
        <w:t>3942</w:t>
      </w:r>
      <w:r w:rsidR="002C1C6F" w:rsidRPr="00ED1B85">
        <w:rPr>
          <w:rFonts w:ascii="Times New Roman" w:hAnsi="Times New Roman"/>
          <w:sz w:val="24"/>
          <w:szCs w:val="24"/>
          <w:lang w:val="en-GB"/>
        </w:rPr>
        <w:t>–</w:t>
      </w:r>
      <w:r w:rsidRPr="00ED1B85">
        <w:rPr>
          <w:rFonts w:ascii="Times New Roman" w:hAnsi="Times New Roman"/>
          <w:sz w:val="24"/>
          <w:szCs w:val="24"/>
          <w:lang w:val="en-GB"/>
        </w:rPr>
        <w:t>9.</w:t>
      </w:r>
    </w:p>
    <w:p w14:paraId="3CA8A544" w14:textId="19AC9088" w:rsidR="00B85A18" w:rsidRPr="00ED1B85" w:rsidRDefault="00B85A18"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Zeng Z, Wu Y, Cao Y, Yuan Z, Zhang Y, Zhang DY</w:t>
      </w:r>
      <w:r w:rsidR="002C1C6F" w:rsidRPr="00ED1B85">
        <w:rPr>
          <w:rFonts w:ascii="Times New Roman" w:hAnsi="Times New Roman"/>
          <w:sz w:val="24"/>
          <w:szCs w:val="24"/>
          <w:lang w:val="en-GB"/>
        </w:rPr>
        <w:t>, et al.</w:t>
      </w:r>
      <w:r w:rsidRPr="00ED1B85">
        <w:rPr>
          <w:rFonts w:ascii="Times New Roman" w:hAnsi="Times New Roman"/>
          <w:sz w:val="24"/>
          <w:szCs w:val="24"/>
          <w:lang w:val="en-GB"/>
        </w:rPr>
        <w:t xml:space="preserve"> Slit2-Robo2 signaling modulates the fibrogenic activity and migration of hepatic stellate cells. Life </w:t>
      </w:r>
      <w:r w:rsidR="002C1C6F" w:rsidRPr="00ED1B85">
        <w:rPr>
          <w:rFonts w:ascii="Times New Roman" w:hAnsi="Times New Roman"/>
          <w:sz w:val="24"/>
          <w:szCs w:val="24"/>
          <w:lang w:val="en-GB"/>
        </w:rPr>
        <w:t>S</w:t>
      </w:r>
      <w:r w:rsidRPr="00ED1B85">
        <w:rPr>
          <w:rFonts w:ascii="Times New Roman" w:hAnsi="Times New Roman"/>
          <w:sz w:val="24"/>
          <w:szCs w:val="24"/>
          <w:lang w:val="en-GB"/>
        </w:rPr>
        <w:t>ci</w:t>
      </w:r>
      <w:r w:rsidR="002C1C6F" w:rsidRPr="00ED1B85">
        <w:rPr>
          <w:rFonts w:ascii="Times New Roman" w:hAnsi="Times New Roman"/>
          <w:sz w:val="24"/>
          <w:szCs w:val="24"/>
          <w:lang w:val="en-GB"/>
        </w:rPr>
        <w:t>.</w:t>
      </w:r>
      <w:r w:rsidRPr="00ED1B85">
        <w:rPr>
          <w:rFonts w:ascii="Times New Roman" w:hAnsi="Times New Roman"/>
          <w:sz w:val="24"/>
          <w:szCs w:val="24"/>
          <w:lang w:val="en-GB"/>
        </w:rPr>
        <w:t xml:space="preserve"> </w:t>
      </w:r>
      <w:r w:rsidR="002C1C6F" w:rsidRPr="00ED1B85">
        <w:rPr>
          <w:rFonts w:ascii="Times New Roman" w:hAnsi="Times New Roman"/>
          <w:sz w:val="24"/>
          <w:szCs w:val="24"/>
          <w:lang w:val="en-GB"/>
        </w:rPr>
        <w:t>2018;</w:t>
      </w:r>
      <w:r w:rsidRPr="00ED1B85">
        <w:rPr>
          <w:rFonts w:ascii="Times New Roman" w:hAnsi="Times New Roman"/>
          <w:sz w:val="24"/>
          <w:szCs w:val="24"/>
          <w:lang w:val="en-GB"/>
        </w:rPr>
        <w:t>203</w:t>
      </w:r>
      <w:r w:rsidR="002C1C6F" w:rsidRPr="00ED1B85">
        <w:rPr>
          <w:rFonts w:ascii="Times New Roman" w:hAnsi="Times New Roman"/>
          <w:sz w:val="24"/>
          <w:szCs w:val="24"/>
          <w:lang w:val="en-GB"/>
        </w:rPr>
        <w:t>:</w:t>
      </w:r>
      <w:r w:rsidRPr="00ED1B85">
        <w:rPr>
          <w:rFonts w:ascii="Times New Roman" w:hAnsi="Times New Roman"/>
          <w:sz w:val="24"/>
          <w:szCs w:val="24"/>
          <w:lang w:val="en-GB"/>
        </w:rPr>
        <w:t>39</w:t>
      </w:r>
      <w:r w:rsidR="002C1C6F" w:rsidRPr="00ED1B85">
        <w:rPr>
          <w:rFonts w:ascii="Times New Roman" w:hAnsi="Times New Roman"/>
          <w:sz w:val="24"/>
          <w:szCs w:val="24"/>
          <w:lang w:val="en-GB"/>
        </w:rPr>
        <w:t>–</w:t>
      </w:r>
      <w:r w:rsidRPr="00ED1B85">
        <w:rPr>
          <w:rFonts w:ascii="Times New Roman" w:hAnsi="Times New Roman"/>
          <w:sz w:val="24"/>
          <w:szCs w:val="24"/>
          <w:lang w:val="en-GB"/>
        </w:rPr>
        <w:t>47.</w:t>
      </w:r>
    </w:p>
    <w:p w14:paraId="075E864E" w14:textId="60D558D3" w:rsidR="00B85A18" w:rsidRPr="00ED1B85" w:rsidRDefault="00B85A18"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Bhosle VK, Mukherjee T, Huang YW, Patel S, Pang BWF, Liu GY</w:t>
      </w:r>
      <w:r w:rsidR="002C1C6F" w:rsidRPr="00ED1B85">
        <w:rPr>
          <w:rFonts w:ascii="Times New Roman" w:hAnsi="Times New Roman"/>
          <w:sz w:val="24"/>
          <w:szCs w:val="24"/>
          <w:lang w:val="en-GB"/>
        </w:rPr>
        <w:t>, et al.</w:t>
      </w:r>
      <w:r w:rsidRPr="00ED1B85">
        <w:rPr>
          <w:rFonts w:ascii="Times New Roman" w:hAnsi="Times New Roman"/>
          <w:sz w:val="24"/>
          <w:szCs w:val="24"/>
          <w:lang w:val="en-GB"/>
        </w:rPr>
        <w:t xml:space="preserve"> SLIT2/ROBO1-signaling inhibits macropinocytosis by opposing cortical cytoskeletal remodeling. Nat Commun. </w:t>
      </w:r>
      <w:r w:rsidR="002C1C6F" w:rsidRPr="00ED1B85">
        <w:rPr>
          <w:rFonts w:ascii="Times New Roman" w:hAnsi="Times New Roman"/>
          <w:sz w:val="24"/>
          <w:szCs w:val="24"/>
          <w:lang w:val="en-GB"/>
        </w:rPr>
        <w:t>2020;</w:t>
      </w:r>
      <w:r w:rsidRPr="00ED1B85">
        <w:rPr>
          <w:rFonts w:ascii="Times New Roman" w:hAnsi="Times New Roman"/>
          <w:sz w:val="24"/>
          <w:szCs w:val="24"/>
          <w:lang w:val="en-GB"/>
        </w:rPr>
        <w:t>11</w:t>
      </w:r>
      <w:r w:rsidR="002C1C6F" w:rsidRPr="00ED1B85">
        <w:rPr>
          <w:rFonts w:ascii="Times New Roman" w:hAnsi="Times New Roman"/>
          <w:sz w:val="24"/>
          <w:szCs w:val="24"/>
          <w:lang w:val="en-GB"/>
        </w:rPr>
        <w:t>:</w:t>
      </w:r>
      <w:r w:rsidRPr="00ED1B85">
        <w:rPr>
          <w:rFonts w:ascii="Times New Roman" w:hAnsi="Times New Roman"/>
          <w:sz w:val="24"/>
          <w:szCs w:val="24"/>
          <w:lang w:val="en-GB"/>
        </w:rPr>
        <w:t>1</w:t>
      </w:r>
      <w:r w:rsidR="002C1C6F" w:rsidRPr="00ED1B85">
        <w:rPr>
          <w:rFonts w:ascii="Times New Roman" w:hAnsi="Times New Roman"/>
          <w:sz w:val="24"/>
          <w:szCs w:val="24"/>
          <w:lang w:val="en-GB"/>
        </w:rPr>
        <w:t>–</w:t>
      </w:r>
      <w:r w:rsidRPr="00ED1B85">
        <w:rPr>
          <w:rFonts w:ascii="Times New Roman" w:hAnsi="Times New Roman"/>
          <w:sz w:val="24"/>
          <w:szCs w:val="24"/>
          <w:lang w:val="en-GB"/>
        </w:rPr>
        <w:t>17.</w:t>
      </w:r>
    </w:p>
    <w:p w14:paraId="574BA4E3" w14:textId="2274A7AA" w:rsidR="00B85A18" w:rsidRPr="00ED1B85" w:rsidRDefault="0098089F"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rPr>
        <w:t xml:space="preserve">Liu J, Du J, Cheng X, Zhang X, Li Y, Fu X, </w:t>
      </w:r>
      <w:r w:rsidR="0064575D" w:rsidRPr="00ED1B85">
        <w:rPr>
          <w:rFonts w:ascii="Times New Roman" w:hAnsi="Times New Roman"/>
          <w:sz w:val="24"/>
          <w:szCs w:val="24"/>
        </w:rPr>
        <w:t>et al.</w:t>
      </w:r>
      <w:r w:rsidRPr="00ED1B85">
        <w:rPr>
          <w:rFonts w:ascii="Times New Roman" w:hAnsi="Times New Roman"/>
          <w:sz w:val="24"/>
          <w:szCs w:val="24"/>
        </w:rPr>
        <w:t xml:space="preserve"> </w:t>
      </w:r>
      <w:r w:rsidRPr="00ED1B85">
        <w:rPr>
          <w:rFonts w:ascii="Times New Roman" w:hAnsi="Times New Roman"/>
          <w:sz w:val="24"/>
          <w:szCs w:val="24"/>
          <w:lang w:val="en-GB"/>
        </w:rPr>
        <w:t>Effect of netrin-1 anti-inflammatory factor on acute lung injury in sepsis rats. Med Sci Monit. 2019;25:7928</w:t>
      </w:r>
      <w:r w:rsidR="0064575D" w:rsidRPr="00ED1B85">
        <w:rPr>
          <w:rFonts w:ascii="Times New Roman" w:hAnsi="Times New Roman"/>
          <w:sz w:val="24"/>
          <w:szCs w:val="24"/>
          <w:lang w:val="en-GB"/>
        </w:rPr>
        <w:t>–</w:t>
      </w:r>
      <w:r w:rsidRPr="00ED1B85">
        <w:rPr>
          <w:rFonts w:ascii="Times New Roman" w:hAnsi="Times New Roman"/>
          <w:sz w:val="24"/>
          <w:szCs w:val="24"/>
          <w:lang w:val="en-GB"/>
        </w:rPr>
        <w:t>35.</w:t>
      </w:r>
    </w:p>
    <w:p w14:paraId="05C7EE2D" w14:textId="79B6D5DC" w:rsidR="0098089F" w:rsidRPr="00ED1B85" w:rsidRDefault="0098089F"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 xml:space="preserve">Boneschansker L, Nakayama H, Eisenga M, Wedel J, Klagsbrun M, Irimia D, </w:t>
      </w:r>
      <w:r w:rsidR="0064575D" w:rsidRPr="00ED1B85">
        <w:rPr>
          <w:rFonts w:ascii="Times New Roman" w:hAnsi="Times New Roman"/>
          <w:sz w:val="24"/>
          <w:szCs w:val="24"/>
          <w:lang w:val="en-GB"/>
        </w:rPr>
        <w:t>et al.</w:t>
      </w:r>
      <w:r w:rsidRPr="00ED1B85">
        <w:rPr>
          <w:rFonts w:ascii="Times New Roman" w:hAnsi="Times New Roman"/>
          <w:sz w:val="24"/>
          <w:szCs w:val="24"/>
          <w:lang w:val="en-GB"/>
        </w:rPr>
        <w:t xml:space="preserve"> Netrin-1 augments chemokinesis in CD4+ T cells in vitro and elicits a proinflammatory response in vivo. J Immunol.</w:t>
      </w:r>
      <w:r w:rsidR="0064575D" w:rsidRPr="00ED1B85">
        <w:rPr>
          <w:rFonts w:ascii="Times New Roman" w:hAnsi="Times New Roman"/>
          <w:sz w:val="24"/>
          <w:szCs w:val="24"/>
          <w:lang w:val="en-GB"/>
        </w:rPr>
        <w:t xml:space="preserve"> 2016;</w:t>
      </w:r>
      <w:r w:rsidRPr="00ED1B85">
        <w:rPr>
          <w:rFonts w:ascii="Times New Roman" w:hAnsi="Times New Roman"/>
          <w:sz w:val="24"/>
          <w:szCs w:val="24"/>
          <w:lang w:val="en-GB"/>
        </w:rPr>
        <w:t>197</w:t>
      </w:r>
      <w:r w:rsidR="0064575D" w:rsidRPr="00ED1B85">
        <w:rPr>
          <w:rFonts w:ascii="Times New Roman" w:hAnsi="Times New Roman"/>
          <w:sz w:val="24"/>
          <w:szCs w:val="24"/>
          <w:lang w:val="en-GB"/>
        </w:rPr>
        <w:t>:</w:t>
      </w:r>
      <w:r w:rsidRPr="00ED1B85">
        <w:rPr>
          <w:rFonts w:ascii="Times New Roman" w:hAnsi="Times New Roman"/>
          <w:sz w:val="24"/>
          <w:szCs w:val="24"/>
          <w:lang w:val="en-GB"/>
        </w:rPr>
        <w:t>1389</w:t>
      </w:r>
      <w:r w:rsidR="0064575D" w:rsidRPr="00ED1B85">
        <w:rPr>
          <w:rFonts w:ascii="Times New Roman" w:hAnsi="Times New Roman"/>
          <w:sz w:val="24"/>
          <w:szCs w:val="24"/>
          <w:lang w:val="en-GB"/>
        </w:rPr>
        <w:t>–</w:t>
      </w:r>
      <w:r w:rsidRPr="00ED1B85">
        <w:rPr>
          <w:rFonts w:ascii="Times New Roman" w:hAnsi="Times New Roman"/>
          <w:sz w:val="24"/>
          <w:szCs w:val="24"/>
          <w:lang w:val="en-GB"/>
        </w:rPr>
        <w:t>98.</w:t>
      </w:r>
    </w:p>
    <w:p w14:paraId="4D0FD7CA" w14:textId="4FE63EA7" w:rsidR="0098089F" w:rsidRPr="00ED1B85" w:rsidRDefault="0098089F"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 xml:space="preserve">Yuen DA, Huang YW, Liu GY, Patel S, Fang F, Zhou J, </w:t>
      </w:r>
      <w:r w:rsidR="0064575D" w:rsidRPr="00ED1B85">
        <w:rPr>
          <w:rFonts w:ascii="Times New Roman" w:hAnsi="Times New Roman"/>
          <w:sz w:val="24"/>
          <w:szCs w:val="24"/>
          <w:lang w:val="en-GB"/>
        </w:rPr>
        <w:t>et al.</w:t>
      </w:r>
      <w:r w:rsidRPr="00ED1B85">
        <w:rPr>
          <w:rFonts w:ascii="Times New Roman" w:hAnsi="Times New Roman"/>
          <w:sz w:val="24"/>
          <w:szCs w:val="24"/>
          <w:lang w:val="en-GB"/>
        </w:rPr>
        <w:t xml:space="preserve"> Recombinant N–Terminal Slit2 Inhibits TGF-β–Induced Fibroblast Activation and Renal Fibrosis. J Am Soc Nephrol. </w:t>
      </w:r>
      <w:r w:rsidR="0064575D" w:rsidRPr="00ED1B85">
        <w:rPr>
          <w:rFonts w:ascii="Times New Roman" w:hAnsi="Times New Roman"/>
          <w:sz w:val="24"/>
          <w:szCs w:val="24"/>
          <w:lang w:val="en-GB"/>
        </w:rPr>
        <w:t>2016;</w:t>
      </w:r>
      <w:r w:rsidRPr="00ED1B85">
        <w:rPr>
          <w:rFonts w:ascii="Times New Roman" w:hAnsi="Times New Roman"/>
          <w:sz w:val="24"/>
          <w:szCs w:val="24"/>
          <w:lang w:val="en-GB"/>
        </w:rPr>
        <w:t>27</w:t>
      </w:r>
      <w:r w:rsidR="0064575D" w:rsidRPr="00ED1B85">
        <w:rPr>
          <w:rFonts w:ascii="Times New Roman" w:hAnsi="Times New Roman"/>
          <w:sz w:val="24"/>
          <w:szCs w:val="24"/>
          <w:lang w:val="en-GB"/>
        </w:rPr>
        <w:t>:</w:t>
      </w:r>
      <w:r w:rsidRPr="00ED1B85">
        <w:rPr>
          <w:rFonts w:ascii="Times New Roman" w:hAnsi="Times New Roman"/>
          <w:sz w:val="24"/>
          <w:szCs w:val="24"/>
          <w:lang w:val="en-GB"/>
        </w:rPr>
        <w:t>2609</w:t>
      </w:r>
      <w:r w:rsidR="0064575D" w:rsidRPr="00ED1B85">
        <w:rPr>
          <w:rFonts w:ascii="Times New Roman" w:hAnsi="Times New Roman"/>
          <w:sz w:val="24"/>
          <w:szCs w:val="24"/>
          <w:lang w:val="en-GB"/>
        </w:rPr>
        <w:t>–</w:t>
      </w:r>
      <w:r w:rsidRPr="00ED1B85">
        <w:rPr>
          <w:rFonts w:ascii="Times New Roman" w:hAnsi="Times New Roman"/>
          <w:sz w:val="24"/>
          <w:szCs w:val="24"/>
          <w:lang w:val="en-GB"/>
        </w:rPr>
        <w:t>15.</w:t>
      </w:r>
    </w:p>
    <w:p w14:paraId="09B1F43D" w14:textId="7050F18F" w:rsidR="0098089F" w:rsidRPr="00ED1B85" w:rsidRDefault="0098089F"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Sherchan P, Huang L</w:t>
      </w:r>
      <w:r w:rsidR="0064575D" w:rsidRPr="00ED1B85">
        <w:rPr>
          <w:rFonts w:ascii="Times New Roman" w:hAnsi="Times New Roman"/>
          <w:sz w:val="24"/>
          <w:szCs w:val="24"/>
          <w:lang w:val="en-GB"/>
        </w:rPr>
        <w:t>,</w:t>
      </w:r>
      <w:r w:rsidRPr="00ED1B85">
        <w:rPr>
          <w:rFonts w:ascii="Times New Roman" w:hAnsi="Times New Roman"/>
          <w:sz w:val="24"/>
          <w:szCs w:val="24"/>
          <w:lang w:val="en-GB"/>
        </w:rPr>
        <w:t xml:space="preserve"> Wang Y, Akyol O, Tang J, Zhang JH. Recombinant Slit2 attenuates neuroinflammation after surgical brain injury by inhibiting peripheral immune cell infiltration via Robo1-srGAP1 pathway in a rat model. Neurobiol Dis.</w:t>
      </w:r>
      <w:r w:rsidR="0064575D" w:rsidRPr="00ED1B85">
        <w:rPr>
          <w:rFonts w:ascii="Times New Roman" w:hAnsi="Times New Roman"/>
          <w:sz w:val="24"/>
          <w:szCs w:val="24"/>
          <w:lang w:val="en-GB"/>
        </w:rPr>
        <w:t xml:space="preserve"> 2016;</w:t>
      </w:r>
      <w:r w:rsidRPr="00ED1B85">
        <w:rPr>
          <w:rFonts w:ascii="Times New Roman" w:hAnsi="Times New Roman"/>
          <w:sz w:val="24"/>
          <w:szCs w:val="24"/>
          <w:lang w:val="en-GB"/>
        </w:rPr>
        <w:t>85</w:t>
      </w:r>
      <w:r w:rsidR="0064575D" w:rsidRPr="00ED1B85">
        <w:rPr>
          <w:rFonts w:ascii="Times New Roman" w:hAnsi="Times New Roman"/>
          <w:sz w:val="24"/>
          <w:szCs w:val="24"/>
          <w:lang w:val="en-GB"/>
        </w:rPr>
        <w:t>:</w:t>
      </w:r>
      <w:r w:rsidRPr="00ED1B85">
        <w:rPr>
          <w:rFonts w:ascii="Times New Roman" w:hAnsi="Times New Roman"/>
          <w:sz w:val="24"/>
          <w:szCs w:val="24"/>
          <w:lang w:val="en-GB"/>
        </w:rPr>
        <w:t>164</w:t>
      </w:r>
      <w:r w:rsidR="0064575D" w:rsidRPr="00ED1B85">
        <w:rPr>
          <w:rFonts w:ascii="Times New Roman" w:hAnsi="Times New Roman"/>
          <w:sz w:val="24"/>
          <w:szCs w:val="24"/>
          <w:lang w:val="en-GB"/>
        </w:rPr>
        <w:t>–</w:t>
      </w:r>
      <w:r w:rsidRPr="00ED1B85">
        <w:rPr>
          <w:rFonts w:ascii="Times New Roman" w:hAnsi="Times New Roman"/>
          <w:sz w:val="24"/>
          <w:szCs w:val="24"/>
          <w:lang w:val="en-GB"/>
        </w:rPr>
        <w:t>73.</w:t>
      </w:r>
    </w:p>
    <w:p w14:paraId="7DCC4F1A" w14:textId="7E9AAA97" w:rsidR="0098089F" w:rsidRPr="00ED1B85" w:rsidRDefault="0098089F"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Yu M</w:t>
      </w:r>
      <w:r w:rsidR="0064575D" w:rsidRPr="00ED1B85">
        <w:rPr>
          <w:rFonts w:ascii="Times New Roman" w:hAnsi="Times New Roman"/>
          <w:sz w:val="24"/>
          <w:szCs w:val="24"/>
          <w:lang w:val="en-GB"/>
        </w:rPr>
        <w:t>,</w:t>
      </w:r>
      <w:r w:rsidRPr="00ED1B85">
        <w:rPr>
          <w:rFonts w:ascii="Times New Roman" w:hAnsi="Times New Roman"/>
          <w:sz w:val="24"/>
          <w:szCs w:val="24"/>
          <w:lang w:val="en-GB"/>
        </w:rPr>
        <w:t xml:space="preserve"> Wang Q, Qi W, Zhang K, Liu J, Tao P, </w:t>
      </w:r>
      <w:r w:rsidR="0064575D" w:rsidRPr="00ED1B85">
        <w:rPr>
          <w:rFonts w:ascii="Times New Roman" w:hAnsi="Times New Roman"/>
          <w:sz w:val="24"/>
          <w:szCs w:val="24"/>
          <w:lang w:val="en-GB"/>
        </w:rPr>
        <w:t>et al.</w:t>
      </w:r>
      <w:r w:rsidRPr="00ED1B85">
        <w:rPr>
          <w:rFonts w:ascii="Times New Roman" w:hAnsi="Times New Roman"/>
          <w:sz w:val="24"/>
          <w:szCs w:val="24"/>
          <w:lang w:val="en-GB"/>
        </w:rPr>
        <w:t xml:space="preserve"> Expression of inflammation-related genes in the lung of BALB/c mice response to H7N9 influenza A virus with different pathogenicity. Med Microbiol Immunol.</w:t>
      </w:r>
      <w:r w:rsidR="0064575D" w:rsidRPr="00ED1B85">
        <w:rPr>
          <w:rFonts w:ascii="Times New Roman" w:hAnsi="Times New Roman"/>
          <w:sz w:val="24"/>
          <w:szCs w:val="24"/>
          <w:lang w:val="en-GB"/>
        </w:rPr>
        <w:t xml:space="preserve"> 2016;</w:t>
      </w:r>
      <w:r w:rsidRPr="00ED1B85">
        <w:rPr>
          <w:rFonts w:ascii="Times New Roman" w:hAnsi="Times New Roman"/>
          <w:sz w:val="24"/>
          <w:szCs w:val="24"/>
          <w:lang w:val="en-GB"/>
        </w:rPr>
        <w:t>205</w:t>
      </w:r>
      <w:r w:rsidR="0064575D" w:rsidRPr="00ED1B85">
        <w:rPr>
          <w:rFonts w:ascii="Times New Roman" w:hAnsi="Times New Roman"/>
          <w:sz w:val="24"/>
          <w:szCs w:val="24"/>
          <w:lang w:val="en-GB"/>
        </w:rPr>
        <w:t>:</w:t>
      </w:r>
      <w:r w:rsidRPr="00ED1B85">
        <w:rPr>
          <w:rFonts w:ascii="Times New Roman" w:hAnsi="Times New Roman"/>
          <w:sz w:val="24"/>
          <w:szCs w:val="24"/>
          <w:lang w:val="en-GB"/>
        </w:rPr>
        <w:t>501</w:t>
      </w:r>
      <w:r w:rsidR="0064575D" w:rsidRPr="00ED1B85">
        <w:rPr>
          <w:rFonts w:ascii="Times New Roman" w:hAnsi="Times New Roman"/>
          <w:sz w:val="24"/>
          <w:szCs w:val="24"/>
          <w:lang w:val="en-GB"/>
        </w:rPr>
        <w:t>–</w:t>
      </w:r>
      <w:r w:rsidRPr="00ED1B85">
        <w:rPr>
          <w:rFonts w:ascii="Times New Roman" w:hAnsi="Times New Roman"/>
          <w:sz w:val="24"/>
          <w:szCs w:val="24"/>
          <w:lang w:val="en-GB"/>
        </w:rPr>
        <w:t>9.</w:t>
      </w:r>
    </w:p>
    <w:p w14:paraId="1E29A7EA" w14:textId="2598D866" w:rsidR="00B82B8A" w:rsidRPr="00ED1B85" w:rsidRDefault="00B82B8A"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 xml:space="preserve">Shrivastava A, Prasad A, Kuzontkoski PM, Yu J, Groopman JE. Slit2N inhibits transmission of HIV-1 from dendritic cells to T-cells by modulating novel cytoskeletal elements. Sci Rep. </w:t>
      </w:r>
      <w:r w:rsidR="0064575D" w:rsidRPr="00ED1B85">
        <w:rPr>
          <w:rFonts w:ascii="Times New Roman" w:hAnsi="Times New Roman"/>
          <w:sz w:val="24"/>
          <w:szCs w:val="24"/>
          <w:lang w:val="en-GB"/>
        </w:rPr>
        <w:t>2015;</w:t>
      </w:r>
      <w:r w:rsidRPr="00ED1B85">
        <w:rPr>
          <w:rFonts w:ascii="Times New Roman" w:hAnsi="Times New Roman"/>
          <w:sz w:val="24"/>
          <w:szCs w:val="24"/>
          <w:lang w:val="en-GB"/>
        </w:rPr>
        <w:t>5</w:t>
      </w:r>
      <w:r w:rsidR="0064575D" w:rsidRPr="00ED1B85">
        <w:rPr>
          <w:rFonts w:ascii="Times New Roman" w:hAnsi="Times New Roman"/>
          <w:sz w:val="24"/>
          <w:szCs w:val="24"/>
          <w:lang w:val="en-GB"/>
        </w:rPr>
        <w:t>:</w:t>
      </w:r>
      <w:r w:rsidRPr="00ED1B85">
        <w:rPr>
          <w:rFonts w:ascii="Times New Roman" w:hAnsi="Times New Roman"/>
          <w:sz w:val="24"/>
          <w:szCs w:val="24"/>
          <w:lang w:val="en-GB"/>
        </w:rPr>
        <w:t>1</w:t>
      </w:r>
      <w:r w:rsidR="0064575D" w:rsidRPr="00ED1B85">
        <w:rPr>
          <w:rFonts w:ascii="Times New Roman" w:hAnsi="Times New Roman"/>
          <w:sz w:val="24"/>
          <w:szCs w:val="24"/>
          <w:lang w:val="en-GB"/>
        </w:rPr>
        <w:t>–</w:t>
      </w:r>
      <w:r w:rsidRPr="00ED1B85">
        <w:rPr>
          <w:rFonts w:ascii="Times New Roman" w:hAnsi="Times New Roman"/>
          <w:sz w:val="24"/>
          <w:szCs w:val="24"/>
          <w:lang w:val="en-GB"/>
        </w:rPr>
        <w:t>14.</w:t>
      </w:r>
    </w:p>
    <w:p w14:paraId="7B1C7888" w14:textId="4EAE6F07" w:rsidR="00B82B8A" w:rsidRPr="00ED1B85" w:rsidRDefault="00B82B8A"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rPr>
        <w:t xml:space="preserve">Anand AR, Zhao H, Nagaraja T, Robinson LA, Ganju RK. </w:t>
      </w:r>
      <w:r w:rsidRPr="00ED1B85">
        <w:rPr>
          <w:rFonts w:ascii="Times New Roman" w:hAnsi="Times New Roman"/>
          <w:sz w:val="24"/>
          <w:szCs w:val="24"/>
          <w:lang w:val="en-GB"/>
        </w:rPr>
        <w:t>N-terminal Slit2 inhibits HIV-1 replication by regulating the actin cytoskeleton. Retrovirology</w:t>
      </w:r>
      <w:r w:rsidR="00255414">
        <w:rPr>
          <w:rFonts w:ascii="Times New Roman" w:hAnsi="Times New Roman"/>
          <w:sz w:val="24"/>
          <w:szCs w:val="24"/>
          <w:lang w:val="en-GB"/>
        </w:rPr>
        <w:t>.</w:t>
      </w:r>
      <w:r w:rsidR="0064575D" w:rsidRPr="00ED1B85">
        <w:rPr>
          <w:rFonts w:ascii="Times New Roman" w:hAnsi="Times New Roman"/>
          <w:sz w:val="24"/>
          <w:szCs w:val="24"/>
          <w:lang w:val="en-GB"/>
        </w:rPr>
        <w:t xml:space="preserve"> 2013;</w:t>
      </w:r>
      <w:r w:rsidRPr="00ED1B85">
        <w:rPr>
          <w:rFonts w:ascii="Times New Roman" w:hAnsi="Times New Roman"/>
          <w:sz w:val="24"/>
          <w:szCs w:val="24"/>
          <w:lang w:val="en-GB"/>
        </w:rPr>
        <w:t>10</w:t>
      </w:r>
      <w:r w:rsidR="0064575D" w:rsidRPr="00ED1B85">
        <w:rPr>
          <w:rFonts w:ascii="Times New Roman" w:hAnsi="Times New Roman"/>
          <w:sz w:val="24"/>
          <w:szCs w:val="24"/>
          <w:lang w:val="en-GB"/>
        </w:rPr>
        <w:t>:</w:t>
      </w:r>
      <w:r w:rsidRPr="00ED1B85">
        <w:rPr>
          <w:rFonts w:ascii="Times New Roman" w:hAnsi="Times New Roman"/>
          <w:sz w:val="24"/>
          <w:szCs w:val="24"/>
          <w:lang w:val="en-GB"/>
        </w:rPr>
        <w:t>1</w:t>
      </w:r>
      <w:r w:rsidR="0064575D" w:rsidRPr="00ED1B85">
        <w:rPr>
          <w:rFonts w:ascii="Times New Roman" w:hAnsi="Times New Roman"/>
          <w:sz w:val="24"/>
          <w:szCs w:val="24"/>
          <w:lang w:val="en-GB"/>
        </w:rPr>
        <w:t>–</w:t>
      </w:r>
      <w:r w:rsidRPr="00ED1B85">
        <w:rPr>
          <w:rFonts w:ascii="Times New Roman" w:hAnsi="Times New Roman"/>
          <w:sz w:val="24"/>
          <w:szCs w:val="24"/>
          <w:lang w:val="en-GB"/>
        </w:rPr>
        <w:t>16.</w:t>
      </w:r>
    </w:p>
    <w:p w14:paraId="13B8993F" w14:textId="5F343646" w:rsidR="00B82B8A" w:rsidRPr="00ED1B85" w:rsidRDefault="00B82B8A"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lastRenderedPageBreak/>
        <w:t xml:space="preserve">Olsson M, Tengvall K, Frankowiack M, Kierczak M, Bergvall K, Axelsson E, </w:t>
      </w:r>
      <w:r w:rsidR="0064575D" w:rsidRPr="00ED1B85">
        <w:rPr>
          <w:rFonts w:ascii="Times New Roman" w:hAnsi="Times New Roman"/>
          <w:sz w:val="24"/>
          <w:szCs w:val="24"/>
          <w:lang w:val="en-GB"/>
        </w:rPr>
        <w:t>et al</w:t>
      </w:r>
      <w:r w:rsidRPr="00ED1B85">
        <w:rPr>
          <w:rFonts w:ascii="Times New Roman" w:hAnsi="Times New Roman"/>
          <w:sz w:val="24"/>
          <w:szCs w:val="24"/>
          <w:lang w:val="en-GB"/>
        </w:rPr>
        <w:t>. Genome-wide analyses suggest mechanisms involving early B-cell development in canine IgA deficiency. P</w:t>
      </w:r>
      <w:r w:rsidR="00156E86" w:rsidRPr="00ED1B85">
        <w:rPr>
          <w:rFonts w:ascii="Times New Roman" w:hAnsi="Times New Roman"/>
          <w:sz w:val="24"/>
          <w:szCs w:val="24"/>
          <w:lang w:val="en-GB"/>
        </w:rPr>
        <w:t>L</w:t>
      </w:r>
      <w:r w:rsidRPr="00ED1B85">
        <w:rPr>
          <w:rFonts w:ascii="Times New Roman" w:hAnsi="Times New Roman"/>
          <w:sz w:val="24"/>
          <w:szCs w:val="24"/>
          <w:lang w:val="en-GB"/>
        </w:rPr>
        <w:t>o</w:t>
      </w:r>
      <w:r w:rsidR="00156E86" w:rsidRPr="00ED1B85">
        <w:rPr>
          <w:rFonts w:ascii="Times New Roman" w:hAnsi="Times New Roman"/>
          <w:sz w:val="24"/>
          <w:szCs w:val="24"/>
          <w:lang w:val="en-GB"/>
        </w:rPr>
        <w:t>S</w:t>
      </w:r>
      <w:r w:rsidRPr="00ED1B85">
        <w:rPr>
          <w:rFonts w:ascii="Times New Roman" w:hAnsi="Times New Roman"/>
          <w:sz w:val="24"/>
          <w:szCs w:val="24"/>
          <w:lang w:val="en-GB"/>
        </w:rPr>
        <w:t xml:space="preserve"> </w:t>
      </w:r>
      <w:r w:rsidR="00156E86" w:rsidRPr="00ED1B85">
        <w:rPr>
          <w:rFonts w:ascii="Times New Roman" w:hAnsi="Times New Roman"/>
          <w:sz w:val="24"/>
          <w:szCs w:val="24"/>
          <w:lang w:val="en-GB"/>
        </w:rPr>
        <w:t>O</w:t>
      </w:r>
      <w:r w:rsidR="009B2E1E">
        <w:rPr>
          <w:rFonts w:ascii="Times New Roman" w:hAnsi="Times New Roman"/>
          <w:sz w:val="24"/>
          <w:szCs w:val="24"/>
          <w:lang w:val="en-GB"/>
        </w:rPr>
        <w:t>ne</w:t>
      </w:r>
      <w:r w:rsidR="00255414">
        <w:rPr>
          <w:rFonts w:ascii="Times New Roman" w:hAnsi="Times New Roman"/>
          <w:sz w:val="24"/>
          <w:szCs w:val="24"/>
          <w:lang w:val="en-GB"/>
        </w:rPr>
        <w:t>.</w:t>
      </w:r>
      <w:r w:rsidRPr="00ED1B85">
        <w:rPr>
          <w:rFonts w:ascii="Times New Roman" w:hAnsi="Times New Roman"/>
          <w:sz w:val="24"/>
          <w:szCs w:val="24"/>
          <w:lang w:val="en-GB"/>
        </w:rPr>
        <w:t xml:space="preserve"> </w:t>
      </w:r>
      <w:r w:rsidR="0064575D" w:rsidRPr="00ED1B85">
        <w:rPr>
          <w:rFonts w:ascii="Times New Roman" w:hAnsi="Times New Roman"/>
          <w:sz w:val="24"/>
          <w:szCs w:val="24"/>
          <w:lang w:val="en-GB"/>
        </w:rPr>
        <w:t>2015;</w:t>
      </w:r>
      <w:r w:rsidRPr="00ED1B85">
        <w:rPr>
          <w:rFonts w:ascii="Times New Roman" w:hAnsi="Times New Roman"/>
          <w:sz w:val="24"/>
          <w:szCs w:val="24"/>
          <w:lang w:val="en-GB"/>
        </w:rPr>
        <w:t>10</w:t>
      </w:r>
      <w:r w:rsidR="0064575D" w:rsidRPr="00ED1B85">
        <w:rPr>
          <w:rFonts w:ascii="Times New Roman" w:hAnsi="Times New Roman"/>
          <w:sz w:val="24"/>
          <w:szCs w:val="24"/>
          <w:lang w:val="en-GB"/>
        </w:rPr>
        <w:t>:</w:t>
      </w:r>
      <w:r w:rsidRPr="00ED1B85">
        <w:rPr>
          <w:rFonts w:ascii="Times New Roman" w:hAnsi="Times New Roman"/>
          <w:sz w:val="24"/>
          <w:szCs w:val="24"/>
          <w:lang w:val="en-GB"/>
        </w:rPr>
        <w:t>e0133844.</w:t>
      </w:r>
    </w:p>
    <w:p w14:paraId="177EF6DE" w14:textId="3BAD74B4" w:rsidR="00B82B8A" w:rsidRPr="00ED1B85" w:rsidRDefault="00B82B8A"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Coleman DJ, Garcia G, Hyter S, Jang HS, Chagani S, Liang</w:t>
      </w:r>
      <w:r w:rsidR="00156E86" w:rsidRPr="00ED1B85">
        <w:rPr>
          <w:rFonts w:ascii="Times New Roman" w:hAnsi="Times New Roman"/>
          <w:sz w:val="24"/>
          <w:szCs w:val="24"/>
          <w:lang w:val="en-GB"/>
        </w:rPr>
        <w:t xml:space="preserve"> </w:t>
      </w:r>
      <w:r w:rsidRPr="00ED1B85">
        <w:rPr>
          <w:rFonts w:ascii="Times New Roman" w:hAnsi="Times New Roman"/>
          <w:sz w:val="24"/>
          <w:szCs w:val="24"/>
          <w:lang w:val="en-GB"/>
        </w:rPr>
        <w:t xml:space="preserve">X, </w:t>
      </w:r>
      <w:r w:rsidR="00156E86" w:rsidRPr="00ED1B85">
        <w:rPr>
          <w:rFonts w:ascii="Times New Roman" w:hAnsi="Times New Roman"/>
          <w:sz w:val="24"/>
          <w:szCs w:val="24"/>
          <w:lang w:val="en-GB"/>
        </w:rPr>
        <w:t>et al.</w:t>
      </w:r>
      <w:r w:rsidRPr="00ED1B85">
        <w:rPr>
          <w:rFonts w:ascii="Times New Roman" w:hAnsi="Times New Roman"/>
          <w:sz w:val="24"/>
          <w:szCs w:val="24"/>
          <w:lang w:val="en-GB"/>
        </w:rPr>
        <w:t xml:space="preserve"> Retinoid-X-receptors (α/β) in melanocytes modulate innate immune responses and differentially regulate cell survival following UV irradiation. PLoS </w:t>
      </w:r>
      <w:r w:rsidR="00156E86" w:rsidRPr="00ED1B85">
        <w:rPr>
          <w:rFonts w:ascii="Times New Roman" w:hAnsi="Times New Roman"/>
          <w:sz w:val="24"/>
          <w:szCs w:val="24"/>
          <w:lang w:val="en-GB"/>
        </w:rPr>
        <w:t>G</w:t>
      </w:r>
      <w:r w:rsidRPr="00ED1B85">
        <w:rPr>
          <w:rFonts w:ascii="Times New Roman" w:hAnsi="Times New Roman"/>
          <w:sz w:val="24"/>
          <w:szCs w:val="24"/>
          <w:lang w:val="en-GB"/>
        </w:rPr>
        <w:t>enet</w:t>
      </w:r>
      <w:r w:rsidR="00156E86" w:rsidRPr="00ED1B85">
        <w:rPr>
          <w:rFonts w:ascii="Times New Roman" w:hAnsi="Times New Roman"/>
          <w:sz w:val="24"/>
          <w:szCs w:val="24"/>
          <w:lang w:val="en-GB"/>
        </w:rPr>
        <w:t>.</w:t>
      </w:r>
      <w:r w:rsidRPr="00ED1B85">
        <w:rPr>
          <w:rFonts w:ascii="Times New Roman" w:hAnsi="Times New Roman"/>
          <w:sz w:val="24"/>
          <w:szCs w:val="24"/>
          <w:lang w:val="en-GB"/>
        </w:rPr>
        <w:t xml:space="preserve"> </w:t>
      </w:r>
      <w:r w:rsidR="00156E86" w:rsidRPr="00ED1B85">
        <w:rPr>
          <w:rFonts w:ascii="Times New Roman" w:hAnsi="Times New Roman"/>
          <w:sz w:val="24"/>
          <w:szCs w:val="24"/>
          <w:lang w:val="en-GB"/>
        </w:rPr>
        <w:t>2014;</w:t>
      </w:r>
      <w:r w:rsidRPr="00ED1B85">
        <w:rPr>
          <w:rFonts w:ascii="Times New Roman" w:hAnsi="Times New Roman"/>
          <w:sz w:val="24"/>
          <w:szCs w:val="24"/>
          <w:lang w:val="en-GB"/>
        </w:rPr>
        <w:t>10</w:t>
      </w:r>
      <w:r w:rsidR="00156E86" w:rsidRPr="00ED1B85">
        <w:rPr>
          <w:rFonts w:ascii="Times New Roman" w:hAnsi="Times New Roman"/>
          <w:sz w:val="24"/>
          <w:szCs w:val="24"/>
          <w:lang w:val="en-GB"/>
        </w:rPr>
        <w:t>:</w:t>
      </w:r>
      <w:r w:rsidRPr="00ED1B85">
        <w:rPr>
          <w:rFonts w:ascii="Times New Roman" w:hAnsi="Times New Roman"/>
          <w:sz w:val="24"/>
          <w:szCs w:val="24"/>
          <w:lang w:val="en-GB"/>
        </w:rPr>
        <w:t>e1004321.</w:t>
      </w:r>
    </w:p>
    <w:p w14:paraId="25FECBA5" w14:textId="0A9487B7" w:rsidR="00B82B8A" w:rsidRPr="00ED1B85" w:rsidRDefault="00B82B8A"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rPr>
        <w:t xml:space="preserve">Luo C, Qu H, Ma J, Wang J, Li C, Yang C, </w:t>
      </w:r>
      <w:r w:rsidR="00156E86" w:rsidRPr="00ED1B85">
        <w:rPr>
          <w:rFonts w:ascii="Times New Roman" w:hAnsi="Times New Roman"/>
          <w:sz w:val="24"/>
          <w:szCs w:val="24"/>
        </w:rPr>
        <w:t>et al.</w:t>
      </w:r>
      <w:r w:rsidRPr="00ED1B85">
        <w:rPr>
          <w:rFonts w:ascii="Times New Roman" w:hAnsi="Times New Roman"/>
          <w:sz w:val="24"/>
          <w:szCs w:val="24"/>
        </w:rPr>
        <w:t xml:space="preserve"> </w:t>
      </w:r>
      <w:r w:rsidRPr="00ED1B85">
        <w:rPr>
          <w:rFonts w:ascii="Times New Roman" w:hAnsi="Times New Roman"/>
          <w:sz w:val="24"/>
          <w:szCs w:val="24"/>
          <w:lang w:val="en-GB"/>
        </w:rPr>
        <w:t xml:space="preserve">Genome-wide association study of antibody response to Newcastle disease virus in chicken. BMC </w:t>
      </w:r>
      <w:r w:rsidR="00156E86" w:rsidRPr="00ED1B85">
        <w:rPr>
          <w:rFonts w:ascii="Times New Roman" w:hAnsi="Times New Roman"/>
          <w:sz w:val="24"/>
          <w:szCs w:val="24"/>
          <w:lang w:val="en-GB"/>
        </w:rPr>
        <w:t>G</w:t>
      </w:r>
      <w:r w:rsidRPr="00ED1B85">
        <w:rPr>
          <w:rFonts w:ascii="Times New Roman" w:hAnsi="Times New Roman"/>
          <w:sz w:val="24"/>
          <w:szCs w:val="24"/>
          <w:lang w:val="en-GB"/>
        </w:rPr>
        <w:t>enet</w:t>
      </w:r>
      <w:r w:rsidR="00156E86" w:rsidRPr="00ED1B85">
        <w:rPr>
          <w:rFonts w:ascii="Times New Roman" w:hAnsi="Times New Roman"/>
          <w:sz w:val="24"/>
          <w:szCs w:val="24"/>
          <w:lang w:val="en-GB"/>
        </w:rPr>
        <w:t>.</w:t>
      </w:r>
      <w:r w:rsidRPr="00ED1B85">
        <w:rPr>
          <w:rFonts w:ascii="Times New Roman" w:hAnsi="Times New Roman"/>
          <w:sz w:val="24"/>
          <w:szCs w:val="24"/>
          <w:lang w:val="en-GB"/>
        </w:rPr>
        <w:t xml:space="preserve"> </w:t>
      </w:r>
      <w:r w:rsidR="00156E86" w:rsidRPr="00ED1B85">
        <w:rPr>
          <w:rFonts w:ascii="Times New Roman" w:hAnsi="Times New Roman"/>
          <w:sz w:val="24"/>
          <w:szCs w:val="24"/>
          <w:lang w:val="en-GB"/>
        </w:rPr>
        <w:t>2013;</w:t>
      </w:r>
      <w:r w:rsidRPr="00ED1B85">
        <w:rPr>
          <w:rFonts w:ascii="Times New Roman" w:hAnsi="Times New Roman"/>
          <w:sz w:val="24"/>
          <w:szCs w:val="24"/>
          <w:lang w:val="en-GB"/>
        </w:rPr>
        <w:t>14</w:t>
      </w:r>
      <w:r w:rsidR="00156E86" w:rsidRPr="00ED1B85">
        <w:rPr>
          <w:rFonts w:ascii="Times New Roman" w:hAnsi="Times New Roman"/>
          <w:sz w:val="24"/>
          <w:szCs w:val="24"/>
          <w:lang w:val="en-GB"/>
        </w:rPr>
        <w:t>:</w:t>
      </w:r>
      <w:r w:rsidRPr="00ED1B85">
        <w:rPr>
          <w:rFonts w:ascii="Times New Roman" w:hAnsi="Times New Roman"/>
          <w:sz w:val="24"/>
          <w:szCs w:val="24"/>
          <w:lang w:val="en-GB"/>
        </w:rPr>
        <w:t>1</w:t>
      </w:r>
      <w:r w:rsidR="00156E86" w:rsidRPr="00ED1B85">
        <w:rPr>
          <w:rFonts w:ascii="Times New Roman" w:hAnsi="Times New Roman"/>
          <w:sz w:val="24"/>
          <w:szCs w:val="24"/>
          <w:lang w:val="en-GB"/>
        </w:rPr>
        <w:t>–</w:t>
      </w:r>
      <w:r w:rsidRPr="00ED1B85">
        <w:rPr>
          <w:rFonts w:ascii="Times New Roman" w:hAnsi="Times New Roman"/>
          <w:sz w:val="24"/>
          <w:szCs w:val="24"/>
          <w:lang w:val="en-GB"/>
        </w:rPr>
        <w:t>9.</w:t>
      </w:r>
    </w:p>
    <w:p w14:paraId="3B74FBA9" w14:textId="0C31652F" w:rsidR="00B82B8A" w:rsidRPr="00ED1B85" w:rsidRDefault="00B82B8A"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 xml:space="preserve">Liao WX, Laurent LC, Agent S, Hodges J, Chen DB. Human placental expression of SLIT/ROBO signaling cues: effects of preeclampsia and hypoxia. Biol Reprod. </w:t>
      </w:r>
      <w:r w:rsidR="00156E86" w:rsidRPr="00ED1B85">
        <w:rPr>
          <w:rFonts w:ascii="Times New Roman" w:hAnsi="Times New Roman"/>
          <w:sz w:val="24"/>
          <w:szCs w:val="24"/>
          <w:lang w:val="en-GB"/>
        </w:rPr>
        <w:t>2012;</w:t>
      </w:r>
      <w:r w:rsidRPr="00ED1B85">
        <w:rPr>
          <w:rFonts w:ascii="Times New Roman" w:hAnsi="Times New Roman"/>
          <w:sz w:val="24"/>
          <w:szCs w:val="24"/>
          <w:lang w:val="en-GB"/>
        </w:rPr>
        <w:t>86</w:t>
      </w:r>
      <w:r w:rsidR="00156E86" w:rsidRPr="00ED1B85">
        <w:rPr>
          <w:rFonts w:ascii="Times New Roman" w:hAnsi="Times New Roman"/>
          <w:sz w:val="24"/>
          <w:szCs w:val="24"/>
          <w:lang w:val="en-GB"/>
        </w:rPr>
        <w:t>:</w:t>
      </w:r>
      <w:r w:rsidRPr="00ED1B85">
        <w:rPr>
          <w:rFonts w:ascii="Times New Roman" w:hAnsi="Times New Roman"/>
          <w:sz w:val="24"/>
          <w:szCs w:val="24"/>
          <w:lang w:val="en-GB"/>
        </w:rPr>
        <w:t>111.</w:t>
      </w:r>
    </w:p>
    <w:p w14:paraId="61371CA7" w14:textId="306CF2DA" w:rsidR="00F21FDF" w:rsidRPr="00ED1B85" w:rsidRDefault="00F21FDF"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Xia X, Zhang S, Zhang H, Zhang Z, Chen N, Li Z, et al. Assessing genomic diversity and signatures of selection in Jiaxian Red cattle using whole-genome sequencing data. BMC Genom</w:t>
      </w:r>
      <w:r w:rsidR="00CE0EAE">
        <w:rPr>
          <w:rFonts w:ascii="Times New Roman" w:hAnsi="Times New Roman"/>
          <w:sz w:val="24"/>
          <w:szCs w:val="24"/>
          <w:lang w:val="en-GB"/>
        </w:rPr>
        <w:t>ics</w:t>
      </w:r>
      <w:r w:rsidRPr="00ED1B85">
        <w:rPr>
          <w:rFonts w:ascii="Times New Roman" w:hAnsi="Times New Roman"/>
          <w:sz w:val="24"/>
          <w:szCs w:val="24"/>
          <w:lang w:val="en-GB"/>
        </w:rPr>
        <w:t>. 2021;22:1–11.</w:t>
      </w:r>
    </w:p>
    <w:p w14:paraId="28CEB557" w14:textId="798B9DD8" w:rsidR="00F21FDF" w:rsidRPr="00ED1B85" w:rsidRDefault="00F21FDF"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Abo-Ismail MK, Lansink N, Akanno E, Karisa BK, Crowley JJ, Moore SS, et al. Development and validation of a small SNP panel for feed efficiency in beef cattle. J Anim Sci. 2018;96:375–97.</w:t>
      </w:r>
    </w:p>
    <w:p w14:paraId="4B64BB18" w14:textId="5EFFE49F" w:rsidR="00F21FDF" w:rsidRPr="00ED1B85" w:rsidRDefault="00F21FDF"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Kim J, Li Y, Lee J, Lee Y. Application of linkage disequilibrium mapping methods to detect QTL for carcass quality on chromosome 6 using a high density SNP map in Hanwoo. Asian-Aust J Anim Sci. 2011;24:457–62.</w:t>
      </w:r>
    </w:p>
    <w:p w14:paraId="19F285B9" w14:textId="4905AB5B" w:rsidR="00F21FDF" w:rsidRPr="00ED1B85" w:rsidRDefault="00F21FDF"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Xue Y, Li C, Duan D, Wang M, Han X, Wang K, et al. Genome‐wide association studies for growth‐related traits in a crossbreed pig population. Anim Genet. 2021;52:217</w:t>
      </w:r>
      <w:r w:rsidR="0059367A" w:rsidRPr="00ED1B85">
        <w:rPr>
          <w:rFonts w:ascii="Times New Roman" w:hAnsi="Times New Roman"/>
          <w:sz w:val="24"/>
          <w:szCs w:val="24"/>
          <w:lang w:val="en-GB"/>
        </w:rPr>
        <w:t>–</w:t>
      </w:r>
      <w:r w:rsidRPr="00ED1B85">
        <w:rPr>
          <w:rFonts w:ascii="Times New Roman" w:hAnsi="Times New Roman"/>
          <w:sz w:val="24"/>
          <w:szCs w:val="24"/>
          <w:lang w:val="en-GB"/>
        </w:rPr>
        <w:t>22.</w:t>
      </w:r>
    </w:p>
    <w:p w14:paraId="208D8311" w14:textId="06849D9E" w:rsidR="0059367A" w:rsidRPr="00ED1B85" w:rsidRDefault="0059367A"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Yurchenko AA, Deniskova TE, Yudin NS, Dotsev AV, Khamiruev TN, Selionova MI, et al. High-density genotyping reveals signatures of selection related to acclimation and economically important traits in 15 local sheep breeds from Russia. BMC Genom</w:t>
      </w:r>
      <w:r w:rsidR="00CE0EAE">
        <w:rPr>
          <w:rFonts w:ascii="Times New Roman" w:hAnsi="Times New Roman"/>
          <w:sz w:val="24"/>
          <w:szCs w:val="24"/>
          <w:lang w:val="en-GB"/>
        </w:rPr>
        <w:t>ics</w:t>
      </w:r>
      <w:r w:rsidRPr="00ED1B85">
        <w:rPr>
          <w:rFonts w:ascii="Times New Roman" w:hAnsi="Times New Roman"/>
          <w:sz w:val="24"/>
          <w:szCs w:val="24"/>
          <w:lang w:val="en-GB"/>
        </w:rPr>
        <w:t>. 2019;20:1–19.</w:t>
      </w:r>
    </w:p>
    <w:p w14:paraId="10748033" w14:textId="2CDB22B0" w:rsidR="0059367A" w:rsidRPr="00ED1B85" w:rsidRDefault="0059367A"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lastRenderedPageBreak/>
        <w:t>Wang H, Zhang L, Cao J, Wu M, Ma X, Liu Z, et al. Genome-wide specific selection in three domestic sheep breeds. PloS One</w:t>
      </w:r>
      <w:r w:rsidR="00255414">
        <w:rPr>
          <w:rFonts w:ascii="Times New Roman" w:hAnsi="Times New Roman"/>
          <w:sz w:val="24"/>
          <w:szCs w:val="24"/>
          <w:lang w:val="en-GB"/>
        </w:rPr>
        <w:t>.</w:t>
      </w:r>
      <w:r w:rsidRPr="00ED1B85">
        <w:rPr>
          <w:rFonts w:ascii="Times New Roman" w:hAnsi="Times New Roman"/>
          <w:sz w:val="24"/>
          <w:szCs w:val="24"/>
          <w:lang w:val="en-GB"/>
        </w:rPr>
        <w:t xml:space="preserve"> 2015;10:e0128688.</w:t>
      </w:r>
    </w:p>
    <w:p w14:paraId="00A91340" w14:textId="75F3F2C8" w:rsidR="0059367A" w:rsidRPr="00ED1B85" w:rsidRDefault="0059367A"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Patel K, Scrimieri F, Ghosh S, Zhong J, Kim MS, Ren YR, et al. FAM190A deficiency creates a cell division defect. Am J Pathol. 2013;183:296–303.</w:t>
      </w:r>
    </w:p>
    <w:p w14:paraId="2AB5EB54" w14:textId="6DCE8A55" w:rsidR="004A3E35" w:rsidRPr="00ED1B85" w:rsidRDefault="00763D73"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Liu Z, Bai C, Shi L, He Y, Hu M, Sun H, et al. (2022). Detection of selection signatures in South African Mutton Merino sheep using whole‐genome sequencing data. Anim Genet. 2022;53:224</w:t>
      </w:r>
      <w:r w:rsidR="00093AF5" w:rsidRPr="00ED1B85">
        <w:rPr>
          <w:rFonts w:ascii="Times New Roman" w:hAnsi="Times New Roman"/>
          <w:sz w:val="24"/>
          <w:szCs w:val="24"/>
          <w:lang w:val="en-GB"/>
        </w:rPr>
        <w:t>–</w:t>
      </w:r>
      <w:r w:rsidRPr="00ED1B85">
        <w:rPr>
          <w:rFonts w:ascii="Times New Roman" w:hAnsi="Times New Roman"/>
          <w:sz w:val="24"/>
          <w:szCs w:val="24"/>
          <w:lang w:val="en-GB"/>
        </w:rPr>
        <w:t>9.</w:t>
      </w:r>
    </w:p>
    <w:p w14:paraId="6C0ECDD2" w14:textId="325D53FD" w:rsidR="00763D73" w:rsidRPr="00ED1B85" w:rsidRDefault="00763D73"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Lyu S, Arends D, Nassar MK, Brockmann GA. Fine mapping of a distal chromosome 4 QTL affecting growth and muscle mass in a chicken advanced intercross line. Anim Genet. 2017;48:295</w:t>
      </w:r>
      <w:r w:rsidR="00093AF5" w:rsidRPr="00ED1B85">
        <w:rPr>
          <w:rFonts w:ascii="Times New Roman" w:hAnsi="Times New Roman"/>
          <w:sz w:val="24"/>
          <w:szCs w:val="24"/>
          <w:lang w:val="en-GB"/>
        </w:rPr>
        <w:t>–</w:t>
      </w:r>
      <w:r w:rsidRPr="00ED1B85">
        <w:rPr>
          <w:rFonts w:ascii="Times New Roman" w:hAnsi="Times New Roman"/>
          <w:sz w:val="24"/>
          <w:szCs w:val="24"/>
          <w:lang w:val="en-GB"/>
        </w:rPr>
        <w:t>302.</w:t>
      </w:r>
    </w:p>
    <w:p w14:paraId="789288DC" w14:textId="279DDB43" w:rsidR="00763D73" w:rsidRPr="00ED1B85" w:rsidRDefault="00763D73"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West AB, Lockhart PJ, O'Farell C, Farrer MJ. Identification of a novel gene linked to parkin via a bi-directional promoter. J Mol Biol. 2003;326:11</w:t>
      </w:r>
      <w:r w:rsidR="00093AF5" w:rsidRPr="00ED1B85">
        <w:rPr>
          <w:rFonts w:ascii="Times New Roman" w:hAnsi="Times New Roman"/>
          <w:sz w:val="24"/>
          <w:szCs w:val="24"/>
          <w:lang w:val="en-GB"/>
        </w:rPr>
        <w:t>–</w:t>
      </w:r>
      <w:r w:rsidRPr="00ED1B85">
        <w:rPr>
          <w:rFonts w:ascii="Times New Roman" w:hAnsi="Times New Roman"/>
          <w:sz w:val="24"/>
          <w:szCs w:val="24"/>
          <w:lang w:val="en-GB"/>
        </w:rPr>
        <w:t>9.</w:t>
      </w:r>
    </w:p>
    <w:p w14:paraId="02F951E9" w14:textId="38418EE1" w:rsidR="00763D73" w:rsidRPr="00ED1B85" w:rsidRDefault="00763D73"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Taylor JM, Brody KM, Lockhart PJ. Parkin co-regulated gene is involved in aggresome formation and autophagy in response to proteasomal impairment. Exp Cell Res. 2012;318:2059</w:t>
      </w:r>
      <w:r w:rsidR="00093AF5" w:rsidRPr="00ED1B85">
        <w:rPr>
          <w:rFonts w:ascii="Times New Roman" w:hAnsi="Times New Roman"/>
          <w:sz w:val="24"/>
          <w:szCs w:val="24"/>
          <w:lang w:val="en-GB"/>
        </w:rPr>
        <w:t>–</w:t>
      </w:r>
      <w:r w:rsidRPr="00ED1B85">
        <w:rPr>
          <w:rFonts w:ascii="Times New Roman" w:hAnsi="Times New Roman"/>
          <w:sz w:val="24"/>
          <w:szCs w:val="24"/>
          <w:lang w:val="en-GB"/>
        </w:rPr>
        <w:t>70.</w:t>
      </w:r>
    </w:p>
    <w:p w14:paraId="10CCFF8F" w14:textId="6940DAA8" w:rsidR="00763D73" w:rsidRPr="00ED1B85" w:rsidRDefault="00763D73"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 xml:space="preserve">Taylor JM, Song YJC, Huang Y, Farrer MJ, Delatycki MB, Halliday GM, </w:t>
      </w:r>
      <w:r w:rsidR="003A6409" w:rsidRPr="00ED1B85">
        <w:rPr>
          <w:rFonts w:ascii="Times New Roman" w:hAnsi="Times New Roman"/>
          <w:sz w:val="24"/>
          <w:szCs w:val="24"/>
          <w:lang w:val="en-GB"/>
        </w:rPr>
        <w:t>et al.</w:t>
      </w:r>
      <w:r w:rsidRPr="00ED1B85">
        <w:rPr>
          <w:rFonts w:ascii="Times New Roman" w:hAnsi="Times New Roman"/>
          <w:sz w:val="24"/>
          <w:szCs w:val="24"/>
          <w:lang w:val="en-GB"/>
        </w:rPr>
        <w:t xml:space="preserve"> Parkin Co-regulated Gene (PACRG) is regulated by the ubiquitin–proteasomal system and is present in the pathological features of parkinsonian diseases. Neurobiol </w:t>
      </w:r>
      <w:r w:rsidR="003A6409" w:rsidRPr="00ED1B85">
        <w:rPr>
          <w:rFonts w:ascii="Times New Roman" w:hAnsi="Times New Roman"/>
          <w:sz w:val="24"/>
          <w:szCs w:val="24"/>
          <w:lang w:val="en-GB"/>
        </w:rPr>
        <w:t>D</w:t>
      </w:r>
      <w:r w:rsidRPr="00ED1B85">
        <w:rPr>
          <w:rFonts w:ascii="Times New Roman" w:hAnsi="Times New Roman"/>
          <w:sz w:val="24"/>
          <w:szCs w:val="24"/>
          <w:lang w:val="en-GB"/>
        </w:rPr>
        <w:t>is</w:t>
      </w:r>
      <w:r w:rsidR="003A6409" w:rsidRPr="00ED1B85">
        <w:rPr>
          <w:rFonts w:ascii="Times New Roman" w:hAnsi="Times New Roman"/>
          <w:sz w:val="24"/>
          <w:szCs w:val="24"/>
          <w:lang w:val="en-GB"/>
        </w:rPr>
        <w:t>. 2007;</w:t>
      </w:r>
      <w:r w:rsidRPr="00ED1B85">
        <w:rPr>
          <w:rFonts w:ascii="Times New Roman" w:hAnsi="Times New Roman"/>
          <w:sz w:val="24"/>
          <w:szCs w:val="24"/>
          <w:lang w:val="en-GB"/>
        </w:rPr>
        <w:t>27</w:t>
      </w:r>
      <w:r w:rsidR="003A6409" w:rsidRPr="00ED1B85">
        <w:rPr>
          <w:rFonts w:ascii="Times New Roman" w:hAnsi="Times New Roman"/>
          <w:sz w:val="24"/>
          <w:szCs w:val="24"/>
          <w:lang w:val="en-GB"/>
        </w:rPr>
        <w:t>:</w:t>
      </w:r>
      <w:r w:rsidRPr="00ED1B85">
        <w:rPr>
          <w:rFonts w:ascii="Times New Roman" w:hAnsi="Times New Roman"/>
          <w:sz w:val="24"/>
          <w:szCs w:val="24"/>
          <w:lang w:val="en-GB"/>
        </w:rPr>
        <w:t>238</w:t>
      </w:r>
      <w:r w:rsidR="00093AF5" w:rsidRPr="00ED1B85">
        <w:rPr>
          <w:rFonts w:ascii="Times New Roman" w:hAnsi="Times New Roman"/>
          <w:sz w:val="24"/>
          <w:szCs w:val="24"/>
          <w:lang w:val="en-GB"/>
        </w:rPr>
        <w:t>–</w:t>
      </w:r>
      <w:r w:rsidRPr="00ED1B85">
        <w:rPr>
          <w:rFonts w:ascii="Times New Roman" w:hAnsi="Times New Roman"/>
          <w:sz w:val="24"/>
          <w:szCs w:val="24"/>
          <w:lang w:val="en-GB"/>
        </w:rPr>
        <w:t>47.</w:t>
      </w:r>
    </w:p>
    <w:p w14:paraId="50A3486B" w14:textId="6DF160E5" w:rsidR="003A6409" w:rsidRPr="00ED1B85" w:rsidRDefault="003A6409"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rPr>
        <w:t xml:space="preserve">Mira MT, Alcais A, Van Thuc N, Moraes MO, Di Flumeri C, Hong Thai VU, et al. </w:t>
      </w:r>
      <w:r w:rsidRPr="00ED1B85">
        <w:rPr>
          <w:rFonts w:ascii="Times New Roman" w:hAnsi="Times New Roman"/>
          <w:sz w:val="24"/>
          <w:szCs w:val="24"/>
          <w:lang w:val="en-GB"/>
        </w:rPr>
        <w:t>Susceptibility to leprosy is associated with PARK2 and PACRG. Nature</w:t>
      </w:r>
      <w:r w:rsidR="00255414">
        <w:rPr>
          <w:rFonts w:ascii="Times New Roman" w:hAnsi="Times New Roman"/>
          <w:sz w:val="24"/>
          <w:szCs w:val="24"/>
          <w:lang w:val="en-GB"/>
        </w:rPr>
        <w:t>.</w:t>
      </w:r>
      <w:r w:rsidRPr="00ED1B85">
        <w:rPr>
          <w:rFonts w:ascii="Times New Roman" w:hAnsi="Times New Roman"/>
          <w:sz w:val="24"/>
          <w:szCs w:val="24"/>
          <w:lang w:val="en-GB"/>
        </w:rPr>
        <w:t xml:space="preserve"> 2004;427:636</w:t>
      </w:r>
      <w:r w:rsidR="00093AF5" w:rsidRPr="00ED1B85">
        <w:rPr>
          <w:rFonts w:ascii="Times New Roman" w:hAnsi="Times New Roman"/>
          <w:sz w:val="24"/>
          <w:szCs w:val="24"/>
          <w:lang w:val="en-GB"/>
        </w:rPr>
        <w:t>–</w:t>
      </w:r>
      <w:r w:rsidRPr="00ED1B85">
        <w:rPr>
          <w:rFonts w:ascii="Times New Roman" w:hAnsi="Times New Roman"/>
          <w:sz w:val="24"/>
          <w:szCs w:val="24"/>
          <w:lang w:val="en-GB"/>
        </w:rPr>
        <w:t>40.</w:t>
      </w:r>
    </w:p>
    <w:p w14:paraId="60CAF5E7" w14:textId="0056A916" w:rsidR="003A6409" w:rsidRPr="00ED1B85" w:rsidRDefault="00093AF5"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rPr>
        <w:t xml:space="preserve">Bragina EY, Tiys ES, Rudko AA, Ivanisenko VA, Freidin MB. </w:t>
      </w:r>
      <w:r w:rsidRPr="00ED1B85">
        <w:rPr>
          <w:rFonts w:ascii="Times New Roman" w:hAnsi="Times New Roman"/>
          <w:sz w:val="24"/>
          <w:szCs w:val="24"/>
          <w:lang w:val="en-GB"/>
        </w:rPr>
        <w:t>Novel tuberculosis susceptibility candidate genes revealed by the reconstruction and analysis of associative networks. Infect Genet Evol</w:t>
      </w:r>
      <w:r w:rsidR="00615ED5" w:rsidRPr="00ED1B85">
        <w:rPr>
          <w:rFonts w:ascii="Times New Roman" w:hAnsi="Times New Roman"/>
          <w:sz w:val="24"/>
          <w:szCs w:val="24"/>
          <w:lang w:val="en-GB"/>
        </w:rPr>
        <w:t>.</w:t>
      </w:r>
      <w:r w:rsidRPr="00ED1B85">
        <w:rPr>
          <w:rFonts w:ascii="Times New Roman" w:hAnsi="Times New Roman"/>
          <w:sz w:val="24"/>
          <w:szCs w:val="24"/>
          <w:lang w:val="en-GB"/>
        </w:rPr>
        <w:t xml:space="preserve"> 2016;46:118–23.</w:t>
      </w:r>
    </w:p>
    <w:p w14:paraId="4CCA2192" w14:textId="47549A2C" w:rsidR="00093AF5" w:rsidRPr="00ED1B85" w:rsidRDefault="00B1613C"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Ali S, Vollaard AM, Widjaja S, Surjadi C, Van De Vosse E, Van Dissel JT. PARK2/PACRG polymorphisms and susceptibility to typhoid and paratyphoid fever. Clin Exp Immunol</w:t>
      </w:r>
      <w:r w:rsidR="00615ED5" w:rsidRPr="00ED1B85">
        <w:rPr>
          <w:rFonts w:ascii="Times New Roman" w:hAnsi="Times New Roman"/>
          <w:sz w:val="24"/>
          <w:szCs w:val="24"/>
          <w:lang w:val="en-GB"/>
        </w:rPr>
        <w:t>.</w:t>
      </w:r>
      <w:r w:rsidRPr="00ED1B85">
        <w:rPr>
          <w:rFonts w:ascii="Times New Roman" w:hAnsi="Times New Roman"/>
          <w:sz w:val="24"/>
          <w:szCs w:val="24"/>
          <w:lang w:val="en-GB"/>
        </w:rPr>
        <w:t xml:space="preserve"> 2006;144:425</w:t>
      </w:r>
      <w:r w:rsidR="00615ED5" w:rsidRPr="00ED1B85">
        <w:rPr>
          <w:rFonts w:ascii="Times New Roman" w:hAnsi="Times New Roman"/>
          <w:sz w:val="24"/>
          <w:szCs w:val="24"/>
          <w:lang w:val="en-GB"/>
        </w:rPr>
        <w:t>–</w:t>
      </w:r>
      <w:r w:rsidRPr="00ED1B85">
        <w:rPr>
          <w:rFonts w:ascii="Times New Roman" w:hAnsi="Times New Roman"/>
          <w:sz w:val="24"/>
          <w:szCs w:val="24"/>
          <w:lang w:val="en-GB"/>
        </w:rPr>
        <w:t>31.</w:t>
      </w:r>
    </w:p>
    <w:p w14:paraId="13AB646D" w14:textId="47CF43E2" w:rsidR="00E67B89" w:rsidRPr="00ED1B85" w:rsidRDefault="00A35732"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lastRenderedPageBreak/>
        <w:t>Siebert L, Staton ME, Headrick S, Lewis M, Gillespie B, Young C,</w:t>
      </w:r>
      <w:r w:rsidR="00B861EB" w:rsidRPr="00ED1B85">
        <w:rPr>
          <w:rFonts w:ascii="Times New Roman" w:hAnsi="Times New Roman"/>
          <w:sz w:val="24"/>
          <w:szCs w:val="24"/>
          <w:lang w:val="en-GB"/>
        </w:rPr>
        <w:t xml:space="preserve"> el al.</w:t>
      </w:r>
      <w:r w:rsidRPr="00ED1B85">
        <w:rPr>
          <w:rFonts w:ascii="Times New Roman" w:hAnsi="Times New Roman"/>
          <w:sz w:val="24"/>
          <w:szCs w:val="24"/>
          <w:lang w:val="en-GB"/>
        </w:rPr>
        <w:t xml:space="preserve"> Genome-wide association study identifies loci associated with milk leukocyte phenotypes following experimental challenge with Streptococcus uberis. Immunogenetics</w:t>
      </w:r>
      <w:r w:rsidR="003409DC">
        <w:rPr>
          <w:rFonts w:ascii="Times New Roman" w:hAnsi="Times New Roman"/>
          <w:sz w:val="24"/>
          <w:szCs w:val="24"/>
          <w:lang w:val="en-GB"/>
        </w:rPr>
        <w:t>.</w:t>
      </w:r>
      <w:r w:rsidR="00B861EB" w:rsidRPr="00ED1B85">
        <w:rPr>
          <w:rFonts w:ascii="Times New Roman" w:hAnsi="Times New Roman"/>
          <w:sz w:val="24"/>
          <w:szCs w:val="24"/>
          <w:lang w:val="en-GB"/>
        </w:rPr>
        <w:t xml:space="preserve"> 2018;</w:t>
      </w:r>
      <w:r w:rsidRPr="00ED1B85">
        <w:rPr>
          <w:rFonts w:ascii="Times New Roman" w:hAnsi="Times New Roman"/>
          <w:sz w:val="24"/>
          <w:szCs w:val="24"/>
          <w:lang w:val="en-GB"/>
        </w:rPr>
        <w:t>70</w:t>
      </w:r>
      <w:r w:rsidR="00B861EB" w:rsidRPr="00ED1B85">
        <w:rPr>
          <w:rFonts w:ascii="Times New Roman" w:hAnsi="Times New Roman"/>
          <w:sz w:val="24"/>
          <w:szCs w:val="24"/>
          <w:lang w:val="en-GB"/>
        </w:rPr>
        <w:t>:</w:t>
      </w:r>
      <w:r w:rsidRPr="00ED1B85">
        <w:rPr>
          <w:rFonts w:ascii="Times New Roman" w:hAnsi="Times New Roman"/>
          <w:sz w:val="24"/>
          <w:szCs w:val="24"/>
          <w:lang w:val="en-GB"/>
        </w:rPr>
        <w:t>553</w:t>
      </w:r>
      <w:r w:rsidR="00B861EB" w:rsidRPr="00ED1B85">
        <w:rPr>
          <w:rFonts w:ascii="Times New Roman" w:hAnsi="Times New Roman"/>
          <w:sz w:val="24"/>
          <w:szCs w:val="24"/>
          <w:lang w:val="en-GB"/>
        </w:rPr>
        <w:t>–</w:t>
      </w:r>
      <w:r w:rsidRPr="00ED1B85">
        <w:rPr>
          <w:rFonts w:ascii="Times New Roman" w:hAnsi="Times New Roman"/>
          <w:sz w:val="24"/>
          <w:szCs w:val="24"/>
          <w:lang w:val="en-GB"/>
        </w:rPr>
        <w:t>62.</w:t>
      </w:r>
    </w:p>
    <w:p w14:paraId="6D50C281" w14:textId="0B13EE52" w:rsidR="00E67B89" w:rsidRPr="00ED1B85" w:rsidRDefault="00E67B89"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Meschede J, Šadić M, Furthmann N, Miedema T, Sehr DA, Müller-Rischart AK, et al. The parkin-coregulated gene product PACRG promotes TNF signaling by stabilizing LUBAC. Sci Signal. 2020;13:eaav1256.</w:t>
      </w:r>
    </w:p>
    <w:p w14:paraId="16AA8361" w14:textId="4C01F6AE" w:rsidR="00E67B89" w:rsidRPr="00ED1B85" w:rsidRDefault="00E67B89"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rPr>
        <w:t xml:space="preserve">Martínez-Hernández R, Serrano-Somavilla A, Ramos-Leví A, Sampedro-Nunez M, Lens-Pardo A, De Nova JLM, et al. </w:t>
      </w:r>
      <w:r w:rsidRPr="00ED1B85">
        <w:rPr>
          <w:rFonts w:ascii="Times New Roman" w:hAnsi="Times New Roman"/>
          <w:sz w:val="24"/>
          <w:szCs w:val="24"/>
          <w:lang w:val="en-GB"/>
        </w:rPr>
        <w:t>Integrated miRNA and mRNA expression profiling identifies novel targets and pathological mechanisms in autoimmune thyroid diseases. EBioMedicine</w:t>
      </w:r>
      <w:r w:rsidR="003409DC">
        <w:rPr>
          <w:rFonts w:ascii="Times New Roman" w:hAnsi="Times New Roman"/>
          <w:sz w:val="24"/>
          <w:szCs w:val="24"/>
          <w:lang w:val="en-GB"/>
        </w:rPr>
        <w:t>.</w:t>
      </w:r>
      <w:r w:rsidRPr="00ED1B85">
        <w:rPr>
          <w:rFonts w:ascii="Times New Roman" w:hAnsi="Times New Roman"/>
          <w:sz w:val="24"/>
          <w:szCs w:val="24"/>
          <w:lang w:val="en-GB"/>
        </w:rPr>
        <w:t xml:space="preserve"> 2019;50:329–42.</w:t>
      </w:r>
    </w:p>
    <w:p w14:paraId="2037925D" w14:textId="226DACE4" w:rsidR="00E67B89" w:rsidRPr="00ED1B85" w:rsidRDefault="00E67B89"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rPr>
        <w:t xml:space="preserve">Agirre X, Román‐Gómez J, Vázquez I, Jiménez‐Velasco A, Garate L, Montiel‐Duarte C, et al. </w:t>
      </w:r>
      <w:r w:rsidRPr="00ED1B85">
        <w:rPr>
          <w:rFonts w:ascii="Times New Roman" w:hAnsi="Times New Roman"/>
          <w:sz w:val="24"/>
          <w:szCs w:val="24"/>
          <w:lang w:val="en-GB"/>
        </w:rPr>
        <w:t>Abnormal methylation of the common PARK2 and PACRG promoter is associated with downregulation of gene expression in acute lymphoblastic leukemia and chronic myeloid leukemia. Int J Cancer. 2006;118:1945–53.</w:t>
      </w:r>
    </w:p>
    <w:p w14:paraId="648E7461" w14:textId="601F1CF0" w:rsidR="005F78FB" w:rsidRPr="00ED1B85" w:rsidRDefault="00A35732"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Li W, Tang W, Teves ME, Zhang Z, Zhang L, Li H. et al. A MEIG1/PACRG complex in the manchette is essential for building the sperm flagella. Development</w:t>
      </w:r>
      <w:r w:rsidR="003409DC">
        <w:rPr>
          <w:rFonts w:ascii="Times New Roman" w:hAnsi="Times New Roman"/>
          <w:sz w:val="24"/>
          <w:szCs w:val="24"/>
          <w:lang w:val="en-GB"/>
        </w:rPr>
        <w:t>.</w:t>
      </w:r>
      <w:r w:rsidRPr="00ED1B85">
        <w:rPr>
          <w:rFonts w:ascii="Times New Roman" w:hAnsi="Times New Roman"/>
          <w:sz w:val="24"/>
          <w:szCs w:val="24"/>
          <w:lang w:val="en-GB"/>
        </w:rPr>
        <w:t xml:space="preserve"> 2015;142:921</w:t>
      </w:r>
      <w:r w:rsidR="00B861EB" w:rsidRPr="00ED1B85">
        <w:rPr>
          <w:rFonts w:ascii="Times New Roman" w:hAnsi="Times New Roman"/>
          <w:sz w:val="24"/>
          <w:szCs w:val="24"/>
          <w:lang w:val="en-GB"/>
        </w:rPr>
        <w:t>–</w:t>
      </w:r>
      <w:r w:rsidRPr="00ED1B85">
        <w:rPr>
          <w:rFonts w:ascii="Times New Roman" w:hAnsi="Times New Roman"/>
          <w:sz w:val="24"/>
          <w:szCs w:val="24"/>
          <w:lang w:val="en-GB"/>
        </w:rPr>
        <w:t>30.</w:t>
      </w:r>
    </w:p>
    <w:p w14:paraId="5360AECF" w14:textId="525D30CA" w:rsidR="00A35732" w:rsidRPr="00ED1B85" w:rsidRDefault="00A35732"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rPr>
        <w:t xml:space="preserve">Lorenzetti D, Bishop CE, Justice MJ. </w:t>
      </w:r>
      <w:r w:rsidRPr="00ED1B85">
        <w:rPr>
          <w:rFonts w:ascii="Times New Roman" w:hAnsi="Times New Roman"/>
          <w:sz w:val="24"/>
          <w:szCs w:val="24"/>
          <w:lang w:val="en-GB"/>
        </w:rPr>
        <w:t xml:space="preserve">Deletion of the Parkin coregulated gene causes male sterility in the quakingviable mouse mutant. Proc </w:t>
      </w:r>
      <w:r w:rsidR="00B861EB" w:rsidRPr="00ED1B85">
        <w:rPr>
          <w:rFonts w:ascii="Times New Roman" w:hAnsi="Times New Roman"/>
          <w:sz w:val="24"/>
          <w:szCs w:val="24"/>
          <w:lang w:val="en-GB"/>
        </w:rPr>
        <w:t>N</w:t>
      </w:r>
      <w:r w:rsidRPr="00ED1B85">
        <w:rPr>
          <w:rFonts w:ascii="Times New Roman" w:hAnsi="Times New Roman"/>
          <w:sz w:val="24"/>
          <w:szCs w:val="24"/>
          <w:lang w:val="en-GB"/>
        </w:rPr>
        <w:t>at</w:t>
      </w:r>
      <w:r w:rsidR="00B861EB" w:rsidRPr="00ED1B85">
        <w:rPr>
          <w:rFonts w:ascii="Times New Roman" w:hAnsi="Times New Roman"/>
          <w:sz w:val="24"/>
          <w:szCs w:val="24"/>
          <w:lang w:val="en-GB"/>
        </w:rPr>
        <w:t>l</w:t>
      </w:r>
      <w:r w:rsidRPr="00ED1B85">
        <w:rPr>
          <w:rFonts w:ascii="Times New Roman" w:hAnsi="Times New Roman"/>
          <w:sz w:val="24"/>
          <w:szCs w:val="24"/>
          <w:lang w:val="en-GB"/>
        </w:rPr>
        <w:t xml:space="preserve"> Acad Sci</w:t>
      </w:r>
      <w:r w:rsidR="00B861EB" w:rsidRPr="00ED1B85">
        <w:rPr>
          <w:rFonts w:ascii="Times New Roman" w:hAnsi="Times New Roman"/>
          <w:sz w:val="24"/>
          <w:szCs w:val="24"/>
          <w:lang w:val="en-GB"/>
        </w:rPr>
        <w:t>.</w:t>
      </w:r>
      <w:r w:rsidRPr="00ED1B85">
        <w:rPr>
          <w:rFonts w:ascii="Times New Roman" w:hAnsi="Times New Roman"/>
          <w:sz w:val="24"/>
          <w:szCs w:val="24"/>
          <w:lang w:val="en-GB"/>
        </w:rPr>
        <w:t xml:space="preserve"> 2004;101:8402-07.</w:t>
      </w:r>
    </w:p>
    <w:p w14:paraId="0434D45A" w14:textId="7B734FA9" w:rsidR="005F78FB" w:rsidRPr="00ED1B85" w:rsidRDefault="008F12B4"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Dawe HR, Farr H, Portman N, Shaw MK, Gull K. The Parkin co-regulated gene product, PACRG, is an evolutionarily conserved axonemal protein that functions in outer-doublet microtubule morphogenesis. J Cell Sci. 2005;118: 5421–30.</w:t>
      </w:r>
    </w:p>
    <w:p w14:paraId="45D38C9D" w14:textId="5C2586D4" w:rsidR="008F12B4" w:rsidRPr="00ED1B85" w:rsidRDefault="008F12B4"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Ikeda T. Parkin-co-regulated gene (PACRG) product interacts with tubulin and microtubules. FEBS Lett. 2008;582:1413–8.</w:t>
      </w:r>
    </w:p>
    <w:p w14:paraId="112CD181" w14:textId="26B25DDE" w:rsidR="008F12B4" w:rsidRPr="00ED1B85" w:rsidRDefault="008F12B4"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Wilson GR, Wang HX, Egan GF, Robinson PJ, Delatycki MB, O'Bryan MK, et al. Deletion of the Parkin co-regulated gene causes defects in ependymal ciliary motility and hydrocephalus in the quaking viable mutant mouse. Hum Mol Genet</w:t>
      </w:r>
      <w:r w:rsidR="003409DC">
        <w:rPr>
          <w:rFonts w:ascii="Times New Roman" w:hAnsi="Times New Roman"/>
          <w:sz w:val="24"/>
          <w:szCs w:val="24"/>
          <w:lang w:val="en-GB"/>
        </w:rPr>
        <w:t>.</w:t>
      </w:r>
      <w:r w:rsidRPr="00ED1B85">
        <w:rPr>
          <w:rFonts w:ascii="Times New Roman" w:hAnsi="Times New Roman"/>
          <w:sz w:val="24"/>
          <w:szCs w:val="24"/>
          <w:lang w:val="en-GB"/>
        </w:rPr>
        <w:t xml:space="preserve"> 2010;19:1593–602.</w:t>
      </w:r>
    </w:p>
    <w:p w14:paraId="4F8F469D" w14:textId="47CE0646" w:rsidR="005F78FB" w:rsidRPr="00ED1B85" w:rsidRDefault="005F78FB"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lastRenderedPageBreak/>
        <w:t xml:space="preserve">Loucks CM, Bialas NJ, Dekkers MP, Walker DS, Grundy LJ, Li C, et al. PACRG, a protein linked to ciliary motility, mediates cellular signaling. Mol </w:t>
      </w:r>
      <w:r w:rsidR="00ED15E0" w:rsidRPr="00ED1B85">
        <w:rPr>
          <w:rFonts w:ascii="Times New Roman" w:hAnsi="Times New Roman"/>
          <w:sz w:val="24"/>
          <w:szCs w:val="24"/>
          <w:lang w:val="en-GB"/>
        </w:rPr>
        <w:t>B</w:t>
      </w:r>
      <w:r w:rsidRPr="00ED1B85">
        <w:rPr>
          <w:rFonts w:ascii="Times New Roman" w:hAnsi="Times New Roman"/>
          <w:sz w:val="24"/>
          <w:szCs w:val="24"/>
          <w:lang w:val="en-GB"/>
        </w:rPr>
        <w:t xml:space="preserve">iol </w:t>
      </w:r>
      <w:r w:rsidR="00ED15E0" w:rsidRPr="00ED1B85">
        <w:rPr>
          <w:rFonts w:ascii="Times New Roman" w:hAnsi="Times New Roman"/>
          <w:sz w:val="24"/>
          <w:szCs w:val="24"/>
          <w:lang w:val="en-GB"/>
        </w:rPr>
        <w:t>C</w:t>
      </w:r>
      <w:r w:rsidRPr="00ED1B85">
        <w:rPr>
          <w:rFonts w:ascii="Times New Roman" w:hAnsi="Times New Roman"/>
          <w:sz w:val="24"/>
          <w:szCs w:val="24"/>
          <w:lang w:val="en-GB"/>
        </w:rPr>
        <w:t>ell</w:t>
      </w:r>
      <w:r w:rsidR="00ED15E0" w:rsidRPr="00ED1B85">
        <w:rPr>
          <w:rFonts w:ascii="Times New Roman" w:hAnsi="Times New Roman"/>
          <w:sz w:val="24"/>
          <w:szCs w:val="24"/>
          <w:lang w:val="en-GB"/>
        </w:rPr>
        <w:t>.</w:t>
      </w:r>
      <w:r w:rsidRPr="00ED1B85">
        <w:rPr>
          <w:rFonts w:ascii="Times New Roman" w:hAnsi="Times New Roman"/>
          <w:sz w:val="24"/>
          <w:szCs w:val="24"/>
          <w:lang w:val="en-GB"/>
        </w:rPr>
        <w:t xml:space="preserve"> 2016;27:2133–44.</w:t>
      </w:r>
    </w:p>
    <w:p w14:paraId="1D5034A5" w14:textId="23C7C1E0" w:rsidR="00B85A18" w:rsidRPr="00ED1B85" w:rsidRDefault="005F78FB"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Wilson GR, Sim MLJ, Brody KM, Taylor JM, McLachlan RI, O'Bryan MK, et al. Molecular analysis of the PArkin co-regulated gene and association with male infertility. Fertil Steril. 2010;93:2262–8.</w:t>
      </w:r>
    </w:p>
    <w:p w14:paraId="0CC65681" w14:textId="69568AB9" w:rsidR="00750EF4" w:rsidRPr="00ED1B85" w:rsidRDefault="00750EF4" w:rsidP="00750EF4">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Zhang Z, Shen X, Gude DR, Wilkinson BM, Justice MJ, Flickinger CJ, et al. MEIG1 is essential for spermiogenesis in mice. Proc Natl Acad Sci. 2009;106:17055–60.</w:t>
      </w:r>
    </w:p>
    <w:p w14:paraId="17F214D1" w14:textId="64E907BB" w:rsidR="005F78FB" w:rsidRPr="00ED1B85" w:rsidRDefault="00750EF4"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 xml:space="preserve">Sweett H, Fonseca PAS, Suárez-Vega A, Livernois A, Miglior F, Cánovas A. Genome-wide association study to identify genomic regions and positional candidate genes associated with male fertility in beef cattle. Sci </w:t>
      </w:r>
      <w:r w:rsidR="00A10081" w:rsidRPr="00ED1B85">
        <w:rPr>
          <w:rFonts w:ascii="Times New Roman" w:hAnsi="Times New Roman"/>
          <w:sz w:val="24"/>
          <w:szCs w:val="24"/>
          <w:lang w:val="en-GB"/>
        </w:rPr>
        <w:t>R</w:t>
      </w:r>
      <w:r w:rsidRPr="00ED1B85">
        <w:rPr>
          <w:rFonts w:ascii="Times New Roman" w:hAnsi="Times New Roman"/>
          <w:sz w:val="24"/>
          <w:szCs w:val="24"/>
          <w:lang w:val="en-GB"/>
        </w:rPr>
        <w:t>ep</w:t>
      </w:r>
      <w:r w:rsidR="00A10081" w:rsidRPr="00ED1B85">
        <w:rPr>
          <w:rFonts w:ascii="Times New Roman" w:hAnsi="Times New Roman"/>
          <w:sz w:val="24"/>
          <w:szCs w:val="24"/>
          <w:lang w:val="en-GB"/>
        </w:rPr>
        <w:t>.</w:t>
      </w:r>
      <w:r w:rsidRPr="00ED1B85">
        <w:rPr>
          <w:rFonts w:ascii="Times New Roman" w:hAnsi="Times New Roman"/>
          <w:sz w:val="24"/>
          <w:szCs w:val="24"/>
          <w:lang w:val="en-GB"/>
        </w:rPr>
        <w:t xml:space="preserve"> 2020;10:1–14.</w:t>
      </w:r>
    </w:p>
    <w:p w14:paraId="09434BDA" w14:textId="41657901" w:rsidR="005F78FB" w:rsidRDefault="005F78FB"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Oud MS, Houston BJ, Volozonoka L, Mastrorosa FK, Holt GS, Alobaidi BKS, et al. Exome sequencing reveals variants in known and novel candidate genes for severe sperm motility disorders. Hum Reprod</w:t>
      </w:r>
      <w:r w:rsidR="00ED15E0" w:rsidRPr="00ED1B85">
        <w:rPr>
          <w:rFonts w:ascii="Times New Roman" w:hAnsi="Times New Roman"/>
          <w:sz w:val="24"/>
          <w:szCs w:val="24"/>
          <w:lang w:val="en-GB"/>
        </w:rPr>
        <w:t>.</w:t>
      </w:r>
      <w:r w:rsidRPr="00ED1B85">
        <w:rPr>
          <w:rFonts w:ascii="Times New Roman" w:hAnsi="Times New Roman"/>
          <w:sz w:val="24"/>
          <w:szCs w:val="24"/>
          <w:lang w:val="en-GB"/>
        </w:rPr>
        <w:t xml:space="preserve"> 2021;36:2597–611.</w:t>
      </w:r>
    </w:p>
    <w:p w14:paraId="445A9139" w14:textId="280DB5C1" w:rsidR="00ED1B85" w:rsidRDefault="00ED1B85"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K</w:t>
      </w:r>
      <w:r w:rsidRPr="00EF0971">
        <w:rPr>
          <w:rFonts w:ascii="Times New Roman" w:hAnsi="Times New Roman"/>
          <w:sz w:val="24"/>
          <w:szCs w:val="24"/>
          <w:lang w:val="en-GB"/>
        </w:rPr>
        <w:t>itagawa</w:t>
      </w:r>
      <w:r w:rsidRPr="00ED1B85">
        <w:rPr>
          <w:rFonts w:ascii="Times New Roman" w:hAnsi="Times New Roman"/>
          <w:sz w:val="24"/>
          <w:szCs w:val="24"/>
          <w:lang w:val="en-GB"/>
        </w:rPr>
        <w:t xml:space="preserve"> H, Ray WJ, Glantschnig H, Nantermet PV, Yu Y, Leu CT,</w:t>
      </w:r>
      <w:r w:rsidR="00EF0971">
        <w:rPr>
          <w:rFonts w:ascii="Times New Roman" w:hAnsi="Times New Roman"/>
          <w:sz w:val="24"/>
          <w:szCs w:val="24"/>
          <w:lang w:val="en-GB"/>
        </w:rPr>
        <w:t xml:space="preserve"> et al.</w:t>
      </w:r>
      <w:r w:rsidRPr="00ED1B85">
        <w:rPr>
          <w:rFonts w:ascii="Times New Roman" w:hAnsi="Times New Roman"/>
          <w:sz w:val="24"/>
          <w:szCs w:val="24"/>
          <w:lang w:val="en-GB"/>
        </w:rPr>
        <w:t xml:space="preserve"> A regulatory circuit mediating convergence between Nurr1 transcriptional regulation and Wnt signaling. Mol </w:t>
      </w:r>
      <w:r w:rsidR="00EF0971">
        <w:rPr>
          <w:rFonts w:ascii="Times New Roman" w:hAnsi="Times New Roman"/>
          <w:sz w:val="24"/>
          <w:szCs w:val="24"/>
          <w:lang w:val="en-GB"/>
        </w:rPr>
        <w:t>C</w:t>
      </w:r>
      <w:r w:rsidRPr="00ED1B85">
        <w:rPr>
          <w:rFonts w:ascii="Times New Roman" w:hAnsi="Times New Roman"/>
          <w:sz w:val="24"/>
          <w:szCs w:val="24"/>
          <w:lang w:val="en-GB"/>
        </w:rPr>
        <w:t xml:space="preserve">ell </w:t>
      </w:r>
      <w:r w:rsidR="00EF0971">
        <w:rPr>
          <w:rFonts w:ascii="Times New Roman" w:hAnsi="Times New Roman"/>
          <w:sz w:val="24"/>
          <w:szCs w:val="24"/>
          <w:lang w:val="en-GB"/>
        </w:rPr>
        <w:t>B</w:t>
      </w:r>
      <w:r w:rsidRPr="00ED1B85">
        <w:rPr>
          <w:rFonts w:ascii="Times New Roman" w:hAnsi="Times New Roman"/>
          <w:sz w:val="24"/>
          <w:szCs w:val="24"/>
          <w:lang w:val="en-GB"/>
        </w:rPr>
        <w:t>iol</w:t>
      </w:r>
      <w:r w:rsidR="00EF0971">
        <w:rPr>
          <w:rFonts w:ascii="Times New Roman" w:hAnsi="Times New Roman"/>
          <w:sz w:val="24"/>
          <w:szCs w:val="24"/>
          <w:lang w:val="en-GB"/>
        </w:rPr>
        <w:t>. 2007;</w:t>
      </w:r>
      <w:r w:rsidRPr="00ED1B85">
        <w:rPr>
          <w:rFonts w:ascii="Times New Roman" w:hAnsi="Times New Roman"/>
          <w:sz w:val="24"/>
          <w:szCs w:val="24"/>
          <w:lang w:val="en-GB"/>
        </w:rPr>
        <w:t>27</w:t>
      </w:r>
      <w:r w:rsidR="00EF0971">
        <w:rPr>
          <w:rFonts w:ascii="Times New Roman" w:hAnsi="Times New Roman"/>
          <w:sz w:val="24"/>
          <w:szCs w:val="24"/>
          <w:lang w:val="en-GB"/>
        </w:rPr>
        <w:t>:</w:t>
      </w:r>
      <w:r w:rsidRPr="00ED1B85">
        <w:rPr>
          <w:rFonts w:ascii="Times New Roman" w:hAnsi="Times New Roman"/>
          <w:sz w:val="24"/>
          <w:szCs w:val="24"/>
          <w:lang w:val="en-GB"/>
        </w:rPr>
        <w:t>7486</w:t>
      </w:r>
      <w:r w:rsidR="00EF0971" w:rsidRPr="00ED1B85">
        <w:rPr>
          <w:rFonts w:ascii="Times New Roman" w:hAnsi="Times New Roman"/>
          <w:sz w:val="24"/>
          <w:szCs w:val="24"/>
          <w:lang w:val="en-GB"/>
        </w:rPr>
        <w:t>–</w:t>
      </w:r>
      <w:r w:rsidRPr="00ED1B85">
        <w:rPr>
          <w:rFonts w:ascii="Times New Roman" w:hAnsi="Times New Roman"/>
          <w:sz w:val="24"/>
          <w:szCs w:val="24"/>
          <w:lang w:val="en-GB"/>
        </w:rPr>
        <w:t>96.</w:t>
      </w:r>
    </w:p>
    <w:p w14:paraId="31CF1394" w14:textId="6CDFF1E7" w:rsidR="00ED1B85" w:rsidRDefault="00ED1B85"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Bonne A, Vreede L, Kuiper RP, Bodmer D, Jansen C, Eleveld M,</w:t>
      </w:r>
      <w:r w:rsidR="00EF0971">
        <w:rPr>
          <w:rFonts w:ascii="Times New Roman" w:hAnsi="Times New Roman"/>
          <w:sz w:val="24"/>
          <w:szCs w:val="24"/>
          <w:lang w:val="en-GB"/>
        </w:rPr>
        <w:t xml:space="preserve"> et al</w:t>
      </w:r>
      <w:r w:rsidRPr="00ED1B85">
        <w:rPr>
          <w:rFonts w:ascii="Times New Roman" w:hAnsi="Times New Roman"/>
          <w:sz w:val="24"/>
          <w:szCs w:val="24"/>
          <w:lang w:val="en-GB"/>
        </w:rPr>
        <w:t xml:space="preserve">. Mapping of constitutional translocation breakpoints in renal cell cancer patients: identification of KCNIP4 as a candidate gene. Cancer </w:t>
      </w:r>
      <w:r w:rsidR="00EF0971">
        <w:rPr>
          <w:rFonts w:ascii="Times New Roman" w:hAnsi="Times New Roman"/>
          <w:sz w:val="24"/>
          <w:szCs w:val="24"/>
          <w:lang w:val="en-GB"/>
        </w:rPr>
        <w:t>G</w:t>
      </w:r>
      <w:r w:rsidRPr="00ED1B85">
        <w:rPr>
          <w:rFonts w:ascii="Times New Roman" w:hAnsi="Times New Roman"/>
          <w:sz w:val="24"/>
          <w:szCs w:val="24"/>
          <w:lang w:val="en-GB"/>
        </w:rPr>
        <w:t>enet</w:t>
      </w:r>
      <w:r w:rsidR="00EF0971">
        <w:rPr>
          <w:rFonts w:ascii="Times New Roman" w:hAnsi="Times New Roman"/>
          <w:sz w:val="24"/>
          <w:szCs w:val="24"/>
          <w:lang w:val="en-GB"/>
        </w:rPr>
        <w:t xml:space="preserve"> C</w:t>
      </w:r>
      <w:r w:rsidRPr="00ED1B85">
        <w:rPr>
          <w:rFonts w:ascii="Times New Roman" w:hAnsi="Times New Roman"/>
          <w:sz w:val="24"/>
          <w:szCs w:val="24"/>
          <w:lang w:val="en-GB"/>
        </w:rPr>
        <w:t>ytogenet</w:t>
      </w:r>
      <w:r w:rsidR="00EF0971">
        <w:rPr>
          <w:rFonts w:ascii="Times New Roman" w:hAnsi="Times New Roman"/>
          <w:sz w:val="24"/>
          <w:szCs w:val="24"/>
          <w:lang w:val="en-GB"/>
        </w:rPr>
        <w:t>.</w:t>
      </w:r>
      <w:r w:rsidRPr="00ED1B85">
        <w:rPr>
          <w:rFonts w:ascii="Times New Roman" w:hAnsi="Times New Roman"/>
          <w:sz w:val="24"/>
          <w:szCs w:val="24"/>
          <w:lang w:val="en-GB"/>
        </w:rPr>
        <w:t xml:space="preserve"> </w:t>
      </w:r>
      <w:r w:rsidR="00EF0971">
        <w:rPr>
          <w:rFonts w:ascii="Times New Roman" w:hAnsi="Times New Roman"/>
          <w:sz w:val="24"/>
          <w:szCs w:val="24"/>
          <w:lang w:val="en-GB"/>
        </w:rPr>
        <w:t>2007;</w:t>
      </w:r>
      <w:r w:rsidRPr="00ED1B85">
        <w:rPr>
          <w:rFonts w:ascii="Times New Roman" w:hAnsi="Times New Roman"/>
          <w:sz w:val="24"/>
          <w:szCs w:val="24"/>
          <w:lang w:val="en-GB"/>
        </w:rPr>
        <w:t>179</w:t>
      </w:r>
      <w:r w:rsidR="00EF0971">
        <w:rPr>
          <w:rFonts w:ascii="Times New Roman" w:hAnsi="Times New Roman"/>
          <w:sz w:val="24"/>
          <w:szCs w:val="24"/>
          <w:lang w:val="en-GB"/>
        </w:rPr>
        <w:t>:1</w:t>
      </w:r>
      <w:r w:rsidRPr="00ED1B85">
        <w:rPr>
          <w:rFonts w:ascii="Times New Roman" w:hAnsi="Times New Roman"/>
          <w:sz w:val="24"/>
          <w:szCs w:val="24"/>
          <w:lang w:val="en-GB"/>
        </w:rPr>
        <w:t>1</w:t>
      </w:r>
      <w:r w:rsidR="00EF0971" w:rsidRPr="00ED1B85">
        <w:rPr>
          <w:rFonts w:ascii="Times New Roman" w:hAnsi="Times New Roman"/>
          <w:sz w:val="24"/>
          <w:szCs w:val="24"/>
          <w:lang w:val="en-GB"/>
        </w:rPr>
        <w:t>–</w:t>
      </w:r>
      <w:r w:rsidRPr="00ED1B85">
        <w:rPr>
          <w:rFonts w:ascii="Times New Roman" w:hAnsi="Times New Roman"/>
          <w:sz w:val="24"/>
          <w:szCs w:val="24"/>
          <w:lang w:val="en-GB"/>
        </w:rPr>
        <w:t>8.</w:t>
      </w:r>
    </w:p>
    <w:p w14:paraId="62BED163" w14:textId="1789ACD1" w:rsidR="00ED1B85" w:rsidRDefault="00ED1B85"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rPr>
        <w:t>Tang H, Wei P, Duell EJ, Risch HA, Olson SH, Bueno-de-Mesquita HB,</w:t>
      </w:r>
      <w:r w:rsidR="00EF0971">
        <w:rPr>
          <w:rFonts w:ascii="Times New Roman" w:hAnsi="Times New Roman"/>
          <w:sz w:val="24"/>
          <w:szCs w:val="24"/>
        </w:rPr>
        <w:t xml:space="preserve"> et al.</w:t>
      </w:r>
      <w:r w:rsidRPr="00EF0971">
        <w:rPr>
          <w:rFonts w:ascii="Times New Roman" w:hAnsi="Times New Roman"/>
          <w:sz w:val="24"/>
          <w:szCs w:val="24"/>
        </w:rPr>
        <w:t xml:space="preserve"> </w:t>
      </w:r>
      <w:r w:rsidRPr="00ED1B85">
        <w:rPr>
          <w:rFonts w:ascii="Times New Roman" w:hAnsi="Times New Roman"/>
          <w:sz w:val="24"/>
          <w:szCs w:val="24"/>
          <w:lang w:val="en-GB"/>
        </w:rPr>
        <w:t>Axonal guidance signaling pathway interacting with smoking in modifying the risk of pancreatic cancer: a gene-and pathway-based interaction analysis of GWAS data. Carcinogenesis</w:t>
      </w:r>
      <w:r w:rsidR="00EF0971">
        <w:rPr>
          <w:rFonts w:ascii="Times New Roman" w:hAnsi="Times New Roman"/>
          <w:sz w:val="24"/>
          <w:szCs w:val="24"/>
          <w:lang w:val="en-GB"/>
        </w:rPr>
        <w:t>.</w:t>
      </w:r>
      <w:r w:rsidRPr="00ED1B85">
        <w:rPr>
          <w:rFonts w:ascii="Times New Roman" w:hAnsi="Times New Roman"/>
          <w:sz w:val="24"/>
          <w:szCs w:val="24"/>
          <w:lang w:val="en-GB"/>
        </w:rPr>
        <w:t xml:space="preserve"> </w:t>
      </w:r>
      <w:r w:rsidR="00EF0971">
        <w:rPr>
          <w:rFonts w:ascii="Times New Roman" w:hAnsi="Times New Roman"/>
          <w:sz w:val="24"/>
          <w:szCs w:val="24"/>
          <w:lang w:val="en-GB"/>
        </w:rPr>
        <w:t>2014;</w:t>
      </w:r>
      <w:r w:rsidRPr="00ED1B85">
        <w:rPr>
          <w:rFonts w:ascii="Times New Roman" w:hAnsi="Times New Roman"/>
          <w:sz w:val="24"/>
          <w:szCs w:val="24"/>
          <w:lang w:val="en-GB"/>
        </w:rPr>
        <w:t>35</w:t>
      </w:r>
      <w:r w:rsidR="00EF0971">
        <w:rPr>
          <w:rFonts w:ascii="Times New Roman" w:hAnsi="Times New Roman"/>
          <w:sz w:val="24"/>
          <w:szCs w:val="24"/>
          <w:lang w:val="en-GB"/>
        </w:rPr>
        <w:t>:</w:t>
      </w:r>
      <w:r w:rsidRPr="00ED1B85">
        <w:rPr>
          <w:rFonts w:ascii="Times New Roman" w:hAnsi="Times New Roman"/>
          <w:sz w:val="24"/>
          <w:szCs w:val="24"/>
          <w:lang w:val="en-GB"/>
        </w:rPr>
        <w:t>1039</w:t>
      </w:r>
      <w:r w:rsidR="00EF0971" w:rsidRPr="00ED1B85">
        <w:rPr>
          <w:rFonts w:ascii="Times New Roman" w:hAnsi="Times New Roman"/>
          <w:sz w:val="24"/>
          <w:szCs w:val="24"/>
          <w:lang w:val="en-GB"/>
        </w:rPr>
        <w:t>–</w:t>
      </w:r>
      <w:r w:rsidRPr="00ED1B85">
        <w:rPr>
          <w:rFonts w:ascii="Times New Roman" w:hAnsi="Times New Roman"/>
          <w:sz w:val="24"/>
          <w:szCs w:val="24"/>
          <w:lang w:val="en-GB"/>
        </w:rPr>
        <w:t>45.</w:t>
      </w:r>
    </w:p>
    <w:p w14:paraId="6E138FAD" w14:textId="26C5E85F" w:rsidR="00ED1B85" w:rsidRDefault="00ED1B85"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t>Horinouchi M, Yagi M, Imanishi H, Mori T, Yanai T, Hayakawa A,</w:t>
      </w:r>
      <w:r w:rsidR="00EF0971">
        <w:rPr>
          <w:rFonts w:ascii="Times New Roman" w:hAnsi="Times New Roman"/>
          <w:sz w:val="24"/>
          <w:szCs w:val="24"/>
          <w:lang w:val="en-GB"/>
        </w:rPr>
        <w:t xml:space="preserve"> et al.</w:t>
      </w:r>
      <w:r w:rsidRPr="00ED1B85">
        <w:rPr>
          <w:rFonts w:ascii="Times New Roman" w:hAnsi="Times New Roman"/>
          <w:sz w:val="24"/>
          <w:szCs w:val="24"/>
          <w:lang w:val="en-GB"/>
        </w:rPr>
        <w:t xml:space="preserve"> Association of genetic polymorphisms with hepatotoxicity in patients with childhood acute lymphoblastic leukemia or lymphoma. Pediatr Hematol Oncol</w:t>
      </w:r>
      <w:r w:rsidR="00EF0971">
        <w:rPr>
          <w:rFonts w:ascii="Times New Roman" w:hAnsi="Times New Roman"/>
          <w:sz w:val="24"/>
          <w:szCs w:val="24"/>
          <w:lang w:val="en-GB"/>
        </w:rPr>
        <w:t>. 2010;</w:t>
      </w:r>
      <w:r w:rsidRPr="00ED1B85">
        <w:rPr>
          <w:rFonts w:ascii="Times New Roman" w:hAnsi="Times New Roman"/>
          <w:sz w:val="24"/>
          <w:szCs w:val="24"/>
          <w:lang w:val="en-GB"/>
        </w:rPr>
        <w:t>27</w:t>
      </w:r>
      <w:r w:rsidR="00EF0971">
        <w:rPr>
          <w:rFonts w:ascii="Times New Roman" w:hAnsi="Times New Roman"/>
          <w:sz w:val="24"/>
          <w:szCs w:val="24"/>
          <w:lang w:val="en-GB"/>
        </w:rPr>
        <w:t>:</w:t>
      </w:r>
      <w:r w:rsidRPr="00ED1B85">
        <w:rPr>
          <w:rFonts w:ascii="Times New Roman" w:hAnsi="Times New Roman"/>
          <w:sz w:val="24"/>
          <w:szCs w:val="24"/>
          <w:lang w:val="en-GB"/>
        </w:rPr>
        <w:t>344</w:t>
      </w:r>
      <w:r w:rsidR="00EF0971" w:rsidRPr="00ED1B85">
        <w:rPr>
          <w:rFonts w:ascii="Times New Roman" w:hAnsi="Times New Roman"/>
          <w:sz w:val="24"/>
          <w:szCs w:val="24"/>
          <w:lang w:val="en-GB"/>
        </w:rPr>
        <w:t>–</w:t>
      </w:r>
      <w:r w:rsidRPr="00ED1B85">
        <w:rPr>
          <w:rFonts w:ascii="Times New Roman" w:hAnsi="Times New Roman"/>
          <w:sz w:val="24"/>
          <w:szCs w:val="24"/>
          <w:lang w:val="en-GB"/>
        </w:rPr>
        <w:t>54.</w:t>
      </w:r>
    </w:p>
    <w:p w14:paraId="50E1A197" w14:textId="2B6543AA" w:rsidR="00ED1B85" w:rsidRDefault="00ED1B85" w:rsidP="002C1C6F">
      <w:pPr>
        <w:pStyle w:val="ListParagraph"/>
        <w:numPr>
          <w:ilvl w:val="0"/>
          <w:numId w:val="1"/>
        </w:numPr>
        <w:spacing w:line="480" w:lineRule="auto"/>
        <w:jc w:val="both"/>
        <w:rPr>
          <w:rFonts w:ascii="Times New Roman" w:hAnsi="Times New Roman"/>
          <w:sz w:val="24"/>
          <w:szCs w:val="24"/>
          <w:lang w:val="en-GB"/>
        </w:rPr>
      </w:pPr>
      <w:r w:rsidRPr="00ED1B85">
        <w:rPr>
          <w:rFonts w:ascii="Times New Roman" w:hAnsi="Times New Roman"/>
          <w:sz w:val="24"/>
          <w:szCs w:val="24"/>
          <w:lang w:val="en-GB"/>
        </w:rPr>
        <w:lastRenderedPageBreak/>
        <w:t>Mosley JD, Shaffer CM, Van Driest SL, Weeke</w:t>
      </w:r>
      <w:r w:rsidR="00EF0971">
        <w:rPr>
          <w:rFonts w:ascii="Times New Roman" w:hAnsi="Times New Roman"/>
          <w:sz w:val="24"/>
          <w:szCs w:val="24"/>
          <w:lang w:val="en-GB"/>
        </w:rPr>
        <w:t xml:space="preserve"> </w:t>
      </w:r>
      <w:r w:rsidRPr="00ED1B85">
        <w:rPr>
          <w:rFonts w:ascii="Times New Roman" w:hAnsi="Times New Roman"/>
          <w:sz w:val="24"/>
          <w:szCs w:val="24"/>
          <w:lang w:val="en-GB"/>
        </w:rPr>
        <w:t xml:space="preserve">PE, Wells QS, Karnes JH, </w:t>
      </w:r>
      <w:r w:rsidR="00EF0971">
        <w:rPr>
          <w:rFonts w:ascii="Times New Roman" w:hAnsi="Times New Roman"/>
          <w:sz w:val="24"/>
          <w:szCs w:val="24"/>
          <w:lang w:val="en-GB"/>
        </w:rPr>
        <w:t>et al.</w:t>
      </w:r>
      <w:r w:rsidRPr="00ED1B85">
        <w:rPr>
          <w:rFonts w:ascii="Times New Roman" w:hAnsi="Times New Roman"/>
          <w:sz w:val="24"/>
          <w:szCs w:val="24"/>
          <w:lang w:val="en-GB"/>
        </w:rPr>
        <w:t xml:space="preserve"> A genome-wide association study identifies variants in KCNIP4 associated with ACE inhibitor-induced cough. </w:t>
      </w:r>
      <w:r w:rsidR="00EF0971">
        <w:rPr>
          <w:rFonts w:ascii="Times New Roman" w:hAnsi="Times New Roman"/>
          <w:sz w:val="24"/>
          <w:szCs w:val="24"/>
          <w:lang w:val="en-GB"/>
        </w:rPr>
        <w:t>P</w:t>
      </w:r>
      <w:r w:rsidRPr="00ED1B85">
        <w:rPr>
          <w:rFonts w:ascii="Times New Roman" w:hAnsi="Times New Roman"/>
          <w:sz w:val="24"/>
          <w:szCs w:val="24"/>
          <w:lang w:val="en-GB"/>
        </w:rPr>
        <w:t xml:space="preserve">harmacogenomics </w:t>
      </w:r>
      <w:r w:rsidR="00EF0971">
        <w:rPr>
          <w:rFonts w:ascii="Times New Roman" w:hAnsi="Times New Roman"/>
          <w:sz w:val="24"/>
          <w:szCs w:val="24"/>
          <w:lang w:val="en-GB"/>
        </w:rPr>
        <w:t>J.</w:t>
      </w:r>
      <w:r w:rsidRPr="00ED1B85">
        <w:rPr>
          <w:rFonts w:ascii="Times New Roman" w:hAnsi="Times New Roman"/>
          <w:sz w:val="24"/>
          <w:szCs w:val="24"/>
          <w:lang w:val="en-GB"/>
        </w:rPr>
        <w:t xml:space="preserve"> </w:t>
      </w:r>
      <w:r w:rsidR="00EF0971">
        <w:rPr>
          <w:rFonts w:ascii="Times New Roman" w:hAnsi="Times New Roman"/>
          <w:sz w:val="24"/>
          <w:szCs w:val="24"/>
          <w:lang w:val="en-GB"/>
        </w:rPr>
        <w:t>2016;</w:t>
      </w:r>
      <w:r w:rsidRPr="00ED1B85">
        <w:rPr>
          <w:rFonts w:ascii="Times New Roman" w:hAnsi="Times New Roman"/>
          <w:sz w:val="24"/>
          <w:szCs w:val="24"/>
          <w:lang w:val="en-GB"/>
        </w:rPr>
        <w:t>16</w:t>
      </w:r>
      <w:r w:rsidR="00EF0971">
        <w:rPr>
          <w:rFonts w:ascii="Times New Roman" w:hAnsi="Times New Roman"/>
          <w:sz w:val="24"/>
          <w:szCs w:val="24"/>
          <w:lang w:val="en-GB"/>
        </w:rPr>
        <w:t>:</w:t>
      </w:r>
      <w:r w:rsidRPr="00ED1B85">
        <w:rPr>
          <w:rFonts w:ascii="Times New Roman" w:hAnsi="Times New Roman"/>
          <w:sz w:val="24"/>
          <w:szCs w:val="24"/>
          <w:lang w:val="en-GB"/>
        </w:rPr>
        <w:t>231</w:t>
      </w:r>
      <w:r w:rsidR="00EF0971" w:rsidRPr="00ED1B85">
        <w:rPr>
          <w:rFonts w:ascii="Times New Roman" w:hAnsi="Times New Roman"/>
          <w:sz w:val="24"/>
          <w:szCs w:val="24"/>
          <w:lang w:val="en-GB"/>
        </w:rPr>
        <w:t>–</w:t>
      </w:r>
      <w:r w:rsidRPr="00ED1B85">
        <w:rPr>
          <w:rFonts w:ascii="Times New Roman" w:hAnsi="Times New Roman"/>
          <w:sz w:val="24"/>
          <w:szCs w:val="24"/>
          <w:lang w:val="en-GB"/>
        </w:rPr>
        <w:t>7.</w:t>
      </w:r>
    </w:p>
    <w:p w14:paraId="2AEC76CC" w14:textId="080C2C1E" w:rsidR="00ED1B85" w:rsidRDefault="00D9739D" w:rsidP="002C1C6F">
      <w:pPr>
        <w:pStyle w:val="ListParagraph"/>
        <w:numPr>
          <w:ilvl w:val="0"/>
          <w:numId w:val="1"/>
        </w:numPr>
        <w:spacing w:line="480" w:lineRule="auto"/>
        <w:jc w:val="both"/>
        <w:rPr>
          <w:rFonts w:ascii="Times New Roman" w:hAnsi="Times New Roman"/>
          <w:sz w:val="24"/>
          <w:szCs w:val="24"/>
          <w:lang w:val="en-GB"/>
        </w:rPr>
      </w:pPr>
      <w:r w:rsidRPr="00D9739D">
        <w:rPr>
          <w:rFonts w:ascii="Times New Roman" w:hAnsi="Times New Roman"/>
          <w:sz w:val="24"/>
          <w:szCs w:val="24"/>
        </w:rPr>
        <w:t>Massone S, Vassallo I, Castelnuovo M, Fiorino</w:t>
      </w:r>
      <w:r w:rsidR="00EF0971">
        <w:rPr>
          <w:rFonts w:ascii="Times New Roman" w:hAnsi="Times New Roman"/>
          <w:sz w:val="24"/>
          <w:szCs w:val="24"/>
        </w:rPr>
        <w:t xml:space="preserve"> </w:t>
      </w:r>
      <w:r w:rsidRPr="00D9739D">
        <w:rPr>
          <w:rFonts w:ascii="Times New Roman" w:hAnsi="Times New Roman"/>
          <w:sz w:val="24"/>
          <w:szCs w:val="24"/>
        </w:rPr>
        <w:t>G, Gatta</w:t>
      </w:r>
      <w:r w:rsidR="00EF0971">
        <w:rPr>
          <w:rFonts w:ascii="Times New Roman" w:hAnsi="Times New Roman"/>
          <w:sz w:val="24"/>
          <w:szCs w:val="24"/>
        </w:rPr>
        <w:t xml:space="preserve"> </w:t>
      </w:r>
      <w:r w:rsidRPr="00D9739D">
        <w:rPr>
          <w:rFonts w:ascii="Times New Roman" w:hAnsi="Times New Roman"/>
          <w:sz w:val="24"/>
          <w:szCs w:val="24"/>
        </w:rPr>
        <w:t xml:space="preserve">E, Robello M, </w:t>
      </w:r>
      <w:r w:rsidR="00EF0971">
        <w:rPr>
          <w:rFonts w:ascii="Times New Roman" w:hAnsi="Times New Roman"/>
          <w:sz w:val="24"/>
          <w:szCs w:val="24"/>
        </w:rPr>
        <w:t>et al.</w:t>
      </w:r>
      <w:r w:rsidRPr="00EF0971">
        <w:rPr>
          <w:rFonts w:ascii="Times New Roman" w:hAnsi="Times New Roman"/>
          <w:sz w:val="24"/>
          <w:szCs w:val="24"/>
        </w:rPr>
        <w:t xml:space="preserve"> </w:t>
      </w:r>
      <w:r w:rsidRPr="00D9739D">
        <w:rPr>
          <w:rFonts w:ascii="Times New Roman" w:hAnsi="Times New Roman"/>
          <w:sz w:val="24"/>
          <w:szCs w:val="24"/>
          <w:lang w:val="en-GB"/>
        </w:rPr>
        <w:t>RNA polymerase III drives alternative splicing of the potassium channel–interacting protein contributing to brain complexity and neurodegeneration. J Cell Biol</w:t>
      </w:r>
      <w:r w:rsidR="00EF0971">
        <w:rPr>
          <w:rFonts w:ascii="Times New Roman" w:hAnsi="Times New Roman"/>
          <w:sz w:val="24"/>
          <w:szCs w:val="24"/>
          <w:lang w:val="en-GB"/>
        </w:rPr>
        <w:t>.</w:t>
      </w:r>
      <w:r w:rsidRPr="00D9739D">
        <w:rPr>
          <w:rFonts w:ascii="Times New Roman" w:hAnsi="Times New Roman"/>
          <w:sz w:val="24"/>
          <w:szCs w:val="24"/>
          <w:lang w:val="en-GB"/>
        </w:rPr>
        <w:t xml:space="preserve"> </w:t>
      </w:r>
      <w:r w:rsidR="00EF0971">
        <w:rPr>
          <w:rFonts w:ascii="Times New Roman" w:hAnsi="Times New Roman"/>
          <w:sz w:val="24"/>
          <w:szCs w:val="24"/>
          <w:lang w:val="en-GB"/>
        </w:rPr>
        <w:t>2011;</w:t>
      </w:r>
      <w:r w:rsidRPr="00D9739D">
        <w:rPr>
          <w:rFonts w:ascii="Times New Roman" w:hAnsi="Times New Roman"/>
          <w:sz w:val="24"/>
          <w:szCs w:val="24"/>
          <w:lang w:val="en-GB"/>
        </w:rPr>
        <w:t>193</w:t>
      </w:r>
      <w:r w:rsidR="00EF0971">
        <w:rPr>
          <w:rFonts w:ascii="Times New Roman" w:hAnsi="Times New Roman"/>
          <w:sz w:val="24"/>
          <w:szCs w:val="24"/>
          <w:lang w:val="en-GB"/>
        </w:rPr>
        <w:t>:</w:t>
      </w:r>
      <w:r w:rsidRPr="00D9739D">
        <w:rPr>
          <w:rFonts w:ascii="Times New Roman" w:hAnsi="Times New Roman"/>
          <w:sz w:val="24"/>
          <w:szCs w:val="24"/>
          <w:lang w:val="en-GB"/>
        </w:rPr>
        <w:t>851</w:t>
      </w:r>
      <w:r w:rsidR="00EF0971" w:rsidRPr="00ED1B85">
        <w:rPr>
          <w:rFonts w:ascii="Times New Roman" w:hAnsi="Times New Roman"/>
          <w:sz w:val="24"/>
          <w:szCs w:val="24"/>
          <w:lang w:val="en-GB"/>
        </w:rPr>
        <w:t>–</w:t>
      </w:r>
      <w:r w:rsidRPr="00D9739D">
        <w:rPr>
          <w:rFonts w:ascii="Times New Roman" w:hAnsi="Times New Roman"/>
          <w:sz w:val="24"/>
          <w:szCs w:val="24"/>
          <w:lang w:val="en-GB"/>
        </w:rPr>
        <w:t>66.</w:t>
      </w:r>
    </w:p>
    <w:p w14:paraId="543F0FD7" w14:textId="327AA515" w:rsidR="00D9739D" w:rsidRDefault="00D9739D" w:rsidP="002C1C6F">
      <w:pPr>
        <w:pStyle w:val="ListParagraph"/>
        <w:numPr>
          <w:ilvl w:val="0"/>
          <w:numId w:val="1"/>
        </w:numPr>
        <w:spacing w:line="480" w:lineRule="auto"/>
        <w:jc w:val="both"/>
        <w:rPr>
          <w:rFonts w:ascii="Times New Roman" w:hAnsi="Times New Roman"/>
          <w:sz w:val="24"/>
          <w:szCs w:val="24"/>
          <w:lang w:val="en-GB"/>
        </w:rPr>
      </w:pPr>
      <w:r w:rsidRPr="00D9739D">
        <w:rPr>
          <w:rFonts w:ascii="Times New Roman" w:hAnsi="Times New Roman"/>
          <w:sz w:val="24"/>
          <w:szCs w:val="24"/>
          <w:lang w:val="en-GB"/>
        </w:rPr>
        <w:t xml:space="preserve">Weißflog L, Scholz CJ, Jacob CP, Nguyen TT, Zamzow K, Groß-Lesch S, </w:t>
      </w:r>
      <w:r w:rsidR="00EF0971">
        <w:rPr>
          <w:rFonts w:ascii="Times New Roman" w:hAnsi="Times New Roman"/>
          <w:sz w:val="24"/>
          <w:szCs w:val="24"/>
          <w:lang w:val="en-GB"/>
        </w:rPr>
        <w:t>et al.</w:t>
      </w:r>
      <w:r w:rsidRPr="00D9739D">
        <w:rPr>
          <w:rFonts w:ascii="Times New Roman" w:hAnsi="Times New Roman"/>
          <w:sz w:val="24"/>
          <w:szCs w:val="24"/>
          <w:lang w:val="en-GB"/>
        </w:rPr>
        <w:t xml:space="preserve"> KCNIP4 as a candidate gene for personality disorders and adult ADHD. Eur Neuropsychopharmacol</w:t>
      </w:r>
      <w:r w:rsidR="00B323AD">
        <w:rPr>
          <w:rFonts w:ascii="Times New Roman" w:hAnsi="Times New Roman"/>
          <w:sz w:val="24"/>
          <w:szCs w:val="24"/>
          <w:lang w:val="en-GB"/>
        </w:rPr>
        <w:t>.</w:t>
      </w:r>
      <w:r w:rsidRPr="00D9739D">
        <w:rPr>
          <w:rFonts w:ascii="Times New Roman" w:hAnsi="Times New Roman"/>
          <w:sz w:val="24"/>
          <w:szCs w:val="24"/>
          <w:lang w:val="en-GB"/>
        </w:rPr>
        <w:t xml:space="preserve"> </w:t>
      </w:r>
      <w:r w:rsidR="00EF0971">
        <w:rPr>
          <w:rFonts w:ascii="Times New Roman" w:hAnsi="Times New Roman"/>
          <w:sz w:val="24"/>
          <w:szCs w:val="24"/>
          <w:lang w:val="en-GB"/>
        </w:rPr>
        <w:t>2013;</w:t>
      </w:r>
      <w:r w:rsidRPr="00D9739D">
        <w:rPr>
          <w:rFonts w:ascii="Times New Roman" w:hAnsi="Times New Roman"/>
          <w:sz w:val="24"/>
          <w:szCs w:val="24"/>
          <w:lang w:val="en-GB"/>
        </w:rPr>
        <w:t>23</w:t>
      </w:r>
      <w:r w:rsidR="00EF0971">
        <w:rPr>
          <w:rFonts w:ascii="Times New Roman" w:hAnsi="Times New Roman"/>
          <w:sz w:val="24"/>
          <w:szCs w:val="24"/>
          <w:lang w:val="en-GB"/>
        </w:rPr>
        <w:t>:</w:t>
      </w:r>
      <w:r w:rsidRPr="00D9739D">
        <w:rPr>
          <w:rFonts w:ascii="Times New Roman" w:hAnsi="Times New Roman"/>
          <w:sz w:val="24"/>
          <w:szCs w:val="24"/>
          <w:lang w:val="en-GB"/>
        </w:rPr>
        <w:t>436</w:t>
      </w:r>
      <w:r w:rsidR="00EF0971" w:rsidRPr="00ED1B85">
        <w:rPr>
          <w:rFonts w:ascii="Times New Roman" w:hAnsi="Times New Roman"/>
          <w:sz w:val="24"/>
          <w:szCs w:val="24"/>
          <w:lang w:val="en-GB"/>
        </w:rPr>
        <w:t>–</w:t>
      </w:r>
      <w:r w:rsidRPr="00D9739D">
        <w:rPr>
          <w:rFonts w:ascii="Times New Roman" w:hAnsi="Times New Roman"/>
          <w:sz w:val="24"/>
          <w:szCs w:val="24"/>
          <w:lang w:val="en-GB"/>
        </w:rPr>
        <w:t>47.</w:t>
      </w:r>
    </w:p>
    <w:p w14:paraId="074AA1A0" w14:textId="199B59FA" w:rsidR="00D9739D" w:rsidRPr="00D9739D" w:rsidRDefault="00D9739D" w:rsidP="002C1C6F">
      <w:pPr>
        <w:pStyle w:val="ListParagraph"/>
        <w:numPr>
          <w:ilvl w:val="0"/>
          <w:numId w:val="1"/>
        </w:numPr>
        <w:spacing w:line="480" w:lineRule="auto"/>
        <w:jc w:val="both"/>
        <w:rPr>
          <w:rFonts w:ascii="Times New Roman" w:hAnsi="Times New Roman"/>
          <w:sz w:val="24"/>
          <w:szCs w:val="24"/>
          <w:lang w:val="en-GB"/>
        </w:rPr>
      </w:pPr>
      <w:r w:rsidRPr="00231505">
        <w:rPr>
          <w:rFonts w:ascii="Times New Roman" w:hAnsi="Times New Roman"/>
          <w:sz w:val="24"/>
          <w:szCs w:val="24"/>
          <w:lang w:val="en-GB"/>
        </w:rPr>
        <w:t xml:space="preserve">Jenkins CA, Kalmar L, Matiasek K, Mari L, Kyöstilä K, Lohi H, </w:t>
      </w:r>
      <w:r w:rsidR="00DB6463">
        <w:rPr>
          <w:rFonts w:ascii="Times New Roman" w:hAnsi="Times New Roman"/>
          <w:sz w:val="24"/>
          <w:szCs w:val="24"/>
          <w:lang w:val="en-GB"/>
        </w:rPr>
        <w:t>et al.</w:t>
      </w:r>
      <w:r w:rsidRPr="00231505">
        <w:rPr>
          <w:rFonts w:ascii="Times New Roman" w:hAnsi="Times New Roman"/>
          <w:sz w:val="24"/>
          <w:szCs w:val="24"/>
          <w:lang w:val="en-GB"/>
        </w:rPr>
        <w:t xml:space="preserve"> Characterisation of canine KCNIP4: A novel gene for cerebellar ataxia identified by whole-genome sequencing two affected Norwegian Buhund dogs.</w:t>
      </w:r>
      <w:r w:rsidR="00DB6463">
        <w:rPr>
          <w:rFonts w:ascii="Times New Roman" w:hAnsi="Times New Roman"/>
          <w:sz w:val="24"/>
          <w:szCs w:val="24"/>
          <w:lang w:val="en-GB"/>
        </w:rPr>
        <w:t xml:space="preserve"> </w:t>
      </w:r>
      <w:r w:rsidRPr="00231505">
        <w:rPr>
          <w:rFonts w:ascii="Times New Roman" w:hAnsi="Times New Roman"/>
          <w:sz w:val="24"/>
          <w:szCs w:val="24"/>
          <w:lang w:val="en-GB"/>
        </w:rPr>
        <w:t>PLoS Genet</w:t>
      </w:r>
      <w:r w:rsidR="00DB6463">
        <w:rPr>
          <w:rFonts w:ascii="Times New Roman" w:hAnsi="Times New Roman"/>
          <w:sz w:val="24"/>
          <w:szCs w:val="24"/>
          <w:lang w:val="en-GB"/>
        </w:rPr>
        <w:t>. 2020;</w:t>
      </w:r>
      <w:r w:rsidRPr="00231505">
        <w:rPr>
          <w:rFonts w:ascii="Times New Roman" w:hAnsi="Times New Roman"/>
          <w:sz w:val="24"/>
          <w:szCs w:val="24"/>
          <w:lang w:val="en-GB"/>
        </w:rPr>
        <w:t>16</w:t>
      </w:r>
      <w:r w:rsidR="00DB6463">
        <w:rPr>
          <w:rFonts w:ascii="Times New Roman" w:hAnsi="Times New Roman"/>
          <w:sz w:val="24"/>
          <w:szCs w:val="24"/>
          <w:lang w:val="en-GB"/>
        </w:rPr>
        <w:t>:</w:t>
      </w:r>
      <w:r w:rsidRPr="00231505">
        <w:rPr>
          <w:rFonts w:ascii="Times New Roman" w:hAnsi="Times New Roman"/>
          <w:sz w:val="24"/>
          <w:szCs w:val="24"/>
          <w:lang w:val="en-GB"/>
        </w:rPr>
        <w:t>e1008527.</w:t>
      </w:r>
    </w:p>
    <w:p w14:paraId="35077781" w14:textId="506ADDC1" w:rsidR="00D9739D" w:rsidRDefault="00D9739D" w:rsidP="002C1C6F">
      <w:pPr>
        <w:pStyle w:val="ListParagraph"/>
        <w:numPr>
          <w:ilvl w:val="0"/>
          <w:numId w:val="1"/>
        </w:numPr>
        <w:spacing w:line="480" w:lineRule="auto"/>
        <w:jc w:val="both"/>
        <w:rPr>
          <w:rFonts w:ascii="Times New Roman" w:hAnsi="Times New Roman"/>
          <w:sz w:val="24"/>
          <w:szCs w:val="24"/>
          <w:lang w:val="en-GB"/>
        </w:rPr>
      </w:pPr>
      <w:r w:rsidRPr="00DB6463">
        <w:rPr>
          <w:rFonts w:ascii="Times New Roman" w:hAnsi="Times New Roman"/>
          <w:sz w:val="24"/>
          <w:szCs w:val="24"/>
          <w:lang w:val="en-GB"/>
        </w:rPr>
        <w:t xml:space="preserve">Ji G, Li S, Ye L, Guan J. </w:t>
      </w:r>
      <w:r w:rsidRPr="00D9739D">
        <w:rPr>
          <w:rFonts w:ascii="Times New Roman" w:hAnsi="Times New Roman"/>
          <w:sz w:val="24"/>
          <w:szCs w:val="24"/>
          <w:lang w:val="en-GB"/>
        </w:rPr>
        <w:t>Gene Module analysis reveals cell-type specificity and potential target genes in autism’s pathogenesis. Biomedicines</w:t>
      </w:r>
      <w:r w:rsidR="00DB6463">
        <w:rPr>
          <w:rFonts w:ascii="Times New Roman" w:hAnsi="Times New Roman"/>
          <w:sz w:val="24"/>
          <w:szCs w:val="24"/>
          <w:lang w:val="en-GB"/>
        </w:rPr>
        <w:t>. 2021;</w:t>
      </w:r>
      <w:r w:rsidRPr="00D9739D">
        <w:rPr>
          <w:rFonts w:ascii="Times New Roman" w:hAnsi="Times New Roman"/>
          <w:sz w:val="24"/>
          <w:szCs w:val="24"/>
          <w:lang w:val="en-GB"/>
        </w:rPr>
        <w:t>9</w:t>
      </w:r>
      <w:r w:rsidR="00DB6463">
        <w:rPr>
          <w:rFonts w:ascii="Times New Roman" w:hAnsi="Times New Roman"/>
          <w:sz w:val="24"/>
          <w:szCs w:val="24"/>
          <w:lang w:val="en-GB"/>
        </w:rPr>
        <w:t>:</w:t>
      </w:r>
      <w:r w:rsidRPr="00D9739D">
        <w:rPr>
          <w:rFonts w:ascii="Times New Roman" w:hAnsi="Times New Roman"/>
          <w:sz w:val="24"/>
          <w:szCs w:val="24"/>
          <w:lang w:val="en-GB"/>
        </w:rPr>
        <w:t>410.</w:t>
      </w:r>
    </w:p>
    <w:p w14:paraId="78A279DD" w14:textId="22EFCDFC" w:rsidR="00D9739D" w:rsidRDefault="00D9739D" w:rsidP="002C1C6F">
      <w:pPr>
        <w:pStyle w:val="ListParagraph"/>
        <w:numPr>
          <w:ilvl w:val="0"/>
          <w:numId w:val="1"/>
        </w:numPr>
        <w:spacing w:line="480" w:lineRule="auto"/>
        <w:jc w:val="both"/>
        <w:rPr>
          <w:rFonts w:ascii="Times New Roman" w:hAnsi="Times New Roman"/>
          <w:sz w:val="24"/>
          <w:szCs w:val="24"/>
          <w:lang w:val="en-GB"/>
        </w:rPr>
      </w:pPr>
      <w:r w:rsidRPr="00D9739D">
        <w:rPr>
          <w:rFonts w:ascii="Times New Roman" w:hAnsi="Times New Roman"/>
          <w:sz w:val="24"/>
          <w:szCs w:val="24"/>
          <w:lang w:val="en-GB"/>
        </w:rPr>
        <w:t>Qaiser F, Sadoway T, Yin Y, Zulfiqar Ali Q, Nguyen CM, Shum</w:t>
      </w:r>
      <w:r w:rsidR="00DB6463">
        <w:rPr>
          <w:rFonts w:ascii="Times New Roman" w:hAnsi="Times New Roman"/>
          <w:sz w:val="24"/>
          <w:szCs w:val="24"/>
          <w:lang w:val="en-GB"/>
        </w:rPr>
        <w:t xml:space="preserve"> </w:t>
      </w:r>
      <w:r w:rsidRPr="00D9739D">
        <w:rPr>
          <w:rFonts w:ascii="Times New Roman" w:hAnsi="Times New Roman"/>
          <w:sz w:val="24"/>
          <w:szCs w:val="24"/>
          <w:lang w:val="en-GB"/>
        </w:rPr>
        <w:t>N,</w:t>
      </w:r>
      <w:r w:rsidR="00DB6463">
        <w:rPr>
          <w:rFonts w:ascii="Times New Roman" w:hAnsi="Times New Roman"/>
          <w:sz w:val="24"/>
          <w:szCs w:val="24"/>
          <w:lang w:val="en-GB"/>
        </w:rPr>
        <w:t xml:space="preserve"> et al.</w:t>
      </w:r>
      <w:r w:rsidRPr="00D9739D">
        <w:rPr>
          <w:rFonts w:ascii="Times New Roman" w:hAnsi="Times New Roman"/>
          <w:sz w:val="24"/>
          <w:szCs w:val="24"/>
          <w:lang w:val="en-GB"/>
        </w:rPr>
        <w:t xml:space="preserve"> Genome sequencing identifies rare tandem repeat expansions and copy number variants in Lennox–Gastaut syndrome. Brain </w:t>
      </w:r>
      <w:r w:rsidR="00DB6463">
        <w:rPr>
          <w:rFonts w:ascii="Times New Roman" w:hAnsi="Times New Roman"/>
          <w:sz w:val="24"/>
          <w:szCs w:val="24"/>
          <w:lang w:val="en-GB"/>
        </w:rPr>
        <w:t>C</w:t>
      </w:r>
      <w:r w:rsidRPr="00D9739D">
        <w:rPr>
          <w:rFonts w:ascii="Times New Roman" w:hAnsi="Times New Roman"/>
          <w:sz w:val="24"/>
          <w:szCs w:val="24"/>
          <w:lang w:val="en-GB"/>
        </w:rPr>
        <w:t>ommun</w:t>
      </w:r>
      <w:r w:rsidR="00DB6463">
        <w:rPr>
          <w:rFonts w:ascii="Times New Roman" w:hAnsi="Times New Roman"/>
          <w:sz w:val="24"/>
          <w:szCs w:val="24"/>
          <w:lang w:val="en-GB"/>
        </w:rPr>
        <w:t>.</w:t>
      </w:r>
      <w:r w:rsidRPr="00D9739D">
        <w:rPr>
          <w:rFonts w:ascii="Times New Roman" w:hAnsi="Times New Roman"/>
          <w:sz w:val="24"/>
          <w:szCs w:val="24"/>
          <w:lang w:val="en-GB"/>
        </w:rPr>
        <w:t xml:space="preserve"> </w:t>
      </w:r>
      <w:r w:rsidR="00DB6463">
        <w:rPr>
          <w:rFonts w:ascii="Times New Roman" w:hAnsi="Times New Roman"/>
          <w:sz w:val="24"/>
          <w:szCs w:val="24"/>
          <w:lang w:val="en-GB"/>
        </w:rPr>
        <w:t>2021;</w:t>
      </w:r>
      <w:r w:rsidRPr="00D9739D">
        <w:rPr>
          <w:rFonts w:ascii="Times New Roman" w:hAnsi="Times New Roman"/>
          <w:sz w:val="24"/>
          <w:szCs w:val="24"/>
          <w:lang w:val="en-GB"/>
        </w:rPr>
        <w:t>3</w:t>
      </w:r>
      <w:r w:rsidR="00DB6463">
        <w:rPr>
          <w:rFonts w:ascii="Times New Roman" w:hAnsi="Times New Roman"/>
          <w:sz w:val="24"/>
          <w:szCs w:val="24"/>
          <w:lang w:val="en-GB"/>
        </w:rPr>
        <w:t>:</w:t>
      </w:r>
      <w:r w:rsidRPr="00D9739D">
        <w:rPr>
          <w:rFonts w:ascii="Times New Roman" w:hAnsi="Times New Roman"/>
          <w:sz w:val="24"/>
          <w:szCs w:val="24"/>
          <w:lang w:val="en-GB"/>
        </w:rPr>
        <w:t>fcab207.</w:t>
      </w:r>
    </w:p>
    <w:p w14:paraId="5ECB69F3" w14:textId="783B39B1" w:rsidR="00D9739D" w:rsidRPr="00DB6463" w:rsidRDefault="00D9739D" w:rsidP="00DB6463">
      <w:pPr>
        <w:pStyle w:val="ListParagraph"/>
        <w:numPr>
          <w:ilvl w:val="0"/>
          <w:numId w:val="1"/>
        </w:numPr>
        <w:spacing w:line="480" w:lineRule="auto"/>
        <w:jc w:val="both"/>
        <w:rPr>
          <w:rFonts w:ascii="Times New Roman" w:hAnsi="Times New Roman"/>
          <w:sz w:val="24"/>
          <w:szCs w:val="24"/>
          <w:lang w:val="en-GB"/>
        </w:rPr>
      </w:pPr>
      <w:r w:rsidRPr="00D9739D">
        <w:rPr>
          <w:rFonts w:ascii="Times New Roman" w:hAnsi="Times New Roman"/>
          <w:sz w:val="24"/>
          <w:szCs w:val="24"/>
          <w:lang w:val="en-GB"/>
        </w:rPr>
        <w:t>Himes BE, Sheppard K, Berndt A, Leme AS, Myers RA, Gignoux CR,</w:t>
      </w:r>
      <w:r w:rsidR="00DB6463">
        <w:rPr>
          <w:rFonts w:ascii="Times New Roman" w:hAnsi="Times New Roman"/>
          <w:sz w:val="24"/>
          <w:szCs w:val="24"/>
          <w:lang w:val="en-GB"/>
        </w:rPr>
        <w:t xml:space="preserve"> et al.</w:t>
      </w:r>
      <w:r w:rsidRPr="00DB6463">
        <w:rPr>
          <w:rFonts w:ascii="Times New Roman" w:hAnsi="Times New Roman"/>
          <w:sz w:val="24"/>
          <w:szCs w:val="24"/>
          <w:lang w:val="en-GB"/>
        </w:rPr>
        <w:t xml:space="preserve"> Integration of mouse and human genome-wide association data identifies KCNIP4 as an asthma gene. P</w:t>
      </w:r>
      <w:r w:rsidR="00DB6463">
        <w:rPr>
          <w:rFonts w:ascii="Times New Roman" w:hAnsi="Times New Roman"/>
          <w:sz w:val="24"/>
          <w:szCs w:val="24"/>
          <w:lang w:val="en-GB"/>
        </w:rPr>
        <w:t>L</w:t>
      </w:r>
      <w:r w:rsidRPr="00DB6463">
        <w:rPr>
          <w:rFonts w:ascii="Times New Roman" w:hAnsi="Times New Roman"/>
          <w:sz w:val="24"/>
          <w:szCs w:val="24"/>
          <w:lang w:val="en-GB"/>
        </w:rPr>
        <w:t xml:space="preserve">oS </w:t>
      </w:r>
      <w:r w:rsidR="00DB6463">
        <w:rPr>
          <w:rFonts w:ascii="Times New Roman" w:hAnsi="Times New Roman"/>
          <w:sz w:val="24"/>
          <w:szCs w:val="24"/>
          <w:lang w:val="en-GB"/>
        </w:rPr>
        <w:t>O</w:t>
      </w:r>
      <w:r w:rsidRPr="00DB6463">
        <w:rPr>
          <w:rFonts w:ascii="Times New Roman" w:hAnsi="Times New Roman"/>
          <w:sz w:val="24"/>
          <w:szCs w:val="24"/>
          <w:lang w:val="en-GB"/>
        </w:rPr>
        <w:t>ne</w:t>
      </w:r>
      <w:r w:rsidR="00255414">
        <w:rPr>
          <w:rFonts w:ascii="Times New Roman" w:hAnsi="Times New Roman"/>
          <w:sz w:val="24"/>
          <w:szCs w:val="24"/>
          <w:lang w:val="en-GB"/>
        </w:rPr>
        <w:t>.</w:t>
      </w:r>
      <w:r w:rsidR="00DB6463">
        <w:rPr>
          <w:rFonts w:ascii="Times New Roman" w:hAnsi="Times New Roman"/>
          <w:sz w:val="24"/>
          <w:szCs w:val="24"/>
          <w:lang w:val="en-GB"/>
        </w:rPr>
        <w:t xml:space="preserve"> 2013;</w:t>
      </w:r>
      <w:r w:rsidRPr="00DB6463">
        <w:rPr>
          <w:rFonts w:ascii="Times New Roman" w:hAnsi="Times New Roman"/>
          <w:sz w:val="24"/>
          <w:szCs w:val="24"/>
          <w:lang w:val="en-GB"/>
        </w:rPr>
        <w:t>8</w:t>
      </w:r>
      <w:r w:rsidR="00DB6463">
        <w:rPr>
          <w:rFonts w:ascii="Times New Roman" w:hAnsi="Times New Roman"/>
          <w:sz w:val="24"/>
          <w:szCs w:val="24"/>
          <w:lang w:val="en-GB"/>
        </w:rPr>
        <w:t>:</w:t>
      </w:r>
      <w:r w:rsidRPr="00DB6463">
        <w:rPr>
          <w:rFonts w:ascii="Times New Roman" w:hAnsi="Times New Roman"/>
          <w:sz w:val="24"/>
          <w:szCs w:val="24"/>
          <w:lang w:val="en-GB"/>
        </w:rPr>
        <w:t>e56179.</w:t>
      </w:r>
    </w:p>
    <w:p w14:paraId="1DCCDBB4" w14:textId="19157C83" w:rsidR="00D9739D" w:rsidRDefault="00D9739D" w:rsidP="002C1C6F">
      <w:pPr>
        <w:pStyle w:val="ListParagraph"/>
        <w:numPr>
          <w:ilvl w:val="0"/>
          <w:numId w:val="1"/>
        </w:numPr>
        <w:spacing w:line="480" w:lineRule="auto"/>
        <w:jc w:val="both"/>
        <w:rPr>
          <w:rFonts w:ascii="Times New Roman" w:hAnsi="Times New Roman"/>
          <w:sz w:val="24"/>
          <w:szCs w:val="24"/>
          <w:lang w:val="en-GB"/>
        </w:rPr>
      </w:pPr>
      <w:r w:rsidRPr="00D9739D">
        <w:rPr>
          <w:rFonts w:ascii="Times New Roman" w:hAnsi="Times New Roman"/>
          <w:sz w:val="24"/>
          <w:szCs w:val="24"/>
          <w:lang w:val="en-GB"/>
        </w:rPr>
        <w:t xml:space="preserve">Tran NK, Lea RA, Holland S, Nguyen Q, Raghubar AM, Sutherland HG, </w:t>
      </w:r>
      <w:r w:rsidR="00DB6463">
        <w:rPr>
          <w:rFonts w:ascii="Times New Roman" w:hAnsi="Times New Roman"/>
          <w:sz w:val="24"/>
          <w:szCs w:val="24"/>
          <w:lang w:val="en-GB"/>
        </w:rPr>
        <w:t>et al.</w:t>
      </w:r>
      <w:r w:rsidRPr="00D9739D">
        <w:rPr>
          <w:rFonts w:ascii="Times New Roman" w:hAnsi="Times New Roman"/>
          <w:sz w:val="24"/>
          <w:szCs w:val="24"/>
          <w:lang w:val="en-GB"/>
        </w:rPr>
        <w:t xml:space="preserve"> Multi-phenotype genome-wide association studies of the Norfolk Island isolate implicate pleiotropic loci involved in chronic kidney disease. Sci </w:t>
      </w:r>
      <w:r w:rsidR="00DB6463">
        <w:rPr>
          <w:rFonts w:ascii="Times New Roman" w:hAnsi="Times New Roman"/>
          <w:sz w:val="24"/>
          <w:szCs w:val="24"/>
          <w:lang w:val="en-GB"/>
        </w:rPr>
        <w:t>R</w:t>
      </w:r>
      <w:r w:rsidRPr="00D9739D">
        <w:rPr>
          <w:rFonts w:ascii="Times New Roman" w:hAnsi="Times New Roman"/>
          <w:sz w:val="24"/>
          <w:szCs w:val="24"/>
          <w:lang w:val="en-GB"/>
        </w:rPr>
        <w:t>ep</w:t>
      </w:r>
      <w:r w:rsidR="00DB6463">
        <w:rPr>
          <w:rFonts w:ascii="Times New Roman" w:hAnsi="Times New Roman"/>
          <w:sz w:val="24"/>
          <w:szCs w:val="24"/>
          <w:lang w:val="en-GB"/>
        </w:rPr>
        <w:t>.</w:t>
      </w:r>
      <w:r w:rsidRPr="00D9739D">
        <w:rPr>
          <w:rFonts w:ascii="Times New Roman" w:hAnsi="Times New Roman"/>
          <w:sz w:val="24"/>
          <w:szCs w:val="24"/>
          <w:lang w:val="en-GB"/>
        </w:rPr>
        <w:t xml:space="preserve"> </w:t>
      </w:r>
      <w:r w:rsidR="00DB6463">
        <w:rPr>
          <w:rFonts w:ascii="Times New Roman" w:hAnsi="Times New Roman"/>
          <w:sz w:val="24"/>
          <w:szCs w:val="24"/>
          <w:lang w:val="en-GB"/>
        </w:rPr>
        <w:t>2021;</w:t>
      </w:r>
      <w:r w:rsidRPr="00D9739D">
        <w:rPr>
          <w:rFonts w:ascii="Times New Roman" w:hAnsi="Times New Roman"/>
          <w:sz w:val="24"/>
          <w:szCs w:val="24"/>
          <w:lang w:val="en-GB"/>
        </w:rPr>
        <w:t>11</w:t>
      </w:r>
      <w:r w:rsidR="00DB6463">
        <w:rPr>
          <w:rFonts w:ascii="Times New Roman" w:hAnsi="Times New Roman"/>
          <w:sz w:val="24"/>
          <w:szCs w:val="24"/>
          <w:lang w:val="en-GB"/>
        </w:rPr>
        <w:t>:</w:t>
      </w:r>
      <w:r w:rsidRPr="00D9739D">
        <w:rPr>
          <w:rFonts w:ascii="Times New Roman" w:hAnsi="Times New Roman"/>
          <w:sz w:val="24"/>
          <w:szCs w:val="24"/>
          <w:lang w:val="en-GB"/>
        </w:rPr>
        <w:t>1</w:t>
      </w:r>
      <w:r w:rsidR="00DB6463" w:rsidRPr="00ED1B85">
        <w:rPr>
          <w:rFonts w:ascii="Times New Roman" w:hAnsi="Times New Roman"/>
          <w:sz w:val="24"/>
          <w:szCs w:val="24"/>
          <w:lang w:val="en-GB"/>
        </w:rPr>
        <w:t>–</w:t>
      </w:r>
      <w:r w:rsidRPr="00D9739D">
        <w:rPr>
          <w:rFonts w:ascii="Times New Roman" w:hAnsi="Times New Roman"/>
          <w:sz w:val="24"/>
          <w:szCs w:val="24"/>
          <w:lang w:val="en-GB"/>
        </w:rPr>
        <w:t>10.</w:t>
      </w:r>
    </w:p>
    <w:p w14:paraId="7AE3C73F" w14:textId="4B0EA10F" w:rsidR="00B64551" w:rsidRDefault="00B64551" w:rsidP="002C1C6F">
      <w:pPr>
        <w:pStyle w:val="ListParagraph"/>
        <w:numPr>
          <w:ilvl w:val="0"/>
          <w:numId w:val="1"/>
        </w:numPr>
        <w:spacing w:line="480" w:lineRule="auto"/>
        <w:jc w:val="both"/>
        <w:rPr>
          <w:rFonts w:ascii="Times New Roman" w:hAnsi="Times New Roman"/>
          <w:sz w:val="24"/>
          <w:szCs w:val="24"/>
          <w:lang w:val="en-GB"/>
        </w:rPr>
      </w:pPr>
      <w:r w:rsidRPr="00B64551">
        <w:rPr>
          <w:rFonts w:ascii="Times New Roman" w:hAnsi="Times New Roman"/>
          <w:sz w:val="24"/>
          <w:szCs w:val="24"/>
          <w:lang w:val="en-GB"/>
        </w:rPr>
        <w:t>Su ZJ, Wang XY, Zhou C, Chai Z. Down‐regulation of miR‐3068‐3p enhances kcnip4‐regulated A‐type potassium current to protect against glutamate‐induced excitotoxicity. J Neurochem</w:t>
      </w:r>
      <w:r w:rsidR="00DB6463">
        <w:rPr>
          <w:rFonts w:ascii="Times New Roman" w:hAnsi="Times New Roman"/>
          <w:sz w:val="24"/>
          <w:szCs w:val="24"/>
          <w:lang w:val="en-GB"/>
        </w:rPr>
        <w:t>. 2020;</w:t>
      </w:r>
      <w:r w:rsidRPr="00B64551">
        <w:rPr>
          <w:rFonts w:ascii="Times New Roman" w:hAnsi="Times New Roman"/>
          <w:sz w:val="24"/>
          <w:szCs w:val="24"/>
          <w:lang w:val="en-GB"/>
        </w:rPr>
        <w:t>153</w:t>
      </w:r>
      <w:r w:rsidR="00DB6463">
        <w:rPr>
          <w:rFonts w:ascii="Times New Roman" w:hAnsi="Times New Roman"/>
          <w:sz w:val="24"/>
          <w:szCs w:val="24"/>
          <w:lang w:val="en-GB"/>
        </w:rPr>
        <w:t>:</w:t>
      </w:r>
      <w:r w:rsidRPr="00B64551">
        <w:rPr>
          <w:rFonts w:ascii="Times New Roman" w:hAnsi="Times New Roman"/>
          <w:sz w:val="24"/>
          <w:szCs w:val="24"/>
          <w:lang w:val="en-GB"/>
        </w:rPr>
        <w:t>617</w:t>
      </w:r>
      <w:r w:rsidR="00DB6463" w:rsidRPr="00ED1B85">
        <w:rPr>
          <w:rFonts w:ascii="Times New Roman" w:hAnsi="Times New Roman"/>
          <w:sz w:val="24"/>
          <w:szCs w:val="24"/>
          <w:lang w:val="en-GB"/>
        </w:rPr>
        <w:t>–</w:t>
      </w:r>
      <w:r w:rsidRPr="00B64551">
        <w:rPr>
          <w:rFonts w:ascii="Times New Roman" w:hAnsi="Times New Roman"/>
          <w:sz w:val="24"/>
          <w:szCs w:val="24"/>
          <w:lang w:val="en-GB"/>
        </w:rPr>
        <w:t>30.</w:t>
      </w:r>
    </w:p>
    <w:p w14:paraId="51E17F7C" w14:textId="59602E74" w:rsidR="00B64551" w:rsidRDefault="00B64551" w:rsidP="002C1C6F">
      <w:pPr>
        <w:pStyle w:val="ListParagraph"/>
        <w:numPr>
          <w:ilvl w:val="0"/>
          <w:numId w:val="1"/>
        </w:numPr>
        <w:spacing w:line="480" w:lineRule="auto"/>
        <w:jc w:val="both"/>
        <w:rPr>
          <w:rFonts w:ascii="Times New Roman" w:hAnsi="Times New Roman"/>
          <w:sz w:val="24"/>
          <w:szCs w:val="24"/>
          <w:lang w:val="en-GB"/>
        </w:rPr>
      </w:pPr>
      <w:r w:rsidRPr="00DB6463">
        <w:rPr>
          <w:rFonts w:ascii="Times New Roman" w:hAnsi="Times New Roman"/>
          <w:sz w:val="24"/>
          <w:szCs w:val="24"/>
          <w:lang w:val="en-GB"/>
        </w:rPr>
        <w:lastRenderedPageBreak/>
        <w:t xml:space="preserve">Laugier L, Frade AF, Ferreira FM, Baron MA, Teixeira PC, Cabantous S, </w:t>
      </w:r>
      <w:r w:rsidR="00DB6463" w:rsidRPr="00DB6463">
        <w:rPr>
          <w:rFonts w:ascii="Times New Roman" w:hAnsi="Times New Roman"/>
          <w:sz w:val="24"/>
          <w:szCs w:val="24"/>
          <w:lang w:val="en-GB"/>
        </w:rPr>
        <w:t>et al.</w:t>
      </w:r>
      <w:r w:rsidRPr="00B64551">
        <w:rPr>
          <w:rFonts w:ascii="Times New Roman" w:hAnsi="Times New Roman"/>
          <w:sz w:val="24"/>
          <w:szCs w:val="24"/>
          <w:lang w:val="en-GB"/>
        </w:rPr>
        <w:t xml:space="preserve"> Whole-genome cardiac DNA methylation fingerprint and gene expression analysis provide new insights in the pathogenesis of chronic Chagas disease cardiomyopathy. Clin Infect Dis</w:t>
      </w:r>
      <w:r w:rsidR="009B2E1E">
        <w:rPr>
          <w:rFonts w:ascii="Times New Roman" w:hAnsi="Times New Roman"/>
          <w:sz w:val="24"/>
          <w:szCs w:val="24"/>
          <w:lang w:val="en-GB"/>
        </w:rPr>
        <w:t>.</w:t>
      </w:r>
      <w:r w:rsidRPr="00B64551">
        <w:rPr>
          <w:rFonts w:ascii="Times New Roman" w:hAnsi="Times New Roman"/>
          <w:sz w:val="24"/>
          <w:szCs w:val="24"/>
          <w:lang w:val="en-GB"/>
        </w:rPr>
        <w:t xml:space="preserve"> </w:t>
      </w:r>
      <w:r w:rsidR="00DB6463">
        <w:rPr>
          <w:rFonts w:ascii="Times New Roman" w:hAnsi="Times New Roman"/>
          <w:sz w:val="24"/>
          <w:szCs w:val="24"/>
          <w:lang w:val="en-GB"/>
        </w:rPr>
        <w:t>2017;</w:t>
      </w:r>
      <w:r w:rsidRPr="00B64551">
        <w:rPr>
          <w:rFonts w:ascii="Times New Roman" w:hAnsi="Times New Roman"/>
          <w:sz w:val="24"/>
          <w:szCs w:val="24"/>
          <w:lang w:val="en-GB"/>
        </w:rPr>
        <w:t>65</w:t>
      </w:r>
      <w:r w:rsidR="00DB6463">
        <w:rPr>
          <w:rFonts w:ascii="Times New Roman" w:hAnsi="Times New Roman"/>
          <w:sz w:val="24"/>
          <w:szCs w:val="24"/>
          <w:lang w:val="en-GB"/>
        </w:rPr>
        <w:t>:</w:t>
      </w:r>
      <w:r w:rsidRPr="00B64551">
        <w:rPr>
          <w:rFonts w:ascii="Times New Roman" w:hAnsi="Times New Roman"/>
          <w:sz w:val="24"/>
          <w:szCs w:val="24"/>
          <w:lang w:val="en-GB"/>
        </w:rPr>
        <w:t>1103</w:t>
      </w:r>
      <w:r w:rsidR="009B2E1E" w:rsidRPr="00ED1B85">
        <w:rPr>
          <w:rFonts w:ascii="Times New Roman" w:hAnsi="Times New Roman"/>
          <w:sz w:val="24"/>
          <w:szCs w:val="24"/>
          <w:lang w:val="en-GB"/>
        </w:rPr>
        <w:t>–</w:t>
      </w:r>
      <w:r w:rsidRPr="00B64551">
        <w:rPr>
          <w:rFonts w:ascii="Times New Roman" w:hAnsi="Times New Roman"/>
          <w:sz w:val="24"/>
          <w:szCs w:val="24"/>
          <w:lang w:val="en-GB"/>
        </w:rPr>
        <w:t>11.</w:t>
      </w:r>
    </w:p>
    <w:p w14:paraId="41E2D4B0" w14:textId="7BC7250D" w:rsidR="00B64551" w:rsidRDefault="00B64551" w:rsidP="002C1C6F">
      <w:pPr>
        <w:pStyle w:val="ListParagraph"/>
        <w:numPr>
          <w:ilvl w:val="0"/>
          <w:numId w:val="1"/>
        </w:numPr>
        <w:spacing w:line="480" w:lineRule="auto"/>
        <w:jc w:val="both"/>
        <w:rPr>
          <w:rFonts w:ascii="Times New Roman" w:hAnsi="Times New Roman"/>
          <w:sz w:val="24"/>
          <w:szCs w:val="24"/>
          <w:lang w:val="en-GB"/>
        </w:rPr>
      </w:pPr>
      <w:r w:rsidRPr="00B64551">
        <w:rPr>
          <w:rFonts w:ascii="Times New Roman" w:hAnsi="Times New Roman"/>
          <w:sz w:val="24"/>
          <w:szCs w:val="24"/>
          <w:lang w:val="en-GB"/>
        </w:rPr>
        <w:t xml:space="preserve">Smith JL, Wilson ML, Nilson SM, Rowan TN, Schnabel RD, Decker JE, Seabury CM. Genome-wide association and genotype by environment interactions for growth traits in US Red Angus cattle. BMC </w:t>
      </w:r>
      <w:r w:rsidR="009B2E1E">
        <w:rPr>
          <w:rFonts w:ascii="Times New Roman" w:hAnsi="Times New Roman"/>
          <w:sz w:val="24"/>
          <w:szCs w:val="24"/>
          <w:lang w:val="en-GB"/>
        </w:rPr>
        <w:t>G</w:t>
      </w:r>
      <w:r w:rsidRPr="00B64551">
        <w:rPr>
          <w:rFonts w:ascii="Times New Roman" w:hAnsi="Times New Roman"/>
          <w:sz w:val="24"/>
          <w:szCs w:val="24"/>
          <w:lang w:val="en-GB"/>
        </w:rPr>
        <w:t>enom</w:t>
      </w:r>
      <w:r w:rsidR="00CE0EAE">
        <w:rPr>
          <w:rFonts w:ascii="Times New Roman" w:hAnsi="Times New Roman"/>
          <w:sz w:val="24"/>
          <w:szCs w:val="24"/>
          <w:lang w:val="en-GB"/>
        </w:rPr>
        <w:t>ics</w:t>
      </w:r>
      <w:r w:rsidR="009B2E1E">
        <w:rPr>
          <w:rFonts w:ascii="Times New Roman" w:hAnsi="Times New Roman"/>
          <w:sz w:val="24"/>
          <w:szCs w:val="24"/>
          <w:lang w:val="en-GB"/>
        </w:rPr>
        <w:t>.</w:t>
      </w:r>
      <w:r w:rsidRPr="00B64551">
        <w:rPr>
          <w:rFonts w:ascii="Times New Roman" w:hAnsi="Times New Roman"/>
          <w:sz w:val="24"/>
          <w:szCs w:val="24"/>
          <w:lang w:val="en-GB"/>
        </w:rPr>
        <w:t xml:space="preserve"> </w:t>
      </w:r>
      <w:r w:rsidR="009B2E1E">
        <w:rPr>
          <w:rFonts w:ascii="Times New Roman" w:hAnsi="Times New Roman"/>
          <w:sz w:val="24"/>
          <w:szCs w:val="24"/>
          <w:lang w:val="en-GB"/>
        </w:rPr>
        <w:t>2022;</w:t>
      </w:r>
      <w:r w:rsidRPr="00B64551">
        <w:rPr>
          <w:rFonts w:ascii="Times New Roman" w:hAnsi="Times New Roman"/>
          <w:sz w:val="24"/>
          <w:szCs w:val="24"/>
          <w:lang w:val="en-GB"/>
        </w:rPr>
        <w:t>23</w:t>
      </w:r>
      <w:r w:rsidR="009B2E1E">
        <w:rPr>
          <w:rFonts w:ascii="Times New Roman" w:hAnsi="Times New Roman"/>
          <w:sz w:val="24"/>
          <w:szCs w:val="24"/>
          <w:lang w:val="en-GB"/>
        </w:rPr>
        <w:t>:1</w:t>
      </w:r>
      <w:r w:rsidR="009B2E1E" w:rsidRPr="00ED1B85">
        <w:rPr>
          <w:rFonts w:ascii="Times New Roman" w:hAnsi="Times New Roman"/>
          <w:sz w:val="24"/>
          <w:szCs w:val="24"/>
          <w:lang w:val="en-GB"/>
        </w:rPr>
        <w:t>–</w:t>
      </w:r>
      <w:r w:rsidRPr="00B64551">
        <w:rPr>
          <w:rFonts w:ascii="Times New Roman" w:hAnsi="Times New Roman"/>
          <w:sz w:val="24"/>
          <w:szCs w:val="24"/>
          <w:lang w:val="en-GB"/>
        </w:rPr>
        <w:t>22.</w:t>
      </w:r>
    </w:p>
    <w:p w14:paraId="12B42C71" w14:textId="1F68A5BC" w:rsidR="00B64551" w:rsidRDefault="00B64551" w:rsidP="002C1C6F">
      <w:pPr>
        <w:pStyle w:val="ListParagraph"/>
        <w:numPr>
          <w:ilvl w:val="0"/>
          <w:numId w:val="1"/>
        </w:numPr>
        <w:spacing w:line="480" w:lineRule="auto"/>
        <w:jc w:val="both"/>
        <w:rPr>
          <w:rFonts w:ascii="Times New Roman" w:hAnsi="Times New Roman"/>
          <w:sz w:val="24"/>
          <w:szCs w:val="24"/>
          <w:lang w:val="en-GB"/>
        </w:rPr>
      </w:pPr>
      <w:r w:rsidRPr="00B64551">
        <w:rPr>
          <w:rFonts w:ascii="Times New Roman" w:hAnsi="Times New Roman"/>
          <w:sz w:val="24"/>
          <w:szCs w:val="24"/>
          <w:lang w:val="en-GB"/>
        </w:rPr>
        <w:t>Jin CF, Chen YJ, Yang ZQ, Shi K, Chen CK. A genome-wide association study of growth trait-related single nucleotide polymorphisms in Chinese Yancheng chickens. Genet Mol Res</w:t>
      </w:r>
      <w:r w:rsidR="009B2E1E">
        <w:rPr>
          <w:rFonts w:ascii="Times New Roman" w:hAnsi="Times New Roman"/>
          <w:sz w:val="24"/>
          <w:szCs w:val="24"/>
          <w:lang w:val="en-GB"/>
        </w:rPr>
        <w:t>.</w:t>
      </w:r>
      <w:r w:rsidRPr="00B64551">
        <w:rPr>
          <w:rFonts w:ascii="Times New Roman" w:hAnsi="Times New Roman"/>
          <w:sz w:val="24"/>
          <w:szCs w:val="24"/>
          <w:lang w:val="en-GB"/>
        </w:rPr>
        <w:t xml:space="preserve"> </w:t>
      </w:r>
      <w:r w:rsidR="009B2E1E">
        <w:rPr>
          <w:rFonts w:ascii="Times New Roman" w:hAnsi="Times New Roman"/>
          <w:sz w:val="24"/>
          <w:szCs w:val="24"/>
          <w:lang w:val="en-GB"/>
        </w:rPr>
        <w:t>2015;</w:t>
      </w:r>
      <w:r w:rsidRPr="00B64551">
        <w:rPr>
          <w:rFonts w:ascii="Times New Roman" w:hAnsi="Times New Roman"/>
          <w:sz w:val="24"/>
          <w:szCs w:val="24"/>
          <w:lang w:val="en-GB"/>
        </w:rPr>
        <w:t>14</w:t>
      </w:r>
      <w:r w:rsidR="009B2E1E">
        <w:rPr>
          <w:rFonts w:ascii="Times New Roman" w:hAnsi="Times New Roman"/>
          <w:sz w:val="24"/>
          <w:szCs w:val="24"/>
          <w:lang w:val="en-GB"/>
        </w:rPr>
        <w:t>:</w:t>
      </w:r>
      <w:r w:rsidRPr="00B64551">
        <w:rPr>
          <w:rFonts w:ascii="Times New Roman" w:hAnsi="Times New Roman"/>
          <w:sz w:val="24"/>
          <w:szCs w:val="24"/>
          <w:lang w:val="en-GB"/>
        </w:rPr>
        <w:t>15783</w:t>
      </w:r>
      <w:r w:rsidR="009B2E1E" w:rsidRPr="00ED1B85">
        <w:rPr>
          <w:rFonts w:ascii="Times New Roman" w:hAnsi="Times New Roman"/>
          <w:sz w:val="24"/>
          <w:szCs w:val="24"/>
          <w:lang w:val="en-GB"/>
        </w:rPr>
        <w:t>–</w:t>
      </w:r>
      <w:r w:rsidRPr="00B64551">
        <w:rPr>
          <w:rFonts w:ascii="Times New Roman" w:hAnsi="Times New Roman"/>
          <w:sz w:val="24"/>
          <w:szCs w:val="24"/>
          <w:lang w:val="en-GB"/>
        </w:rPr>
        <w:t>92.</w:t>
      </w:r>
    </w:p>
    <w:p w14:paraId="2AA18D6E" w14:textId="1C4578AD" w:rsidR="00B64551" w:rsidRDefault="00B64551" w:rsidP="002C1C6F">
      <w:pPr>
        <w:pStyle w:val="ListParagraph"/>
        <w:numPr>
          <w:ilvl w:val="0"/>
          <w:numId w:val="1"/>
        </w:numPr>
        <w:spacing w:line="480" w:lineRule="auto"/>
        <w:jc w:val="both"/>
        <w:rPr>
          <w:rFonts w:ascii="Times New Roman" w:hAnsi="Times New Roman"/>
          <w:sz w:val="24"/>
          <w:szCs w:val="24"/>
          <w:lang w:val="en-GB"/>
        </w:rPr>
      </w:pPr>
      <w:r w:rsidRPr="00B64551">
        <w:rPr>
          <w:rFonts w:ascii="Times New Roman" w:hAnsi="Times New Roman"/>
          <w:sz w:val="24"/>
          <w:szCs w:val="24"/>
          <w:lang w:val="en-GB"/>
        </w:rPr>
        <w:t>Cha J, Choo H, Srikanth K, Lee SH, Son JW, Park MR,</w:t>
      </w:r>
      <w:r w:rsidR="009B2E1E">
        <w:rPr>
          <w:rFonts w:ascii="Times New Roman" w:hAnsi="Times New Roman"/>
          <w:sz w:val="24"/>
          <w:szCs w:val="24"/>
          <w:lang w:val="en-GB"/>
        </w:rPr>
        <w:t xml:space="preserve"> et al.</w:t>
      </w:r>
      <w:r w:rsidRPr="00B64551">
        <w:rPr>
          <w:rFonts w:ascii="Times New Roman" w:hAnsi="Times New Roman"/>
          <w:sz w:val="24"/>
          <w:szCs w:val="24"/>
          <w:lang w:val="en-GB"/>
        </w:rPr>
        <w:t xml:space="preserve"> Genome-Wide Association Study Identifies 12 Loci Associated with Body Weight at Age 8 Weeks in Korean Native Chickens. Genes</w:t>
      </w:r>
      <w:r w:rsidR="009B2E1E">
        <w:rPr>
          <w:rFonts w:ascii="Times New Roman" w:hAnsi="Times New Roman"/>
          <w:sz w:val="24"/>
          <w:szCs w:val="24"/>
          <w:lang w:val="en-GB"/>
        </w:rPr>
        <w:t>.</w:t>
      </w:r>
      <w:r w:rsidRPr="00B64551">
        <w:rPr>
          <w:rFonts w:ascii="Times New Roman" w:hAnsi="Times New Roman"/>
          <w:sz w:val="24"/>
          <w:szCs w:val="24"/>
          <w:lang w:val="en-GB"/>
        </w:rPr>
        <w:t xml:space="preserve"> </w:t>
      </w:r>
      <w:r w:rsidR="009B2E1E">
        <w:rPr>
          <w:rFonts w:ascii="Times New Roman" w:hAnsi="Times New Roman"/>
          <w:sz w:val="24"/>
          <w:szCs w:val="24"/>
          <w:lang w:val="en-GB"/>
        </w:rPr>
        <w:t>2021;</w:t>
      </w:r>
      <w:r w:rsidRPr="00B64551">
        <w:rPr>
          <w:rFonts w:ascii="Times New Roman" w:hAnsi="Times New Roman"/>
          <w:sz w:val="24"/>
          <w:szCs w:val="24"/>
          <w:lang w:val="en-GB"/>
        </w:rPr>
        <w:t>12</w:t>
      </w:r>
      <w:r w:rsidR="009B2E1E">
        <w:rPr>
          <w:rFonts w:ascii="Times New Roman" w:hAnsi="Times New Roman"/>
          <w:sz w:val="24"/>
          <w:szCs w:val="24"/>
          <w:lang w:val="en-GB"/>
        </w:rPr>
        <w:t>:</w:t>
      </w:r>
      <w:r w:rsidRPr="00B64551">
        <w:rPr>
          <w:rFonts w:ascii="Times New Roman" w:hAnsi="Times New Roman"/>
          <w:sz w:val="24"/>
          <w:szCs w:val="24"/>
          <w:lang w:val="en-GB"/>
        </w:rPr>
        <w:t>1170.</w:t>
      </w:r>
    </w:p>
    <w:p w14:paraId="16CD867E" w14:textId="22391A84" w:rsidR="00B64551" w:rsidRDefault="00B64551" w:rsidP="002C1C6F">
      <w:pPr>
        <w:pStyle w:val="ListParagraph"/>
        <w:numPr>
          <w:ilvl w:val="0"/>
          <w:numId w:val="1"/>
        </w:numPr>
        <w:spacing w:line="480" w:lineRule="auto"/>
        <w:jc w:val="both"/>
        <w:rPr>
          <w:rFonts w:ascii="Times New Roman" w:hAnsi="Times New Roman"/>
          <w:sz w:val="24"/>
          <w:szCs w:val="24"/>
          <w:lang w:val="en-GB"/>
        </w:rPr>
      </w:pPr>
      <w:r w:rsidRPr="00B64551">
        <w:rPr>
          <w:rFonts w:ascii="Times New Roman" w:hAnsi="Times New Roman"/>
          <w:sz w:val="24"/>
          <w:szCs w:val="24"/>
          <w:lang w:val="en-GB"/>
        </w:rPr>
        <w:t xml:space="preserve">Wang S, Wang Y, Li Y, Xiao F, Guo H, Gao H, </w:t>
      </w:r>
      <w:r w:rsidR="009B2E1E">
        <w:rPr>
          <w:rFonts w:ascii="Times New Roman" w:hAnsi="Times New Roman"/>
          <w:sz w:val="24"/>
          <w:szCs w:val="24"/>
          <w:lang w:val="en-GB"/>
        </w:rPr>
        <w:t>et al.</w:t>
      </w:r>
      <w:r w:rsidRPr="00B64551">
        <w:rPr>
          <w:rFonts w:ascii="Times New Roman" w:hAnsi="Times New Roman"/>
          <w:sz w:val="24"/>
          <w:szCs w:val="24"/>
          <w:lang w:val="en-GB"/>
        </w:rPr>
        <w:t xml:space="preserve"> Genome-Wide Association Study and Selective Sweep Analysis Reveal the Genetic Architecture of Body Weights in a Chicken F2 Resource Population. Front </w:t>
      </w:r>
      <w:r w:rsidR="009B2E1E">
        <w:rPr>
          <w:rFonts w:ascii="Times New Roman" w:hAnsi="Times New Roman"/>
          <w:sz w:val="24"/>
          <w:szCs w:val="24"/>
          <w:lang w:val="en-GB"/>
        </w:rPr>
        <w:t>V</w:t>
      </w:r>
      <w:r w:rsidRPr="00B64551">
        <w:rPr>
          <w:rFonts w:ascii="Times New Roman" w:hAnsi="Times New Roman"/>
          <w:sz w:val="24"/>
          <w:szCs w:val="24"/>
          <w:lang w:val="en-GB"/>
        </w:rPr>
        <w:t xml:space="preserve">et </w:t>
      </w:r>
      <w:r w:rsidR="009B2E1E">
        <w:rPr>
          <w:rFonts w:ascii="Times New Roman" w:hAnsi="Times New Roman"/>
          <w:sz w:val="24"/>
          <w:szCs w:val="24"/>
          <w:lang w:val="en-GB"/>
        </w:rPr>
        <w:t>S</w:t>
      </w:r>
      <w:r w:rsidRPr="00B64551">
        <w:rPr>
          <w:rFonts w:ascii="Times New Roman" w:hAnsi="Times New Roman"/>
          <w:sz w:val="24"/>
          <w:szCs w:val="24"/>
          <w:lang w:val="en-GB"/>
        </w:rPr>
        <w:t>ci</w:t>
      </w:r>
      <w:r w:rsidR="009B2E1E">
        <w:rPr>
          <w:rFonts w:ascii="Times New Roman" w:hAnsi="Times New Roman"/>
          <w:sz w:val="24"/>
          <w:szCs w:val="24"/>
          <w:lang w:val="en-GB"/>
        </w:rPr>
        <w:t>.</w:t>
      </w:r>
      <w:r w:rsidRPr="00B64551">
        <w:rPr>
          <w:rFonts w:ascii="Times New Roman" w:hAnsi="Times New Roman"/>
          <w:sz w:val="24"/>
          <w:szCs w:val="24"/>
          <w:lang w:val="en-GB"/>
        </w:rPr>
        <w:t xml:space="preserve"> </w:t>
      </w:r>
      <w:r w:rsidR="009B2E1E">
        <w:rPr>
          <w:rFonts w:ascii="Times New Roman" w:hAnsi="Times New Roman"/>
          <w:sz w:val="24"/>
          <w:szCs w:val="24"/>
          <w:lang w:val="en-GB"/>
        </w:rPr>
        <w:t>2022;</w:t>
      </w:r>
      <w:r w:rsidRPr="00B64551">
        <w:rPr>
          <w:rFonts w:ascii="Times New Roman" w:hAnsi="Times New Roman"/>
          <w:sz w:val="24"/>
          <w:szCs w:val="24"/>
          <w:lang w:val="en-GB"/>
        </w:rPr>
        <w:t>9</w:t>
      </w:r>
      <w:r w:rsidR="009B2E1E">
        <w:rPr>
          <w:rFonts w:ascii="Times New Roman" w:hAnsi="Times New Roman"/>
          <w:sz w:val="24"/>
          <w:szCs w:val="24"/>
          <w:lang w:val="en-GB"/>
        </w:rPr>
        <w:t>:</w:t>
      </w:r>
      <w:r w:rsidR="009B2E1E" w:rsidRPr="00255414">
        <w:rPr>
          <w:lang w:val="en-GB"/>
        </w:rPr>
        <w:t xml:space="preserve"> </w:t>
      </w:r>
      <w:r w:rsidR="009B2E1E" w:rsidRPr="009B2E1E">
        <w:rPr>
          <w:rFonts w:ascii="Times New Roman" w:hAnsi="Times New Roman"/>
          <w:sz w:val="24"/>
          <w:szCs w:val="24"/>
          <w:lang w:val="en-GB"/>
        </w:rPr>
        <w:t>875454</w:t>
      </w:r>
    </w:p>
    <w:p w14:paraId="27E0ED23" w14:textId="53F68F0C" w:rsidR="00B64551" w:rsidRDefault="00B64551" w:rsidP="002C1C6F">
      <w:pPr>
        <w:pStyle w:val="ListParagraph"/>
        <w:numPr>
          <w:ilvl w:val="0"/>
          <w:numId w:val="1"/>
        </w:numPr>
        <w:spacing w:line="480" w:lineRule="auto"/>
        <w:jc w:val="both"/>
        <w:rPr>
          <w:rFonts w:ascii="Times New Roman" w:hAnsi="Times New Roman"/>
          <w:sz w:val="24"/>
          <w:szCs w:val="24"/>
          <w:lang w:val="en-GB"/>
        </w:rPr>
      </w:pPr>
      <w:r w:rsidRPr="00B64551">
        <w:rPr>
          <w:rFonts w:ascii="Times New Roman" w:hAnsi="Times New Roman"/>
          <w:sz w:val="24"/>
          <w:szCs w:val="24"/>
          <w:lang w:val="en-GB"/>
        </w:rPr>
        <w:t>Fan QC, Wu PF, Dai GJ, Zhang GX, Zhang T, Xue Q,</w:t>
      </w:r>
      <w:r w:rsidR="009B2E1E">
        <w:rPr>
          <w:rFonts w:ascii="Times New Roman" w:hAnsi="Times New Roman"/>
          <w:sz w:val="24"/>
          <w:szCs w:val="24"/>
          <w:lang w:val="en-GB"/>
        </w:rPr>
        <w:t xml:space="preserve"> et al.</w:t>
      </w:r>
      <w:r w:rsidRPr="00B64551">
        <w:rPr>
          <w:rFonts w:ascii="Times New Roman" w:hAnsi="Times New Roman"/>
          <w:sz w:val="24"/>
          <w:szCs w:val="24"/>
          <w:lang w:val="en-GB"/>
        </w:rPr>
        <w:t xml:space="preserve"> Identification of 19 loci for reproductive traits in a local Chinese chicken by genome-wide study. Genet Mol Res</w:t>
      </w:r>
      <w:r w:rsidR="003409DC">
        <w:rPr>
          <w:rFonts w:ascii="Times New Roman" w:hAnsi="Times New Roman"/>
          <w:sz w:val="24"/>
          <w:szCs w:val="24"/>
          <w:lang w:val="en-GB"/>
        </w:rPr>
        <w:t>.</w:t>
      </w:r>
      <w:r w:rsidRPr="00B64551">
        <w:rPr>
          <w:rFonts w:ascii="Times New Roman" w:hAnsi="Times New Roman"/>
          <w:sz w:val="24"/>
          <w:szCs w:val="24"/>
          <w:lang w:val="en-GB"/>
        </w:rPr>
        <w:t xml:space="preserve"> </w:t>
      </w:r>
      <w:r w:rsidR="009B2E1E">
        <w:rPr>
          <w:rFonts w:ascii="Times New Roman" w:hAnsi="Times New Roman"/>
          <w:sz w:val="24"/>
          <w:szCs w:val="24"/>
          <w:lang w:val="en-GB"/>
        </w:rPr>
        <w:t>2017;</w:t>
      </w:r>
      <w:r w:rsidRPr="00B64551">
        <w:rPr>
          <w:rFonts w:ascii="Times New Roman" w:hAnsi="Times New Roman"/>
          <w:sz w:val="24"/>
          <w:szCs w:val="24"/>
          <w:lang w:val="en-GB"/>
        </w:rPr>
        <w:t>16</w:t>
      </w:r>
      <w:r w:rsidR="009B2E1E">
        <w:rPr>
          <w:rFonts w:ascii="Times New Roman" w:hAnsi="Times New Roman"/>
          <w:sz w:val="24"/>
          <w:szCs w:val="24"/>
          <w:lang w:val="en-GB"/>
        </w:rPr>
        <w:t>:</w:t>
      </w:r>
      <w:r w:rsidRPr="00B64551">
        <w:rPr>
          <w:rFonts w:ascii="Times New Roman" w:hAnsi="Times New Roman"/>
          <w:sz w:val="24"/>
          <w:szCs w:val="24"/>
          <w:lang w:val="en-GB"/>
        </w:rPr>
        <w:t>1</w:t>
      </w:r>
      <w:r w:rsidR="009B2E1E" w:rsidRPr="00ED1B85">
        <w:rPr>
          <w:rFonts w:ascii="Times New Roman" w:hAnsi="Times New Roman"/>
          <w:sz w:val="24"/>
          <w:szCs w:val="24"/>
          <w:lang w:val="en-GB"/>
        </w:rPr>
        <w:t>–</w:t>
      </w:r>
      <w:r w:rsidRPr="00B64551">
        <w:rPr>
          <w:rFonts w:ascii="Times New Roman" w:hAnsi="Times New Roman"/>
          <w:sz w:val="24"/>
          <w:szCs w:val="24"/>
          <w:lang w:val="en-GB"/>
        </w:rPr>
        <w:t>8.</w:t>
      </w:r>
    </w:p>
    <w:sectPr w:rsidR="00B64551" w:rsidSect="00AE73C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Liberation Sans">
    <w:altName w:val="Arial"/>
    <w:charset w:val="01"/>
    <w:family w:val="swiss"/>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2C6C59"/>
    <w:multiLevelType w:val="hybridMultilevel"/>
    <w:tmpl w:val="E40A10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A18"/>
    <w:rsid w:val="0006242F"/>
    <w:rsid w:val="00093AF5"/>
    <w:rsid w:val="00156E86"/>
    <w:rsid w:val="001C0E4B"/>
    <w:rsid w:val="001C14FF"/>
    <w:rsid w:val="00227FB3"/>
    <w:rsid w:val="00231505"/>
    <w:rsid w:val="00255414"/>
    <w:rsid w:val="00266221"/>
    <w:rsid w:val="002C1C6F"/>
    <w:rsid w:val="003409DC"/>
    <w:rsid w:val="00387CD9"/>
    <w:rsid w:val="00391D78"/>
    <w:rsid w:val="003A6409"/>
    <w:rsid w:val="003D69BF"/>
    <w:rsid w:val="004A3E35"/>
    <w:rsid w:val="00575EA1"/>
    <w:rsid w:val="0059367A"/>
    <w:rsid w:val="005F78FB"/>
    <w:rsid w:val="00615ED5"/>
    <w:rsid w:val="0064575D"/>
    <w:rsid w:val="00652AFB"/>
    <w:rsid w:val="00711BC0"/>
    <w:rsid w:val="00750EF4"/>
    <w:rsid w:val="00763D73"/>
    <w:rsid w:val="0076615A"/>
    <w:rsid w:val="00790DC0"/>
    <w:rsid w:val="008F12B4"/>
    <w:rsid w:val="0098089F"/>
    <w:rsid w:val="009B2E1E"/>
    <w:rsid w:val="009D5034"/>
    <w:rsid w:val="00A10081"/>
    <w:rsid w:val="00A35732"/>
    <w:rsid w:val="00A36878"/>
    <w:rsid w:val="00AE73CE"/>
    <w:rsid w:val="00B1613C"/>
    <w:rsid w:val="00B323AD"/>
    <w:rsid w:val="00B64551"/>
    <w:rsid w:val="00B82B8A"/>
    <w:rsid w:val="00B85A18"/>
    <w:rsid w:val="00B861EB"/>
    <w:rsid w:val="00CE0EAE"/>
    <w:rsid w:val="00CE198D"/>
    <w:rsid w:val="00D9739D"/>
    <w:rsid w:val="00DB6463"/>
    <w:rsid w:val="00E67B89"/>
    <w:rsid w:val="00EA393A"/>
    <w:rsid w:val="00ED15E0"/>
    <w:rsid w:val="00ED1B85"/>
    <w:rsid w:val="00EF0971"/>
    <w:rsid w:val="00F21F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27E9C"/>
  <w15:chartTrackingRefBased/>
  <w15:docId w15:val="{774031B4-F039-4E47-9AE0-BB15BE0FA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5A18"/>
    <w:rPr>
      <w:rFonts w:ascii="Calibri" w:eastAsia="Calibri" w:hAnsi="Calibri" w:cs="Times New Roman"/>
    </w:rPr>
  </w:style>
  <w:style w:type="paragraph" w:styleId="Heading1">
    <w:name w:val="heading 1"/>
    <w:basedOn w:val="Normal"/>
    <w:link w:val="Heading1Char"/>
    <w:qFormat/>
    <w:rsid w:val="00B85A18"/>
    <w:pPr>
      <w:keepNext/>
      <w:spacing w:before="240" w:after="120"/>
      <w:outlineLvl w:val="0"/>
    </w:pPr>
    <w:rPr>
      <w:rFonts w:ascii="Liberation Sans" w:eastAsia="Noto Sans CJK SC Regular" w:hAnsi="Liberation Sans" w:cs="FreeSan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5A18"/>
    <w:rPr>
      <w:rFonts w:ascii="Liberation Sans" w:eastAsia="Noto Sans CJK SC Regular" w:hAnsi="Liberation Sans" w:cs="FreeSans"/>
      <w:sz w:val="28"/>
      <w:szCs w:val="28"/>
    </w:rPr>
  </w:style>
  <w:style w:type="character" w:styleId="CommentReference">
    <w:name w:val="annotation reference"/>
    <w:uiPriority w:val="99"/>
    <w:semiHidden/>
    <w:unhideWhenUsed/>
    <w:qFormat/>
    <w:rsid w:val="00B85A18"/>
    <w:rPr>
      <w:sz w:val="16"/>
      <w:szCs w:val="16"/>
    </w:rPr>
  </w:style>
  <w:style w:type="character" w:customStyle="1" w:styleId="CommentTextChar">
    <w:name w:val="Comment Text Char"/>
    <w:link w:val="CommentText"/>
    <w:uiPriority w:val="99"/>
    <w:qFormat/>
    <w:rsid w:val="00B85A18"/>
    <w:rPr>
      <w:sz w:val="20"/>
      <w:szCs w:val="20"/>
    </w:rPr>
  </w:style>
  <w:style w:type="character" w:styleId="Emphasis">
    <w:name w:val="Emphasis"/>
    <w:qFormat/>
    <w:rsid w:val="00B85A18"/>
    <w:rPr>
      <w:i/>
      <w:iCs/>
    </w:rPr>
  </w:style>
  <w:style w:type="paragraph" w:styleId="CommentText">
    <w:name w:val="annotation text"/>
    <w:basedOn w:val="Normal"/>
    <w:link w:val="CommentTextChar"/>
    <w:uiPriority w:val="99"/>
    <w:unhideWhenUsed/>
    <w:qFormat/>
    <w:rsid w:val="00B85A18"/>
    <w:pPr>
      <w:spacing w:line="240" w:lineRule="auto"/>
    </w:pPr>
    <w:rPr>
      <w:rFonts w:asciiTheme="minorHAnsi" w:eastAsiaTheme="minorHAnsi" w:hAnsiTheme="minorHAnsi" w:cstheme="minorBidi"/>
      <w:sz w:val="20"/>
      <w:szCs w:val="20"/>
    </w:rPr>
  </w:style>
  <w:style w:type="character" w:customStyle="1" w:styleId="TestocommentoCarattere1">
    <w:name w:val="Testo commento Carattere1"/>
    <w:basedOn w:val="DefaultParagraphFont"/>
    <w:uiPriority w:val="99"/>
    <w:semiHidden/>
    <w:rsid w:val="00B85A18"/>
    <w:rPr>
      <w:rFonts w:ascii="Calibri" w:eastAsia="Calibri" w:hAnsi="Calibri" w:cs="Times New Roman"/>
      <w:sz w:val="20"/>
      <w:szCs w:val="20"/>
    </w:rPr>
  </w:style>
  <w:style w:type="paragraph" w:styleId="ListParagraph">
    <w:name w:val="List Paragraph"/>
    <w:basedOn w:val="Normal"/>
    <w:uiPriority w:val="34"/>
    <w:qFormat/>
    <w:rsid w:val="00B85A18"/>
    <w:pPr>
      <w:ind w:left="720"/>
      <w:contextualSpacing/>
    </w:pPr>
  </w:style>
  <w:style w:type="character" w:styleId="Hyperlink">
    <w:name w:val="Hyperlink"/>
    <w:basedOn w:val="DefaultParagraphFont"/>
    <w:uiPriority w:val="99"/>
    <w:unhideWhenUsed/>
    <w:rsid w:val="00B85A18"/>
    <w:rPr>
      <w:color w:val="0563C1" w:themeColor="hyperlink"/>
      <w:u w:val="single"/>
    </w:rPr>
  </w:style>
  <w:style w:type="character" w:customStyle="1" w:styleId="UnresolvedMention">
    <w:name w:val="Unresolved Mention"/>
    <w:basedOn w:val="DefaultParagraphFont"/>
    <w:uiPriority w:val="99"/>
    <w:semiHidden/>
    <w:unhideWhenUsed/>
    <w:rsid w:val="00B85A1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52AFB"/>
    <w:rPr>
      <w:rFonts w:ascii="Calibri" w:eastAsia="Calibri" w:hAnsi="Calibri" w:cs="Times New Roman"/>
      <w:b/>
      <w:bCs/>
    </w:rPr>
  </w:style>
  <w:style w:type="character" w:customStyle="1" w:styleId="CommentSubjectChar">
    <w:name w:val="Comment Subject Char"/>
    <w:basedOn w:val="CommentTextChar"/>
    <w:link w:val="CommentSubject"/>
    <w:uiPriority w:val="99"/>
    <w:semiHidden/>
    <w:rsid w:val="00652AFB"/>
    <w:rPr>
      <w:rFonts w:ascii="Calibri" w:eastAsia="Calibri" w:hAnsi="Calibri" w:cs="Times New Roman"/>
      <w:b/>
      <w:bCs/>
      <w:sz w:val="20"/>
      <w:szCs w:val="20"/>
    </w:rPr>
  </w:style>
  <w:style w:type="character" w:customStyle="1" w:styleId="InternetLink">
    <w:name w:val="Internet Link"/>
    <w:rsid w:val="00ED1B85"/>
    <w:rPr>
      <w:color w:val="0000FF"/>
      <w:u w:val="single"/>
    </w:rPr>
  </w:style>
  <w:style w:type="character" w:styleId="LineNumber">
    <w:name w:val="line number"/>
    <w:basedOn w:val="DefaultParagraphFont"/>
    <w:uiPriority w:val="99"/>
    <w:semiHidden/>
    <w:unhideWhenUsed/>
    <w:rsid w:val="00EA39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215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432</TotalTime>
  <Pages>13</Pages>
  <Words>3899</Words>
  <Characters>22226</Characters>
  <Application>Microsoft Office Word</Application>
  <DocSecurity>0</DocSecurity>
  <Lines>185</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CECCOBELLI</dc:creator>
  <cp:keywords/>
  <dc:description/>
  <cp:lastModifiedBy>Jini Mol</cp:lastModifiedBy>
  <cp:revision>24</cp:revision>
  <dcterms:created xsi:type="dcterms:W3CDTF">2022-11-22T20:07:00Z</dcterms:created>
  <dcterms:modified xsi:type="dcterms:W3CDTF">2023-03-27T12:43:00Z</dcterms:modified>
</cp:coreProperties>
</file>