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D6C3E" w14:textId="4B59C05F" w:rsidR="00A74713" w:rsidRPr="005C7FF9" w:rsidRDefault="00936191" w:rsidP="00A74713">
      <w:pPr>
        <w:pStyle w:val="Heading1"/>
        <w:ind w:firstLine="0"/>
        <w:rPr>
          <w:lang w:val="en-US"/>
        </w:rPr>
      </w:pPr>
      <w:bookmarkStart w:id="0" w:name="_GoBack"/>
      <w:r w:rsidRPr="00936191">
        <w:rPr>
          <w:lang w:val="en-US"/>
        </w:rPr>
        <w:t xml:space="preserve">Additional </w:t>
      </w:r>
      <w:r w:rsidR="00817752">
        <w:rPr>
          <w:lang w:val="en-US"/>
        </w:rPr>
        <w:t>f</w:t>
      </w:r>
      <w:r w:rsidRPr="00936191">
        <w:rPr>
          <w:lang w:val="en-US"/>
        </w:rPr>
        <w:t xml:space="preserve">ile </w:t>
      </w:r>
      <w:r w:rsidR="00643310">
        <w:rPr>
          <w:lang w:val="en-US"/>
        </w:rPr>
        <w:t>1</w:t>
      </w:r>
    </w:p>
    <w:p w14:paraId="2E8789B9" w14:textId="60D282D6" w:rsidR="00D726CE" w:rsidRPr="00E16B3E" w:rsidRDefault="000B5C3F" w:rsidP="00D726CE">
      <w:pPr>
        <w:spacing w:after="160" w:line="259" w:lineRule="auto"/>
        <w:ind w:firstLine="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19CDA21" wp14:editId="37EBB516">
            <wp:extent cx="6120130" cy="50679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6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4AA4E" w14:textId="25670057" w:rsidR="006D228D" w:rsidRDefault="00D726CE" w:rsidP="00D726CE">
      <w:pPr>
        <w:spacing w:after="0"/>
        <w:ind w:firstLine="0"/>
        <w:rPr>
          <w:lang w:val="en-US"/>
        </w:rPr>
      </w:pPr>
      <w:r w:rsidRPr="00BD693C">
        <w:rPr>
          <w:b/>
          <w:bCs/>
          <w:lang w:val="en-US"/>
        </w:rPr>
        <w:t>Figure S1</w:t>
      </w:r>
      <w:r w:rsidRPr="00D726CE">
        <w:rPr>
          <w:lang w:val="en-US"/>
        </w:rPr>
        <w:t xml:space="preserve"> </w:t>
      </w:r>
      <w:bookmarkStart w:id="1" w:name="_Hlk134552894"/>
      <w:bookmarkStart w:id="2" w:name="_Hlk134553048"/>
      <w:r w:rsidRPr="00D726CE">
        <w:rPr>
          <w:lang w:val="en-US"/>
        </w:rPr>
        <w:t xml:space="preserve">Principal component analysis of animals based on the first two principal components based on SNP </w:t>
      </w:r>
      <w:r w:rsidR="00FE366C">
        <w:rPr>
          <w:lang w:val="en-US"/>
        </w:rPr>
        <w:t>marker</w:t>
      </w:r>
      <w:r w:rsidRPr="00D726CE">
        <w:rPr>
          <w:lang w:val="en-US"/>
        </w:rPr>
        <w:t xml:space="preserve"> to evaluate the extent of the population structure </w:t>
      </w:r>
      <w:r w:rsidR="00E16B3E">
        <w:rPr>
          <w:lang w:val="en-US"/>
        </w:rPr>
        <w:t>(</w:t>
      </w:r>
      <w:r w:rsidR="00FE366C">
        <w:rPr>
          <w:lang w:val="en-US"/>
        </w:rPr>
        <w:t>a</w:t>
      </w:r>
      <w:r w:rsidR="00E16B3E">
        <w:rPr>
          <w:lang w:val="en-US"/>
        </w:rPr>
        <w:t>) and genomic relationship matrix (</w:t>
      </w:r>
      <w:r w:rsidR="00FE366C">
        <w:rPr>
          <w:lang w:val="en-US"/>
        </w:rPr>
        <w:t>b</w:t>
      </w:r>
      <w:r w:rsidR="00E16B3E">
        <w:rPr>
          <w:lang w:val="en-US"/>
        </w:rPr>
        <w:t>)</w:t>
      </w:r>
      <w:r w:rsidR="00FE366C">
        <w:rPr>
          <w:lang w:val="en-US"/>
        </w:rPr>
        <w:t xml:space="preserve"> </w:t>
      </w:r>
      <w:r w:rsidR="00FE366C" w:rsidRPr="00D726CE">
        <w:rPr>
          <w:lang w:val="en-US"/>
        </w:rPr>
        <w:t xml:space="preserve">in the Holstein </w:t>
      </w:r>
      <w:r w:rsidR="00FE366C">
        <w:rPr>
          <w:lang w:val="en-US"/>
        </w:rPr>
        <w:t>cows</w:t>
      </w:r>
      <w:r w:rsidRPr="00D726CE">
        <w:rPr>
          <w:lang w:val="en-US"/>
        </w:rPr>
        <w:t>.</w:t>
      </w:r>
      <w:r w:rsidR="005571A2">
        <w:rPr>
          <w:lang w:val="en-US"/>
        </w:rPr>
        <w:t xml:space="preserve"> </w:t>
      </w:r>
      <w:r w:rsidR="00FE366C">
        <w:rPr>
          <w:lang w:val="en-US"/>
        </w:rPr>
        <w:t>The f</w:t>
      </w:r>
      <w:r w:rsidR="005571A2">
        <w:rPr>
          <w:lang w:val="en-US"/>
        </w:rPr>
        <w:t>old</w:t>
      </w:r>
      <w:r w:rsidR="00FE366C">
        <w:rPr>
          <w:lang w:val="en-US"/>
        </w:rPr>
        <w:t xml:space="preserve"> colors</w:t>
      </w:r>
      <w:r w:rsidR="005571A2">
        <w:rPr>
          <w:lang w:val="en-US"/>
        </w:rPr>
        <w:t xml:space="preserve"> represent the tenfolds used in the cross-validation</w:t>
      </w:r>
      <w:r w:rsidR="00397B93">
        <w:rPr>
          <w:lang w:val="en-US"/>
        </w:rPr>
        <w:t xml:space="preserve"> of genomic breeding value</w:t>
      </w:r>
      <w:r w:rsidR="005571A2">
        <w:rPr>
          <w:lang w:val="en-US"/>
        </w:rPr>
        <w:t>.</w:t>
      </w:r>
      <w:bookmarkEnd w:id="1"/>
    </w:p>
    <w:bookmarkEnd w:id="2"/>
    <w:p w14:paraId="7F24EE86" w14:textId="503CABA0" w:rsidR="00E366A6" w:rsidRDefault="00E366A6">
      <w:pPr>
        <w:spacing w:after="160" w:line="259" w:lineRule="auto"/>
        <w:ind w:firstLine="0"/>
        <w:jc w:val="left"/>
        <w:rPr>
          <w:szCs w:val="24"/>
          <w:lang w:val="en-US"/>
        </w:rPr>
      </w:pPr>
    </w:p>
    <w:p w14:paraId="4290EE8B" w14:textId="77777777" w:rsidR="00D726CE" w:rsidRDefault="00D726CE" w:rsidP="00D726CE">
      <w:pPr>
        <w:ind w:firstLine="0"/>
      </w:pPr>
      <w:bookmarkStart w:id="3" w:name="_Hlk115272872"/>
      <w:r>
        <w:rPr>
          <w:noProof/>
          <w:lang w:val="en-US"/>
        </w:rPr>
        <w:drawing>
          <wp:inline distT="0" distB="0" distL="0" distR="0" wp14:anchorId="4C124442" wp14:editId="73D17675">
            <wp:extent cx="6332220" cy="3248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C2708" w14:textId="7875AF0D" w:rsidR="00D726CE" w:rsidRPr="00D726CE" w:rsidRDefault="00D726CE" w:rsidP="00D726CE">
      <w:pPr>
        <w:ind w:firstLine="0"/>
        <w:rPr>
          <w:sz w:val="22"/>
          <w:lang w:val="en-US"/>
        </w:rPr>
      </w:pPr>
      <w:r w:rsidRPr="00BD693C">
        <w:rPr>
          <w:b/>
          <w:bCs/>
          <w:lang w:val="en-US"/>
        </w:rPr>
        <w:t>Figure S2</w:t>
      </w:r>
      <w:r w:rsidRPr="00D726CE">
        <w:rPr>
          <w:lang w:val="en-US"/>
        </w:rPr>
        <w:t xml:space="preserve"> </w:t>
      </w:r>
      <w:bookmarkStart w:id="4" w:name="_Hlk134553142"/>
      <w:r w:rsidRPr="00D726CE">
        <w:rPr>
          <w:lang w:val="en-US"/>
        </w:rPr>
        <w:t>Distribution of phenotypic values f</w:t>
      </w:r>
      <w:r w:rsidR="00FE366C">
        <w:rPr>
          <w:lang w:val="en-US"/>
        </w:rPr>
        <w:t>or</w:t>
      </w:r>
      <w:r w:rsidRPr="00D726CE">
        <w:rPr>
          <w:lang w:val="en-US"/>
        </w:rPr>
        <w:t xml:space="preserve"> </w:t>
      </w:r>
      <w:bookmarkStart w:id="5" w:name="_Hlk112336577"/>
      <w:r w:rsidRPr="00D726CE">
        <w:rPr>
          <w:lang w:val="en-US"/>
        </w:rPr>
        <w:t xml:space="preserve">energy-related </w:t>
      </w:r>
      <w:bookmarkEnd w:id="5"/>
      <w:r w:rsidRPr="00D726CE">
        <w:rPr>
          <w:lang w:val="en-US"/>
        </w:rPr>
        <w:t xml:space="preserve">metabolites: </w:t>
      </w:r>
      <w:r w:rsidRPr="00D726CE">
        <w:rPr>
          <w:sz w:val="22"/>
          <w:lang w:val="en-US"/>
        </w:rPr>
        <w:t xml:space="preserve">BHBA – </w:t>
      </w:r>
      <w:r w:rsidRPr="003E5199">
        <w:rPr>
          <w:sz w:val="22"/>
        </w:rPr>
        <w:t>β</w:t>
      </w:r>
      <w:r w:rsidRPr="00D726CE">
        <w:rPr>
          <w:sz w:val="22"/>
          <w:lang w:val="en-US"/>
        </w:rPr>
        <w:t xml:space="preserve">-hydroxybutyric acid; Cholest – </w:t>
      </w:r>
      <w:r w:rsidRPr="00D726CE">
        <w:rPr>
          <w:lang w:val="en-US"/>
        </w:rPr>
        <w:t>Cholesterol; CREA – Creatinine; GLU – Glu – Glucose; NEFA – nonesterified fatty acids and Urea.</w:t>
      </w:r>
      <w:bookmarkEnd w:id="4"/>
    </w:p>
    <w:p w14:paraId="0817C3B3" w14:textId="77777777" w:rsidR="001846EC" w:rsidRDefault="001846EC">
      <w:pPr>
        <w:spacing w:after="160" w:line="259" w:lineRule="auto"/>
        <w:ind w:firstLine="0"/>
        <w:jc w:val="left"/>
        <w:rPr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19FA2171" w14:textId="31B05FBD" w:rsidR="00D726CE" w:rsidRDefault="00CC413D" w:rsidP="00D726CE">
      <w:pPr>
        <w:ind w:firstLine="0"/>
        <w:jc w:val="center"/>
        <w:rPr>
          <w:sz w:val="22"/>
        </w:rPr>
      </w:pPr>
      <w:r>
        <w:rPr>
          <w:noProof/>
          <w:lang w:val="en-US"/>
        </w:rPr>
        <w:drawing>
          <wp:inline distT="0" distB="0" distL="0" distR="0" wp14:anchorId="413B3D94" wp14:editId="5C891871">
            <wp:extent cx="6120130" cy="66274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2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1B8A1" w14:textId="0E042784" w:rsidR="00D726CE" w:rsidRPr="00D726CE" w:rsidRDefault="00D726CE" w:rsidP="00D726CE">
      <w:pPr>
        <w:ind w:firstLine="0"/>
        <w:rPr>
          <w:lang w:val="en-US"/>
        </w:rPr>
      </w:pPr>
      <w:r w:rsidRPr="00BD693C">
        <w:rPr>
          <w:b/>
          <w:bCs/>
          <w:lang w:val="en-US"/>
        </w:rPr>
        <w:t>Figure S3</w:t>
      </w:r>
      <w:r w:rsidRPr="00D726CE">
        <w:rPr>
          <w:lang w:val="en-US"/>
        </w:rPr>
        <w:t xml:space="preserve"> </w:t>
      </w:r>
      <w:bookmarkStart w:id="6" w:name="_Hlk134553229"/>
      <w:r w:rsidRPr="00D726CE">
        <w:rPr>
          <w:lang w:val="en-US"/>
        </w:rPr>
        <w:t>Distribution of phenotypic values f</w:t>
      </w:r>
      <w:r w:rsidR="00FE366C">
        <w:rPr>
          <w:lang w:val="en-US"/>
        </w:rPr>
        <w:t>or</w:t>
      </w:r>
      <w:r w:rsidRPr="00D726CE">
        <w:rPr>
          <w:lang w:val="en-US"/>
        </w:rPr>
        <w:t xml:space="preserve"> blood metabolites related to liver function</w:t>
      </w:r>
      <w:r>
        <w:rPr>
          <w:lang w:val="en-US"/>
        </w:rPr>
        <w:t xml:space="preserve"> and </w:t>
      </w:r>
      <w:r w:rsidRPr="00D726CE">
        <w:rPr>
          <w:lang w:val="en-US"/>
        </w:rPr>
        <w:t>hepatic damage [</w:t>
      </w:r>
      <w:r w:rsidR="00CC413D">
        <w:rPr>
          <w:lang w:val="en-US"/>
        </w:rPr>
        <w:t>a</w:t>
      </w:r>
      <w:r w:rsidRPr="00D726CE">
        <w:rPr>
          <w:lang w:val="en-US"/>
        </w:rPr>
        <w:t xml:space="preserve">]: ALB – Albumin; ALP – 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>alkaline phosphatase; AST – aspartate aminotransferase</w:t>
      </w:r>
      <w:r w:rsidRPr="00D726CE">
        <w:rPr>
          <w:lang w:val="en-US"/>
        </w:rPr>
        <w:t xml:space="preserve">; BILt – 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>total bilirubin;</w:t>
      </w:r>
      <w:r w:rsidRPr="00D726CE">
        <w:rPr>
          <w:lang w:val="en-US"/>
        </w:rPr>
        <w:t xml:space="preserve"> GGT – </w:t>
      </w:r>
      <w:r w:rsidRPr="00A7161D">
        <w:rPr>
          <w:rFonts w:cs="Times New Roman"/>
          <w:color w:val="000000" w:themeColor="text1"/>
          <w:szCs w:val="24"/>
          <w:lang w:eastAsia="it-IT"/>
        </w:rPr>
        <w:t>γ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 xml:space="preserve"> -glutamyl transferase; </w:t>
      </w:r>
      <w:r w:rsidRPr="00D726CE">
        <w:rPr>
          <w:lang w:val="en-US"/>
        </w:rPr>
        <w:t xml:space="preserve">and PON – 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 xml:space="preserve">Paraoxonase and </w:t>
      </w:r>
      <w:r w:rsidRPr="00D726CE">
        <w:rPr>
          <w:lang w:val="en-US"/>
        </w:rPr>
        <w:t xml:space="preserve">oxidative stress 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>[</w:t>
      </w:r>
      <w:r w:rsidR="00CC413D">
        <w:rPr>
          <w:rFonts w:cs="Times New Roman"/>
          <w:color w:val="000000" w:themeColor="text1"/>
          <w:szCs w:val="24"/>
          <w:lang w:val="en-US" w:eastAsia="it-IT"/>
        </w:rPr>
        <w:t>b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>]</w:t>
      </w:r>
      <w:r w:rsidRPr="00D726CE">
        <w:rPr>
          <w:lang w:val="en-US"/>
        </w:rPr>
        <w:t xml:space="preserve">: 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>AOPP – advanced oxidation protein products; FRAP – ferric reducing antioxidant power; RMT – total reactive oxygen metabolites; SHp – thiolic groups.</w:t>
      </w:r>
      <w:bookmarkEnd w:id="6"/>
    </w:p>
    <w:p w14:paraId="3DFB6F74" w14:textId="7E16C51F" w:rsidR="00D726CE" w:rsidRDefault="00D726CE">
      <w:pPr>
        <w:spacing w:after="160" w:line="259" w:lineRule="auto"/>
        <w:ind w:firstLine="0"/>
        <w:jc w:val="left"/>
        <w:rPr>
          <w:noProof/>
          <w:lang w:val="en-US"/>
        </w:rPr>
      </w:pPr>
      <w:r>
        <w:rPr>
          <w:noProof/>
          <w:lang w:val="en-US"/>
        </w:rPr>
        <w:br w:type="page"/>
      </w:r>
    </w:p>
    <w:p w14:paraId="57579BFF" w14:textId="559EB90D" w:rsidR="00D726CE" w:rsidRDefault="007B2F86" w:rsidP="00D726CE">
      <w:pPr>
        <w:ind w:firstLine="0"/>
        <w:jc w:val="center"/>
      </w:pPr>
      <w:r>
        <w:rPr>
          <w:noProof/>
          <w:lang w:val="en-US"/>
        </w:rPr>
        <w:drawing>
          <wp:inline distT="0" distB="0" distL="0" distR="0" wp14:anchorId="3469BCC7" wp14:editId="5B2732D1">
            <wp:extent cx="6120130" cy="67132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71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47DCB" w14:textId="61BE8F59" w:rsidR="00D726CE" w:rsidRPr="006645B2" w:rsidRDefault="00D726CE" w:rsidP="00D726CE">
      <w:pPr>
        <w:ind w:firstLine="0"/>
      </w:pPr>
      <w:r w:rsidRPr="006645B2">
        <w:rPr>
          <w:b/>
          <w:bCs/>
        </w:rPr>
        <w:t>Figure S4</w:t>
      </w:r>
      <w:r w:rsidRPr="006645B2">
        <w:t xml:space="preserve"> </w:t>
      </w:r>
      <w:bookmarkStart w:id="7" w:name="_Hlk134553316"/>
      <w:r w:rsidRPr="006645B2">
        <w:t>Distribution of phenotypic values f</w:t>
      </w:r>
      <w:r w:rsidR="00FE366C" w:rsidRPr="006645B2">
        <w:t>or</w:t>
      </w:r>
      <w:r w:rsidRPr="006645B2">
        <w:t xml:space="preserve"> blood metabolites related to inflammation/innate immunity [</w:t>
      </w:r>
      <w:r w:rsidR="00CC413D" w:rsidRPr="006645B2">
        <w:t>a</w:t>
      </w:r>
      <w:r w:rsidRPr="006645B2">
        <w:t xml:space="preserve">]: Hapto – haptoglobin; Cucp – </w:t>
      </w:r>
      <w:bookmarkStart w:id="8" w:name="_Hlk112338751"/>
      <w:r w:rsidRPr="006645B2">
        <w:t xml:space="preserve">ceruloplasmin; GLOB – globulins; MPO – myeloperoxidase; PROTt – total protein </w:t>
      </w:r>
      <w:bookmarkEnd w:id="8"/>
      <w:r w:rsidRPr="006645B2">
        <w:t>and mineral [</w:t>
      </w:r>
      <w:r w:rsidR="00CC413D" w:rsidRPr="006645B2">
        <w:t>b</w:t>
      </w:r>
      <w:r w:rsidRPr="006645B2">
        <w:t>]: CA – calcium; CL – chlorine; K – potassium; MG – magnesium; Na – sodium; P – phosphorus and Zn – zinc</w:t>
      </w:r>
      <w:bookmarkEnd w:id="3"/>
      <w:r w:rsidRPr="006645B2">
        <w:t>.</w:t>
      </w:r>
    </w:p>
    <w:bookmarkEnd w:id="7"/>
    <w:p w14:paraId="17E03F01" w14:textId="404A7A1C" w:rsidR="002373B1" w:rsidRPr="006645B2" w:rsidRDefault="002373B1">
      <w:pPr>
        <w:spacing w:after="160" w:line="259" w:lineRule="auto"/>
        <w:ind w:firstLine="0"/>
        <w:jc w:val="left"/>
        <w:rPr>
          <w:szCs w:val="24"/>
        </w:rPr>
      </w:pPr>
      <w:r w:rsidRPr="006645B2">
        <w:rPr>
          <w:szCs w:val="24"/>
        </w:rPr>
        <w:br w:type="page"/>
      </w:r>
    </w:p>
    <w:p w14:paraId="2521E765" w14:textId="645B0A2B" w:rsidR="005104C0" w:rsidRPr="006645B2" w:rsidRDefault="006645B2" w:rsidP="002373B1">
      <w:pPr>
        <w:spacing w:after="160"/>
        <w:ind w:firstLine="0"/>
        <w:rPr>
          <w:b/>
          <w:bCs/>
          <w:noProof/>
          <w:highlight w:val="yellow"/>
        </w:rPr>
      </w:pPr>
      <w:r w:rsidRPr="006645B2">
        <w:rPr>
          <w:b/>
          <w:bCs/>
          <w:noProof/>
          <w:lang w:val="en-US"/>
        </w:rPr>
        <w:drawing>
          <wp:inline distT="0" distB="0" distL="0" distR="0" wp14:anchorId="18DC18EA" wp14:editId="4CEDACC7">
            <wp:extent cx="6120000" cy="4876022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876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134E78" w14:textId="2477EF0B" w:rsidR="002373B1" w:rsidRPr="00DF30CA" w:rsidRDefault="002373B1" w:rsidP="002373B1">
      <w:pPr>
        <w:spacing w:after="160"/>
        <w:ind w:firstLine="0"/>
        <w:rPr>
          <w:iCs/>
          <w:lang w:val="en-US"/>
        </w:rPr>
      </w:pPr>
      <w:r w:rsidRPr="005104C0">
        <w:rPr>
          <w:b/>
          <w:bCs/>
          <w:noProof/>
          <w:lang w:val="en-US"/>
        </w:rPr>
        <w:t xml:space="preserve">Figure </w:t>
      </w:r>
      <w:r w:rsidRPr="005104C0">
        <w:rPr>
          <w:b/>
          <w:bCs/>
          <w:lang w:val="en-US"/>
        </w:rPr>
        <w:t xml:space="preserve">S5 </w:t>
      </w:r>
      <w:bookmarkStart w:id="9" w:name="_Hlk151035292"/>
      <w:bookmarkStart w:id="10" w:name="_Hlk151035321"/>
      <w:r w:rsidR="0041585A" w:rsidRPr="00B544B2">
        <w:rPr>
          <w:rFonts w:cs="Times New Roman"/>
          <w:color w:val="222222"/>
          <w:szCs w:val="24"/>
          <w:lang w:val="en-US"/>
        </w:rPr>
        <w:t>Dominance</w:t>
      </w:r>
      <w:r w:rsidR="0041585A" w:rsidRPr="005104C0">
        <w:rPr>
          <w:lang w:val="en-US"/>
        </w:rPr>
        <w:t xml:space="preserve"> </w:t>
      </w:r>
      <w:r w:rsidR="0095671C" w:rsidRPr="005104C0">
        <w:rPr>
          <w:lang w:val="en-US"/>
        </w:rPr>
        <w:t>(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p>
      </m:oMath>
      <w:r w:rsidR="0095671C" w:rsidRPr="005104C0">
        <w:rPr>
          <w:lang w:val="en-US"/>
        </w:rPr>
        <w:t>), a</w:t>
      </w:r>
      <w:r w:rsidRPr="005104C0">
        <w:rPr>
          <w:lang w:val="en-US"/>
        </w:rPr>
        <w:t>dditive-by-additive epistasis</w:t>
      </w:r>
      <w:r w:rsidR="0095671C" w:rsidRPr="005104C0">
        <w:rPr>
          <w:lang w:val="en-US"/>
        </w:rPr>
        <w:t xml:space="preserve"> (</w:t>
      </w:r>
      <m:oMath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ep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aa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w:rPr>
            <w:rFonts w:ascii="Cambria Math" w:hAnsi="Cambria Math"/>
            <w:lang w:val="en-US"/>
          </w:rPr>
          <m:t>)</m:t>
        </m:r>
      </m:oMath>
      <w:r w:rsidR="0095671C" w:rsidRPr="005104C0">
        <w:rPr>
          <w:lang w:val="en-US"/>
        </w:rPr>
        <w:t>, and dominance and epistasis</w:t>
      </w:r>
      <w:r w:rsidRPr="005104C0">
        <w:rPr>
          <w:lang w:val="en-US"/>
        </w:rPr>
        <w:t xml:space="preserve"> </w:t>
      </w:r>
      <w:r w:rsidR="00126E03" w:rsidRPr="005104C0">
        <w:rPr>
          <w:lang w:val="en-US"/>
        </w:rPr>
        <w:t>(</w:t>
      </w:r>
      <m:oMath>
        <m:sSup>
          <m:sSupPr>
            <m:ctrlPr>
              <w:rPr>
                <w:rFonts w:ascii="Cambria Math" w:eastAsiaTheme="minorEastAsia" w:hAnsi="Cambria Math"/>
                <w:iCs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epd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2</m:t>
            </m:r>
          </m:sup>
        </m:sSup>
      </m:oMath>
      <w:r w:rsidR="00126E03" w:rsidRPr="005104C0">
        <w:rPr>
          <w:lang w:val="en-US"/>
        </w:rPr>
        <w:t xml:space="preserve">) </w:t>
      </w:r>
      <w:r w:rsidRPr="005104C0">
        <w:rPr>
          <w:lang w:val="en-US"/>
        </w:rPr>
        <w:t>contribution for blood metabolites variability</w:t>
      </w:r>
      <w:bookmarkEnd w:id="9"/>
      <w:r w:rsidRPr="005104C0">
        <w:rPr>
          <w:lang w:val="en-US"/>
        </w:rPr>
        <w:t xml:space="preserve"> estimated as </w:t>
      </w:r>
      <w:r w:rsidR="00EA5EBD">
        <w:rPr>
          <w:lang w:val="en-US"/>
        </w:rPr>
        <w:t xml:space="preserve">a </w:t>
      </w:r>
      <w:r w:rsidRPr="005104C0">
        <w:rPr>
          <w:lang w:val="en-US"/>
        </w:rPr>
        <w:t xml:space="preserve">proportion of total phenotypic variance considered as </w:t>
      </w:r>
      <m:oMath>
        <m:sSup>
          <m:sSupPr>
            <m:ctrlPr>
              <w:rPr>
                <w:rFonts w:ascii="Cambria Math" w:hAnsi="Cambria Math"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lang w:val="en-US"/>
          </w:rPr>
          <m:t>=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/(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 xml:space="preserve">+ 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)</m:t>
        </m:r>
      </m:oMath>
      <w:r w:rsidR="0095671C" w:rsidRPr="005104C0">
        <w:rPr>
          <w:rFonts w:eastAsiaTheme="minorEastAsia"/>
          <w:iCs/>
          <w:lang w:val="en-US"/>
        </w:rPr>
        <w:t xml:space="preserve">, </w:t>
      </w:r>
      <m:oMath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ep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aa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=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/(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 xml:space="preserve">+ 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)</m:t>
        </m:r>
      </m:oMath>
      <w:r w:rsidR="0095671C" w:rsidRPr="005104C0">
        <w:rPr>
          <w:rFonts w:eastAsiaTheme="minorEastAsia"/>
          <w:iCs/>
          <w:lang w:val="en-US"/>
        </w:rPr>
        <w:t xml:space="preserve"> and </w:t>
      </w:r>
      <m:oMath>
        <m:sSup>
          <m:sSupPr>
            <m:ctrlPr>
              <w:rPr>
                <w:rFonts w:ascii="Cambria Math" w:eastAsiaTheme="minorEastAsia" w:hAnsi="Cambria Math"/>
                <w:iCs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epd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lang w:val="en-US"/>
          </w:rPr>
          <m:t>=(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)/(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 xml:space="preserve">+ 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lang w:val="en-US"/>
          </w:rPr>
          <m:t>)</m:t>
        </m:r>
      </m:oMath>
      <w:r w:rsidR="0095671C" w:rsidRPr="005104C0">
        <w:rPr>
          <w:iCs/>
          <w:lang w:val="en-US"/>
        </w:rPr>
        <w:t xml:space="preserve"> </w:t>
      </w:r>
      <w:r w:rsidRPr="005104C0">
        <w:rPr>
          <w:rFonts w:eastAsiaTheme="minorEastAsia"/>
          <w:iCs/>
          <w:lang w:val="en-US"/>
        </w:rPr>
        <w:t>where</w:t>
      </w:r>
      <w:r w:rsidR="00126E03" w:rsidRPr="005104C0">
        <w:rPr>
          <w:rFonts w:eastAsiaTheme="minorEastAsia"/>
          <w:iCs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</m:oMath>
      <w:r w:rsidR="00126E03" w:rsidRPr="005104C0">
        <w:rPr>
          <w:rFonts w:eastAsiaTheme="minorEastAsia"/>
          <w:iCs/>
          <w:lang w:val="en-US"/>
        </w:rPr>
        <w:t xml:space="preserve">, </w:t>
      </w:r>
      <m:oMath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</m:oMath>
      <w:r w:rsidR="00126E03" w:rsidRPr="005104C0">
        <w:rPr>
          <w:rFonts w:eastAsiaTheme="minorEastAsia"/>
          <w:iCs/>
          <w:lang w:val="en-US"/>
        </w:rPr>
        <w:t>,</w:t>
      </w:r>
      <w:r w:rsidRPr="005104C0">
        <w:rPr>
          <w:rFonts w:ascii="Cambria Math" w:eastAsiaTheme="minorEastAsia" w:hAnsi="Cambria Math"/>
          <w:iCs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</m:oMath>
      <w:r w:rsidR="00126E03" w:rsidRPr="005104C0">
        <w:rPr>
          <w:rFonts w:ascii="Cambria Math" w:eastAsiaTheme="minorEastAsia" w:hAnsi="Cambria Math"/>
          <w:iCs/>
          <w:lang w:val="en-US"/>
        </w:rPr>
        <w:t xml:space="preserve"> </w:t>
      </w:r>
      <w:r w:rsidRPr="005104C0">
        <w:rPr>
          <w:rFonts w:ascii="Cambria Math" w:eastAsiaTheme="minorEastAsia" w:hAnsi="Cambria Math"/>
          <w:iCs/>
          <w:lang w:val="en-US"/>
        </w:rPr>
        <w:t xml:space="preserve">and </w:t>
      </w:r>
      <m:oMath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</m:oMath>
      <w:r w:rsidRPr="005104C0">
        <w:rPr>
          <w:rFonts w:eastAsiaTheme="minorEastAsia"/>
          <w:iCs/>
          <w:lang w:val="en-US"/>
        </w:rPr>
        <w:t xml:space="preserve"> represents the </w:t>
      </w:r>
      <w:r w:rsidR="00126E03" w:rsidRPr="005104C0">
        <w:rPr>
          <w:rFonts w:eastAsiaTheme="minorEastAsia"/>
          <w:iCs/>
          <w:lang w:val="en-US"/>
        </w:rPr>
        <w:t xml:space="preserve">additive genetic variance, </w:t>
      </w:r>
      <w:r w:rsidR="004048AA" w:rsidRPr="005104C0">
        <w:rPr>
          <w:iCs/>
          <w:lang w:val="en-US" w:eastAsia="pt-BR"/>
        </w:rPr>
        <w:t xml:space="preserve">dominance variance, </w:t>
      </w:r>
      <w:r w:rsidRPr="005104C0">
        <w:rPr>
          <w:rFonts w:eastAsiaTheme="minorEastAsia"/>
          <w:iCs/>
          <w:lang w:val="en-US"/>
        </w:rPr>
        <w:t>additive-by-additive variance, and residual variance, respectively</w:t>
      </w:r>
      <w:bookmarkEnd w:id="10"/>
      <w:r w:rsidRPr="005104C0">
        <w:rPr>
          <w:rFonts w:eastAsiaTheme="minorEastAsia"/>
          <w:iCs/>
          <w:lang w:val="en-US"/>
        </w:rPr>
        <w:t>.</w:t>
      </w:r>
    </w:p>
    <w:p w14:paraId="043B4C08" w14:textId="77777777" w:rsidR="00D726CE" w:rsidRPr="000B5C3F" w:rsidRDefault="00D726CE" w:rsidP="00D726CE">
      <w:pPr>
        <w:ind w:firstLine="0"/>
        <w:rPr>
          <w:szCs w:val="24"/>
          <w:lang w:val="en-US"/>
        </w:rPr>
        <w:sectPr w:rsidR="00D726CE" w:rsidRPr="000B5C3F" w:rsidSect="00817752">
          <w:type w:val="nextPage"/>
          <w:pgSz w:w="11906" w:h="16838" w:code="9"/>
          <w:pgMar w:top="1417" w:right="1134" w:bottom="1134" w:left="1134" w:header="720" w:footer="720" w:gutter="0"/>
          <w:cols w:space="720"/>
          <w:docGrid w:linePitch="360"/>
        </w:sectPr>
      </w:pPr>
    </w:p>
    <w:p w14:paraId="1EA5B02D" w14:textId="4F7DBF30" w:rsidR="00D726CE" w:rsidRDefault="005D7B19" w:rsidP="00D726CE">
      <w:pPr>
        <w:spacing w:after="160" w:line="259" w:lineRule="auto"/>
        <w:ind w:firstLine="0"/>
      </w:pPr>
      <w:r>
        <w:rPr>
          <w:noProof/>
          <w:lang w:val="en-US"/>
        </w:rPr>
        <w:drawing>
          <wp:inline distT="0" distB="0" distL="0" distR="0" wp14:anchorId="2C86A09F" wp14:editId="5964FD87">
            <wp:extent cx="9000000" cy="459979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459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84CFF" w14:textId="125EF99D" w:rsidR="00D726CE" w:rsidRPr="00D726CE" w:rsidRDefault="00D726CE" w:rsidP="005D7B19">
      <w:pPr>
        <w:spacing w:after="160"/>
        <w:ind w:firstLine="0"/>
        <w:rPr>
          <w:lang w:val="en-US"/>
        </w:rPr>
      </w:pPr>
      <w:r w:rsidRPr="00BD693C">
        <w:rPr>
          <w:b/>
          <w:bCs/>
          <w:lang w:val="en-US"/>
        </w:rPr>
        <w:t>Figure S</w:t>
      </w:r>
      <w:r w:rsidR="002373B1">
        <w:rPr>
          <w:b/>
          <w:bCs/>
          <w:lang w:val="en-US"/>
        </w:rPr>
        <w:t>6</w:t>
      </w:r>
      <w:r>
        <w:rPr>
          <w:lang w:val="en-US"/>
        </w:rPr>
        <w:t xml:space="preserve"> </w:t>
      </w:r>
      <w:bookmarkStart w:id="11" w:name="_Hlk134553454"/>
      <w:r w:rsidRPr="00D726CE">
        <w:rPr>
          <w:lang w:val="en-US"/>
        </w:rPr>
        <w:t>A</w:t>
      </w:r>
      <w:bookmarkStart w:id="12" w:name="_Hlk134553897"/>
      <w:r w:rsidRPr="00D726CE">
        <w:rPr>
          <w:lang w:val="en-US"/>
        </w:rPr>
        <w:t>verage of the relative difference (%) in predictive ability assessed by Pearson (</w:t>
      </w:r>
      <w:r w:rsidR="007B2F86">
        <w:rPr>
          <w:lang w:val="en-US"/>
        </w:rPr>
        <w:t>a</w:t>
      </w:r>
      <w:r w:rsidRPr="00D726CE">
        <w:rPr>
          <w:lang w:val="en-US"/>
        </w:rPr>
        <w:t>) and Spearman (</w:t>
      </w:r>
      <w:r w:rsidR="007B2F86">
        <w:rPr>
          <w:lang w:val="en-US"/>
        </w:rPr>
        <w:t>b</w:t>
      </w:r>
      <w:r w:rsidRPr="00D726CE">
        <w:rPr>
          <w:lang w:val="en-US"/>
        </w:rPr>
        <w:t xml:space="preserve">) correlation across 10-fold random cross-validation for the approaches BayesB, elastic net (EN), Gradient boosting machine (GBM) and stacking ensemble (Stack) against the genomic best linear unbiased prediction (GBLUP), </w:t>
      </w:r>
      <w:bookmarkStart w:id="13" w:name="_Hlk134553861"/>
      <w:r w:rsidRPr="00D726CE">
        <w:rPr>
          <w:lang w:val="en-US"/>
        </w:rPr>
        <w:t xml:space="preserve">for </w:t>
      </w:r>
      <w:r w:rsidR="00FE366C">
        <w:rPr>
          <w:lang w:val="en-US"/>
        </w:rPr>
        <w:t xml:space="preserve">energy-related metabolites and liver </w:t>
      </w:r>
      <w:r w:rsidR="00FE366C" w:rsidRPr="00B56380">
        <w:rPr>
          <w:rFonts w:eastAsia="Calibri"/>
          <w:lang w:val="en-US"/>
        </w:rPr>
        <w:t xml:space="preserve">function/hepatic damage </w:t>
      </w:r>
      <w:r w:rsidRPr="00D726CE">
        <w:rPr>
          <w:lang w:val="en-US"/>
        </w:rPr>
        <w:t>blood metabolites in Holstein cows</w:t>
      </w:r>
      <w:bookmarkEnd w:id="13"/>
      <w:r w:rsidRPr="00D726CE">
        <w:rPr>
          <w:lang w:val="en-US"/>
        </w:rPr>
        <w:t xml:space="preserve">. Data are shown as mean ± SD (black error bar line). 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 xml:space="preserve">NEFA - non-esterified fatty acids; </w:t>
      </w:r>
      <w:r w:rsidRPr="00D726CE">
        <w:rPr>
          <w:lang w:val="en-US"/>
        </w:rPr>
        <w:t xml:space="preserve">BHB - </w:t>
      </w:r>
      <w:r w:rsidRPr="00242B25">
        <w:t>β</w:t>
      </w:r>
      <w:r w:rsidRPr="00D726CE">
        <w:rPr>
          <w:lang w:val="en-US"/>
        </w:rPr>
        <w:t xml:space="preserve">-hydroxybutyric acid; AST - aspartate aminotransferase; GGT - </w:t>
      </w:r>
      <w:r w:rsidRPr="00242B25">
        <w:t>γ</w:t>
      </w:r>
      <w:r w:rsidRPr="00D726CE">
        <w:rPr>
          <w:lang w:val="en-US"/>
        </w:rPr>
        <w:t xml:space="preserve">-glutamyl transferase; 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>BILt - total bilirubin; ALP - alkaline phosphatase</w:t>
      </w:r>
      <w:r w:rsidRPr="00D726CE">
        <w:rPr>
          <w:lang w:val="en-US"/>
        </w:rPr>
        <w:t xml:space="preserve"> and PON – Paraoxonase.</w:t>
      </w:r>
      <w:bookmarkEnd w:id="11"/>
      <w:bookmarkEnd w:id="12"/>
      <w:r w:rsidRPr="00D726CE">
        <w:rPr>
          <w:lang w:val="en-US"/>
        </w:rPr>
        <w:br w:type="page"/>
      </w:r>
    </w:p>
    <w:p w14:paraId="4A0E8B35" w14:textId="17D8D6A0" w:rsidR="00D726CE" w:rsidRDefault="005D7B19" w:rsidP="00D726CE">
      <w:pPr>
        <w:spacing w:after="160"/>
        <w:ind w:firstLine="0"/>
        <w:jc w:val="center"/>
      </w:pPr>
      <w:r>
        <w:rPr>
          <w:noProof/>
          <w:lang w:val="en-US"/>
        </w:rPr>
        <w:drawing>
          <wp:inline distT="0" distB="0" distL="0" distR="0" wp14:anchorId="4682EB21" wp14:editId="1AFC882D">
            <wp:extent cx="9161189" cy="4564380"/>
            <wp:effectExtent l="0" t="0" r="1905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2461" cy="456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BF8E9" w14:textId="36AADBCE" w:rsidR="00D726CE" w:rsidRDefault="00D726CE" w:rsidP="00D726CE">
      <w:pPr>
        <w:ind w:firstLine="0"/>
        <w:rPr>
          <w:rFonts w:cs="Times New Roman"/>
          <w:color w:val="000000" w:themeColor="text1"/>
          <w:szCs w:val="24"/>
          <w:lang w:val="en-US" w:eastAsia="it-IT"/>
        </w:rPr>
        <w:sectPr w:rsidR="00D726CE" w:rsidSect="00817752">
          <w:footerReference w:type="default" r:id="rId13"/>
          <w:type w:val="nextPage"/>
          <w:pgSz w:w="16838" w:h="11906" w:orient="landscape" w:code="9"/>
          <w:pgMar w:top="1134" w:right="1417" w:bottom="1134" w:left="1134" w:header="720" w:footer="720" w:gutter="0"/>
          <w:cols w:space="720"/>
          <w:docGrid w:linePitch="360"/>
        </w:sectPr>
      </w:pPr>
      <w:r w:rsidRPr="00BD693C">
        <w:rPr>
          <w:b/>
          <w:bCs/>
          <w:lang w:val="en-US"/>
        </w:rPr>
        <w:t>Figure S</w:t>
      </w:r>
      <w:r w:rsidR="002373B1">
        <w:rPr>
          <w:b/>
          <w:bCs/>
          <w:lang w:val="en-US"/>
        </w:rPr>
        <w:t>7</w:t>
      </w:r>
      <w:r w:rsidRPr="00D726CE">
        <w:rPr>
          <w:lang w:val="en-US"/>
        </w:rPr>
        <w:t xml:space="preserve"> </w:t>
      </w:r>
      <w:bookmarkStart w:id="14" w:name="_Hlk134553689"/>
      <w:r w:rsidRPr="00D726CE">
        <w:rPr>
          <w:lang w:val="en-US"/>
        </w:rPr>
        <w:t>Average of the relative difference (%) in predictive ability assessed by Pearson (</w:t>
      </w:r>
      <w:r w:rsidR="007B2F86">
        <w:rPr>
          <w:lang w:val="en-US"/>
        </w:rPr>
        <w:t>a</w:t>
      </w:r>
      <w:r w:rsidRPr="00D726CE">
        <w:rPr>
          <w:lang w:val="en-US"/>
        </w:rPr>
        <w:t>) and Spearman (</w:t>
      </w:r>
      <w:r w:rsidR="007B2F86">
        <w:rPr>
          <w:lang w:val="en-US"/>
        </w:rPr>
        <w:t>b</w:t>
      </w:r>
      <w:r w:rsidRPr="00D726CE">
        <w:rPr>
          <w:lang w:val="en-US"/>
        </w:rPr>
        <w:t>) correlation across 10-fold random cross-validation for the approaches BayesB, elastic net (EN</w:t>
      </w:r>
      <w:r w:rsidR="00AB300E">
        <w:rPr>
          <w:lang w:val="en-US"/>
        </w:rPr>
        <w:t>ET</w:t>
      </w:r>
      <w:r w:rsidRPr="00D726CE">
        <w:rPr>
          <w:lang w:val="en-US"/>
        </w:rPr>
        <w:t>), Gradient boosting machine (GBM) and stacking ensemble (Stack) against genomic best linear unbiased prediction (GBLUP</w:t>
      </w:r>
      <w:bookmarkStart w:id="15" w:name="_Hlk134553963"/>
      <w:r w:rsidRPr="00D726CE">
        <w:rPr>
          <w:lang w:val="en-US"/>
        </w:rPr>
        <w:t xml:space="preserve">), for </w:t>
      </w:r>
      <w:r w:rsidR="00FE366C">
        <w:rPr>
          <w:lang w:val="en-US"/>
        </w:rPr>
        <w:t xml:space="preserve">oxidative stress and inflammation/innate immunity response </w:t>
      </w:r>
      <w:r w:rsidRPr="00D726CE">
        <w:rPr>
          <w:lang w:val="en-US"/>
        </w:rPr>
        <w:t>blood metabolites in Holstein cows</w:t>
      </w:r>
      <w:bookmarkEnd w:id="15"/>
      <w:r w:rsidRPr="00D726CE">
        <w:rPr>
          <w:lang w:val="en-US"/>
        </w:rPr>
        <w:t xml:space="preserve">. Data are shown as mean ± SD (black error bar line). </w:t>
      </w:r>
      <w:r w:rsidRPr="00D726CE">
        <w:rPr>
          <w:rFonts w:cs="Times New Roman"/>
          <w:color w:val="000000" w:themeColor="text1"/>
          <w:szCs w:val="24"/>
          <w:lang w:val="en-US" w:eastAsia="it-IT"/>
        </w:rPr>
        <w:t>ROMt - total reactive oxygen metabolites; AOPP - advanced oxidation protein products; FRAP - ferric reducing antioxidant power; SHp - thiol groups; PROT - total proteins.</w:t>
      </w:r>
      <w:bookmarkEnd w:id="14"/>
    </w:p>
    <w:p w14:paraId="167778EE" w14:textId="65635921" w:rsidR="002B3C49" w:rsidRPr="007B2F86" w:rsidRDefault="005D7B19" w:rsidP="002B3C49">
      <w:pPr>
        <w:spacing w:after="160" w:line="259" w:lineRule="auto"/>
        <w:ind w:firstLine="0"/>
        <w:jc w:val="center"/>
        <w:rPr>
          <w:b/>
          <w:bCs/>
        </w:rPr>
      </w:pPr>
      <w:r>
        <w:rPr>
          <w:noProof/>
          <w:lang w:val="en-US"/>
        </w:rPr>
        <w:drawing>
          <wp:inline distT="0" distB="0" distL="0" distR="0" wp14:anchorId="003E90AF" wp14:editId="15344128">
            <wp:extent cx="5579256" cy="535686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548" cy="536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6F591" w14:textId="690B8D99" w:rsidR="002B3C49" w:rsidRPr="002B3C49" w:rsidRDefault="002B3C49" w:rsidP="002B3C49">
      <w:pPr>
        <w:spacing w:after="160"/>
        <w:ind w:firstLine="0"/>
        <w:rPr>
          <w:lang w:val="en-US"/>
        </w:rPr>
      </w:pPr>
      <w:r w:rsidRPr="002B3C49">
        <w:rPr>
          <w:lang w:val="en-US"/>
        </w:rPr>
        <w:t xml:space="preserve"> </w:t>
      </w:r>
      <w:r w:rsidRPr="00153B06">
        <w:rPr>
          <w:b/>
          <w:bCs/>
          <w:lang w:val="en-US"/>
        </w:rPr>
        <w:t>Figure S</w:t>
      </w:r>
      <w:r w:rsidR="002373B1">
        <w:rPr>
          <w:b/>
          <w:bCs/>
          <w:lang w:val="en-US"/>
        </w:rPr>
        <w:t>8</w:t>
      </w:r>
      <w:r w:rsidRPr="002B3C49">
        <w:rPr>
          <w:lang w:val="en-US"/>
        </w:rPr>
        <w:t xml:space="preserve"> </w:t>
      </w:r>
      <w:bookmarkStart w:id="16" w:name="_Hlk134554016"/>
      <w:r w:rsidRPr="002B3C49">
        <w:rPr>
          <w:lang w:val="en-US"/>
        </w:rPr>
        <w:t>Average of the relative difference (%) in predictive ability assessed by Pearson (A) and Spearman (B) correlation across 10-fold random cross-validation for the approaches BayesB, elastic net (EN</w:t>
      </w:r>
      <w:r w:rsidR="00AB300E">
        <w:rPr>
          <w:lang w:val="en-US"/>
        </w:rPr>
        <w:t>ET</w:t>
      </w:r>
      <w:r w:rsidRPr="002B3C49">
        <w:rPr>
          <w:lang w:val="en-US"/>
        </w:rPr>
        <w:t>), Gradient boosting machine (GBM) and stacking ensemble (Stack) against genomic best linear unbiased prediction (GBLUP), for blood minerals in Holstein cows.</w:t>
      </w:r>
    </w:p>
    <w:bookmarkEnd w:id="16"/>
    <w:p w14:paraId="558A926F" w14:textId="77777777" w:rsidR="002B3C49" w:rsidRPr="002B3C49" w:rsidRDefault="002B3C49">
      <w:pPr>
        <w:spacing w:after="160" w:line="259" w:lineRule="auto"/>
        <w:ind w:firstLine="0"/>
        <w:jc w:val="left"/>
        <w:rPr>
          <w:b/>
          <w:bCs/>
          <w:sz w:val="22"/>
          <w:lang w:val="en-US"/>
        </w:rPr>
      </w:pPr>
      <w:r w:rsidRPr="002B3C49">
        <w:rPr>
          <w:b/>
          <w:bCs/>
          <w:sz w:val="22"/>
          <w:lang w:val="en-US"/>
        </w:rPr>
        <w:br w:type="page"/>
      </w:r>
    </w:p>
    <w:p w14:paraId="007BCB50" w14:textId="71654810" w:rsidR="00D726CE" w:rsidRDefault="00D726CE" w:rsidP="00D726CE">
      <w:pPr>
        <w:spacing w:after="0" w:line="480" w:lineRule="auto"/>
        <w:ind w:firstLine="0"/>
        <w:rPr>
          <w:b/>
          <w:bCs/>
          <w:sz w:val="22"/>
        </w:rPr>
      </w:pPr>
      <w:r>
        <w:rPr>
          <w:noProof/>
          <w:lang w:val="en-US"/>
        </w:rPr>
        <w:drawing>
          <wp:inline distT="0" distB="0" distL="0" distR="0" wp14:anchorId="59E02092" wp14:editId="064E6050">
            <wp:extent cx="6332220" cy="35363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53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37A1B" w14:textId="0699DDA6" w:rsidR="00060E30" w:rsidRDefault="00D726CE" w:rsidP="00D726CE">
      <w:pPr>
        <w:spacing w:after="160" w:line="480" w:lineRule="auto"/>
        <w:ind w:firstLine="0"/>
        <w:rPr>
          <w:noProof/>
          <w:lang w:val="en-US"/>
        </w:rPr>
      </w:pPr>
      <w:r w:rsidRPr="00153B06">
        <w:rPr>
          <w:b/>
          <w:bCs/>
          <w:noProof/>
          <w:lang w:val="en-US"/>
        </w:rPr>
        <w:t xml:space="preserve">Figure </w:t>
      </w:r>
      <w:r w:rsidRPr="00153B06">
        <w:rPr>
          <w:b/>
          <w:bCs/>
          <w:lang w:val="en-US"/>
        </w:rPr>
        <w:t>S</w:t>
      </w:r>
      <w:r w:rsidR="002373B1">
        <w:rPr>
          <w:b/>
          <w:bCs/>
          <w:lang w:val="en-US"/>
        </w:rPr>
        <w:t>9</w:t>
      </w:r>
      <w:r w:rsidRPr="00D726CE">
        <w:rPr>
          <w:lang w:val="en-US"/>
        </w:rPr>
        <w:t xml:space="preserve"> </w:t>
      </w:r>
      <w:r w:rsidRPr="00D726CE">
        <w:rPr>
          <w:noProof/>
          <w:lang w:val="en-US"/>
        </w:rPr>
        <w:t>Ward’s hierarchical clustering of models based on</w:t>
      </w:r>
      <w:r w:rsidR="00153B06">
        <w:rPr>
          <w:noProof/>
          <w:lang w:val="en-US"/>
        </w:rPr>
        <w:t xml:space="preserve"> </w:t>
      </w:r>
      <w:r w:rsidRPr="00D726CE">
        <w:rPr>
          <w:noProof/>
          <w:lang w:val="en-US"/>
        </w:rPr>
        <w:t>slope values for each model across all trait combinations.</w:t>
      </w:r>
    </w:p>
    <w:bookmarkEnd w:id="0"/>
    <w:p w14:paraId="4A07420A" w14:textId="6E53304E" w:rsidR="00660F69" w:rsidRPr="00D726CE" w:rsidRDefault="00660F69" w:rsidP="00DB28C8">
      <w:pPr>
        <w:spacing w:after="160" w:line="259" w:lineRule="auto"/>
        <w:ind w:firstLine="0"/>
        <w:jc w:val="left"/>
        <w:rPr>
          <w:szCs w:val="24"/>
          <w:lang w:val="en-US"/>
        </w:rPr>
      </w:pPr>
    </w:p>
    <w:sectPr w:rsidR="00660F69" w:rsidRPr="00D726CE" w:rsidSect="00817752">
      <w:footerReference w:type="default" r:id="rId16"/>
      <w:type w:val="nextPage"/>
      <w:pgSz w:w="11906" w:h="16838" w:code="9"/>
      <w:pgMar w:top="1134" w:right="1134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4EB59B" w14:textId="77777777" w:rsidR="00A164E3" w:rsidRDefault="00A164E3" w:rsidP="006D228D">
      <w:pPr>
        <w:spacing w:after="0" w:line="240" w:lineRule="auto"/>
      </w:pPr>
      <w:r>
        <w:separator/>
      </w:r>
    </w:p>
  </w:endnote>
  <w:endnote w:type="continuationSeparator" w:id="0">
    <w:p w14:paraId="3E58B906" w14:textId="77777777" w:rsidR="00A164E3" w:rsidRDefault="00A164E3" w:rsidP="006D2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1F1AC" w14:textId="77777777" w:rsidR="00D726CE" w:rsidRDefault="00D726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9E677" w14:textId="77777777" w:rsidR="00D726CE" w:rsidRDefault="00D726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CFA87" w14:textId="77777777" w:rsidR="00A164E3" w:rsidRDefault="00A164E3" w:rsidP="006D228D">
      <w:pPr>
        <w:spacing w:after="0" w:line="240" w:lineRule="auto"/>
      </w:pPr>
      <w:r>
        <w:separator/>
      </w:r>
    </w:p>
  </w:footnote>
  <w:footnote w:type="continuationSeparator" w:id="0">
    <w:p w14:paraId="3C37F629" w14:textId="77777777" w:rsidR="00A164E3" w:rsidRDefault="00A164E3" w:rsidP="006D22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ytjQwMDQyNLWwNDRT0lEKTi0uzszPAykwMqkFAL5N/hItAAAA"/>
  </w:docVars>
  <w:rsids>
    <w:rsidRoot w:val="006D228D"/>
    <w:rsid w:val="00001AE7"/>
    <w:rsid w:val="0001366A"/>
    <w:rsid w:val="00036C27"/>
    <w:rsid w:val="000376D8"/>
    <w:rsid w:val="00043186"/>
    <w:rsid w:val="00060E30"/>
    <w:rsid w:val="00085A3A"/>
    <w:rsid w:val="000A25B2"/>
    <w:rsid w:val="000B5C3F"/>
    <w:rsid w:val="001008C0"/>
    <w:rsid w:val="00112603"/>
    <w:rsid w:val="00126E03"/>
    <w:rsid w:val="00127001"/>
    <w:rsid w:val="0014053C"/>
    <w:rsid w:val="00153B06"/>
    <w:rsid w:val="001846EC"/>
    <w:rsid w:val="001F139A"/>
    <w:rsid w:val="001F6F57"/>
    <w:rsid w:val="002246ED"/>
    <w:rsid w:val="002373B1"/>
    <w:rsid w:val="00261E04"/>
    <w:rsid w:val="00264DEA"/>
    <w:rsid w:val="002A499F"/>
    <w:rsid w:val="002B3C49"/>
    <w:rsid w:val="002C12CC"/>
    <w:rsid w:val="002C7A0A"/>
    <w:rsid w:val="003006A8"/>
    <w:rsid w:val="00387625"/>
    <w:rsid w:val="00397B93"/>
    <w:rsid w:val="003A14B7"/>
    <w:rsid w:val="003A3511"/>
    <w:rsid w:val="003A588A"/>
    <w:rsid w:val="004048AA"/>
    <w:rsid w:val="00407805"/>
    <w:rsid w:val="0041235D"/>
    <w:rsid w:val="0041585A"/>
    <w:rsid w:val="00431AE6"/>
    <w:rsid w:val="004331C1"/>
    <w:rsid w:val="00467B05"/>
    <w:rsid w:val="004831B5"/>
    <w:rsid w:val="004923AC"/>
    <w:rsid w:val="00497E3D"/>
    <w:rsid w:val="004D114A"/>
    <w:rsid w:val="004D274D"/>
    <w:rsid w:val="004E15D8"/>
    <w:rsid w:val="004E3DB9"/>
    <w:rsid w:val="005039E2"/>
    <w:rsid w:val="005076F5"/>
    <w:rsid w:val="00507861"/>
    <w:rsid w:val="005104C0"/>
    <w:rsid w:val="0053393C"/>
    <w:rsid w:val="005571A2"/>
    <w:rsid w:val="00564772"/>
    <w:rsid w:val="00587DD9"/>
    <w:rsid w:val="005C7FF9"/>
    <w:rsid w:val="005D7B19"/>
    <w:rsid w:val="00603E2A"/>
    <w:rsid w:val="0061325E"/>
    <w:rsid w:val="00625D60"/>
    <w:rsid w:val="00643310"/>
    <w:rsid w:val="00660F69"/>
    <w:rsid w:val="006645B2"/>
    <w:rsid w:val="00665898"/>
    <w:rsid w:val="00686698"/>
    <w:rsid w:val="006A2628"/>
    <w:rsid w:val="006D228D"/>
    <w:rsid w:val="007061F8"/>
    <w:rsid w:val="00730881"/>
    <w:rsid w:val="007311F7"/>
    <w:rsid w:val="00741E0A"/>
    <w:rsid w:val="007B2F86"/>
    <w:rsid w:val="00801BE3"/>
    <w:rsid w:val="008073AF"/>
    <w:rsid w:val="00811040"/>
    <w:rsid w:val="00817752"/>
    <w:rsid w:val="00842EA5"/>
    <w:rsid w:val="008644D5"/>
    <w:rsid w:val="008A40BD"/>
    <w:rsid w:val="008B43CF"/>
    <w:rsid w:val="00936191"/>
    <w:rsid w:val="00951F2F"/>
    <w:rsid w:val="00953C2C"/>
    <w:rsid w:val="0095671C"/>
    <w:rsid w:val="0098681B"/>
    <w:rsid w:val="009915B8"/>
    <w:rsid w:val="009B6DA1"/>
    <w:rsid w:val="009C1FEF"/>
    <w:rsid w:val="00A056D6"/>
    <w:rsid w:val="00A1138E"/>
    <w:rsid w:val="00A154C3"/>
    <w:rsid w:val="00A164E3"/>
    <w:rsid w:val="00A5761C"/>
    <w:rsid w:val="00A74713"/>
    <w:rsid w:val="00A820E4"/>
    <w:rsid w:val="00AA5B2C"/>
    <w:rsid w:val="00AB300E"/>
    <w:rsid w:val="00AB5E69"/>
    <w:rsid w:val="00AC72AB"/>
    <w:rsid w:val="00B4421C"/>
    <w:rsid w:val="00B544B2"/>
    <w:rsid w:val="00B5688D"/>
    <w:rsid w:val="00B63E90"/>
    <w:rsid w:val="00B80966"/>
    <w:rsid w:val="00B849E2"/>
    <w:rsid w:val="00BB7138"/>
    <w:rsid w:val="00BD693C"/>
    <w:rsid w:val="00BF5E5A"/>
    <w:rsid w:val="00C02FB2"/>
    <w:rsid w:val="00C77CC2"/>
    <w:rsid w:val="00C80C74"/>
    <w:rsid w:val="00C82151"/>
    <w:rsid w:val="00CC413D"/>
    <w:rsid w:val="00D3594D"/>
    <w:rsid w:val="00D56CFB"/>
    <w:rsid w:val="00D60718"/>
    <w:rsid w:val="00D62BFE"/>
    <w:rsid w:val="00D726CE"/>
    <w:rsid w:val="00D76FBE"/>
    <w:rsid w:val="00D94B88"/>
    <w:rsid w:val="00D95803"/>
    <w:rsid w:val="00D97CA9"/>
    <w:rsid w:val="00DA3872"/>
    <w:rsid w:val="00DB28C8"/>
    <w:rsid w:val="00DB39D7"/>
    <w:rsid w:val="00DE2DB3"/>
    <w:rsid w:val="00DF30CA"/>
    <w:rsid w:val="00E1190C"/>
    <w:rsid w:val="00E16B3E"/>
    <w:rsid w:val="00E237D2"/>
    <w:rsid w:val="00E366A6"/>
    <w:rsid w:val="00E67D35"/>
    <w:rsid w:val="00EA2E01"/>
    <w:rsid w:val="00EA5EBD"/>
    <w:rsid w:val="00EC1835"/>
    <w:rsid w:val="00F0479D"/>
    <w:rsid w:val="00F32151"/>
    <w:rsid w:val="00FB164E"/>
    <w:rsid w:val="00FC5F21"/>
    <w:rsid w:val="00FE366C"/>
    <w:rsid w:val="00FE4088"/>
    <w:rsid w:val="00FF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CBB3BA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F69"/>
    <w:pPr>
      <w:spacing w:after="120" w:line="360" w:lineRule="auto"/>
      <w:ind w:firstLine="706"/>
      <w:jc w:val="both"/>
    </w:pPr>
    <w:rPr>
      <w:rFonts w:ascii="Times New Roman" w:hAnsi="Times New Roman"/>
      <w:sz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28D"/>
    <w:pPr>
      <w:keepNext/>
      <w:keepLines/>
      <w:ind w:firstLine="709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3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28D"/>
    <w:rPr>
      <w:rFonts w:ascii="Times New Roman" w:eastAsiaTheme="majorEastAsia" w:hAnsi="Times New Roman" w:cstheme="majorBidi"/>
      <w:b/>
      <w:sz w:val="24"/>
      <w:szCs w:val="32"/>
      <w:lang w:val="pt-BR"/>
    </w:rPr>
  </w:style>
  <w:style w:type="paragraph" w:styleId="Footer">
    <w:name w:val="footer"/>
    <w:basedOn w:val="Normal"/>
    <w:link w:val="FooterChar"/>
    <w:uiPriority w:val="99"/>
    <w:unhideWhenUsed/>
    <w:rsid w:val="006D22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28D"/>
    <w:rPr>
      <w:rFonts w:ascii="Times New Roman" w:hAnsi="Times New Roman"/>
      <w:sz w:val="24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6D228D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28D"/>
    <w:rPr>
      <w:rFonts w:ascii="Times New Roman" w:hAnsi="Times New Roman"/>
      <w:sz w:val="24"/>
      <w:lang w:val="pt-BR"/>
    </w:rPr>
  </w:style>
  <w:style w:type="character" w:styleId="Hyperlink">
    <w:name w:val="Hyperlink"/>
    <w:basedOn w:val="DefaultParagraphFont"/>
    <w:uiPriority w:val="99"/>
    <w:unhideWhenUsed/>
    <w:rsid w:val="006D228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3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BR"/>
    </w:rPr>
  </w:style>
  <w:style w:type="paragraph" w:styleId="NoSpacing">
    <w:name w:val="No Spacing"/>
    <w:uiPriority w:val="1"/>
    <w:qFormat/>
    <w:rsid w:val="00587DD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  <w:lang w:val="da-DK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A1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4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9.tiff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2024-03-11T13:27:00Z</dcterms:created>
  <dcterms:modified xsi:type="dcterms:W3CDTF">2024-04-15T15:50:00Z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870bd7c3462f1c77ee37db01131f118f71cafac24aa2d5b9738586e051daf4f3</vt:lpwstr>
  </property>
</Properties>
</file>