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25FDD" w:rsidRPr="00980DD2" w:rsidRDefault="00F25FDD" w:rsidP="00F25FDD">
      <w:pPr>
        <w:tabs>
          <w:tab w:val="left" w:pos="1244"/>
        </w:tabs>
        <w:jc w:val="both"/>
        <w:rPr>
          <w:rFonts w:ascii="Times New Roman" w:hAnsi="Times New Roman" w:cs="Times New Roman"/>
        </w:rPr>
      </w:pPr>
      <w:r w:rsidRPr="00980DD2">
        <w:rPr>
          <w:rFonts w:ascii="Times New Roman" w:hAnsi="Times New Roman" w:cs="Times New Roman"/>
          <w:b/>
          <w:bCs/>
        </w:rPr>
        <w:t xml:space="preserve">Table S1 Genetic parameter </w:t>
      </w:r>
      <w:r w:rsidRPr="00980DD2">
        <w:rPr>
          <w:rStyle w:val="Strong"/>
          <w:rFonts w:ascii="Times New Roman" w:hAnsi="Times New Roman" w:cs="Times New Roman"/>
        </w:rPr>
        <w:t>estimates between daily feed intake (DFI) and other traits analyzed using an animal model.</w:t>
      </w:r>
      <w:r>
        <w:rPr>
          <w:rStyle w:val="Strong"/>
          <w:rFonts w:ascii="Times New Roman" w:hAnsi="Times New Roman" w:cs="Times New Roman"/>
          <w:bCs w:val="0"/>
        </w:rPr>
        <w:t xml:space="preserve"> </w:t>
      </w:r>
      <w:r w:rsidRPr="00980DD2">
        <w:rPr>
          <w:rFonts w:ascii="Times New Roman" w:hAnsi="Times New Roman" w:cs="Times New Roman"/>
          <w:b/>
          <w:bCs/>
        </w:rPr>
        <w:t>DFI is denoted by subscript 1 and the other traits use the subscript 2 in each analysis</w:t>
      </w:r>
      <w:r w:rsidRPr="00980DD2">
        <w:rPr>
          <w:rFonts w:ascii="Times New Roman" w:hAnsi="Times New Roman" w:cs="Times New Roman"/>
        </w:rPr>
        <w:t>.</w:t>
      </w:r>
    </w:p>
    <w:p w:rsidR="00F25FDD" w:rsidRPr="00980DD2" w:rsidRDefault="00F25FDD" w:rsidP="00F25FDD">
      <w:pPr>
        <w:tabs>
          <w:tab w:val="left" w:pos="1244"/>
        </w:tabs>
        <w:rPr>
          <w:rFonts w:ascii="Times New Roman" w:hAnsi="Times New Roman" w:cs="Times New Roman"/>
        </w:rPr>
      </w:pPr>
    </w:p>
    <w:p w:rsidR="00F25FDD" w:rsidRPr="00980DD2" w:rsidRDefault="00F25FDD" w:rsidP="00F25FDD">
      <w:pPr>
        <w:tabs>
          <w:tab w:val="left" w:pos="1244"/>
        </w:tabs>
        <w:rPr>
          <w:rFonts w:ascii="Times New Roman" w:hAnsi="Times New Roman" w:cs="Times New Roman"/>
        </w:rPr>
      </w:pPr>
    </w:p>
    <w:tbl>
      <w:tblPr>
        <w:tblStyle w:val="TableGrid"/>
        <w:tblW w:w="1162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20" w:firstRow="1" w:lastRow="0" w:firstColumn="0" w:lastColumn="0" w:noHBand="0" w:noVBand="1"/>
      </w:tblPr>
      <w:tblGrid>
        <w:gridCol w:w="895"/>
        <w:gridCol w:w="938"/>
        <w:gridCol w:w="987"/>
        <w:gridCol w:w="983"/>
        <w:gridCol w:w="923"/>
        <w:gridCol w:w="945"/>
        <w:gridCol w:w="1011"/>
        <w:gridCol w:w="964"/>
        <w:gridCol w:w="876"/>
        <w:gridCol w:w="1684"/>
        <w:gridCol w:w="1418"/>
      </w:tblGrid>
      <w:tr w:rsidR="00F25FDD" w:rsidRPr="00980DD2" w:rsidTr="001B597A">
        <w:trPr>
          <w:trHeight w:val="26"/>
        </w:trPr>
        <w:tc>
          <w:tcPr>
            <w:tcW w:w="895" w:type="dxa"/>
            <w:tcBorders>
              <w:bottom w:val="single" w:sz="4" w:space="0" w:color="auto"/>
            </w:tcBorders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  <w:b/>
                <w:bCs/>
              </w:rPr>
              <w:t>Traits</w:t>
            </w:r>
          </w:p>
        </w:tc>
        <w:tc>
          <w:tcPr>
            <w:tcW w:w="938" w:type="dxa"/>
            <w:tcBorders>
              <w:bottom w:val="single" w:sz="4" w:space="0" w:color="auto"/>
            </w:tcBorders>
            <w:hideMark/>
          </w:tcPr>
          <w:p w:rsidR="00F25FDD" w:rsidRPr="00980DD2" w:rsidRDefault="00000000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m:oMathPara>
              <m:oMathParaPr>
                <m:jc m:val="centerGroup"/>
              </m:oMathParaPr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iCs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σ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</m:sub>
                    </m:sSub>
                  </m:sub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987" w:type="dxa"/>
            <w:tcBorders>
              <w:bottom w:val="single" w:sz="4" w:space="0" w:color="auto"/>
            </w:tcBorders>
            <w:hideMark/>
          </w:tcPr>
          <w:p w:rsidR="00F25FDD" w:rsidRPr="00980DD2" w:rsidRDefault="00000000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m:oMathPara>
              <m:oMathParaPr>
                <m:jc m:val="centerGroup"/>
              </m:oMathParaPr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iCs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σ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sub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983" w:type="dxa"/>
            <w:tcBorders>
              <w:bottom w:val="single" w:sz="4" w:space="0" w:color="auto"/>
            </w:tcBorders>
            <w:hideMark/>
          </w:tcPr>
          <w:p w:rsidR="00F25FDD" w:rsidRPr="00980DD2" w:rsidRDefault="00000000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m:oMathPara>
              <m:oMathParaPr>
                <m:jc m:val="centerGroup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σ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sub>
                </m:sSub>
              </m:oMath>
            </m:oMathPara>
          </w:p>
        </w:tc>
        <w:tc>
          <w:tcPr>
            <w:tcW w:w="923" w:type="dxa"/>
            <w:tcBorders>
              <w:bottom w:val="single" w:sz="4" w:space="0" w:color="auto"/>
            </w:tcBorders>
            <w:hideMark/>
          </w:tcPr>
          <w:p w:rsidR="00F25FDD" w:rsidRPr="00980DD2" w:rsidRDefault="00000000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m:oMathPara>
              <m:oMathParaPr>
                <m:jc m:val="centerGroup"/>
              </m:oMathParaPr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iCs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σ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pe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</m:sub>
                    </m:sSub>
                  </m:sub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945" w:type="dxa"/>
            <w:tcBorders>
              <w:bottom w:val="single" w:sz="4" w:space="0" w:color="auto"/>
            </w:tcBorders>
            <w:hideMark/>
          </w:tcPr>
          <w:p w:rsidR="00F25FDD" w:rsidRPr="00980DD2" w:rsidRDefault="00000000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m:oMathPara>
              <m:oMathParaPr>
                <m:jc m:val="centerGroup"/>
              </m:oMathParaPr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iCs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σ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pe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sub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011" w:type="dxa"/>
            <w:tcBorders>
              <w:bottom w:val="single" w:sz="4" w:space="0" w:color="auto"/>
            </w:tcBorders>
            <w:hideMark/>
          </w:tcPr>
          <w:p w:rsidR="00F25FDD" w:rsidRPr="00980DD2" w:rsidRDefault="00000000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m:oMathPara>
              <m:oMathParaPr>
                <m:jc m:val="centerGroup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σ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pe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pe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sub>
                </m:sSub>
              </m:oMath>
            </m:oMathPara>
          </w:p>
        </w:tc>
        <w:tc>
          <w:tcPr>
            <w:tcW w:w="964" w:type="dxa"/>
            <w:tcBorders>
              <w:bottom w:val="single" w:sz="4" w:space="0" w:color="auto"/>
            </w:tcBorders>
            <w:hideMark/>
          </w:tcPr>
          <w:p w:rsidR="00F25FDD" w:rsidRPr="00980DD2" w:rsidRDefault="00000000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m:oMathPara>
              <m:oMathParaPr>
                <m:jc m:val="centerGroup"/>
              </m:oMathParaPr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iCs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σ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e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1</m:t>
                        </m:r>
                      </m:sub>
                    </m:sSub>
                  </m:sub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76" w:type="dxa"/>
            <w:tcBorders>
              <w:bottom w:val="single" w:sz="4" w:space="0" w:color="auto"/>
            </w:tcBorders>
            <w:hideMark/>
          </w:tcPr>
          <w:p w:rsidR="00F25FDD" w:rsidRPr="00980DD2" w:rsidRDefault="00000000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m:oMathPara>
              <m:oMathParaPr>
                <m:jc m:val="centerGroup"/>
              </m:oMathParaPr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iCs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σ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e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sub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684" w:type="dxa"/>
            <w:tcBorders>
              <w:bottom w:val="single" w:sz="4" w:space="0" w:color="auto"/>
            </w:tcBorders>
            <w:hideMark/>
          </w:tcPr>
          <w:p w:rsidR="00F25FDD" w:rsidRPr="00980DD2" w:rsidRDefault="00000000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m:oMathPara>
              <m:oMathParaPr>
                <m:jc m:val="centerGroup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r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sub>
                </m:sSub>
              </m:oMath>
            </m:oMathPara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eastAsia="Calibri" w:hAnsi="Times New Roman" w:cs="Times New Roman"/>
                <w:iCs/>
              </w:rPr>
            </w:pPr>
            <w:r w:rsidRPr="00980DD2">
              <w:rPr>
                <w:rFonts w:ascii="Times New Roman" w:eastAsia="Calibri" w:hAnsi="Times New Roman" w:cs="Times New Roman"/>
                <w:iCs/>
              </w:rPr>
              <w:t>h</w:t>
            </w:r>
            <w:r w:rsidRPr="00980DD2">
              <w:rPr>
                <w:rFonts w:ascii="Times New Roman" w:eastAsia="Calibri" w:hAnsi="Times New Roman" w:cs="Times New Roman"/>
                <w:iCs/>
                <w:vertAlign w:val="superscript"/>
              </w:rPr>
              <w:t>2</w:t>
            </w:r>
          </w:p>
        </w:tc>
      </w:tr>
      <w:tr w:rsidR="00F25FDD" w:rsidRPr="00980DD2" w:rsidTr="001B597A">
        <w:trPr>
          <w:trHeight w:val="26"/>
        </w:trPr>
        <w:tc>
          <w:tcPr>
            <w:tcW w:w="895" w:type="dxa"/>
            <w:tcBorders>
              <w:top w:val="single" w:sz="4" w:space="0" w:color="auto"/>
            </w:tcBorders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938" w:type="dxa"/>
            <w:tcBorders>
              <w:top w:val="single" w:sz="4" w:space="0" w:color="auto"/>
            </w:tcBorders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0.032</w:t>
            </w:r>
          </w:p>
        </w:tc>
        <w:tc>
          <w:tcPr>
            <w:tcW w:w="987" w:type="dxa"/>
            <w:tcBorders>
              <w:top w:val="single" w:sz="4" w:space="0" w:color="auto"/>
            </w:tcBorders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34.687</w:t>
            </w:r>
          </w:p>
        </w:tc>
        <w:tc>
          <w:tcPr>
            <w:tcW w:w="983" w:type="dxa"/>
            <w:tcBorders>
              <w:top w:val="single" w:sz="4" w:space="0" w:color="auto"/>
            </w:tcBorders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-0.868</w:t>
            </w:r>
          </w:p>
        </w:tc>
        <w:tc>
          <w:tcPr>
            <w:tcW w:w="923" w:type="dxa"/>
            <w:tcBorders>
              <w:top w:val="single" w:sz="4" w:space="0" w:color="auto"/>
            </w:tcBorders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0.035</w:t>
            </w:r>
          </w:p>
        </w:tc>
        <w:tc>
          <w:tcPr>
            <w:tcW w:w="945" w:type="dxa"/>
            <w:tcBorders>
              <w:top w:val="single" w:sz="4" w:space="0" w:color="auto"/>
            </w:tcBorders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29.844</w:t>
            </w:r>
          </w:p>
        </w:tc>
        <w:tc>
          <w:tcPr>
            <w:tcW w:w="1011" w:type="dxa"/>
            <w:tcBorders>
              <w:top w:val="single" w:sz="4" w:space="0" w:color="auto"/>
            </w:tcBorders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-1.019</w:t>
            </w:r>
          </w:p>
        </w:tc>
        <w:tc>
          <w:tcPr>
            <w:tcW w:w="964" w:type="dxa"/>
            <w:tcBorders>
              <w:top w:val="single" w:sz="4" w:space="0" w:color="auto"/>
            </w:tcBorders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0.187</w:t>
            </w:r>
          </w:p>
        </w:tc>
        <w:tc>
          <w:tcPr>
            <w:tcW w:w="876" w:type="dxa"/>
            <w:tcBorders>
              <w:top w:val="single" w:sz="4" w:space="0" w:color="auto"/>
            </w:tcBorders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13.030</w:t>
            </w:r>
          </w:p>
        </w:tc>
        <w:tc>
          <w:tcPr>
            <w:tcW w:w="1684" w:type="dxa"/>
            <w:tcBorders>
              <w:top w:val="single" w:sz="4" w:space="0" w:color="auto"/>
            </w:tcBorders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-0.829 ± 0.02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0.447±0.01</w:t>
            </w:r>
          </w:p>
        </w:tc>
      </w:tr>
      <w:tr w:rsidR="00F25FDD" w:rsidRPr="00980DD2" w:rsidTr="001B597A">
        <w:trPr>
          <w:trHeight w:val="26"/>
        </w:trPr>
        <w:tc>
          <w:tcPr>
            <w:tcW w:w="895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BFT</w:t>
            </w:r>
          </w:p>
        </w:tc>
        <w:tc>
          <w:tcPr>
            <w:tcW w:w="938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0.037</w:t>
            </w:r>
          </w:p>
        </w:tc>
        <w:tc>
          <w:tcPr>
            <w:tcW w:w="987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0.482</w:t>
            </w:r>
          </w:p>
        </w:tc>
        <w:tc>
          <w:tcPr>
            <w:tcW w:w="983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0.062</w:t>
            </w:r>
          </w:p>
        </w:tc>
        <w:tc>
          <w:tcPr>
            <w:tcW w:w="923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0.023</w:t>
            </w:r>
          </w:p>
        </w:tc>
        <w:tc>
          <w:tcPr>
            <w:tcW w:w="945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0.119</w:t>
            </w:r>
          </w:p>
        </w:tc>
        <w:tc>
          <w:tcPr>
            <w:tcW w:w="1011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0.008</w:t>
            </w:r>
          </w:p>
        </w:tc>
        <w:tc>
          <w:tcPr>
            <w:tcW w:w="964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0.187</w:t>
            </w:r>
          </w:p>
        </w:tc>
        <w:tc>
          <w:tcPr>
            <w:tcW w:w="876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0.389</w:t>
            </w:r>
          </w:p>
        </w:tc>
        <w:tc>
          <w:tcPr>
            <w:tcW w:w="1684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0.460 ± 0.05</w:t>
            </w:r>
          </w:p>
        </w:tc>
        <w:tc>
          <w:tcPr>
            <w:tcW w:w="1418" w:type="dxa"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0.436±0.01</w:t>
            </w:r>
          </w:p>
        </w:tc>
      </w:tr>
      <w:tr w:rsidR="00F25FDD" w:rsidRPr="00980DD2" w:rsidTr="001B597A">
        <w:trPr>
          <w:trHeight w:val="26"/>
        </w:trPr>
        <w:tc>
          <w:tcPr>
            <w:tcW w:w="895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LMT</w:t>
            </w:r>
          </w:p>
        </w:tc>
        <w:tc>
          <w:tcPr>
            <w:tcW w:w="938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0.031</w:t>
            </w:r>
          </w:p>
        </w:tc>
        <w:tc>
          <w:tcPr>
            <w:tcW w:w="987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10.342</w:t>
            </w:r>
          </w:p>
        </w:tc>
        <w:tc>
          <w:tcPr>
            <w:tcW w:w="983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0.014</w:t>
            </w:r>
          </w:p>
        </w:tc>
        <w:tc>
          <w:tcPr>
            <w:tcW w:w="923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0.026</w:t>
            </w:r>
          </w:p>
        </w:tc>
        <w:tc>
          <w:tcPr>
            <w:tcW w:w="945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6.295</w:t>
            </w:r>
          </w:p>
        </w:tc>
        <w:tc>
          <w:tcPr>
            <w:tcW w:w="1011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-0.001</w:t>
            </w:r>
          </w:p>
        </w:tc>
        <w:tc>
          <w:tcPr>
            <w:tcW w:w="964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0.187</w:t>
            </w:r>
          </w:p>
        </w:tc>
        <w:tc>
          <w:tcPr>
            <w:tcW w:w="876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7.100</w:t>
            </w:r>
          </w:p>
        </w:tc>
        <w:tc>
          <w:tcPr>
            <w:tcW w:w="1684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0.025 ± 0.06</w:t>
            </w:r>
          </w:p>
        </w:tc>
        <w:tc>
          <w:tcPr>
            <w:tcW w:w="1418" w:type="dxa"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0.436±0.01</w:t>
            </w:r>
          </w:p>
        </w:tc>
      </w:tr>
      <w:tr w:rsidR="00F25FDD" w:rsidRPr="00980DD2" w:rsidTr="001B597A">
        <w:trPr>
          <w:trHeight w:val="26"/>
        </w:trPr>
        <w:tc>
          <w:tcPr>
            <w:tcW w:w="895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FCR</w:t>
            </w:r>
          </w:p>
        </w:tc>
        <w:tc>
          <w:tcPr>
            <w:tcW w:w="938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0.042</w:t>
            </w:r>
          </w:p>
        </w:tc>
        <w:tc>
          <w:tcPr>
            <w:tcW w:w="987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0.018</w:t>
            </w:r>
          </w:p>
        </w:tc>
        <w:tc>
          <w:tcPr>
            <w:tcW w:w="983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0.026</w:t>
            </w:r>
          </w:p>
        </w:tc>
        <w:tc>
          <w:tcPr>
            <w:tcW w:w="923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0.024</w:t>
            </w:r>
          </w:p>
        </w:tc>
        <w:tc>
          <w:tcPr>
            <w:tcW w:w="945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0.011</w:t>
            </w:r>
          </w:p>
        </w:tc>
        <w:tc>
          <w:tcPr>
            <w:tcW w:w="1011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0.011</w:t>
            </w:r>
          </w:p>
        </w:tc>
        <w:tc>
          <w:tcPr>
            <w:tcW w:w="964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0.187</w:t>
            </w:r>
          </w:p>
        </w:tc>
        <w:tc>
          <w:tcPr>
            <w:tcW w:w="876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1684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0.930 ± 0.003</w:t>
            </w:r>
          </w:p>
        </w:tc>
        <w:tc>
          <w:tcPr>
            <w:tcW w:w="1418" w:type="dxa"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0.566±0.01</w:t>
            </w:r>
          </w:p>
        </w:tc>
      </w:tr>
      <w:tr w:rsidR="00F25FDD" w:rsidRPr="00980DD2" w:rsidTr="001B597A">
        <w:trPr>
          <w:trHeight w:val="26"/>
        </w:trPr>
        <w:tc>
          <w:tcPr>
            <w:tcW w:w="895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LMP</w:t>
            </w:r>
          </w:p>
        </w:tc>
        <w:tc>
          <w:tcPr>
            <w:tcW w:w="938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0.032</w:t>
            </w:r>
          </w:p>
        </w:tc>
        <w:tc>
          <w:tcPr>
            <w:tcW w:w="987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1.328</w:t>
            </w:r>
          </w:p>
        </w:tc>
        <w:tc>
          <w:tcPr>
            <w:tcW w:w="983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-0.073</w:t>
            </w:r>
          </w:p>
        </w:tc>
        <w:tc>
          <w:tcPr>
            <w:tcW w:w="923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0.025</w:t>
            </w:r>
          </w:p>
        </w:tc>
        <w:tc>
          <w:tcPr>
            <w:tcW w:w="945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0.591</w:t>
            </w:r>
          </w:p>
        </w:tc>
        <w:tc>
          <w:tcPr>
            <w:tcW w:w="1011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-0.048</w:t>
            </w:r>
          </w:p>
        </w:tc>
        <w:tc>
          <w:tcPr>
            <w:tcW w:w="964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0.187</w:t>
            </w:r>
          </w:p>
        </w:tc>
        <w:tc>
          <w:tcPr>
            <w:tcW w:w="876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2.232</w:t>
            </w:r>
          </w:p>
        </w:tc>
        <w:tc>
          <w:tcPr>
            <w:tcW w:w="1684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-0.352 ± 0.07</w:t>
            </w:r>
          </w:p>
        </w:tc>
        <w:tc>
          <w:tcPr>
            <w:tcW w:w="1418" w:type="dxa"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0.320±0.01</w:t>
            </w:r>
          </w:p>
        </w:tc>
      </w:tr>
      <w:tr w:rsidR="00F25FDD" w:rsidRPr="00980DD2" w:rsidTr="001B597A">
        <w:trPr>
          <w:trHeight w:val="26"/>
        </w:trPr>
        <w:tc>
          <w:tcPr>
            <w:tcW w:w="895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PH24</w:t>
            </w:r>
          </w:p>
        </w:tc>
        <w:tc>
          <w:tcPr>
            <w:tcW w:w="938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0.031</w:t>
            </w:r>
          </w:p>
        </w:tc>
        <w:tc>
          <w:tcPr>
            <w:tcW w:w="987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0.006</w:t>
            </w:r>
          </w:p>
        </w:tc>
        <w:tc>
          <w:tcPr>
            <w:tcW w:w="983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923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0.025</w:t>
            </w:r>
          </w:p>
        </w:tc>
        <w:tc>
          <w:tcPr>
            <w:tcW w:w="945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0.0001</w:t>
            </w:r>
          </w:p>
        </w:tc>
        <w:tc>
          <w:tcPr>
            <w:tcW w:w="1011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964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0.187</w:t>
            </w:r>
          </w:p>
        </w:tc>
        <w:tc>
          <w:tcPr>
            <w:tcW w:w="876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0.017</w:t>
            </w:r>
          </w:p>
        </w:tc>
        <w:tc>
          <w:tcPr>
            <w:tcW w:w="1684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0.148 ± 0.08</w:t>
            </w:r>
          </w:p>
        </w:tc>
        <w:tc>
          <w:tcPr>
            <w:tcW w:w="1418" w:type="dxa"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0.264±0.02</w:t>
            </w:r>
          </w:p>
        </w:tc>
      </w:tr>
      <w:tr w:rsidR="00F25FDD" w:rsidRPr="00980DD2" w:rsidTr="001B597A">
        <w:trPr>
          <w:trHeight w:val="26"/>
        </w:trPr>
        <w:tc>
          <w:tcPr>
            <w:tcW w:w="895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DLP</w:t>
            </w:r>
          </w:p>
        </w:tc>
        <w:tc>
          <w:tcPr>
            <w:tcW w:w="938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0.031</w:t>
            </w:r>
          </w:p>
        </w:tc>
        <w:tc>
          <w:tcPr>
            <w:tcW w:w="987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1.143</w:t>
            </w:r>
          </w:p>
        </w:tc>
        <w:tc>
          <w:tcPr>
            <w:tcW w:w="983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-0.041</w:t>
            </w:r>
          </w:p>
        </w:tc>
        <w:tc>
          <w:tcPr>
            <w:tcW w:w="923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0.025</w:t>
            </w:r>
          </w:p>
        </w:tc>
        <w:tc>
          <w:tcPr>
            <w:tcW w:w="945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0.973</w:t>
            </w:r>
          </w:p>
        </w:tc>
        <w:tc>
          <w:tcPr>
            <w:tcW w:w="1011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-0.011</w:t>
            </w:r>
          </w:p>
        </w:tc>
        <w:tc>
          <w:tcPr>
            <w:tcW w:w="964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0.187</w:t>
            </w:r>
          </w:p>
        </w:tc>
        <w:tc>
          <w:tcPr>
            <w:tcW w:w="876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0.873</w:t>
            </w:r>
          </w:p>
        </w:tc>
        <w:tc>
          <w:tcPr>
            <w:tcW w:w="1684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-0.215±0.08</w:t>
            </w:r>
          </w:p>
        </w:tc>
        <w:tc>
          <w:tcPr>
            <w:tcW w:w="1418" w:type="dxa"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0.382±0.01</w:t>
            </w:r>
          </w:p>
        </w:tc>
      </w:tr>
      <w:tr w:rsidR="00F25FDD" w:rsidRPr="00980DD2" w:rsidTr="001B597A">
        <w:trPr>
          <w:trHeight w:val="26"/>
        </w:trPr>
        <w:tc>
          <w:tcPr>
            <w:tcW w:w="895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BHW</w:t>
            </w:r>
          </w:p>
        </w:tc>
        <w:tc>
          <w:tcPr>
            <w:tcW w:w="938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0.032</w:t>
            </w:r>
          </w:p>
        </w:tc>
        <w:tc>
          <w:tcPr>
            <w:tcW w:w="987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0.040</w:t>
            </w:r>
          </w:p>
        </w:tc>
        <w:tc>
          <w:tcPr>
            <w:tcW w:w="983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-0.011</w:t>
            </w:r>
          </w:p>
        </w:tc>
        <w:tc>
          <w:tcPr>
            <w:tcW w:w="923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0.025</w:t>
            </w:r>
          </w:p>
        </w:tc>
        <w:tc>
          <w:tcPr>
            <w:tcW w:w="945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0.009</w:t>
            </w:r>
          </w:p>
        </w:tc>
        <w:tc>
          <w:tcPr>
            <w:tcW w:w="1011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0.005</w:t>
            </w:r>
          </w:p>
        </w:tc>
        <w:tc>
          <w:tcPr>
            <w:tcW w:w="964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0.187</w:t>
            </w:r>
          </w:p>
        </w:tc>
        <w:tc>
          <w:tcPr>
            <w:tcW w:w="876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0.011</w:t>
            </w:r>
          </w:p>
        </w:tc>
        <w:tc>
          <w:tcPr>
            <w:tcW w:w="1684" w:type="dxa"/>
            <w:hideMark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-0.300± 0.10</w:t>
            </w:r>
          </w:p>
        </w:tc>
        <w:tc>
          <w:tcPr>
            <w:tcW w:w="1418" w:type="dxa"/>
          </w:tcPr>
          <w:p w:rsidR="00F25FDD" w:rsidRPr="00980DD2" w:rsidRDefault="00F25FDD" w:rsidP="001B597A">
            <w:pPr>
              <w:tabs>
                <w:tab w:val="left" w:pos="1244"/>
              </w:tabs>
              <w:rPr>
                <w:rFonts w:ascii="Times New Roman" w:hAnsi="Times New Roman" w:cs="Times New Roman"/>
              </w:rPr>
            </w:pPr>
            <w:r w:rsidRPr="00980DD2">
              <w:rPr>
                <w:rFonts w:ascii="Times New Roman" w:hAnsi="Times New Roman" w:cs="Times New Roman"/>
              </w:rPr>
              <w:t>0.261±0.02</w:t>
            </w:r>
          </w:p>
        </w:tc>
      </w:tr>
    </w:tbl>
    <w:p w:rsidR="00F25FDD" w:rsidRPr="00980DD2" w:rsidRDefault="00F25FDD" w:rsidP="00F25FDD">
      <w:pPr>
        <w:tabs>
          <w:tab w:val="left" w:pos="1244"/>
        </w:tabs>
        <w:rPr>
          <w:rFonts w:ascii="Times New Roman" w:hAnsi="Times New Roman" w:cs="Times New Roman"/>
        </w:rPr>
      </w:pPr>
    </w:p>
    <w:p w:rsidR="00F25FDD" w:rsidRPr="00980DD2" w:rsidRDefault="00000000" w:rsidP="00F25FDD">
      <w:pPr>
        <w:tabs>
          <w:tab w:val="left" w:pos="1244"/>
        </w:tabs>
        <w:jc w:val="both"/>
        <w:rPr>
          <w:rFonts w:ascii="Times New Roman" w:hAnsi="Times New Roman" w:cs="Times New Roman"/>
          <w:sz w:val="20"/>
          <w:szCs w:val="20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iCs/>
                <w:sz w:val="20"/>
                <w:szCs w:val="20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σ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a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1</m:t>
                </m:r>
              </m:sub>
            </m:sSub>
          </m:sub>
          <m:sup>
            <m:r>
              <w:rPr>
                <w:rFonts w:ascii="Cambria Math" w:hAnsi="Cambria Math" w:cs="Times New Roman"/>
                <w:sz w:val="20"/>
                <w:szCs w:val="20"/>
              </w:rPr>
              <m:t>2</m:t>
            </m:r>
          </m:sup>
        </m:sSubSup>
      </m:oMath>
      <w:r w:rsidR="00F25FDD" w:rsidRPr="00980DD2">
        <w:rPr>
          <w:rStyle w:val="vlist-s"/>
          <w:rFonts w:ascii="Times New Roman" w:hAnsi="Times New Roman" w:cs="Times New Roman"/>
          <w:sz w:val="20"/>
          <w:szCs w:val="20"/>
        </w:rPr>
        <w:t>:</w:t>
      </w:r>
      <w:r w:rsidR="00F25FDD" w:rsidRPr="00980DD2">
        <w:rPr>
          <w:rFonts w:ascii="Times New Roman" w:hAnsi="Times New Roman" w:cs="Times New Roman"/>
          <w:sz w:val="20"/>
          <w:szCs w:val="20"/>
        </w:rPr>
        <w:t xml:space="preserve"> additive genetic variance of DFI; </w:t>
      </w:r>
      <m:oMath>
        <m:sSubSup>
          <m:sSubSupPr>
            <m:ctrlPr>
              <w:rPr>
                <w:rFonts w:ascii="Cambria Math" w:hAnsi="Cambria Math" w:cs="Times New Roman"/>
                <w:i/>
                <w:iCs/>
                <w:sz w:val="20"/>
                <w:szCs w:val="20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σ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a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2</m:t>
                </m:r>
              </m:sub>
            </m:sSub>
          </m:sub>
          <m:sup>
            <m:r>
              <w:rPr>
                <w:rFonts w:ascii="Cambria Math" w:hAnsi="Cambria Math" w:cs="Times New Roman"/>
                <w:sz w:val="20"/>
                <w:szCs w:val="20"/>
              </w:rPr>
              <m:t>2</m:t>
            </m:r>
          </m:sup>
        </m:sSubSup>
      </m:oMath>
      <w:r w:rsidR="00F25FDD" w:rsidRPr="00980DD2">
        <w:rPr>
          <w:rFonts w:ascii="Times New Roman" w:hAnsi="Times New Roman" w:cs="Times New Roman"/>
          <w:iCs/>
          <w:sz w:val="20"/>
          <w:szCs w:val="20"/>
        </w:rPr>
        <w:t>:</w:t>
      </w:r>
      <w:r w:rsidR="0039188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25FDD" w:rsidRPr="00980DD2">
        <w:rPr>
          <w:rFonts w:ascii="Times New Roman" w:hAnsi="Times New Roman" w:cs="Times New Roman"/>
          <w:sz w:val="20"/>
          <w:szCs w:val="20"/>
        </w:rPr>
        <w:t xml:space="preserve">additive genetic variance of the second trait;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σ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a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a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2</m:t>
                </m:r>
              </m:sub>
            </m:sSub>
          </m:sub>
        </m:sSub>
      </m:oMath>
      <w:r w:rsidR="00F25FDD" w:rsidRPr="00980DD2">
        <w:rPr>
          <w:rFonts w:ascii="Times New Roman" w:hAnsi="Times New Roman" w:cs="Times New Roman"/>
          <w:iCs/>
          <w:sz w:val="20"/>
          <w:szCs w:val="20"/>
        </w:rPr>
        <w:t>:</w:t>
      </w:r>
      <w:r w:rsidR="0039188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25FDD" w:rsidRPr="00980DD2">
        <w:rPr>
          <w:rFonts w:ascii="Times New Roman" w:hAnsi="Times New Roman" w:cs="Times New Roman"/>
          <w:sz w:val="20"/>
          <w:szCs w:val="20"/>
        </w:rPr>
        <w:t xml:space="preserve">covariance between DFI and the second trait; </w:t>
      </w:r>
      <m:oMath>
        <m:sSubSup>
          <m:sSubSupPr>
            <m:ctrlPr>
              <w:rPr>
                <w:rFonts w:ascii="Cambria Math" w:hAnsi="Cambria Math" w:cs="Times New Roman"/>
                <w:i/>
                <w:iCs/>
                <w:sz w:val="20"/>
                <w:szCs w:val="20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σ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pe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1</m:t>
                </m:r>
              </m:sub>
            </m:sSub>
          </m:sub>
          <m:sup>
            <m:r>
              <w:rPr>
                <w:rFonts w:ascii="Cambria Math" w:hAnsi="Cambria Math" w:cs="Times New Roman"/>
                <w:sz w:val="20"/>
                <w:szCs w:val="20"/>
              </w:rPr>
              <m:t>2</m:t>
            </m:r>
          </m:sup>
        </m:sSubSup>
      </m:oMath>
      <w:r w:rsidR="00F25FDD" w:rsidRPr="00980DD2">
        <w:rPr>
          <w:rFonts w:ascii="Times New Roman" w:hAnsi="Times New Roman" w:cs="Times New Roman"/>
          <w:sz w:val="20"/>
          <w:szCs w:val="20"/>
        </w:rPr>
        <w:t xml:space="preserve">: variance of the permanent environmental effects of DFI; </w:t>
      </w:r>
      <m:oMath>
        <m:sSubSup>
          <m:sSubSupPr>
            <m:ctrlPr>
              <w:rPr>
                <w:rFonts w:ascii="Cambria Math" w:hAnsi="Cambria Math" w:cs="Times New Roman"/>
                <w:i/>
                <w:iCs/>
                <w:sz w:val="20"/>
                <w:szCs w:val="20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σ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pe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1</m:t>
                </m:r>
              </m:sub>
            </m:sSub>
          </m:sub>
          <m:sup>
            <m:r>
              <w:rPr>
                <w:rFonts w:ascii="Cambria Math" w:hAnsi="Cambria Math" w:cs="Times New Roman"/>
                <w:sz w:val="20"/>
                <w:szCs w:val="20"/>
              </w:rPr>
              <m:t>2</m:t>
            </m:r>
          </m:sup>
        </m:sSubSup>
      </m:oMath>
      <w:r w:rsidR="00F25FDD" w:rsidRPr="00980DD2">
        <w:rPr>
          <w:rFonts w:ascii="Times New Roman" w:hAnsi="Times New Roman" w:cs="Times New Roman"/>
          <w:iCs/>
          <w:sz w:val="20"/>
          <w:szCs w:val="20"/>
        </w:rPr>
        <w:t>:</w:t>
      </w:r>
      <w:r w:rsidR="0039188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25FDD" w:rsidRPr="00980DD2">
        <w:rPr>
          <w:rFonts w:ascii="Times New Roman" w:hAnsi="Times New Roman" w:cs="Times New Roman"/>
          <w:sz w:val="20"/>
          <w:szCs w:val="20"/>
        </w:rPr>
        <w:t xml:space="preserve">variance of the permanent environmental effects of the second trait; ,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σ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pe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pe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2</m:t>
                </m:r>
              </m:sub>
            </m:sSub>
          </m:sub>
        </m:sSub>
      </m:oMath>
      <w:r w:rsidR="00F25FDD" w:rsidRPr="00980DD2">
        <w:rPr>
          <w:rFonts w:ascii="Times New Roman" w:hAnsi="Times New Roman" w:cs="Times New Roman"/>
          <w:iCs/>
          <w:sz w:val="20"/>
          <w:szCs w:val="20"/>
        </w:rPr>
        <w:t>:</w:t>
      </w:r>
      <w:r w:rsidR="0039188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25FDD" w:rsidRPr="00980DD2">
        <w:rPr>
          <w:rFonts w:ascii="Times New Roman" w:hAnsi="Times New Roman" w:cs="Times New Roman"/>
          <w:sz w:val="20"/>
          <w:szCs w:val="20"/>
        </w:rPr>
        <w:t xml:space="preserve">covariance between the permanent environmental effects of DFI and the second trait; </w:t>
      </w:r>
      <m:oMath>
        <m:sSubSup>
          <m:sSubSupPr>
            <m:ctrlPr>
              <w:rPr>
                <w:rFonts w:ascii="Cambria Math" w:hAnsi="Cambria Math" w:cs="Times New Roman"/>
                <w:i/>
                <w:iCs/>
                <w:sz w:val="20"/>
                <w:szCs w:val="20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σ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e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1</m:t>
                </m:r>
              </m:sub>
            </m:sSub>
          </m:sub>
          <m:sup>
            <m:r>
              <w:rPr>
                <w:rFonts w:ascii="Cambria Math" w:hAnsi="Cambria Math" w:cs="Times New Roman"/>
                <w:sz w:val="20"/>
                <w:szCs w:val="20"/>
              </w:rPr>
              <m:t>2</m:t>
            </m:r>
          </m:sup>
        </m:sSubSup>
      </m:oMath>
      <w:r w:rsidR="00F25FDD" w:rsidRPr="00980DD2">
        <w:rPr>
          <w:rFonts w:ascii="Times New Roman" w:hAnsi="Times New Roman" w:cs="Times New Roman"/>
          <w:sz w:val="20"/>
          <w:szCs w:val="20"/>
        </w:rPr>
        <w:t xml:space="preserve">: residual variance of DFI; </w:t>
      </w:r>
      <m:oMath>
        <m:sSubSup>
          <m:sSubSupPr>
            <m:ctrlPr>
              <w:rPr>
                <w:rFonts w:ascii="Cambria Math" w:hAnsi="Cambria Math" w:cs="Times New Roman"/>
                <w:i/>
                <w:iCs/>
                <w:sz w:val="20"/>
                <w:szCs w:val="20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σ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e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2</m:t>
                </m:r>
              </m:sub>
            </m:sSub>
          </m:sub>
          <m:sup>
            <m:r>
              <w:rPr>
                <w:rFonts w:ascii="Cambria Math" w:hAnsi="Cambria Math" w:cs="Times New Roman"/>
                <w:sz w:val="20"/>
                <w:szCs w:val="20"/>
              </w:rPr>
              <m:t>2</m:t>
            </m:r>
          </m:sup>
        </m:sSubSup>
      </m:oMath>
      <w:r w:rsidR="00F25FDD" w:rsidRPr="00980DD2">
        <w:rPr>
          <w:rFonts w:ascii="Times New Roman" w:hAnsi="Times New Roman" w:cs="Times New Roman"/>
          <w:iCs/>
          <w:sz w:val="20"/>
          <w:szCs w:val="20"/>
        </w:rPr>
        <w:t>:</w:t>
      </w:r>
      <w:r w:rsidR="00F25FDD" w:rsidRPr="00980DD2">
        <w:rPr>
          <w:rFonts w:ascii="Times New Roman" w:hAnsi="Times New Roman" w:cs="Times New Roman"/>
          <w:sz w:val="20"/>
          <w:szCs w:val="20"/>
        </w:rPr>
        <w:t xml:space="preserve"> residual variance the second trait; and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r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a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a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2</m:t>
                </m:r>
              </m:sub>
            </m:sSub>
          </m:sub>
        </m:sSub>
      </m:oMath>
      <w:r w:rsidR="0039188A">
        <w:rPr>
          <w:rStyle w:val="katex-mathml"/>
          <w:rFonts w:ascii="Times New Roman" w:hAnsi="Times New Roman" w:cs="Times New Roman"/>
          <w:sz w:val="20"/>
          <w:szCs w:val="20"/>
        </w:rPr>
        <w:t>:</w:t>
      </w:r>
      <w:r w:rsidR="00F25FDD" w:rsidRPr="00980DD2">
        <w:rPr>
          <w:rStyle w:val="katex-mathml"/>
          <w:rFonts w:ascii="Times New Roman" w:hAnsi="Times New Roman" w:cs="Times New Roman"/>
          <w:sz w:val="20"/>
          <w:szCs w:val="20"/>
        </w:rPr>
        <w:t xml:space="preserve"> </w:t>
      </w:r>
      <w:r w:rsidR="00F25FDD" w:rsidRPr="00980DD2">
        <w:rPr>
          <w:rFonts w:ascii="Times New Roman" w:hAnsi="Times New Roman" w:cs="Times New Roman"/>
          <w:sz w:val="20"/>
          <w:szCs w:val="20"/>
        </w:rPr>
        <w:t>genetic correlation between DFI and the second trait</w:t>
      </w:r>
      <w:r w:rsidR="0039188A">
        <w:rPr>
          <w:rFonts w:ascii="Times New Roman" w:hAnsi="Times New Roman" w:cs="Times New Roman"/>
          <w:sz w:val="20"/>
          <w:szCs w:val="20"/>
        </w:rPr>
        <w:t>; h</w:t>
      </w:r>
      <w:r w:rsidR="0039188A" w:rsidRPr="0039188A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39188A">
        <w:rPr>
          <w:rFonts w:ascii="Times New Roman" w:hAnsi="Times New Roman" w:cs="Times New Roman"/>
          <w:sz w:val="20"/>
          <w:szCs w:val="20"/>
        </w:rPr>
        <w:t>: heritability of the second trait</w:t>
      </w:r>
    </w:p>
    <w:p w:rsidR="00F25FDD" w:rsidRPr="00980DD2" w:rsidRDefault="00F25FDD" w:rsidP="00F25FDD">
      <w:pPr>
        <w:widowControl w:val="0"/>
        <w:spacing w:before="100" w:beforeAutospacing="1" w:after="100" w:afterAutospacing="1"/>
        <w:rPr>
          <w:rFonts w:ascii="Times New Roman" w:hAnsi="Times New Roman" w:cs="Times New Roman"/>
        </w:rPr>
      </w:pPr>
      <w:r w:rsidRPr="00980DD2">
        <w:rPr>
          <w:rFonts w:ascii="Times New Roman" w:hAnsi="Times New Roman"/>
          <w:iCs/>
          <w:sz w:val="20"/>
          <w:szCs w:val="20"/>
        </w:rPr>
        <w:t>AGE: the age at which the animal reached 100 kg; BFT: backfat thickness at 100 kg; LMT: loin muscle thickness at 100 kg; FCR: feed conversion ratio; LMP: lean meat percentage; PH24: pH of the ham at 24 hours postmortem; DLP: drip loss percentage; BHW: boneless ham weight.</w:t>
      </w:r>
    </w:p>
    <w:p w:rsidR="004A202C" w:rsidRDefault="004A202C"/>
    <w:sectPr w:rsidR="004A202C" w:rsidSect="00F25FDD">
      <w:pgSz w:w="15840" w:h="12240" w:orient="landscape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DD"/>
    <w:rsid w:val="002243B3"/>
    <w:rsid w:val="0039188A"/>
    <w:rsid w:val="004A202C"/>
    <w:rsid w:val="00647550"/>
    <w:rsid w:val="00952E72"/>
    <w:rsid w:val="00F25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0F1510D"/>
  <w15:chartTrackingRefBased/>
  <w15:docId w15:val="{12929048-A70F-1F41-AD26-0FF17CD3D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FDD"/>
    <w:rPr>
      <w:rFonts w:eastAsiaTheme="minorEastAsia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25FDD"/>
    <w:rPr>
      <w:b/>
      <w:bCs/>
    </w:rPr>
  </w:style>
  <w:style w:type="table" w:styleId="TableGrid">
    <w:name w:val="Table Grid"/>
    <w:basedOn w:val="TableNormal"/>
    <w:uiPriority w:val="39"/>
    <w:rsid w:val="00F25FDD"/>
    <w:rPr>
      <w:lang w:val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list-s">
    <w:name w:val="vlist-s"/>
    <w:basedOn w:val="DefaultParagraphFont"/>
    <w:rsid w:val="00F25FDD"/>
  </w:style>
  <w:style w:type="character" w:customStyle="1" w:styleId="katex-mathml">
    <w:name w:val="katex-mathml"/>
    <w:basedOn w:val="DefaultParagraphFont"/>
    <w:rsid w:val="00F25F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48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Tomasi Tusingwiire</dc:creator>
  <cp:keywords/>
  <dc:description/>
  <cp:lastModifiedBy>Tomasi Tusingwiire</cp:lastModifiedBy>
  <cp:revision>2</cp:revision>
  <dcterms:created xsi:type="dcterms:W3CDTF">2025-02-19T09:03:00Z</dcterms:created>
  <dcterms:modified xsi:type="dcterms:W3CDTF">2025-02-20T13:51:00Z</dcterms:modified>
</cp:coreProperties>
</file>