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BB8" w:rsidRDefault="00A82BB8" w:rsidP="00A10FFF">
      <w:pPr>
        <w:pStyle w:val="Title"/>
      </w:pPr>
      <w:r>
        <w:t xml:space="preserve">Using Surrogate Variable Analysis for network reconstruction. </w:t>
      </w:r>
    </w:p>
    <w:p w:rsidR="00650459" w:rsidRDefault="00A82BB8" w:rsidP="002515DA">
      <w:pPr>
        <w:pStyle w:val="Subtitle"/>
      </w:pPr>
      <w:r>
        <w:t>Sub-s</w:t>
      </w:r>
      <w:r w:rsidR="0004492C">
        <w:t>tudy</w:t>
      </w:r>
      <w:r w:rsidR="00A10FFF">
        <w:t xml:space="preserve"> </w:t>
      </w:r>
      <w:r>
        <w:t xml:space="preserve">for the manuscript </w:t>
      </w:r>
      <w:r w:rsidR="009C3FBD">
        <w:t>“</w:t>
      </w:r>
      <w:r w:rsidR="00975849">
        <w:t xml:space="preserve">Lagani et al. </w:t>
      </w:r>
      <w:r w:rsidR="00A10FFF">
        <w:t>A comparative evaluation of data-merging and meta-analysis methods for recons</w:t>
      </w:r>
      <w:r w:rsidR="00176B88">
        <w:t>tructing gene-gene interactions</w:t>
      </w:r>
      <w:r w:rsidR="007E7F39">
        <w:t>. BMC Bioinformatics.</w:t>
      </w:r>
      <w:r w:rsidR="00176B88">
        <w:t>”</w:t>
      </w:r>
    </w:p>
    <w:p w:rsidR="007F3C25" w:rsidRPr="007F3C25" w:rsidRDefault="001B3C9D" w:rsidP="0027424B">
      <w:pPr>
        <w:jc w:val="both"/>
      </w:pPr>
      <w:r>
        <w:t>The Surrogate Variable Analysis</w:t>
      </w:r>
      <w:r w:rsidR="00C31989">
        <w:t xml:space="preserve"> (SVA)</w:t>
      </w:r>
      <w:r w:rsidR="00671D4D">
        <w:t xml:space="preserve"> approach </w:t>
      </w:r>
      <w:r w:rsidR="00BE47F5">
        <w:t>is a statistical technique that attempts to estimate and adjust</w:t>
      </w:r>
      <w:r w:rsidR="00D25B09">
        <w:t>s</w:t>
      </w:r>
      <w:r w:rsidR="00BE47F5">
        <w:t xml:space="preserve"> for the effect of undesired batch-effects and confounding factors. </w:t>
      </w:r>
      <w:r w:rsidR="00966D48">
        <w:t xml:space="preserve">Here we </w:t>
      </w:r>
      <w:r w:rsidR="00FA07E4">
        <w:t xml:space="preserve">propose </w:t>
      </w:r>
      <w:r w:rsidR="0072360D">
        <w:t>two</w:t>
      </w:r>
      <w:r w:rsidR="00FA07E4">
        <w:t xml:space="preserve"> modification</w:t>
      </w:r>
      <w:r w:rsidR="0072360D">
        <w:t>s</w:t>
      </w:r>
      <w:r w:rsidR="00244845">
        <w:t xml:space="preserve"> for adapting this approach</w:t>
      </w:r>
      <w:r w:rsidR="00FA07E4">
        <w:t xml:space="preserve"> to </w:t>
      </w:r>
      <w:r w:rsidR="0027424B">
        <w:t xml:space="preserve">network reconstruction tasks, particularly </w:t>
      </w:r>
      <w:r w:rsidR="00CB4E8A">
        <w:t>for identifying</w:t>
      </w:r>
      <w:r w:rsidR="0027424B">
        <w:t xml:space="preserve"> gene-gene interactions from expression data using relevancy networks. </w:t>
      </w:r>
      <w:r w:rsidR="0027557E">
        <w:t>Furthermore, we evaluate the proposed modifications</w:t>
      </w:r>
      <w:r w:rsidR="006E6B7C">
        <w:t xml:space="preserve"> on the E. Coli and Yeast data collections </w:t>
      </w:r>
      <w:r w:rsidR="00312198">
        <w:t xml:space="preserve">presented in the main manuscript. </w:t>
      </w:r>
      <w:r w:rsidR="0027557E">
        <w:t>The re</w:t>
      </w:r>
      <w:r w:rsidR="00AD05C6">
        <w:t>sults seem to indica</w:t>
      </w:r>
      <w:r w:rsidR="001F720B">
        <w:t>te that</w:t>
      </w:r>
      <w:r w:rsidR="000850A3">
        <w:t>, if opportunely employed,</w:t>
      </w:r>
      <w:r w:rsidR="001F720B">
        <w:t xml:space="preserve"> </w:t>
      </w:r>
      <w:r w:rsidR="00D9169A">
        <w:t xml:space="preserve">the </w:t>
      </w:r>
      <w:r w:rsidR="001F720B">
        <w:t>SVA</w:t>
      </w:r>
      <w:r w:rsidR="00D9169A">
        <w:t xml:space="preserve"> method</w:t>
      </w:r>
      <w:r w:rsidR="001F720B">
        <w:t xml:space="preserve"> </w:t>
      </w:r>
      <w:r w:rsidR="003F7526">
        <w:t>produce</w:t>
      </w:r>
      <w:r w:rsidR="00CB4E8A">
        <w:t>s</w:t>
      </w:r>
      <w:r w:rsidR="003F7526">
        <w:t xml:space="preserve"> </w:t>
      </w:r>
      <w:r w:rsidR="00412578">
        <w:t xml:space="preserve">performances </w:t>
      </w:r>
      <w:r w:rsidR="003F7526">
        <w:t>that</w:t>
      </w:r>
      <w:r w:rsidR="00D824E7">
        <w:t xml:space="preserve"> matches the results of the other</w:t>
      </w:r>
      <w:r w:rsidR="003F7526">
        <w:t xml:space="preserve"> batch-effect removal methods.</w:t>
      </w:r>
    </w:p>
    <w:p w:rsidR="00E57942" w:rsidRDefault="002515DA" w:rsidP="00AD12A9">
      <w:pPr>
        <w:pStyle w:val="Heading1"/>
      </w:pPr>
      <w:r>
        <w:t>The</w:t>
      </w:r>
      <w:r w:rsidR="00085482">
        <w:t xml:space="preserve"> Surrogate Variable Analysis </w:t>
      </w:r>
      <w:r w:rsidR="00C107E7">
        <w:t>(SVA) method</w:t>
      </w:r>
      <w:r w:rsidR="009D70E9">
        <w:t>.</w:t>
      </w:r>
    </w:p>
    <w:p w:rsidR="00085482" w:rsidRPr="00F8496D" w:rsidRDefault="00085482" w:rsidP="00085482">
      <w:pPr>
        <w:jc w:val="both"/>
        <w:rPr>
          <w:rFonts w:eastAsiaTheme="minorEastAsia"/>
        </w:rPr>
      </w:pPr>
      <w:r>
        <w:t xml:space="preserve">The SVA approach introduced by Leek and Storey </w:t>
      </w:r>
      <w:r>
        <w:fldChar w:fldCharType="begin" w:fldLock="1"/>
      </w:r>
      <w:r w:rsidR="00ED2D9C">
        <w:instrText>ADDIN CSL_CITATION { "citationItems" : [ { "id" : "ITEM-1", "itemData" : { "DOI" : "10.1371/journal.pgen.0030161", "ISSN" : "1553-7404", "PMID" : "17907809", "abstract" : "It has unambiguously been shown that genetic, environmental, demographic, and technical factors may have substantial effects on gene expression levels. In addition to the measured variable(s) of interest, there will tend to be sources of signal due to factors that are unknown, unmeasured, or too complicated to capture through simple models. We show that failing to incorporate these sources of heterogeneity into an analysis can have widespread and detrimental effects on the study. Not only can this reduce power or induce unwanted dependence across genes, but it can also introduce sources of spurious signal to many genes. This phenomenon is true even for well-designed, randomized studies. We introduce \"surrogate variable analysis\" (SVA) to overcome the problems caused by heterogeneity in expression studies. SVA can be applied in conjunction with standard analysis techniques to accurately capture the relationship between expression and any modeled variables of interest. We apply SVA to disease class, time course, and genetics of gene expression studies. We show that SVA increases the biological accuracy and reproducibility of analyses in genome-wide expression studies.", "author" : [ { "dropping-particle" : "", "family" : "Leek", "given" : "Jeffrey T", "non-dropping-particle" : "", "parse-names" : false, "suffix" : "" }, { "dropping-particle" : "", "family" : "Storey", "given" : "John D", "non-dropping-particle" : "", "parse-names" : false, "suffix" : "" } ], "container-title" : "PLoS genetics", "id" : "ITEM-1", "issue" : "9", "issued" : { "date-parts" : [ [ "2007", "9" ] ] }, "page" : "1724-35", "title" : "Capturing heterogeneity in gene expression studies by surrogate variable analysis.", "type" : "article-journal", "volume" : "3" }, "uris" : [ "http://www.mendeley.com/documents/?uuid=153e80b0-a4be-4d7f-a784-a83ffd07eba7" ] } ], "mendeley" : { "formattedCitation" : "[1]", "plainTextFormattedCitation" : "[1]", "previouslyFormattedCitation" : "[1]" }, "properties" : { "noteIndex" : 0 }, "schema" : "https://github.com/citation-style-language/schema/raw/master/csl-citation.json" }</w:instrText>
      </w:r>
      <w:r>
        <w:fldChar w:fldCharType="separate"/>
      </w:r>
      <w:r w:rsidR="00E7236C" w:rsidRPr="00E7236C">
        <w:rPr>
          <w:noProof/>
        </w:rPr>
        <w:t>[1]</w:t>
      </w:r>
      <w:r>
        <w:fldChar w:fldCharType="end"/>
      </w:r>
      <w:r>
        <w:t xml:space="preserve"> attempts to identify and remove all confounding factors negatively affecting the analysis, including eventual batch-effects. In the common case-control scenario, the </w:t>
      </w:r>
      <w:r w:rsidRPr="005F02F2">
        <w:rPr>
          <w:i/>
        </w:rPr>
        <w:t>SVA model</w:t>
      </w:r>
      <w:r>
        <w:t xml:space="preserve"> is the following:</w:t>
      </w:r>
      <m:oMath>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sj</m:t>
            </m:r>
          </m:sub>
        </m:sSub>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β</m:t>
            </m:r>
          </m:e>
          <m:sub>
            <m:r>
              <m:rPr>
                <m:sty m:val="p"/>
              </m:rPr>
              <w:rPr>
                <w:rFonts w:ascii="Cambria Math" w:hAnsi="Cambria Math"/>
              </w:rPr>
              <m:t>j</m:t>
            </m:r>
          </m:sub>
        </m:sSub>
        <m:sSub>
          <m:sSubPr>
            <m:ctrlPr>
              <w:rPr>
                <w:rFonts w:ascii="Cambria Math" w:hAnsi="Cambria Math"/>
              </w:rPr>
            </m:ctrlPr>
          </m:sSubPr>
          <m:e>
            <m:r>
              <m:rPr>
                <m:sty m:val="p"/>
              </m:rPr>
              <w:rPr>
                <w:rFonts w:ascii="Cambria Math" w:hAnsi="Cambria Math"/>
              </w:rPr>
              <m:t>x</m:t>
            </m:r>
          </m:e>
          <m:sub>
            <m:r>
              <m:rPr>
                <m:sty m:val="p"/>
              </m:rPr>
              <w:rPr>
                <w:rFonts w:ascii="Cambria Math" w:hAnsi="Cambria Math"/>
              </w:rPr>
              <m:t>s</m:t>
            </m:r>
          </m:sub>
        </m:sSub>
        <m:r>
          <m:rPr>
            <m:sty m:val="p"/>
          </m:rPr>
          <w:rPr>
            <w:rFonts w:ascii="Cambria Math" w:hAnsi="Cambria Math"/>
          </w:rPr>
          <m:t>+</m:t>
        </m:r>
        <m:nary>
          <m:naryPr>
            <m:chr m:val="∑"/>
            <m:supHide m:val="1"/>
            <m:ctrlPr>
              <w:rPr>
                <w:rFonts w:ascii="Cambria Math" w:hAnsi="Cambria Math"/>
              </w:rPr>
            </m:ctrlPr>
          </m:naryPr>
          <m:sub>
            <m:r>
              <m:rPr>
                <m:sty m:val="p"/>
              </m:rPr>
              <w:rPr>
                <w:rFonts w:ascii="Cambria Math" w:hAnsi="Cambria Math"/>
              </w:rPr>
              <m:t>k</m:t>
            </m:r>
          </m:sub>
          <m:sup/>
          <m:e>
            <m:sSub>
              <m:sSubPr>
                <m:ctrlPr>
                  <w:rPr>
                    <w:rFonts w:ascii="Cambria Math" w:hAnsi="Cambria Math"/>
                    <w:i/>
                  </w:rPr>
                </m:ctrlPr>
              </m:sSubPr>
              <m:e>
                <m:r>
                  <w:rPr>
                    <w:rFonts w:ascii="Cambria Math" w:hAnsi="Cambria Math"/>
                  </w:rPr>
                  <m:t>γ</m:t>
                </m:r>
              </m:e>
              <m:sub>
                <m:r>
                  <w:rPr>
                    <w:rFonts w:ascii="Cambria Math" w:hAnsi="Cambria Math"/>
                  </w:rPr>
                  <m:t>jk</m:t>
                </m:r>
              </m:sub>
            </m:sSub>
            <m:sSub>
              <m:sSubPr>
                <m:ctrlPr>
                  <w:rPr>
                    <w:rFonts w:ascii="Cambria Math" w:hAnsi="Cambria Math"/>
                    <w:i/>
                  </w:rPr>
                </m:ctrlPr>
              </m:sSubPr>
              <m:e>
                <m:r>
                  <w:rPr>
                    <w:rFonts w:ascii="Cambria Math" w:hAnsi="Cambria Math"/>
                  </w:rPr>
                  <m:t>g</m:t>
                </m:r>
              </m:e>
              <m:sub>
                <m:r>
                  <w:rPr>
                    <w:rFonts w:ascii="Cambria Math" w:hAnsi="Cambria Math"/>
                  </w:rPr>
                  <m:t>ks</m:t>
                </m:r>
              </m:sub>
            </m:sSub>
          </m:e>
        </m:nary>
        <m:r>
          <m:rPr>
            <m:sty m:val="p"/>
          </m:rP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sj</m:t>
            </m:r>
          </m:sub>
        </m:sSub>
      </m:oMath>
      <w:r w:rsidRPr="00085482">
        <w:rPr>
          <w:rFonts w:eastAsiaTheme="minorEastAsia"/>
        </w:rPr>
        <w:t xml:space="preserve">, where </w:t>
      </w:r>
      <m:oMath>
        <m:sSub>
          <m:sSubPr>
            <m:ctrlPr>
              <w:rPr>
                <w:rFonts w:ascii="Cambria Math" w:hAnsi="Cambria Math"/>
                <w:i/>
              </w:rPr>
            </m:ctrlPr>
          </m:sSubPr>
          <m:e>
            <m:r>
              <w:rPr>
                <w:rFonts w:ascii="Cambria Math" w:hAnsi="Cambria Math"/>
              </w:rPr>
              <m:t>y</m:t>
            </m:r>
          </m:e>
          <m:sub>
            <m:r>
              <w:rPr>
                <w:rFonts w:ascii="Cambria Math" w:hAnsi="Cambria Math"/>
              </w:rPr>
              <m:t>sj</m:t>
            </m:r>
          </m:sub>
        </m:sSub>
      </m:oMath>
      <w:r w:rsidRPr="00085482">
        <w:rPr>
          <w:rFonts w:eastAsiaTheme="minorEastAsia"/>
        </w:rPr>
        <w:t xml:space="preserve">is the expression of gene </w:t>
      </w:r>
      <m:oMath>
        <m:r>
          <w:rPr>
            <w:rFonts w:ascii="Cambria Math" w:eastAsiaTheme="minorEastAsia" w:hAnsi="Cambria Math"/>
          </w:rPr>
          <m:t>j</m:t>
        </m:r>
      </m:oMath>
      <w:r w:rsidRPr="00085482">
        <w:rPr>
          <w:rFonts w:eastAsiaTheme="minorEastAsia"/>
        </w:rPr>
        <w:t xml:space="preserve"> in sample </w:t>
      </w:r>
      <m:oMath>
        <m:r>
          <w:rPr>
            <w:rFonts w:ascii="Cambria Math" w:eastAsiaTheme="minorEastAsia" w:hAnsi="Cambria Math"/>
          </w:rPr>
          <m:t>s</m:t>
        </m:r>
      </m:oMath>
      <w:r w:rsidRPr="0008548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j</m:t>
            </m:r>
          </m:sub>
        </m:sSub>
      </m:oMath>
      <w:r w:rsidRPr="00085482">
        <w:rPr>
          <w:rFonts w:eastAsiaTheme="minorEastAsia"/>
        </w:rPr>
        <w:t xml:space="preserve"> is the overall gene expression of </w:t>
      </w:r>
      <m:oMath>
        <m:r>
          <w:rPr>
            <w:rFonts w:ascii="Cambria Math" w:eastAsiaTheme="minorEastAsia" w:hAnsi="Cambria Math"/>
          </w:rPr>
          <m:t>j</m:t>
        </m:r>
      </m:oMath>
      <w:r w:rsidRPr="00085482">
        <w:rPr>
          <w:rFonts w:eastAsiaTheme="minorEastAsia"/>
        </w:rPr>
        <w:t xml:space="preserve">, </w:t>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s</m:t>
            </m:r>
          </m:sub>
        </m:sSub>
      </m:oMath>
      <w:r w:rsidRPr="00085482">
        <w:rPr>
          <w:rFonts w:eastAsiaTheme="minorEastAsia"/>
        </w:rPr>
        <w:t xml:space="preserve"> is a binary variable indicating whether sample </w:t>
      </w:r>
      <m:oMath>
        <m:r>
          <w:rPr>
            <w:rFonts w:ascii="Cambria Math" w:eastAsiaTheme="minorEastAsia" w:hAnsi="Cambria Math"/>
          </w:rPr>
          <m:t>s</m:t>
        </m:r>
      </m:oMath>
      <w:r w:rsidRPr="00085482">
        <w:rPr>
          <w:rFonts w:eastAsiaTheme="minorEastAsia"/>
        </w:rPr>
        <w:t xml:space="preserve"> is a case or a control,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oMath>
      <w:r w:rsidRPr="00085482">
        <w:rPr>
          <w:rFonts w:eastAsiaTheme="minorEastAsia"/>
        </w:rPr>
        <w:t xml:space="preserve">represents the average difference in expression between the two conditions in gene </w:t>
      </w:r>
      <m:oMath>
        <m:r>
          <w:rPr>
            <w:rFonts w:ascii="Cambria Math" w:eastAsiaTheme="minorEastAsia" w:hAnsi="Cambria Math"/>
          </w:rPr>
          <m:t>j</m:t>
        </m:r>
      </m:oMath>
      <w:r w:rsidRPr="00085482">
        <w:rPr>
          <w:rFonts w:eastAsiaTheme="minorEastAsia"/>
        </w:rPr>
        <w:t xml:space="preserve">, and </w:t>
      </w:r>
      <m:oMath>
        <m:sSub>
          <m:sSubPr>
            <m:ctrlPr>
              <w:rPr>
                <w:rFonts w:ascii="Cambria Math" w:hAnsi="Cambria Math"/>
                <w:i/>
              </w:rPr>
            </m:ctrlPr>
          </m:sSubPr>
          <m:e>
            <m:r>
              <w:rPr>
                <w:rFonts w:ascii="Cambria Math" w:hAnsi="Cambria Math"/>
              </w:rPr>
              <m:t>ϵ</m:t>
            </m:r>
          </m:e>
          <m:sub>
            <m:r>
              <w:rPr>
                <w:rFonts w:ascii="Cambria Math" w:hAnsi="Cambria Math"/>
              </w:rPr>
              <m:t>sj</m:t>
            </m:r>
          </m:sub>
        </m:sSub>
      </m:oMath>
      <w:r w:rsidRPr="00085482">
        <w:rPr>
          <w:rFonts w:eastAsiaTheme="minorEastAsia"/>
        </w:rPr>
        <w:t xml:space="preserve"> is a random error. The term </w:t>
      </w:r>
      <m:oMath>
        <m:nary>
          <m:naryPr>
            <m:chr m:val="∑"/>
            <m:supHide m:val="1"/>
            <m:ctrlPr>
              <w:rPr>
                <w:rFonts w:ascii="Cambria Math" w:hAnsi="Cambria Math"/>
              </w:rPr>
            </m:ctrlPr>
          </m:naryPr>
          <m:sub>
            <m:r>
              <m:rPr>
                <m:sty m:val="p"/>
              </m:rPr>
              <w:rPr>
                <w:rFonts w:ascii="Cambria Math" w:hAnsi="Cambria Math"/>
              </w:rPr>
              <m:t>k</m:t>
            </m:r>
          </m:sub>
          <m:sup/>
          <m:e>
            <m:sSub>
              <m:sSubPr>
                <m:ctrlPr>
                  <w:rPr>
                    <w:rFonts w:ascii="Cambria Math" w:hAnsi="Cambria Math"/>
                    <w:i/>
                  </w:rPr>
                </m:ctrlPr>
              </m:sSubPr>
              <m:e>
                <m:r>
                  <w:rPr>
                    <w:rFonts w:ascii="Cambria Math" w:hAnsi="Cambria Math"/>
                  </w:rPr>
                  <m:t>γ</m:t>
                </m:r>
              </m:e>
              <m:sub>
                <m:r>
                  <w:rPr>
                    <w:rFonts w:ascii="Cambria Math" w:hAnsi="Cambria Math"/>
                  </w:rPr>
                  <m:t>jk</m:t>
                </m:r>
              </m:sub>
            </m:sSub>
            <m:sSub>
              <m:sSubPr>
                <m:ctrlPr>
                  <w:rPr>
                    <w:rFonts w:ascii="Cambria Math" w:hAnsi="Cambria Math"/>
                    <w:i/>
                  </w:rPr>
                </m:ctrlPr>
              </m:sSubPr>
              <m:e>
                <m:r>
                  <w:rPr>
                    <w:rFonts w:ascii="Cambria Math" w:hAnsi="Cambria Math"/>
                  </w:rPr>
                  <m:t>g</m:t>
                </m:r>
              </m:e>
              <m:sub>
                <m:r>
                  <w:rPr>
                    <w:rFonts w:ascii="Cambria Math" w:hAnsi="Cambria Math"/>
                  </w:rPr>
                  <m:t>ks</m:t>
                </m:r>
              </m:sub>
            </m:sSub>
          </m:e>
        </m:nary>
      </m:oMath>
      <w:r w:rsidRPr="00085482">
        <w:rPr>
          <w:rFonts w:eastAsiaTheme="minorEastAsia"/>
        </w:rPr>
        <w:t xml:space="preserve"> represents the cumulative effect on </w:t>
      </w:r>
      <m:oMath>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sj</m:t>
            </m:r>
          </m:sub>
        </m:sSub>
      </m:oMath>
      <w:r w:rsidRPr="00085482">
        <w:rPr>
          <w:rFonts w:eastAsiaTheme="minorEastAsia"/>
        </w:rPr>
        <w:t xml:space="preserve"> of </w:t>
      </w:r>
      <m:oMath>
        <m:r>
          <w:rPr>
            <w:rFonts w:ascii="Cambria Math" w:eastAsiaTheme="minorEastAsia" w:hAnsi="Cambria Math"/>
          </w:rPr>
          <m:t>K</m:t>
        </m:r>
      </m:oMath>
      <w:r w:rsidRPr="00085482">
        <w:rPr>
          <w:rFonts w:eastAsiaTheme="minorEastAsia"/>
        </w:rPr>
        <w:t xml:space="preserve"> unknown confounding factors </w:t>
      </w:r>
      <m:oMath>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ks</m:t>
            </m:r>
          </m:sub>
        </m:sSub>
      </m:oMath>
      <w:r w:rsidRPr="00085482">
        <w:rPr>
          <w:rFonts w:eastAsiaTheme="minorEastAsia"/>
        </w:rPr>
        <w:t xml:space="preserve">, multiplied by their gene-specific coefficients </w:t>
      </w:r>
      <m:oMath>
        <m:sSub>
          <m:sSubPr>
            <m:ctrlPr>
              <w:rPr>
                <w:rFonts w:ascii="Cambria Math" w:hAnsi="Cambria Math"/>
                <w:i/>
              </w:rPr>
            </m:ctrlPr>
          </m:sSubPr>
          <m:e>
            <m:r>
              <w:rPr>
                <w:rFonts w:ascii="Cambria Math" w:hAnsi="Cambria Math"/>
              </w:rPr>
              <m:t>γ</m:t>
            </m:r>
          </m:e>
          <m:sub>
            <m:r>
              <w:rPr>
                <w:rFonts w:ascii="Cambria Math" w:hAnsi="Cambria Math"/>
              </w:rPr>
              <m:t>jk</m:t>
            </m:r>
          </m:sub>
        </m:sSub>
      </m:oMath>
      <w:r w:rsidRPr="00085482">
        <w:rPr>
          <w:rFonts w:eastAsiaTheme="minorEastAsia"/>
        </w:rPr>
        <w:t xml:space="preserve">. SVA attempts to estimate confounding factors’ global effect by deriving a set of surrogate variables </w:t>
      </w:r>
      <m:oMath>
        <m:sSub>
          <m:sSubPr>
            <m:ctrlPr>
              <w:rPr>
                <w:rFonts w:ascii="Cambria Math" w:eastAsiaTheme="minorEastAsia" w:hAnsi="Cambria Math"/>
                <w:i/>
              </w:rPr>
            </m:ctrlPr>
          </m:sSubPr>
          <m:e>
            <m:r>
              <m:rPr>
                <m:sty m:val="bi"/>
              </m:rP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eastAsiaTheme="minorEastAsia" w:hAnsi="Cambria Math"/>
                <w:i/>
              </w:rPr>
            </m:ctrlPr>
          </m:sSubPr>
          <m:e>
            <m:r>
              <m:rPr>
                <m:sty m:val="bi"/>
              </m:rP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 …,</m:t>
        </m:r>
        <m:sSub>
          <m:sSubPr>
            <m:ctrlPr>
              <w:rPr>
                <w:rFonts w:ascii="Cambria Math" w:eastAsiaTheme="minorEastAsia" w:hAnsi="Cambria Math"/>
                <w:i/>
              </w:rPr>
            </m:ctrlPr>
          </m:sSubPr>
          <m:e>
            <m:r>
              <m:rPr>
                <m:sty m:val="bi"/>
              </m:rPr>
              <w:rPr>
                <w:rFonts w:ascii="Cambria Math" w:eastAsiaTheme="minorEastAsia" w:hAnsi="Cambria Math"/>
              </w:rPr>
              <m:t>h</m:t>
            </m:r>
          </m:e>
          <m:sub>
            <m:r>
              <w:rPr>
                <w:rFonts w:ascii="Cambria Math" w:eastAsiaTheme="minorEastAsia" w:hAnsi="Cambria Math"/>
              </w:rPr>
              <m:t>K</m:t>
            </m:r>
          </m:sub>
        </m:sSub>
      </m:oMath>
      <w:r w:rsidRPr="00085482">
        <w:rPr>
          <w:rFonts w:eastAsiaTheme="minorEastAsia"/>
        </w:rPr>
        <w:t xml:space="preserve"> whose span covers the same linear space spanned by the vectors </w:t>
      </w:r>
      <m:oMath>
        <m:sSub>
          <m:sSubPr>
            <m:ctrlPr>
              <w:rPr>
                <w:rFonts w:ascii="Cambria Math" w:eastAsiaTheme="minorEastAsia" w:hAnsi="Cambria Math"/>
                <w:i/>
              </w:rPr>
            </m:ctrlPr>
          </m:sSubPr>
          <m:e>
            <m:r>
              <m:rPr>
                <m:sty m:val="bi"/>
              </m:rPr>
              <w:rPr>
                <w:rFonts w:ascii="Cambria Math" w:eastAsiaTheme="minorEastAsia" w:hAnsi="Cambria Math"/>
              </w:rPr>
              <m:t>g</m:t>
            </m:r>
            <m:ctrlPr>
              <w:rPr>
                <w:rFonts w:ascii="Cambria Math" w:eastAsiaTheme="minorEastAsia" w:hAnsi="Cambria Math"/>
                <w:b/>
                <w:i/>
              </w:rPr>
            </m:ctrlPr>
          </m:e>
          <m:sub>
            <m:r>
              <w:rPr>
                <w:rFonts w:ascii="Cambria Math" w:eastAsiaTheme="minorEastAsia" w:hAnsi="Cambria Math"/>
              </w:rPr>
              <m:t>k</m:t>
            </m:r>
          </m:sub>
        </m:sSub>
      </m:oMath>
      <w:r w:rsidRPr="00085482">
        <w:rPr>
          <w:rFonts w:eastAsiaTheme="minorEastAsia"/>
        </w:rPr>
        <w:t>.</w:t>
      </w:r>
      <w:r w:rsidR="006743A6">
        <w:rPr>
          <w:rFonts w:eastAsiaTheme="minorEastAsia"/>
        </w:rPr>
        <w:t xml:space="preserve"> The estimation is based on the </w:t>
      </w:r>
      <w:r w:rsidR="005848F3">
        <w:rPr>
          <w:rFonts w:eastAsiaTheme="minorEastAsia"/>
        </w:rPr>
        <w:t>Singular Value Decomposition</w:t>
      </w:r>
      <w:r w:rsidR="00691EF1">
        <w:rPr>
          <w:rFonts w:eastAsiaTheme="minorEastAsia"/>
        </w:rPr>
        <w:t xml:space="preserve"> (SVD)</w:t>
      </w:r>
      <w:r w:rsidR="005848F3">
        <w:rPr>
          <w:rFonts w:eastAsiaTheme="minorEastAsia"/>
        </w:rPr>
        <w:t xml:space="preserve"> of the</w:t>
      </w:r>
      <w:r w:rsidR="00D25B09">
        <w:rPr>
          <w:rFonts w:eastAsiaTheme="minorEastAsia"/>
        </w:rPr>
        <w:t xml:space="preserve"> residual matrix</w:t>
      </w:r>
      <w:r w:rsidR="005848F3">
        <w:rPr>
          <w:rFonts w:eastAsiaTheme="minorEastAsia"/>
        </w:rPr>
        <w:t xml:space="preserve"> </w:t>
      </w:r>
      <w:r w:rsidR="00D25B09">
        <w:rPr>
          <w:rFonts w:eastAsiaTheme="minorEastAsia"/>
        </w:rPr>
        <w:t xml:space="preserve">obtained after fitting the </w:t>
      </w:r>
      <w:r w:rsidR="00BD0F6B">
        <w:rPr>
          <w:rFonts w:eastAsiaTheme="minorEastAsia"/>
        </w:rPr>
        <w:t>SVA model</w:t>
      </w:r>
      <w:r w:rsidR="00D25B09">
        <w:rPr>
          <w:rFonts w:eastAsiaTheme="minorEastAsia"/>
        </w:rPr>
        <w:t xml:space="preserve"> on the expression data</w:t>
      </w:r>
      <w:r w:rsidR="00BD0F6B">
        <w:rPr>
          <w:rFonts w:eastAsiaTheme="minorEastAsia"/>
        </w:rPr>
        <w:t>.</w:t>
      </w:r>
      <w:r w:rsidR="00450CAA">
        <w:rPr>
          <w:rFonts w:eastAsiaTheme="minorEastAsia"/>
        </w:rPr>
        <w:t xml:space="preserve"> The</w:t>
      </w:r>
      <w:r w:rsidR="00997CA8">
        <w:rPr>
          <w:rFonts w:eastAsiaTheme="minorEastAsia"/>
        </w:rPr>
        <w:t xml:space="preserve"> estimated surrogate variables are meant to </w:t>
      </w:r>
      <w:r w:rsidRPr="00085482">
        <w:rPr>
          <w:rFonts w:eastAsiaTheme="minorEastAsia"/>
        </w:rPr>
        <w:t>be used as covariates in all subsequent analysis in order to rule out the effect of the unknown confounding factors.</w:t>
      </w:r>
    </w:p>
    <w:p w:rsidR="00FD2761" w:rsidRPr="00F22C5B" w:rsidRDefault="00FD2761" w:rsidP="00085482">
      <w:pPr>
        <w:jc w:val="both"/>
        <w:rPr>
          <w:rFonts w:eastAsiaTheme="minorEastAsia"/>
        </w:rPr>
      </w:pPr>
      <w:r>
        <w:rPr>
          <w:rFonts w:eastAsiaTheme="minorEastAsia"/>
        </w:rPr>
        <w:t>One of the main issue</w:t>
      </w:r>
      <w:r w:rsidR="00F8496D">
        <w:rPr>
          <w:rFonts w:eastAsiaTheme="minorEastAsia"/>
        </w:rPr>
        <w:t>s</w:t>
      </w:r>
      <w:r>
        <w:rPr>
          <w:rFonts w:eastAsiaTheme="minorEastAsia"/>
        </w:rPr>
        <w:t xml:space="preserve"> in using SVA is the estimation of </w:t>
      </w:r>
      <m:oMath>
        <m:r>
          <w:rPr>
            <w:rFonts w:ascii="Cambria Math" w:eastAsiaTheme="minorEastAsia" w:hAnsi="Cambria Math"/>
          </w:rPr>
          <m:t>K</m:t>
        </m:r>
      </m:oMath>
      <w:r>
        <w:rPr>
          <w:rFonts w:eastAsiaTheme="minorEastAsia"/>
        </w:rPr>
        <w:t xml:space="preserve">, the number of surrogate variables needed for </w:t>
      </w:r>
      <w:r w:rsidR="0090322C">
        <w:rPr>
          <w:rFonts w:eastAsiaTheme="minorEastAsia"/>
        </w:rPr>
        <w:t xml:space="preserve">accurately approximate the effect of the </w:t>
      </w:r>
      <w:r w:rsidR="00662353" w:rsidRPr="00085482">
        <w:rPr>
          <w:rFonts w:eastAsiaTheme="minorEastAsia"/>
        </w:rPr>
        <w:t xml:space="preserve">vectors </w:t>
      </w:r>
      <m:oMath>
        <m:sSub>
          <m:sSubPr>
            <m:ctrlPr>
              <w:rPr>
                <w:rFonts w:ascii="Cambria Math" w:eastAsiaTheme="minorEastAsia" w:hAnsi="Cambria Math"/>
                <w:i/>
              </w:rPr>
            </m:ctrlPr>
          </m:sSubPr>
          <m:e>
            <m:r>
              <m:rPr>
                <m:sty m:val="bi"/>
              </m:rPr>
              <w:rPr>
                <w:rFonts w:ascii="Cambria Math" w:eastAsiaTheme="minorEastAsia" w:hAnsi="Cambria Math"/>
              </w:rPr>
              <m:t>g</m:t>
            </m:r>
            <m:ctrlPr>
              <w:rPr>
                <w:rFonts w:ascii="Cambria Math" w:eastAsiaTheme="minorEastAsia" w:hAnsi="Cambria Math"/>
                <w:b/>
                <w:i/>
              </w:rPr>
            </m:ctrlPr>
          </m:e>
          <m:sub>
            <m:r>
              <w:rPr>
                <w:rFonts w:ascii="Cambria Math" w:eastAsiaTheme="minorEastAsia" w:hAnsi="Cambria Math"/>
              </w:rPr>
              <m:t>k</m:t>
            </m:r>
          </m:sub>
        </m:sSub>
      </m:oMath>
      <w:r w:rsidR="0090322C">
        <w:rPr>
          <w:rFonts w:eastAsiaTheme="minorEastAsia"/>
        </w:rPr>
        <w:t xml:space="preserve">. </w:t>
      </w:r>
      <w:r w:rsidR="0092136B">
        <w:rPr>
          <w:rFonts w:eastAsiaTheme="minorEastAsia"/>
        </w:rPr>
        <w:t>The original SVA publication</w:t>
      </w:r>
      <w:r w:rsidR="0092136B">
        <w:t xml:space="preserve"> </w:t>
      </w:r>
      <w:r w:rsidR="0092136B">
        <w:fldChar w:fldCharType="begin" w:fldLock="1"/>
      </w:r>
      <w:r w:rsidR="00ED2D9C">
        <w:instrText>ADDIN CSL_CITATION { "citationItems" : [ { "id" : "ITEM-1", "itemData" : { "DOI" : "10.1371/journal.pgen.0030161", "ISSN" : "1553-7404", "PMID" : "17907809", "abstract" : "It has unambiguously been shown that genetic, environmental, demographic, and technical factors may have substantial effects on gene expression levels. In addition to the measured variable(s) of interest, there will tend to be sources of signal due to factors that are unknown, unmeasured, or too complicated to capture through simple models. We show that failing to incorporate these sources of heterogeneity into an analysis can have widespread and detrimental effects on the study. Not only can this reduce power or induce unwanted dependence across genes, but it can also introduce sources of spurious signal to many genes. This phenomenon is true even for well-designed, randomized studies. We introduce \"surrogate variable analysis\" (SVA) to overcome the problems caused by heterogeneity in expression studies. SVA can be applied in conjunction with standard analysis techniques to accurately capture the relationship between expression and any modeled variables of interest. We apply SVA to disease class, time course, and genetics of gene expression studies. We show that SVA increases the biological accuracy and reproducibility of analyses in genome-wide expression studies.", "author" : [ { "dropping-particle" : "", "family" : "Leek", "given" : "Jeffrey T", "non-dropping-particle" : "", "parse-names" : false, "suffix" : "" }, { "dropping-particle" : "", "family" : "Storey", "given" : "John D", "non-dropping-particle" : "", "parse-names" : false, "suffix" : "" } ], "container-title" : "PLoS genetics", "id" : "ITEM-1", "issue" : "9", "issued" : { "date-parts" : [ [ "2007", "9" ] ] }, "page" : "1724-35", "title" : "Capturing heterogeneity in gene expression studies by surrogate variable analysis.", "type" : "article-journal", "volume" : "3" }, "uris" : [ "http://www.mendeley.com/documents/?uuid=153e80b0-a4be-4d7f-a784-a83ffd07eba7" ] } ], "mendeley" : { "formattedCitation" : "[1]", "plainTextFormattedCitation" : "[1]", "previouslyFormattedCitation" : "[1]" }, "properties" : { "noteIndex" : 0 }, "schema" : "https://github.com/citation-style-language/schema/raw/master/csl-citation.json" }</w:instrText>
      </w:r>
      <w:r w:rsidR="0092136B">
        <w:fldChar w:fldCharType="separate"/>
      </w:r>
      <w:r w:rsidR="00E7236C" w:rsidRPr="00E7236C">
        <w:rPr>
          <w:noProof/>
        </w:rPr>
        <w:t>[1]</w:t>
      </w:r>
      <w:r w:rsidR="0092136B">
        <w:fldChar w:fldCharType="end"/>
      </w:r>
      <w:r w:rsidR="0092136B">
        <w:t xml:space="preserve"> </w:t>
      </w:r>
      <w:r w:rsidR="00127CAD">
        <w:t>us</w:t>
      </w:r>
      <w:r w:rsidR="00880EF9">
        <w:t>es</w:t>
      </w:r>
      <w:r w:rsidR="0092136B">
        <w:t xml:space="preserve"> </w:t>
      </w:r>
      <w:r w:rsidR="00001A83">
        <w:t xml:space="preserve">a </w:t>
      </w:r>
      <w:r w:rsidR="00E7236C">
        <w:t xml:space="preserve">permutation-based </w:t>
      </w:r>
      <w:r w:rsidR="00ED2D9C">
        <w:t>method, initially</w:t>
      </w:r>
      <w:r w:rsidR="0070030E">
        <w:t xml:space="preserve"> described</w:t>
      </w:r>
      <w:r w:rsidR="00ED2D9C">
        <w:t xml:space="preserve"> by Buja and Eyuboglu </w:t>
      </w:r>
      <w:r w:rsidR="00ED2D9C">
        <w:fldChar w:fldCharType="begin" w:fldLock="1"/>
      </w:r>
      <w:r w:rsidR="003462DD">
        <w:instrText>ADDIN CSL_CITATION { "citationItems" : [ { "id" : "ITEM-1", "itemData" : { "DOI" : "10.1207/s15327906mbr2704_2", "ISBN" : "0027-3171", "ISSN" : "0027-3171", "abstract" : "We investigate parallel analysis (PA), a selection rule for the number-of-factors problem, from the point of view of permutation assessment. The idea of applying permutation test ideas to PA leads to a quasi-inferential, non-parametric version of PA which accounts not only for finite-sample bias but sampling variability as well. We give evidence, however, that quasi-inferential PA based on normal random variates (as opposed to data permutations) is surprisingly independent of distributional assumptions, and enjoys therefore certain non- parametric properties as well. This is a justification for providing tables for quasi-inferential PA. Based on permutation theory, we compare PA of principal components with PA of principal factor analysis and show that PA of principal factors may tend to select too many factors. We also apply parallel analysis to so-called resistant correlations and give evidence that this yields a slightly more conservative factor selection method. Finally, we apply PA to loadings and show how this provides benchmark values for loadings which are sensitive to the number of variables, number of subjects, and order of factors. These values therefore improve on conventional fixed thresholds such as 0.5 or 0.8 which are used irrespective of the size of the data", "author" : [ { "dropping-particle" : "", "family" : "Buja", "given" : "Andreas", "non-dropping-particle" : "", "parse-names" : false, "suffix" : "" }, { "dropping-particle" : "", "family" : "Eyuboglu", "given" : "Nermin", "non-dropping-particle" : "", "parse-names" : false, "suffix" : "" } ], "container-title" : "Multivariate Behavioral Research", "id" : "ITEM-1", "issue" : "4", "issued" : { "date-parts" : [ [ "1992" ] ] }, "page" : "509-540", "title" : "Remarks on Parallel Analysis", "type" : "article", "volume" : "27" }, "uris" : [ "http://www.mendeley.com/documents/?uuid=c32bf57d-6c1f-405c-9886-f36b8d8b77e0" ] } ], "mendeley" : { "formattedCitation" : "[2]", "plainTextFormattedCitation" : "[2]", "previouslyFormattedCitation" : "[2]" }, "properties" : { "noteIndex" : 0 }, "schema" : "https://github.com/citation-style-language/schema/raw/master/csl-citation.json" }</w:instrText>
      </w:r>
      <w:r w:rsidR="00ED2D9C">
        <w:fldChar w:fldCharType="separate"/>
      </w:r>
      <w:r w:rsidR="00ED2D9C" w:rsidRPr="00ED2D9C">
        <w:rPr>
          <w:noProof/>
        </w:rPr>
        <w:t>[2]</w:t>
      </w:r>
      <w:r w:rsidR="00ED2D9C">
        <w:fldChar w:fldCharType="end"/>
      </w:r>
      <w:r w:rsidR="00880EF9">
        <w:t xml:space="preserve"> (‘</w:t>
      </w:r>
      <w:r w:rsidR="00D95EC6">
        <w:t>BE</w:t>
      </w:r>
      <w:r w:rsidR="00880EF9">
        <w:t xml:space="preserve">’ method, for sake of conciseness). </w:t>
      </w:r>
      <w:r w:rsidR="003462DD">
        <w:t xml:space="preserve">Successively, </w:t>
      </w:r>
      <w:r w:rsidR="00F22C5B">
        <w:t>L</w:t>
      </w:r>
      <w:r w:rsidR="00DC67A0">
        <w:t>eek proposed</w:t>
      </w:r>
      <w:r w:rsidR="00F22C5B">
        <w:t xml:space="preserve"> a different approach </w:t>
      </w:r>
      <w:r w:rsidR="007C4C4F">
        <w:t xml:space="preserve">for estimating </w:t>
      </w:r>
      <m:oMath>
        <m:r>
          <w:rPr>
            <w:rFonts w:ascii="Cambria Math" w:hAnsi="Cambria Math"/>
          </w:rPr>
          <m:t>K</m:t>
        </m:r>
      </m:oMath>
      <w:r w:rsidR="008F1ACD">
        <w:rPr>
          <w:rFonts w:eastAsiaTheme="minorEastAsia"/>
        </w:rPr>
        <w:t xml:space="preserve"> </w:t>
      </w:r>
      <w:r w:rsidR="008F1ACD">
        <w:t>(‘</w:t>
      </w:r>
      <w:r w:rsidR="00D95EC6">
        <w:t>L</w:t>
      </w:r>
      <w:r w:rsidR="008F1ACD">
        <w:t>eek’ method)</w:t>
      </w:r>
      <w:r w:rsidR="00F22C5B">
        <w:t>, based on the asymptotic properties of</w:t>
      </w:r>
      <w:r w:rsidR="00F22C5B" w:rsidRPr="00F22C5B">
        <w:t xml:space="preserve"> a conditional factor model for genomic</w:t>
      </w:r>
      <w:r w:rsidR="00F22C5B">
        <w:t xml:space="preserve"> data</w:t>
      </w:r>
      <w:r w:rsidR="00C5631C">
        <w:t xml:space="preserve"> </w:t>
      </w:r>
      <w:r w:rsidR="004E754B">
        <w:fldChar w:fldCharType="begin" w:fldLock="1"/>
      </w:r>
      <w:r w:rsidR="008F1ACD">
        <w:instrText>ADDIN CSL_CITATION { "citationItems" : [ { "id" : "ITEM-1", "itemData" : { "DOI" : "10.1111/j.1541-0420.2010.01455.x", "ISSN" : "0006341X", "PMID" : "20560929", "abstract" : "High-dimensional data, such as those obtained from a gene expression microarray or second generation sequencing experiment, consist of a large number of dependent features measured on a small number of samples. One of the key problems in genomics is the identification and estimation of factors that associate with many features simultaneously. Identifying the number of factors is also important for unsupervised statistical analyses such as hierarchical clustering. A conditional factor model is the most common model for many types of genomic data, ranging from gene expression, to single nucleotide polymorphisms, to methylation. Here we show that under a conditional factor model for genomic data with a fixed sample size, the right singular vectors are asymptotically consistent for the unobserved latent factors as the number of features diverges. We also propose a consistent estimator of the dimension of the underlying conditional factor model for a finite fixed sample size and an infinite number of features based on a scaled eigen-decomposition. We propose a practical approach for selection of the number of factors in real data sets, and we illustrate the utility of these results for capturing batch and other unmodeled effects in a microarray experiment using the dependence kernel approach of Leek and Storey (2008, Proceedings of the National Academy of Sciences of the United States of America 105, 18718-18723).", "author" : [ { "dropping-particle" : "", "family" : "Leek", "given" : "Jeffrey T.", "non-dropping-particle" : "", "parse-names" : false, "suffix" : "" } ], "container-title" : "Biometrics", "id" : "ITEM-1", "issue" : "2", "issued" : { "date-parts" : [ [ "2011" ] ] }, "page" : "344-352", "title" : "Asymptotic Conditional Singular Value Decomposition for High-Dimensional Genomic Data", "type" : "article-journal", "volume" : "67" }, "uris" : [ "http://www.mendeley.com/documents/?uuid=49368e0d-45d3-4280-9093-12a26c6994f2" ] } ], "mendeley" : { "formattedCitation" : "[3]", "plainTextFormattedCitation" : "[3]", "previouslyFormattedCitation" : "[3]" }, "properties" : { "noteIndex" : 0 }, "schema" : "https://github.com/citation-style-language/schema/raw/master/csl-citation.json" }</w:instrText>
      </w:r>
      <w:r w:rsidR="004E754B">
        <w:fldChar w:fldCharType="separate"/>
      </w:r>
      <w:r w:rsidR="004E754B" w:rsidRPr="004E754B">
        <w:rPr>
          <w:noProof/>
        </w:rPr>
        <w:t>[3]</w:t>
      </w:r>
      <w:r w:rsidR="004E754B">
        <w:fldChar w:fldCharType="end"/>
      </w:r>
      <w:r w:rsidR="00F22C5B">
        <w:t xml:space="preserve">. </w:t>
      </w:r>
    </w:p>
    <w:p w:rsidR="00947D7E" w:rsidRDefault="00567FEC" w:rsidP="00085482">
      <w:pPr>
        <w:jc w:val="both"/>
        <w:rPr>
          <w:rFonts w:eastAsiaTheme="minorEastAsia"/>
        </w:rPr>
      </w:pPr>
      <w:r>
        <w:rPr>
          <w:rFonts w:eastAsiaTheme="minorEastAsia"/>
        </w:rPr>
        <w:t>In  a recent publication</w:t>
      </w:r>
      <w:r w:rsidR="00F8496D">
        <w:rPr>
          <w:rFonts w:eastAsiaTheme="minorEastAsia"/>
        </w:rPr>
        <w:t xml:space="preserve"> </w:t>
      </w:r>
      <w:r w:rsidR="003462DD" w:rsidRPr="003462DD">
        <w:rPr>
          <w:rFonts w:eastAsiaTheme="minorEastAsia"/>
        </w:rPr>
        <w:t>Gagnon-Bartsch</w:t>
      </w:r>
      <w:r w:rsidR="003462DD">
        <w:rPr>
          <w:rFonts w:eastAsiaTheme="minorEastAsia"/>
        </w:rPr>
        <w:t xml:space="preserve"> and Speed </w:t>
      </w:r>
      <w:r w:rsidR="003462DD">
        <w:rPr>
          <w:rFonts w:eastAsiaTheme="minorEastAsia"/>
        </w:rPr>
        <w:fldChar w:fldCharType="begin" w:fldLock="1"/>
      </w:r>
      <w:r w:rsidR="008F1ACD">
        <w:rPr>
          <w:rFonts w:eastAsiaTheme="minorEastAsia"/>
        </w:rPr>
        <w:instrText>ADDIN CSL_CITATION { "citationItems" : [ { "id" : "ITEM-1", "itemData" : { "DOI" : "10.1093/biostatistics/kxr034", "ISBN" : "1468-4357 (Electronic)\\n1465-4644 (Linking)", "ISSN" : "14654644", "PMID" : "22101192", "abstract" : "Microarray expression studies suffer from the problem of batch effects and other unwanted variation. Many methods have been proposed to adjust microarray data to mitigate the problems of unwanted variation. Several of these methods rely on factor analysis to infer the unwanted variation from the data. A central problem with this approach is the difficulty in discerning the unwanted variation from the biological variation that is of interest to the researcher. We present a new method, intended for use in differential expression studies, that attempts to overcome this problem by restricting the factor analysis to negative control genes. Negative control genes are genes known a priori not to be differentially expressed with respect to the biological factor of interest. Variation in the expression levels of these genes can therefore be assumed to be unwanted variation. We name this method \"Remove Unwanted Variation, 2-step\" (RUV-2). We discuss various techniques for assessing the performance of an adjustment method and compare the performance of RUV-2 with that of other commonly used adjustment methods such as Combat and Surrogate Variable Analysis (SVA). We present several example studies, each concerning genes differentially expressed with respect to gender in the brain and find that RUV-2 performs as well or better than other methods. Finally, we discuss the possibility of adapting RUV-2 for use in studies not concerned with differential expression and conclude that there may be promise but substantial challenges remain.", "author" : [ { "dropping-particle" : "", "family" : "Gagnon-Bartsch", "given" : "Johann A.", "non-dropping-particle" : "", "parse-names" : false, "suffix" : "" }, { "dropping-particle" : "", "family" : "Speed", "given" : "Terence P.", "non-dropping-particle" : "", "parse-names" : false, "suffix" : "" } ], "container-title" : "Biostatistics", "id" : "ITEM-1", "issue" : "3", "issued" : { "date-parts" : [ [ "2012" ] ] }, "page" : "539-552", "title" : "Using control genes to correct for unwanted variation in microarray data", "type" : "article-journal", "volume" : "13" }, "uris" : [ "http://www.mendeley.com/documents/?uuid=befe1d99-e099-41f0-88da-0c5211a7bfc3" ] } ], "mendeley" : { "formattedCitation" : "[4]", "plainTextFormattedCitation" : "[4]", "previouslyFormattedCitation" : "[4]" }, "properties" : { "noteIndex" : 0 }, "schema" : "https://github.com/citation-style-language/schema/raw/master/csl-citation.json" }</w:instrText>
      </w:r>
      <w:r w:rsidR="003462DD">
        <w:rPr>
          <w:rFonts w:eastAsiaTheme="minorEastAsia"/>
        </w:rPr>
        <w:fldChar w:fldCharType="separate"/>
      </w:r>
      <w:r w:rsidR="004E754B" w:rsidRPr="004E754B">
        <w:rPr>
          <w:rFonts w:eastAsiaTheme="minorEastAsia"/>
          <w:noProof/>
        </w:rPr>
        <w:t>[4]</w:t>
      </w:r>
      <w:r w:rsidR="003462DD">
        <w:rPr>
          <w:rFonts w:eastAsiaTheme="minorEastAsia"/>
        </w:rPr>
        <w:fldChar w:fldCharType="end"/>
      </w:r>
      <w:r w:rsidR="00BA7707">
        <w:rPr>
          <w:rFonts w:eastAsiaTheme="minorEastAsia"/>
        </w:rPr>
        <w:t xml:space="preserve"> suggest</w:t>
      </w:r>
      <w:r w:rsidR="00F900D9">
        <w:rPr>
          <w:rFonts w:eastAsiaTheme="minorEastAsia"/>
        </w:rPr>
        <w:t>ed</w:t>
      </w:r>
      <w:r w:rsidR="00947D7E">
        <w:rPr>
          <w:rFonts w:eastAsiaTheme="minorEastAsia"/>
        </w:rPr>
        <w:t xml:space="preserve"> that batch-effects should be estimated </w:t>
      </w:r>
      <w:r w:rsidR="00B8313A">
        <w:rPr>
          <w:rFonts w:eastAsiaTheme="minorEastAsia"/>
        </w:rPr>
        <w:t xml:space="preserve">solely </w:t>
      </w:r>
      <w:r w:rsidR="00947D7E">
        <w:rPr>
          <w:rFonts w:eastAsiaTheme="minorEastAsia"/>
        </w:rPr>
        <w:t xml:space="preserve">from </w:t>
      </w:r>
      <w:r w:rsidR="00B8313A">
        <w:rPr>
          <w:rFonts w:eastAsiaTheme="minorEastAsia"/>
        </w:rPr>
        <w:t xml:space="preserve">control </w:t>
      </w:r>
      <w:r w:rsidR="00947D7E">
        <w:rPr>
          <w:rFonts w:eastAsiaTheme="minorEastAsia"/>
        </w:rPr>
        <w:t>genes</w:t>
      </w:r>
      <w:r w:rsidR="00B8313A">
        <w:rPr>
          <w:rFonts w:eastAsiaTheme="minorEastAsia"/>
        </w:rPr>
        <w:t>, i.e., those genes</w:t>
      </w:r>
      <w:r w:rsidR="00947D7E">
        <w:rPr>
          <w:rFonts w:eastAsiaTheme="minorEastAsia"/>
        </w:rPr>
        <w:t xml:space="preserve"> whose expression is not expected to </w:t>
      </w:r>
      <w:r w:rsidR="00DC25BA">
        <w:rPr>
          <w:rFonts w:eastAsiaTheme="minorEastAsia"/>
        </w:rPr>
        <w:t xml:space="preserve">vary </w:t>
      </w:r>
      <w:r w:rsidR="00947D7E">
        <w:rPr>
          <w:rFonts w:eastAsiaTheme="minorEastAsia"/>
        </w:rPr>
        <w:t>across the experimental conditions</w:t>
      </w:r>
      <w:r w:rsidR="00B8313A" w:rsidRPr="00B8313A">
        <w:rPr>
          <w:rFonts w:eastAsiaTheme="minorEastAsia"/>
        </w:rPr>
        <w:t xml:space="preserve"> </w:t>
      </w:r>
      <w:r w:rsidR="00B8313A">
        <w:rPr>
          <w:rFonts w:eastAsiaTheme="minorEastAsia"/>
        </w:rPr>
        <w:t>investigated in the study</w:t>
      </w:r>
      <w:r w:rsidR="00947D7E">
        <w:rPr>
          <w:rFonts w:eastAsiaTheme="minorEastAsia"/>
        </w:rPr>
        <w:t>. Any systematic vari</w:t>
      </w:r>
      <w:r w:rsidR="000D780C">
        <w:rPr>
          <w:rFonts w:eastAsiaTheme="minorEastAsia"/>
        </w:rPr>
        <w:t>ation in these genes should</w:t>
      </w:r>
      <w:r w:rsidR="00947D7E">
        <w:rPr>
          <w:rFonts w:eastAsiaTheme="minorEastAsia"/>
        </w:rPr>
        <w:t xml:space="preserve"> </w:t>
      </w:r>
      <w:r w:rsidR="005F3D3C">
        <w:rPr>
          <w:rFonts w:eastAsiaTheme="minorEastAsia"/>
        </w:rPr>
        <w:t xml:space="preserve">be </w:t>
      </w:r>
      <w:r w:rsidR="00947D7E">
        <w:rPr>
          <w:rFonts w:eastAsiaTheme="minorEastAsia"/>
        </w:rPr>
        <w:t xml:space="preserve">due to </w:t>
      </w:r>
      <w:r w:rsidR="00001A83">
        <w:rPr>
          <w:rFonts w:eastAsiaTheme="minorEastAsia"/>
        </w:rPr>
        <w:t>bat</w:t>
      </w:r>
      <w:r w:rsidR="000D780C">
        <w:rPr>
          <w:rFonts w:eastAsiaTheme="minorEastAsia"/>
        </w:rPr>
        <w:t>ch-effects or other</w:t>
      </w:r>
      <w:r w:rsidR="00001A83">
        <w:rPr>
          <w:rFonts w:eastAsiaTheme="minorEastAsia"/>
        </w:rPr>
        <w:t xml:space="preserve"> unknown confounding factors. </w:t>
      </w:r>
      <w:r w:rsidR="00F8626D">
        <w:rPr>
          <w:rFonts w:eastAsiaTheme="minorEastAsia"/>
        </w:rPr>
        <w:t>The Supervised SVA (SSVA)</w:t>
      </w:r>
      <w:r w:rsidR="00C35DF5">
        <w:rPr>
          <w:rFonts w:eastAsiaTheme="minorEastAsia"/>
        </w:rPr>
        <w:t xml:space="preserve"> </w:t>
      </w:r>
      <w:r w:rsidR="0095145B">
        <w:rPr>
          <w:rFonts w:eastAsiaTheme="minorEastAsia"/>
        </w:rPr>
        <w:t xml:space="preserve">employs this principle and estimates the surrogate variables from </w:t>
      </w:r>
      <w:r w:rsidR="00CD27FE">
        <w:rPr>
          <w:rFonts w:eastAsiaTheme="minorEastAsia"/>
        </w:rPr>
        <w:t>control genes</w:t>
      </w:r>
      <w:r w:rsidR="00C83F50">
        <w:rPr>
          <w:rFonts w:eastAsiaTheme="minorEastAsia"/>
        </w:rPr>
        <w:t xml:space="preserve"> only</w:t>
      </w:r>
      <w:r w:rsidR="00CD27FE">
        <w:rPr>
          <w:rFonts w:eastAsiaTheme="minorEastAsia"/>
        </w:rPr>
        <w:t xml:space="preserve"> </w:t>
      </w:r>
      <w:r w:rsidR="00E26556">
        <w:rPr>
          <w:rFonts w:eastAsiaTheme="minorEastAsia"/>
        </w:rPr>
        <w:fldChar w:fldCharType="begin" w:fldLock="1"/>
      </w:r>
      <w:r w:rsidR="008F1ACD">
        <w:rPr>
          <w:rFonts w:eastAsiaTheme="minorEastAsia"/>
        </w:rPr>
        <w:instrText>ADDIN CSL_CITATION { "citationItems" : [ { "id" : "ITEM-1", "itemData" : { "DOI" : "10.1093/nar/gku864", "ISSN" : "1362-4962", "PMID" : "25294822", "abstract" : "It is now known that unwanted noise and unmodeled artifacts such as batch effects can dramatically reduce the accuracy of statistical inference in genomic experiments. These sources of noise must be modeled and removed to accurately measure biological variability and to obtain correct statistical inference when performing high-throughput genomic analysis. We introduced surrogate variable analysis (sva) for estimating these artifacts by (i) identifying the part of the genomic data only affected by artifacts and (ii) estimating the artifacts with principal components or singular vectors of the subset of the data matrix. The resulting estimates of artifacts can be used in subsequent analyses as adjustment factors to correct analyses. Here I describe a version of the sva approach specifically created for count data or FPKMs from sequencing experiments based on appropriate data transformation. I also describe the addition of supervised sva (ssva) for using control probes to identify the part of the genomic data only affected by artifacts. I present a comparison between these versions of sva and other methods for batch effect estimation on simulated data, real count-based data and FPKM-based data. These updates are available through the sva Bioconductor package and I have made fully reproducible analysis using these methods available from: https://github.com/jtleek/svaseq.", "author" : [ { "dropping-particle" : "", "family" : "Leek", "given" : "Jeffrey T", "non-dropping-particle" : "", "parse-names" : false, "suffix" : "" } ], "container-title" : "Nucleic acids research", "id" : "ITEM-1", "issue" : "21", "issued" : { "date-parts" : [ [ "2014", "12", "1" ] ] }, "page" : "gku864-", "title" : "svaseq: removing batch effects and other unwanted noise from sequencing data.", "type" : "article-journal", "volume" : "42" }, "uris" : [ "http://www.mendeley.com/documents/?uuid=4b2d0dab-b177-4e6f-8a9d-2a7fd3e4b1b3" ] } ], "mendeley" : { "formattedCitation" : "[5]", "plainTextFormattedCitation" : "[5]", "previouslyFormattedCitation" : "[5]" }, "properties" : { "noteIndex" : 0 }, "schema" : "https://github.com/citation-style-language/schema/raw/master/csl-citation.json" }</w:instrText>
      </w:r>
      <w:r w:rsidR="00E26556">
        <w:rPr>
          <w:rFonts w:eastAsiaTheme="minorEastAsia"/>
        </w:rPr>
        <w:fldChar w:fldCharType="separate"/>
      </w:r>
      <w:r w:rsidR="004E754B" w:rsidRPr="004E754B">
        <w:rPr>
          <w:rFonts w:eastAsiaTheme="minorEastAsia"/>
          <w:noProof/>
        </w:rPr>
        <w:t>[5]</w:t>
      </w:r>
      <w:r w:rsidR="00E26556">
        <w:rPr>
          <w:rFonts w:eastAsiaTheme="minorEastAsia"/>
        </w:rPr>
        <w:fldChar w:fldCharType="end"/>
      </w:r>
      <w:r w:rsidR="008F1ACD">
        <w:rPr>
          <w:rFonts w:eastAsiaTheme="minorEastAsia"/>
        </w:rPr>
        <w:t xml:space="preserve">. </w:t>
      </w:r>
    </w:p>
    <w:p w:rsidR="00E02089" w:rsidRPr="002E77EF" w:rsidRDefault="002E77EF" w:rsidP="002E77EF">
      <w:pPr>
        <w:pStyle w:val="Heading1"/>
      </w:pPr>
      <w:r>
        <w:lastRenderedPageBreak/>
        <w:t>Adapting SVA for network reconstruction tasks</w:t>
      </w:r>
    </w:p>
    <w:p w:rsidR="004F4D9F" w:rsidRDefault="00085482" w:rsidP="00085482">
      <w:pPr>
        <w:jc w:val="both"/>
        <w:rPr>
          <w:rFonts w:eastAsiaTheme="minorEastAsia"/>
        </w:rPr>
      </w:pPr>
      <w:r w:rsidRPr="00BA5C1A">
        <w:t xml:space="preserve">To </w:t>
      </w:r>
      <w:r>
        <w:t>the best of our knowledge, no previous study applied SVA on</w:t>
      </w:r>
      <w:r w:rsidR="004A7351">
        <w:t xml:space="preserve"> </w:t>
      </w:r>
      <w:r>
        <w:t>network reconstruction</w:t>
      </w:r>
      <w:r w:rsidR="00AD2CD2">
        <w:t xml:space="preserve"> tasks</w:t>
      </w:r>
      <w:r w:rsidR="00CD1F50">
        <w:t xml:space="preserve">. We </w:t>
      </w:r>
      <w:r w:rsidR="00FB5CEE">
        <w:t xml:space="preserve">propose two </w:t>
      </w:r>
      <w:r w:rsidR="00C12A90">
        <w:t>modification</w:t>
      </w:r>
      <w:r w:rsidR="00E5320A">
        <w:t>s</w:t>
      </w:r>
      <w:r w:rsidR="00055E6F">
        <w:t xml:space="preserve"> for adapting the</w:t>
      </w:r>
      <w:r w:rsidR="00C12A90">
        <w:t xml:space="preserve"> SVA model</w:t>
      </w:r>
      <w:r w:rsidR="00055E6F">
        <w:t xml:space="preserve"> to</w:t>
      </w:r>
      <w:r w:rsidR="004F4D9F">
        <w:t xml:space="preserve"> the </w:t>
      </w:r>
      <w:r w:rsidR="00075FE1">
        <w:t xml:space="preserve">particular </w:t>
      </w:r>
      <w:r w:rsidR="004F4D9F">
        <w:t xml:space="preserve">scenario </w:t>
      </w:r>
      <w:r w:rsidR="00FB5CEE">
        <w:t xml:space="preserve">in which </w:t>
      </w:r>
      <w:r w:rsidR="00B65850">
        <w:t>the</w:t>
      </w:r>
      <w:r w:rsidR="00197EE2">
        <w:t xml:space="preserve"> local regulatory network of </w:t>
      </w:r>
      <w:r w:rsidR="00563BE3">
        <w:t xml:space="preserve">the </w:t>
      </w:r>
      <w:r w:rsidR="00780945">
        <w:rPr>
          <w:rFonts w:eastAsiaTheme="minorEastAsia"/>
        </w:rPr>
        <w:t>transcription factor</w:t>
      </w:r>
      <w:r w:rsidR="00FB5CEE" w:rsidRPr="00085482">
        <w:rPr>
          <w:rFonts w:eastAsiaTheme="minorEastAsia"/>
        </w:rPr>
        <w:t xml:space="preserve">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FB5CEE">
        <w:rPr>
          <w:rFonts w:eastAsiaTheme="minorEastAsia"/>
        </w:rPr>
        <w:t xml:space="preserve"> </w:t>
      </w:r>
      <w:r w:rsidR="002949ED">
        <w:rPr>
          <w:rFonts w:eastAsiaTheme="minorEastAsia"/>
        </w:rPr>
        <w:t>must</w:t>
      </w:r>
      <w:r w:rsidR="00C4268C">
        <w:rPr>
          <w:rFonts w:eastAsiaTheme="minorEastAsia"/>
        </w:rPr>
        <w:t xml:space="preserve"> </w:t>
      </w:r>
      <w:r w:rsidR="001419D9">
        <w:rPr>
          <w:rFonts w:eastAsiaTheme="minorEastAsia"/>
        </w:rPr>
        <w:t xml:space="preserve">be reconstructed </w:t>
      </w:r>
      <w:r w:rsidR="00F14F7B">
        <w:rPr>
          <w:rFonts w:eastAsiaTheme="minorEastAsia"/>
        </w:rPr>
        <w:t>from</w:t>
      </w:r>
      <w:r w:rsidR="003F6A56">
        <w:rPr>
          <w:rFonts w:eastAsiaTheme="minorEastAsia"/>
        </w:rPr>
        <w:t xml:space="preserve"> </w:t>
      </w:r>
      <w:r w:rsidR="00F0364A">
        <w:rPr>
          <w:rFonts w:eastAsiaTheme="minorEastAsia"/>
        </w:rPr>
        <w:t>gene</w:t>
      </w:r>
      <w:r w:rsidR="00F14F7B">
        <w:rPr>
          <w:rFonts w:eastAsiaTheme="minorEastAsia"/>
        </w:rPr>
        <w:t xml:space="preserve"> </w:t>
      </w:r>
      <w:r w:rsidR="001419D9">
        <w:rPr>
          <w:rFonts w:eastAsiaTheme="minorEastAsia"/>
        </w:rPr>
        <w:t xml:space="preserve">expression </w:t>
      </w:r>
      <w:r w:rsidR="009E4A0E">
        <w:rPr>
          <w:rFonts w:eastAsiaTheme="minorEastAsia"/>
        </w:rPr>
        <w:t>data:</w:t>
      </w:r>
    </w:p>
    <w:p w:rsidR="00B66879" w:rsidRPr="00B66879" w:rsidRDefault="00B806C1" w:rsidP="00085482">
      <w:pPr>
        <w:pStyle w:val="ListParagraph"/>
        <w:numPr>
          <w:ilvl w:val="0"/>
          <w:numId w:val="2"/>
        </w:numPr>
        <w:jc w:val="both"/>
      </w:pPr>
      <w:r w:rsidRPr="00B806C1">
        <w:rPr>
          <w:rFonts w:eastAsiaTheme="minorEastAsia"/>
          <w:b/>
        </w:rPr>
        <w:t>Modification 1:</w:t>
      </w:r>
      <w:r>
        <w:rPr>
          <w:rFonts w:eastAsiaTheme="minorEastAsia"/>
        </w:rPr>
        <w:t xml:space="preserve"> </w:t>
      </w:r>
      <w:r w:rsidR="00BC6C17">
        <w:rPr>
          <w:rFonts w:eastAsiaTheme="minorEastAsia"/>
        </w:rPr>
        <w:t>gene-regulatory networks usually have a scale-free topology, meaning that the large majority of the genes interacts only with few others</w:t>
      </w:r>
      <w:r w:rsidR="00BC6C17" w:rsidRPr="00BC6C17">
        <w:rPr>
          <w:rFonts w:eastAsiaTheme="minorEastAsia"/>
        </w:rPr>
        <w:t xml:space="preserve"> </w:t>
      </w:r>
      <w:r w:rsidR="00BC6C17">
        <w:rPr>
          <w:rFonts w:eastAsiaTheme="minorEastAsia"/>
        </w:rPr>
        <w:fldChar w:fldCharType="begin" w:fldLock="1"/>
      </w:r>
      <w:r w:rsidR="006859E1">
        <w:rPr>
          <w:rFonts w:eastAsiaTheme="minorEastAsia"/>
        </w:rPr>
        <w:instrText>ADDIN CSL_CITATION { "citationItems" : [ { "id" : "ITEM-1", "itemData" : { "DOI" : "10.1038/ng1844", "ISBN" : "1061-4036 (Print)\\n1061-4036 (Linking)", "ISSN" : "1061-4036", "PMID" : "16845399", "abstract" : "Most heritable traits, including disease susceptibility, are affected by interactions between multiple genes. However, we understand little about how genes interact because very few possible genetic interactions have been explored experimentally. We have used RNA interference in Caenorhabditis elegans to systematically test approximately 65,000 pairs of genes for their ability to interact genetically. We identify approximately 350 genetic interactions between genes functioning in signaling pathways that are mutated in human diseases, including components of the EGF/Ras, Notch and Wnt pathways. Most notably, we identify a class of highly connected 'hub' genes: inactivation of these genes can enhance the phenotypic consequences of mutation of many different genes. These hub genes all encode chromatin regulators, and their activity as genetic hubs seems to be conserved across animals. We propose that these genes function as general buffers of genetic variation and that these hub genes may act as modifier genes in multiple, mechanistically unrelated genetic diseases in humans.", "author" : [ { "dropping-particle" : "", "family" : "Lehner", "given" : "Ben", "non-dropping-particle" : "", "parse-names" : false, "suffix" : "" }, { "dropping-particle" : "", "family" : "Crombie", "given" : "Catriona", "non-dropping-particle" : "", "parse-names" : false, "suffix" : "" }, { "dropping-particle" : "", "family" : "Tischler", "given" : "Julia", "non-dropping-particle" : "", "parse-names" : false, "suffix" : "" }, { "dropping-particle" : "", "family" : "Fortunato", "given" : "Angelo", "non-dropping-particle" : "", "parse-names" : false, "suffix" : "" }, { "dropping-particle" : "", "family" : "Fraser", "given" : "Andrew G", "non-dropping-particle" : "", "parse-names" : false, "suffix" : "" } ], "container-title" : "Nature genetics", "id" : "ITEM-1", "issue" : "8", "issued" : { "date-parts" : [ [ "2006" ] ] }, "page" : "896-903", "title" : "Systematic mapping of genetic interactions in Caenorhabditis elegans identifies common modifiers of diverse signaling pathways.", "type" : "article-journal", "volume" : "38" }, "uris" : [ "http://www.mendeley.com/documents/?uuid=37624cfd-15d1-43a4-bddb-2c009b4ac966" ] } ], "mendeley" : { "formattedCitation" : "[6]", "plainTextFormattedCitation" : "[6]", "previouslyFormattedCitation" : "[6]" }, "properties" : { "noteIndex" : 0 }, "schema" : "https://github.com/citation-style-language/schema/raw/master/csl-citation.json" }</w:instrText>
      </w:r>
      <w:r w:rsidR="00BC6C17">
        <w:rPr>
          <w:rFonts w:eastAsiaTheme="minorEastAsia"/>
        </w:rPr>
        <w:fldChar w:fldCharType="separate"/>
      </w:r>
      <w:r w:rsidR="00BC6C17" w:rsidRPr="00BC6C17">
        <w:rPr>
          <w:rFonts w:eastAsiaTheme="minorEastAsia"/>
          <w:noProof/>
        </w:rPr>
        <w:t>[6]</w:t>
      </w:r>
      <w:r w:rsidR="00BC6C17">
        <w:rPr>
          <w:rFonts w:eastAsiaTheme="minorEastAsia"/>
        </w:rPr>
        <w:fldChar w:fldCharType="end"/>
      </w:r>
      <w:r w:rsidR="00BC6C17">
        <w:rPr>
          <w:rFonts w:eastAsiaTheme="minorEastAsia"/>
        </w:rPr>
        <w:t xml:space="preserve">. </w:t>
      </w:r>
      <w:r w:rsidR="00996EC5">
        <w:rPr>
          <w:rFonts w:eastAsiaTheme="minorEastAsia"/>
        </w:rPr>
        <w:t>It</w:t>
      </w:r>
      <w:r w:rsidR="00C03DAF">
        <w:rPr>
          <w:rFonts w:eastAsiaTheme="minorEastAsia"/>
        </w:rPr>
        <w:t xml:space="preserve"> is</w:t>
      </w:r>
      <w:r w:rsidR="00996EC5">
        <w:rPr>
          <w:rFonts w:eastAsiaTheme="minorEastAsia"/>
        </w:rPr>
        <w:t xml:space="preserve"> thus </w:t>
      </w:r>
      <w:r w:rsidR="00C03DAF">
        <w:rPr>
          <w:rFonts w:eastAsiaTheme="minorEastAsia"/>
        </w:rPr>
        <w:t>reasonable to</w:t>
      </w:r>
      <w:r w:rsidR="00EB759B">
        <w:rPr>
          <w:rFonts w:eastAsiaTheme="minorEastAsia"/>
        </w:rPr>
        <w:t xml:space="preserve"> assume </w:t>
      </w:r>
      <w:r w:rsidR="0078301D">
        <w:rPr>
          <w:rFonts w:eastAsiaTheme="minorEastAsia"/>
        </w:rPr>
        <w:t xml:space="preserve">that </w:t>
      </w:r>
      <w:r w:rsidR="00C03DAF">
        <w:rPr>
          <w:rFonts w:eastAsiaTheme="minorEastAsia"/>
        </w:rPr>
        <w:t xml:space="preserve">each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C03DAF">
        <w:t xml:space="preserve"> has a significant effect only on a restricted subset of gen</w:t>
      </w:r>
      <w:r w:rsidR="00D80044">
        <w:t>es</w:t>
      </w:r>
      <w:r w:rsidR="00BC6C17">
        <w:t>, and that</w:t>
      </w:r>
      <w:r w:rsidR="00C03DAF">
        <w:rPr>
          <w:rFonts w:eastAsiaTheme="minorEastAsia"/>
        </w:rPr>
        <w:t xml:space="preserve"> all major systematic variations present in the data </w:t>
      </w:r>
      <w:r w:rsidR="00D80044">
        <w:rPr>
          <w:rFonts w:eastAsiaTheme="minorEastAsia"/>
        </w:rPr>
        <w:t>should be</w:t>
      </w:r>
      <w:r w:rsidR="00C03DAF">
        <w:rPr>
          <w:rFonts w:eastAsiaTheme="minorEastAsia"/>
        </w:rPr>
        <w:t xml:space="preserve"> due to </w:t>
      </w:r>
      <w:r w:rsidR="00D80044">
        <w:rPr>
          <w:rFonts w:eastAsiaTheme="minorEastAsia"/>
        </w:rPr>
        <w:t>experimental factors, batch-effects or</w:t>
      </w:r>
      <w:r w:rsidR="00C03DAF">
        <w:rPr>
          <w:rFonts w:eastAsiaTheme="minorEastAsia"/>
        </w:rPr>
        <w:t xml:space="preserve"> confounding factors. </w:t>
      </w:r>
      <w:r w:rsidR="00BC6C17">
        <w:rPr>
          <w:rFonts w:eastAsiaTheme="minorEastAsia"/>
        </w:rPr>
        <w:t xml:space="preserve">Consequently, for the data collections used in this study </w:t>
      </w:r>
      <w:r w:rsidR="0078301D">
        <w:rPr>
          <w:rFonts w:eastAsiaTheme="minorEastAsia"/>
        </w:rPr>
        <w:t xml:space="preserve">the SVA model becomes:  </w:t>
      </w:r>
      <m:oMath>
        <m:sSub>
          <m:sSubPr>
            <m:ctrlPr>
              <w:rPr>
                <w:rFonts w:ascii="Cambria Math" w:hAnsi="Cambria Math"/>
                <w:i/>
              </w:rPr>
            </m:ctrlPr>
          </m:sSubPr>
          <m:e>
            <m:r>
              <w:rPr>
                <w:rFonts w:ascii="Cambria Math" w:hAnsi="Cambria Math"/>
              </w:rPr>
              <m:t>y</m:t>
            </m:r>
          </m:e>
          <m:sub>
            <m:r>
              <w:rPr>
                <w:rFonts w:ascii="Cambria Math" w:hAnsi="Cambria Math"/>
              </w:rPr>
              <m:t>sj</m:t>
            </m:r>
          </m:sub>
        </m:sSub>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j</m:t>
            </m:r>
          </m:sub>
        </m:sSub>
        <m:r>
          <m:rPr>
            <m:sty m:val="p"/>
          </m:rPr>
          <w:rPr>
            <w:rFonts w:ascii="Cambria Math" w:hAnsi="Cambria Math"/>
          </w:rPr>
          <m:t>+</m:t>
        </m:r>
        <m:nary>
          <m:naryPr>
            <m:chr m:val="∑"/>
            <m:supHide m:val="1"/>
            <m:ctrlPr>
              <w:rPr>
                <w:rFonts w:ascii="Cambria Math" w:hAnsi="Cambria Math"/>
              </w:rPr>
            </m:ctrlPr>
          </m:naryPr>
          <m:sub>
            <m:r>
              <m:rPr>
                <m:sty m:val="p"/>
              </m:rPr>
              <w:rPr>
                <w:rFonts w:ascii="Cambria Math" w:hAnsi="Cambria Math"/>
              </w:rPr>
              <m:t>k</m:t>
            </m:r>
          </m:sub>
          <m:sup/>
          <m:e>
            <m:sSub>
              <m:sSubPr>
                <m:ctrlPr>
                  <w:rPr>
                    <w:rFonts w:ascii="Cambria Math" w:hAnsi="Cambria Math"/>
                    <w:i/>
                  </w:rPr>
                </m:ctrlPr>
              </m:sSubPr>
              <m:e>
                <m:r>
                  <w:rPr>
                    <w:rFonts w:ascii="Cambria Math" w:hAnsi="Cambria Math"/>
                  </w:rPr>
                  <m:t>γ</m:t>
                </m:r>
              </m:e>
              <m:sub>
                <m:r>
                  <w:rPr>
                    <w:rFonts w:ascii="Cambria Math" w:hAnsi="Cambria Math"/>
                  </w:rPr>
                  <m:t>jk</m:t>
                </m:r>
              </m:sub>
            </m:sSub>
            <m:sSub>
              <m:sSubPr>
                <m:ctrlPr>
                  <w:rPr>
                    <w:rFonts w:ascii="Cambria Math" w:hAnsi="Cambria Math"/>
                    <w:i/>
                  </w:rPr>
                </m:ctrlPr>
              </m:sSubPr>
              <m:e>
                <m:r>
                  <w:rPr>
                    <w:rFonts w:ascii="Cambria Math" w:hAnsi="Cambria Math"/>
                  </w:rPr>
                  <m:t>g</m:t>
                </m:r>
              </m:e>
              <m:sub>
                <m:r>
                  <w:rPr>
                    <w:rFonts w:ascii="Cambria Math" w:hAnsi="Cambria Math"/>
                  </w:rPr>
                  <m:t>ks</m:t>
                </m:r>
              </m:sub>
            </m:sSub>
          </m:e>
        </m:nary>
        <m:r>
          <m:rPr>
            <m:sty m:val="p"/>
          </m:rP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sj</m:t>
            </m:r>
          </m:sub>
        </m:sSub>
      </m:oMath>
      <w:r w:rsidR="0078301D">
        <w:rPr>
          <w:rFonts w:eastAsiaTheme="minorEastAsia"/>
        </w:rPr>
        <w:t>.</w:t>
      </w:r>
      <w:r w:rsidR="00C13201">
        <w:rPr>
          <w:rFonts w:eastAsiaTheme="minorEastAsia"/>
        </w:rPr>
        <w:t xml:space="preserve"> </w:t>
      </w:r>
      <w:r w:rsidR="003E3A5D">
        <w:rPr>
          <w:rFonts w:eastAsiaTheme="minorEastAsia"/>
        </w:rPr>
        <w:t>From a</w:t>
      </w:r>
      <w:r w:rsidR="005F505F">
        <w:rPr>
          <w:rFonts w:eastAsiaTheme="minorEastAsia"/>
        </w:rPr>
        <w:t xml:space="preserve"> computational perspective t</w:t>
      </w:r>
      <w:r w:rsidR="0078301D">
        <w:rPr>
          <w:rFonts w:eastAsiaTheme="minorEastAsia"/>
        </w:rPr>
        <w:t>his formulation is equivalent to estimate the surrogate variables by applying SVD to the original data matrix after having centered each gene around its mean.</w:t>
      </w:r>
    </w:p>
    <w:p w:rsidR="00F121B8" w:rsidRPr="00676D88" w:rsidRDefault="00B806C1" w:rsidP="00730FB0">
      <w:pPr>
        <w:pStyle w:val="ListParagraph"/>
        <w:numPr>
          <w:ilvl w:val="0"/>
          <w:numId w:val="2"/>
        </w:numPr>
        <w:jc w:val="both"/>
      </w:pPr>
      <w:r w:rsidRPr="00B806C1">
        <w:rPr>
          <w:b/>
        </w:rPr>
        <w:t>Modification 2:</w:t>
      </w:r>
      <w:r w:rsidR="00C24FCA">
        <w:t xml:space="preserve"> </w:t>
      </w:r>
      <w:r w:rsidR="00D53763">
        <w:t xml:space="preserve">if it is reasonable to </w:t>
      </w:r>
      <w:r w:rsidR="00CD6406">
        <w:t xml:space="preserve">assume that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D53763">
        <w:t xml:space="preserve"> has a relevant</w:t>
      </w:r>
      <w:r w:rsidR="00CD6406">
        <w:t xml:space="preserve"> eff</w:t>
      </w:r>
      <w:r w:rsidR="004F398B">
        <w:t>ect</w:t>
      </w:r>
      <w:r w:rsidR="00EB35C4">
        <w:t xml:space="preserve"> </w:t>
      </w:r>
      <w:r w:rsidR="000F49EC">
        <w:t xml:space="preserve">on </w:t>
      </w:r>
      <w:r w:rsidR="00EB35C4">
        <w:t xml:space="preserve">a </w:t>
      </w:r>
      <w:r w:rsidR="004F398B">
        <w:t xml:space="preserve">large </w:t>
      </w:r>
      <w:r w:rsidR="00D53763">
        <w:t>portion</w:t>
      </w:r>
      <w:r w:rsidR="003D7D37">
        <w:t xml:space="preserve"> of</w:t>
      </w:r>
      <w:r w:rsidR="00D53763">
        <w:t xml:space="preserve"> genes, </w:t>
      </w:r>
      <w:r w:rsidR="00C03DAF">
        <w:t>it may</w:t>
      </w:r>
      <w:r w:rsidR="004128F0">
        <w:t xml:space="preserve"> be preferable</w:t>
      </w:r>
      <w:r w:rsidR="004F0EB9">
        <w:t xml:space="preserve"> to estimate the surrogate variables on the residuals left after subtracting the effect of </w:t>
      </w:r>
      <m:oMath>
        <m:r>
          <m:rPr>
            <m:sty m:val="p"/>
          </m:rPr>
          <w:rPr>
            <w:rFonts w:ascii="Cambria Math" w:eastAsiaTheme="minorEastAsia" w:hAnsi="Cambria Math"/>
          </w:rPr>
          <m:t>T</m:t>
        </m:r>
        <m:sSub>
          <m:sSubPr>
            <m:ctrlPr>
              <w:rPr>
                <w:rFonts w:ascii="Cambria Math" w:eastAsiaTheme="minorEastAsia" w:hAnsi="Cambria Math"/>
              </w:rPr>
            </m:ctrlPr>
          </m:sSubPr>
          <m:e>
            <m:r>
              <m:rPr>
                <m:sty m:val="p"/>
              </m:rPr>
              <w:rPr>
                <w:rFonts w:ascii="Cambria Math" w:eastAsiaTheme="minorEastAsia" w:hAnsi="Cambria Math"/>
              </w:rPr>
              <m:t>F</m:t>
            </m:r>
          </m:e>
          <m:sub>
            <m:r>
              <m:rPr>
                <m:sty m:val="p"/>
              </m:rPr>
              <w:rPr>
                <w:rFonts w:ascii="Cambria Math" w:eastAsiaTheme="minorEastAsia" w:hAnsi="Cambria Math"/>
              </w:rPr>
              <m:t>i</m:t>
            </m:r>
          </m:sub>
        </m:sSub>
      </m:oMath>
      <w:r w:rsidR="008A2C95">
        <w:rPr>
          <w:rFonts w:eastAsiaTheme="minorEastAsia"/>
        </w:rPr>
        <w:t xml:space="preserve"> from all</w:t>
      </w:r>
      <w:r w:rsidR="004F0EB9">
        <w:rPr>
          <w:rFonts w:eastAsiaTheme="minorEastAsia"/>
        </w:rPr>
        <w:t xml:space="preserve"> other gene</w:t>
      </w:r>
      <w:r w:rsidR="008A2C95">
        <w:rPr>
          <w:rFonts w:eastAsiaTheme="minorEastAsia"/>
        </w:rPr>
        <w:t>s</w:t>
      </w:r>
      <w:r w:rsidR="004F0EB9">
        <w:rPr>
          <w:rFonts w:eastAsiaTheme="minorEastAsia"/>
        </w:rPr>
        <w:t xml:space="preserve">. </w:t>
      </w:r>
      <w:r w:rsidR="00C03DAF">
        <w:rPr>
          <w:rFonts w:eastAsiaTheme="minorEastAsia"/>
        </w:rPr>
        <w:t>T</w:t>
      </w:r>
      <w:r w:rsidR="009E4A0E">
        <w:t xml:space="preserve">he </w:t>
      </w:r>
      <w:r w:rsidR="00085482">
        <w:t xml:space="preserve">SVA model </w:t>
      </w:r>
      <w:r w:rsidR="005F22AD">
        <w:t xml:space="preserve">should </w:t>
      </w:r>
      <w:r w:rsidR="00C03DAF">
        <w:t xml:space="preserve">then </w:t>
      </w:r>
      <w:r w:rsidR="005F22AD">
        <w:t>be modified as</w:t>
      </w:r>
      <w:r w:rsidR="009E4A0E">
        <w:t xml:space="preserve"> follows</w:t>
      </w:r>
      <w:r w:rsidR="00085482">
        <w:t xml:space="preserve">: </w:t>
      </w:r>
      <m:oMath>
        <m:sSub>
          <m:sSubPr>
            <m:ctrlPr>
              <w:rPr>
                <w:rFonts w:ascii="Cambria Math" w:hAnsi="Cambria Math"/>
                <w:i/>
              </w:rPr>
            </m:ctrlPr>
          </m:sSubPr>
          <m:e>
            <m:r>
              <w:rPr>
                <w:rFonts w:ascii="Cambria Math" w:hAnsi="Cambria Math"/>
              </w:rPr>
              <m:t>y</m:t>
            </m:r>
          </m:e>
          <m:sub>
            <m:r>
              <w:rPr>
                <w:rFonts w:ascii="Cambria Math" w:hAnsi="Cambria Math"/>
              </w:rPr>
              <m:t>sj</m:t>
            </m:r>
          </m:sub>
        </m:sSub>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TF</m:t>
            </m:r>
          </m:e>
          <m:sub>
            <m:r>
              <w:rPr>
                <w:rFonts w:ascii="Cambria Math" w:hAnsi="Cambria Math"/>
              </w:rPr>
              <m:t>si</m:t>
            </m:r>
          </m:sub>
        </m:sSub>
        <m:r>
          <m:rPr>
            <m:sty m:val="p"/>
          </m:rPr>
          <w:rPr>
            <w:rFonts w:ascii="Cambria Math" w:hAnsi="Cambria Math"/>
          </w:rPr>
          <m:t>+</m:t>
        </m:r>
        <m:nary>
          <m:naryPr>
            <m:chr m:val="∑"/>
            <m:supHide m:val="1"/>
            <m:ctrlPr>
              <w:rPr>
                <w:rFonts w:ascii="Cambria Math" w:hAnsi="Cambria Math"/>
              </w:rPr>
            </m:ctrlPr>
          </m:naryPr>
          <m:sub>
            <m:r>
              <m:rPr>
                <m:sty m:val="p"/>
              </m:rPr>
              <w:rPr>
                <w:rFonts w:ascii="Cambria Math" w:hAnsi="Cambria Math"/>
              </w:rPr>
              <m:t>k</m:t>
            </m:r>
          </m:sub>
          <m:sup/>
          <m:e>
            <m:sSub>
              <m:sSubPr>
                <m:ctrlPr>
                  <w:rPr>
                    <w:rFonts w:ascii="Cambria Math" w:hAnsi="Cambria Math"/>
                    <w:i/>
                  </w:rPr>
                </m:ctrlPr>
              </m:sSubPr>
              <m:e>
                <m:r>
                  <w:rPr>
                    <w:rFonts w:ascii="Cambria Math" w:hAnsi="Cambria Math"/>
                  </w:rPr>
                  <m:t>γ</m:t>
                </m:r>
              </m:e>
              <m:sub>
                <m:r>
                  <w:rPr>
                    <w:rFonts w:ascii="Cambria Math" w:hAnsi="Cambria Math"/>
                  </w:rPr>
                  <m:t>jk</m:t>
                </m:r>
              </m:sub>
            </m:sSub>
            <m:sSub>
              <m:sSubPr>
                <m:ctrlPr>
                  <w:rPr>
                    <w:rFonts w:ascii="Cambria Math" w:hAnsi="Cambria Math"/>
                    <w:i/>
                  </w:rPr>
                </m:ctrlPr>
              </m:sSubPr>
              <m:e>
                <m:r>
                  <w:rPr>
                    <w:rFonts w:ascii="Cambria Math" w:hAnsi="Cambria Math"/>
                  </w:rPr>
                  <m:t>g</m:t>
                </m:r>
              </m:e>
              <m:sub>
                <m:r>
                  <w:rPr>
                    <w:rFonts w:ascii="Cambria Math" w:hAnsi="Cambria Math"/>
                  </w:rPr>
                  <m:t>ks</m:t>
                </m:r>
              </m:sub>
            </m:sSub>
          </m:e>
        </m:nary>
        <m:r>
          <m:rPr>
            <m:sty m:val="p"/>
          </m:rP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sj</m:t>
            </m:r>
          </m:sub>
        </m:sSub>
      </m:oMath>
      <w:r w:rsidR="00085482" w:rsidRPr="009E4A0E">
        <w:rPr>
          <w:rFonts w:eastAsiaTheme="minorEastAsia"/>
        </w:rPr>
        <w:t xml:space="preserve">, where </w:t>
      </w:r>
      <m:oMath>
        <m:sSub>
          <m:sSubPr>
            <m:ctrlPr>
              <w:rPr>
                <w:rFonts w:ascii="Cambria Math" w:hAnsi="Cambria Math"/>
              </w:rPr>
            </m:ctrlPr>
          </m:sSubPr>
          <m:e>
            <m:r>
              <m:rPr>
                <m:sty m:val="p"/>
              </m:rPr>
              <w:rPr>
                <w:rFonts w:ascii="Cambria Math" w:hAnsi="Cambria Math"/>
              </w:rPr>
              <m:t>TF</m:t>
            </m:r>
          </m:e>
          <m:sub>
            <m:r>
              <w:rPr>
                <w:rFonts w:ascii="Cambria Math" w:hAnsi="Cambria Math"/>
              </w:rPr>
              <m:t>si</m:t>
            </m:r>
          </m:sub>
        </m:sSub>
      </m:oMath>
      <w:r w:rsidR="00085482" w:rsidRPr="009E4A0E">
        <w:rPr>
          <w:rFonts w:eastAsiaTheme="minorEastAsia"/>
        </w:rPr>
        <w:t xml:space="preserve"> is the expression value of </w:t>
      </w:r>
      <w:r w:rsidR="00780945">
        <w:rPr>
          <w:rFonts w:eastAsiaTheme="minorEastAsia"/>
        </w:rPr>
        <w:t>transcription factor</w:t>
      </w:r>
      <w:r w:rsidR="00085482" w:rsidRPr="009E4A0E">
        <w:rPr>
          <w:rFonts w:eastAsiaTheme="minorEastAsia"/>
        </w:rPr>
        <w:t xml:space="preserve">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085482" w:rsidRPr="009E4A0E">
        <w:rPr>
          <w:rFonts w:eastAsiaTheme="minorEastAsia"/>
        </w:rPr>
        <w:t xml:space="preserve"> in sample </w:t>
      </w:r>
      <m:oMath>
        <m:r>
          <w:rPr>
            <w:rFonts w:ascii="Cambria Math" w:eastAsiaTheme="minorEastAsia" w:hAnsi="Cambria Math"/>
          </w:rPr>
          <m:t>s</m:t>
        </m:r>
      </m:oMath>
      <w:r w:rsidR="00085482" w:rsidRPr="009E4A0E">
        <w:rPr>
          <w:rFonts w:eastAsiaTheme="minorEastAsia"/>
        </w:rPr>
        <w:t xml:space="preserve">. </w:t>
      </w:r>
      <w:r w:rsidR="00730FB0">
        <w:rPr>
          <w:rFonts w:eastAsiaTheme="minorEastAsia"/>
        </w:rPr>
        <w:t xml:space="preserve">Two interesting notes about this formulation: (a) since we focus on the local regulatory network of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BA6A83">
        <w:rPr>
          <w:rFonts w:eastAsiaTheme="minorEastAsia"/>
        </w:rPr>
        <w:t>, any regulatory mechanism</w:t>
      </w:r>
      <w:r w:rsidR="00730FB0">
        <w:rPr>
          <w:rFonts w:eastAsiaTheme="minorEastAsia"/>
        </w:rPr>
        <w:t xml:space="preserve"> not </w:t>
      </w:r>
      <w:r w:rsidR="00BA6A83">
        <w:rPr>
          <w:rFonts w:eastAsiaTheme="minorEastAsia"/>
        </w:rPr>
        <w:t xml:space="preserve">directly </w:t>
      </w:r>
      <w:r w:rsidR="00730FB0">
        <w:rPr>
          <w:rFonts w:eastAsiaTheme="minorEastAsia"/>
        </w:rPr>
        <w:t xml:space="preserve">involving </w:t>
      </w:r>
      <m:oMath>
        <m:sSub>
          <m:sSubPr>
            <m:ctrlPr>
              <w:rPr>
                <w:rFonts w:ascii="Cambria Math" w:hAnsi="Cambria Math"/>
              </w:rPr>
            </m:ctrlPr>
          </m:sSubPr>
          <m:e>
            <m:r>
              <m:rPr>
                <m:sty m:val="p"/>
              </m:rPr>
              <w:rPr>
                <w:rFonts w:ascii="Cambria Math" w:hAnsi="Cambria Math"/>
              </w:rPr>
              <m:t>TF</m:t>
            </m:r>
          </m:e>
          <m:sub>
            <m:r>
              <w:rPr>
                <w:rFonts w:ascii="Cambria Math" w:hAnsi="Cambria Math"/>
              </w:rPr>
              <m:t>i</m:t>
            </m:r>
          </m:sub>
        </m:sSub>
      </m:oMath>
      <w:r w:rsidR="00730FB0">
        <w:rPr>
          <w:rFonts w:eastAsiaTheme="minorEastAsia"/>
        </w:rPr>
        <w:t xml:space="preserve"> can be thought as </w:t>
      </w:r>
      <w:r w:rsidR="00BA6A83">
        <w:rPr>
          <w:rFonts w:eastAsiaTheme="minorEastAsia"/>
        </w:rPr>
        <w:t>a confounding factor</w:t>
      </w:r>
      <w:r w:rsidR="00730FB0">
        <w:rPr>
          <w:rFonts w:eastAsiaTheme="minorEastAsia"/>
        </w:rPr>
        <w:t>; (b)</w:t>
      </w:r>
      <w:r w:rsidR="00381AD5">
        <w:rPr>
          <w:rFonts w:eastAsiaTheme="minorEastAsia"/>
        </w:rPr>
        <w:t xml:space="preserve"> in this setting</w:t>
      </w:r>
      <w:r w:rsidR="006743A6">
        <w:rPr>
          <w:rFonts w:eastAsiaTheme="minorEastAsia"/>
        </w:rPr>
        <w:t xml:space="preserve"> </w:t>
      </w:r>
      <w:r w:rsidR="009328CC">
        <w:rPr>
          <w:rFonts w:eastAsiaTheme="minorEastAsia"/>
        </w:rPr>
        <w:t xml:space="preserve">a separate </w:t>
      </w:r>
      <w:r w:rsidR="00085482" w:rsidRPr="009E4A0E">
        <w:rPr>
          <w:rFonts w:eastAsiaTheme="minorEastAsia"/>
        </w:rPr>
        <w:t xml:space="preserve">set of surrogate variables </w:t>
      </w:r>
      <w:r w:rsidR="009328CC">
        <w:rPr>
          <w:rFonts w:eastAsiaTheme="minorEastAsia"/>
        </w:rPr>
        <w:t xml:space="preserve">must be estimated </w:t>
      </w:r>
      <w:r w:rsidR="006743A6">
        <w:rPr>
          <w:rFonts w:eastAsiaTheme="minorEastAsia"/>
        </w:rPr>
        <w:t xml:space="preserve">for </w:t>
      </w:r>
      <w:r w:rsidR="009328CC">
        <w:rPr>
          <w:rFonts w:eastAsiaTheme="minorEastAsia"/>
        </w:rPr>
        <w:t xml:space="preserve">each </w:t>
      </w:r>
      <w:r w:rsidR="00780945">
        <w:rPr>
          <w:rFonts w:eastAsiaTheme="minorEastAsia"/>
        </w:rPr>
        <w:t>transcription factor</w:t>
      </w:r>
      <w:r w:rsidR="006743A6">
        <w:rPr>
          <w:rFonts w:eastAsiaTheme="minorEastAsia"/>
        </w:rPr>
        <w:t>.</w:t>
      </w:r>
    </w:p>
    <w:p w:rsidR="00062CC9" w:rsidRDefault="00447C7A" w:rsidP="00062CC9">
      <w:pPr>
        <w:jc w:val="both"/>
      </w:pPr>
      <w:r>
        <w:t xml:space="preserve">Since </w:t>
      </w:r>
      <w:r w:rsidR="001C63CF">
        <w:t>it</w:t>
      </w:r>
      <w:r>
        <w:t xml:space="preserve"> is not </w:t>
      </w:r>
      <w:r w:rsidR="004A581D">
        <w:t xml:space="preserve">simple </w:t>
      </w:r>
      <w:r w:rsidR="001C63CF">
        <w:t xml:space="preserve">to decide a priori </w:t>
      </w:r>
      <w:r w:rsidR="00CA3835">
        <w:t>which modification</w:t>
      </w:r>
      <w:r w:rsidR="004A581D">
        <w:t xml:space="preserve"> </w:t>
      </w:r>
      <w:r w:rsidR="00CA3835">
        <w:t xml:space="preserve">should </w:t>
      </w:r>
      <w:r w:rsidR="001C63CF">
        <w:t>provide the best results</w:t>
      </w:r>
      <w:r w:rsidR="004A581D">
        <w:t xml:space="preserve">, we </w:t>
      </w:r>
      <w:r w:rsidR="008B6A30">
        <w:t>contrast them over the E. Coli and Yeast data coll</w:t>
      </w:r>
      <w:r w:rsidR="00570B4E">
        <w:t>ection</w:t>
      </w:r>
      <w:r w:rsidR="00FD75FC">
        <w:t>s</w:t>
      </w:r>
      <w:r w:rsidR="00570B4E">
        <w:t xml:space="preserve"> described in the main manuscript. </w:t>
      </w:r>
      <w:r w:rsidR="00BA66DD">
        <w:t>Unfortunately, along with deciding which</w:t>
      </w:r>
      <w:r w:rsidR="003A66AD">
        <w:t xml:space="preserve"> modification to use</w:t>
      </w:r>
      <w:r w:rsidR="00E90E49">
        <w:t xml:space="preserve">, </w:t>
      </w:r>
      <w:r w:rsidR="00F14C98">
        <w:t>there are</w:t>
      </w:r>
      <w:r w:rsidR="00DE3E8C">
        <w:t xml:space="preserve"> </w:t>
      </w:r>
      <w:r w:rsidR="00F14C98">
        <w:t>a few more algorithmic choices that must be taken i</w:t>
      </w:r>
      <w:r w:rsidR="004A04B7">
        <w:t>n order to apply SVA on ge</w:t>
      </w:r>
      <w:r w:rsidR="005B7E82">
        <w:t>ne-network reconstruction tasks</w:t>
      </w:r>
      <w:r w:rsidR="00062CC9">
        <w:t>:</w:t>
      </w:r>
    </w:p>
    <w:p w:rsidR="0010456A" w:rsidRDefault="000C327D" w:rsidP="000C327D">
      <w:pPr>
        <w:pStyle w:val="ListParagraph"/>
        <w:numPr>
          <w:ilvl w:val="0"/>
          <w:numId w:val="3"/>
        </w:numPr>
        <w:jc w:val="both"/>
      </w:pPr>
      <w:r>
        <w:rPr>
          <w:b/>
        </w:rPr>
        <w:t xml:space="preserve">Method for computing </w:t>
      </w:r>
      <m:oMath>
        <m:r>
          <m:rPr>
            <m:sty m:val="bi"/>
          </m:rPr>
          <w:rPr>
            <w:rFonts w:ascii="Cambria Math" w:hAnsi="Cambria Math"/>
          </w:rPr>
          <m:t>K</m:t>
        </m:r>
      </m:oMath>
      <w:r>
        <w:rPr>
          <w:rFonts w:eastAsiaTheme="minorEastAsia"/>
        </w:rPr>
        <w:t>:</w:t>
      </w:r>
      <w:r>
        <w:t xml:space="preserve"> both modifications above can be</w:t>
      </w:r>
      <w:r w:rsidR="00D67518">
        <w:t xml:space="preserve"> paired </w:t>
      </w:r>
      <w:r w:rsidR="00E71935">
        <w:t xml:space="preserve">with </w:t>
      </w:r>
      <w:r w:rsidR="002C2CCE">
        <w:t xml:space="preserve">either </w:t>
      </w:r>
      <w:r w:rsidR="00E71935">
        <w:t xml:space="preserve">the </w:t>
      </w:r>
      <w:r w:rsidR="00016ACC">
        <w:t>BE</w:t>
      </w:r>
      <w:r w:rsidR="00E71935">
        <w:t xml:space="preserve"> </w:t>
      </w:r>
      <w:r w:rsidR="0085426E">
        <w:t>or</w:t>
      </w:r>
      <w:r w:rsidR="00E71935">
        <w:t xml:space="preserve"> </w:t>
      </w:r>
      <w:r w:rsidR="00016ACC">
        <w:t>Leek</w:t>
      </w:r>
      <w:r w:rsidR="0085426E">
        <w:t xml:space="preserve"> method</w:t>
      </w:r>
      <w:r w:rsidR="00E71935">
        <w:t xml:space="preserve"> for </w:t>
      </w:r>
      <w:r w:rsidR="004004C0">
        <w:t xml:space="preserve">computing the number </w:t>
      </w:r>
      <m:oMath>
        <m:r>
          <w:rPr>
            <w:rFonts w:ascii="Cambria Math" w:hAnsi="Cambria Math"/>
          </w:rPr>
          <m:t>K</m:t>
        </m:r>
      </m:oMath>
      <w:r w:rsidR="00E71935">
        <w:t xml:space="preserve"> </w:t>
      </w:r>
      <w:r w:rsidR="0010456A">
        <w:t>of surrogate variables.</w:t>
      </w:r>
    </w:p>
    <w:p w:rsidR="00676D88" w:rsidRDefault="00E03526" w:rsidP="000C327D">
      <w:pPr>
        <w:pStyle w:val="ListParagraph"/>
        <w:numPr>
          <w:ilvl w:val="0"/>
          <w:numId w:val="3"/>
        </w:numPr>
        <w:jc w:val="both"/>
      </w:pPr>
      <w:r w:rsidRPr="0037559F">
        <w:rPr>
          <w:b/>
        </w:rPr>
        <w:t>Initial data matrix</w:t>
      </w:r>
      <w:r>
        <w:t xml:space="preserve">: </w:t>
      </w:r>
      <w:r w:rsidR="00EA72DD">
        <w:t xml:space="preserve">SVA </w:t>
      </w:r>
      <w:r w:rsidR="00272B8D">
        <w:t xml:space="preserve">can be applied alone or in conjunction with other </w:t>
      </w:r>
      <w:r w:rsidR="00667F71">
        <w:t xml:space="preserve">batch-effect removal methods. In the first case, </w:t>
      </w:r>
      <w:r w:rsidR="004C6254">
        <w:t xml:space="preserve">SVA is applied on the </w:t>
      </w:r>
      <w:r w:rsidR="000D06BD">
        <w:t>dataset</w:t>
      </w:r>
      <w:r w:rsidR="004C6254">
        <w:t xml:space="preserve"> obtained by </w:t>
      </w:r>
      <w:r w:rsidR="00EF2643">
        <w:t xml:space="preserve">pooling together </w:t>
      </w:r>
      <w:r w:rsidR="00B1470A">
        <w:t xml:space="preserve">the </w:t>
      </w:r>
      <w:r w:rsidR="0083276E">
        <w:t xml:space="preserve">data from each single study (i.e., the </w:t>
      </w:r>
      <w:r w:rsidR="0031226E">
        <w:t xml:space="preserve">data </w:t>
      </w:r>
      <w:r w:rsidR="0083276E">
        <w:t>matrix resulting from the ‘</w:t>
      </w:r>
      <w:r w:rsidR="001D56FF">
        <w:t>No-c</w:t>
      </w:r>
      <w:r w:rsidR="0083276E">
        <w:t xml:space="preserve">orrection’ approach). </w:t>
      </w:r>
      <w:r w:rsidR="009F2086">
        <w:t xml:space="preserve">In the latter case, SVA can be applied to the dataset provided by any other batch-effect removal method. We chose the </w:t>
      </w:r>
      <w:r w:rsidR="00BF05A7">
        <w:t>RMA-Combat method for our experimentations.</w:t>
      </w:r>
    </w:p>
    <w:p w:rsidR="0037559F" w:rsidRDefault="00857844" w:rsidP="000C327D">
      <w:pPr>
        <w:pStyle w:val="ListParagraph"/>
        <w:numPr>
          <w:ilvl w:val="0"/>
          <w:numId w:val="3"/>
        </w:numPr>
        <w:jc w:val="both"/>
      </w:pPr>
      <w:r w:rsidRPr="00857844">
        <w:rPr>
          <w:b/>
        </w:rPr>
        <w:t>Gene set</w:t>
      </w:r>
      <w:r>
        <w:t xml:space="preserve">: </w:t>
      </w:r>
      <w:r w:rsidR="00B806C1">
        <w:t xml:space="preserve">SVA </w:t>
      </w:r>
      <w:r w:rsidR="00111252">
        <w:t xml:space="preserve">can be applied on either the whole set of </w:t>
      </w:r>
      <w:r w:rsidR="00080328">
        <w:t>genes</w:t>
      </w:r>
      <w:r w:rsidR="00111252">
        <w:t xml:space="preserve"> or </w:t>
      </w:r>
      <w:r w:rsidR="004430B0">
        <w:t>on</w:t>
      </w:r>
      <w:r w:rsidR="00410834">
        <w:t xml:space="preserve"> the control genes</w:t>
      </w:r>
      <w:r w:rsidR="006C4A0A">
        <w:t xml:space="preserve"> only</w:t>
      </w:r>
      <w:r w:rsidR="00301FD8">
        <w:t>. In our experimentations we identify the latter with</w:t>
      </w:r>
      <w:r w:rsidR="00410834">
        <w:t xml:space="preserve"> the Affymetrix “control probesets”. </w:t>
      </w:r>
      <w:r w:rsidR="00301FD8">
        <w:t>These probesets are designed in order to match RNA sequences that are not supposed to be produced by the organism target</w:t>
      </w:r>
      <w:r w:rsidR="00BF2799">
        <w:t>ed</w:t>
      </w:r>
      <w:r w:rsidR="00301FD8">
        <w:t xml:space="preserve"> by the specific Affymetrix array. </w:t>
      </w:r>
      <w:r w:rsidR="00BB35D0">
        <w:t>T</w:t>
      </w:r>
      <w:r w:rsidR="00A56AAA">
        <w:t xml:space="preserve">he </w:t>
      </w:r>
      <w:r w:rsidR="004E3C86">
        <w:t xml:space="preserve">expression </w:t>
      </w:r>
      <w:r w:rsidR="000F31A0">
        <w:t xml:space="preserve">levels </w:t>
      </w:r>
      <w:r w:rsidR="004E3C86">
        <w:t xml:space="preserve">detected </w:t>
      </w:r>
      <w:r w:rsidR="00D0393E">
        <w:t xml:space="preserve">by </w:t>
      </w:r>
      <w:r w:rsidR="000F31A0">
        <w:t>these probeset should be due exclusively to random noise or technological artifacts, for example batch-effects.</w:t>
      </w:r>
    </w:p>
    <w:p w:rsidR="00FB7CD4" w:rsidRDefault="00540649" w:rsidP="005C74C0">
      <w:pPr>
        <w:jc w:val="both"/>
      </w:pPr>
      <w:r>
        <w:t xml:space="preserve">We </w:t>
      </w:r>
      <w:r w:rsidR="000F31A0">
        <w:t>devised several version</w:t>
      </w:r>
      <w:r w:rsidR="00DC74AD">
        <w:t>s</w:t>
      </w:r>
      <w:r w:rsidR="000F31A0">
        <w:t xml:space="preserve"> of “network-reconstruction SVA”</w:t>
      </w:r>
      <w:r w:rsidR="00D95B20">
        <w:t xml:space="preserve">, corresponding to all possible configurations given by </w:t>
      </w:r>
      <w:r w:rsidR="00DC74AD">
        <w:t>the ab</w:t>
      </w:r>
      <w:r w:rsidR="00D95B20">
        <w:t xml:space="preserve">ove factors. </w:t>
      </w:r>
      <w:r w:rsidR="00FB2E56">
        <w:fldChar w:fldCharType="begin"/>
      </w:r>
      <w:r w:rsidR="00FB2E56">
        <w:instrText xml:space="preserve"> REF _Ref427625127 \h </w:instrText>
      </w:r>
      <w:r w:rsidR="00FB2E56">
        <w:fldChar w:fldCharType="separate"/>
      </w:r>
      <w:r w:rsidR="00FB2E56">
        <w:t xml:space="preserve">Table </w:t>
      </w:r>
      <w:r w:rsidR="00FB2E56">
        <w:rPr>
          <w:noProof/>
        </w:rPr>
        <w:t>1</w:t>
      </w:r>
      <w:r w:rsidR="00FB2E56">
        <w:fldChar w:fldCharType="end"/>
      </w:r>
      <w:r w:rsidR="00F350F2">
        <w:t xml:space="preserve"> </w:t>
      </w:r>
      <w:r w:rsidR="001918EE">
        <w:t xml:space="preserve">summarizes all </w:t>
      </w:r>
      <w:r w:rsidR="0056191C">
        <w:t>16</w:t>
      </w:r>
      <w:r w:rsidR="00671E90">
        <w:t xml:space="preserve"> version</w:t>
      </w:r>
      <w:r w:rsidR="00FB2E56">
        <w:t>s</w:t>
      </w:r>
      <w:r w:rsidR="0056191C">
        <w:t xml:space="preserve"> (SVA-1 to SVA-16</w:t>
      </w:r>
      <w:r w:rsidR="00671E90">
        <w:t>).</w:t>
      </w:r>
      <w:r w:rsidR="009D0065">
        <w:t xml:space="preserve"> </w:t>
      </w:r>
    </w:p>
    <w:p w:rsidR="00FB7CD4" w:rsidRDefault="00FB7CD4" w:rsidP="001833DA">
      <w:pPr>
        <w:pStyle w:val="Caption"/>
        <w:keepNext/>
        <w:jc w:val="both"/>
      </w:pPr>
      <w:bookmarkStart w:id="0" w:name="_Ref427625127"/>
      <w:r>
        <w:lastRenderedPageBreak/>
        <w:t xml:space="preserve">Table </w:t>
      </w:r>
      <w:r w:rsidR="0001286C">
        <w:fldChar w:fldCharType="begin"/>
      </w:r>
      <w:r w:rsidR="0001286C">
        <w:instrText xml:space="preserve"> SEQ Table \* ARABIC </w:instrText>
      </w:r>
      <w:r w:rsidR="0001286C">
        <w:fldChar w:fldCharType="separate"/>
      </w:r>
      <w:r w:rsidR="004B56F5">
        <w:rPr>
          <w:noProof/>
        </w:rPr>
        <w:t>1</w:t>
      </w:r>
      <w:r w:rsidR="0001286C">
        <w:rPr>
          <w:noProof/>
        </w:rPr>
        <w:fldChar w:fldCharType="end"/>
      </w:r>
      <w:bookmarkEnd w:id="0"/>
      <w:r>
        <w:t xml:space="preserve">: </w:t>
      </w:r>
      <w:r w:rsidR="00DB7B2B">
        <w:t>“</w:t>
      </w:r>
      <w:r w:rsidR="00DD3BEB">
        <w:t xml:space="preserve">Network-Reconstruction SVA” versions that can be implemented according </w:t>
      </w:r>
      <w:r w:rsidR="00DB7B2B">
        <w:t>to the specific algorithmic</w:t>
      </w:r>
      <w:r w:rsidR="00DD3BEB">
        <w:t xml:space="preserve"> choices</w:t>
      </w:r>
      <w:r w:rsidR="00AF2688">
        <w:t xml:space="preserve">. </w:t>
      </w:r>
      <w:r w:rsidR="002E69C9">
        <w:t xml:space="preserve">The versions are progressively numbered from SVA-1 to SVA-16, and differ according to their respective SVA model modification, method for computing the number K of surrogate variables, the initial data matrix provided to SVA as input, and the gene set used for estimating </w:t>
      </w:r>
      <w:r w:rsidR="00044BF5">
        <w:t xml:space="preserve">the surrogate variables. </w:t>
      </w:r>
      <w:r w:rsidR="00F93997">
        <w:t>See the text for</w:t>
      </w:r>
      <w:r w:rsidR="002E69C9">
        <w:t xml:space="preserve"> detailed description</w:t>
      </w:r>
      <w:r w:rsidR="007442EE">
        <w:t>s.</w:t>
      </w:r>
    </w:p>
    <w:tbl>
      <w:tblPr>
        <w:tblStyle w:val="GridTable3-Accent11"/>
        <w:tblW w:w="7735" w:type="dxa"/>
        <w:jc w:val="center"/>
        <w:tblLook w:val="04A0" w:firstRow="1" w:lastRow="0" w:firstColumn="1" w:lastColumn="0" w:noHBand="0" w:noVBand="1"/>
      </w:tblPr>
      <w:tblGrid>
        <w:gridCol w:w="1325"/>
        <w:gridCol w:w="1432"/>
        <w:gridCol w:w="1505"/>
        <w:gridCol w:w="1497"/>
        <w:gridCol w:w="1976"/>
      </w:tblGrid>
      <w:tr w:rsidR="00C106CE" w:rsidTr="00C106C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325" w:type="dxa"/>
            <w:vAlign w:val="center"/>
            <w:hideMark/>
          </w:tcPr>
          <w:p w:rsidR="00C106CE" w:rsidRPr="00FB7CD4" w:rsidRDefault="00C106CE" w:rsidP="00867546">
            <w:pPr>
              <w:jc w:val="center"/>
              <w:rPr>
                <w:rFonts w:cstheme="minorBidi"/>
                <w:lang w:val="en-US"/>
              </w:rPr>
            </w:pPr>
            <w:r>
              <w:rPr>
                <w:rFonts w:ascii="Calibri" w:hAnsi="Calibri" w:cstheme="minorBidi"/>
                <w:color w:val="000000"/>
                <w:lang w:val="en-US"/>
              </w:rPr>
              <w:t>SVA version</w:t>
            </w:r>
          </w:p>
        </w:tc>
        <w:tc>
          <w:tcPr>
            <w:tcW w:w="1432" w:type="dxa"/>
            <w:tcBorders>
              <w:bottom w:val="single" w:sz="4" w:space="0" w:color="95B3D7" w:themeColor="accent1" w:themeTint="99"/>
            </w:tcBorders>
            <w:vAlign w:val="center"/>
            <w:hideMark/>
          </w:tcPr>
          <w:p w:rsidR="00C106CE" w:rsidRPr="00FB7CD4" w:rsidRDefault="00C106CE" w:rsidP="00867546">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lang w:val="en-US"/>
              </w:rPr>
            </w:pPr>
            <w:r>
              <w:rPr>
                <w:rFonts w:ascii="Calibri" w:hAnsi="Calibri" w:cstheme="minorBidi"/>
                <w:color w:val="000000"/>
                <w:lang w:val="en-US"/>
              </w:rPr>
              <w:t>SVA model modification</w:t>
            </w:r>
          </w:p>
        </w:tc>
        <w:tc>
          <w:tcPr>
            <w:tcW w:w="1505" w:type="dxa"/>
            <w:tcBorders>
              <w:bottom w:val="single" w:sz="4" w:space="0" w:color="95B3D7" w:themeColor="accent1" w:themeTint="99"/>
            </w:tcBorders>
            <w:vAlign w:val="center"/>
            <w:hideMark/>
          </w:tcPr>
          <w:p w:rsidR="00C106CE" w:rsidRPr="00FB7CD4" w:rsidRDefault="00C106CE" w:rsidP="00867546">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lang w:val="en-US"/>
              </w:rPr>
            </w:pPr>
            <w:r>
              <w:rPr>
                <w:rFonts w:ascii="Calibri" w:hAnsi="Calibri" w:cstheme="minorBidi"/>
                <w:color w:val="000000"/>
                <w:lang w:val="en-US"/>
              </w:rPr>
              <w:t>Method for computing K</w:t>
            </w:r>
          </w:p>
        </w:tc>
        <w:tc>
          <w:tcPr>
            <w:tcW w:w="1497" w:type="dxa"/>
            <w:tcBorders>
              <w:bottom w:val="single" w:sz="4" w:space="0" w:color="95B3D7" w:themeColor="accent1" w:themeTint="99"/>
            </w:tcBorders>
            <w:vAlign w:val="center"/>
            <w:hideMark/>
          </w:tcPr>
          <w:p w:rsidR="00C106CE" w:rsidRPr="00FB7CD4" w:rsidRDefault="00C106CE" w:rsidP="00867546">
            <w:pPr>
              <w:jc w:val="center"/>
              <w:cnfStyle w:val="100000000000" w:firstRow="1" w:lastRow="0" w:firstColumn="0" w:lastColumn="0" w:oddVBand="0" w:evenVBand="0" w:oddHBand="0" w:evenHBand="0" w:firstRowFirstColumn="0" w:firstRowLastColumn="0" w:lastRowFirstColumn="0" w:lastRowLastColumn="0"/>
              <w:rPr>
                <w:rFonts w:cstheme="minorBidi"/>
                <w:lang w:val="en-US"/>
              </w:rPr>
            </w:pPr>
            <w:r>
              <w:rPr>
                <w:rFonts w:ascii="Calibri" w:hAnsi="Calibri" w:cstheme="minorBidi"/>
                <w:color w:val="000000"/>
                <w:lang w:val="en-US"/>
              </w:rPr>
              <w:t>Initial Data Matrix</w:t>
            </w:r>
          </w:p>
        </w:tc>
        <w:tc>
          <w:tcPr>
            <w:tcW w:w="1976" w:type="dxa"/>
            <w:tcBorders>
              <w:bottom w:val="single" w:sz="4" w:space="0" w:color="95B3D7" w:themeColor="accent1" w:themeTint="99"/>
            </w:tcBorders>
            <w:vAlign w:val="center"/>
          </w:tcPr>
          <w:p w:rsidR="00C106CE" w:rsidRPr="00FB7CD4" w:rsidRDefault="00C106CE" w:rsidP="00867546">
            <w:pPr>
              <w:jc w:val="center"/>
              <w:cnfStyle w:val="100000000000" w:firstRow="1" w:lastRow="0" w:firstColumn="0" w:lastColumn="0" w:oddVBand="0" w:evenVBand="0" w:oddHBand="0" w:evenHBand="0" w:firstRowFirstColumn="0" w:firstRowLastColumn="0" w:lastRowFirstColumn="0" w:lastRowLastColumn="0"/>
              <w:rPr>
                <w:rFonts w:cstheme="minorBidi"/>
                <w:lang w:val="en-US"/>
              </w:rPr>
            </w:pPr>
            <w:r>
              <w:rPr>
                <w:rFonts w:ascii="Calibri" w:hAnsi="Calibri" w:cstheme="minorBidi"/>
                <w:color w:val="000000"/>
                <w:lang w:val="en-US"/>
              </w:rPr>
              <w:t>Gene set</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hideMark/>
          </w:tcPr>
          <w:p w:rsidR="00C106CE" w:rsidRDefault="00C106CE" w:rsidP="00867546">
            <w:pPr>
              <w:jc w:val="center"/>
              <w:rPr>
                <w:rFonts w:cstheme="minorBidi"/>
                <w:lang w:val="en-US"/>
              </w:rPr>
            </w:pPr>
            <w:r>
              <w:rPr>
                <w:rFonts w:cstheme="minorBidi"/>
                <w:lang w:val="en-US"/>
              </w:rPr>
              <w:t>SVA-1</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rsidR="00C106CE" w:rsidRDefault="00C106CE" w:rsidP="00867546">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rsidR="00C106CE" w:rsidRDefault="00C106CE" w:rsidP="00867546">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rsidR="00C106CE" w:rsidRPr="00BC08D6" w:rsidRDefault="00C106CE" w:rsidP="00867546">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867546">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hideMark/>
          </w:tcPr>
          <w:p w:rsidR="00C106CE" w:rsidRDefault="00C106CE" w:rsidP="00867546">
            <w:pPr>
              <w:jc w:val="center"/>
              <w:rPr>
                <w:rFonts w:cstheme="minorBidi"/>
                <w:lang w:val="en-US"/>
              </w:rPr>
            </w:pPr>
            <w:r>
              <w:rPr>
                <w:rFonts w:cstheme="minorBidi"/>
                <w:lang w:val="en-US"/>
              </w:rPr>
              <w:t>SVA-2</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rsidR="00C106CE" w:rsidRDefault="00C106CE" w:rsidP="00867546">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rsidR="00C106CE" w:rsidRDefault="00C106CE" w:rsidP="00867546">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867546">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867546">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rPr>
                <w:lang w:val="en-US"/>
              </w:rPr>
            </w:pPr>
            <w:r>
              <w:rPr>
                <w:rFonts w:cstheme="minorBidi"/>
                <w:lang w:val="en-US"/>
              </w:rPr>
              <w:t>SVA-3</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rPr>
                <w:lang w:val="en-US"/>
              </w:rPr>
            </w:pPr>
            <w:r>
              <w:rPr>
                <w:rFonts w:cstheme="minorBidi"/>
                <w:lang w:val="en-US"/>
              </w:rPr>
              <w:t>SVA-4</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SVA-5</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SVA-6</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SVA-7</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SVA-8</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SVA-9</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SVA-10</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SVA-11</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SVA-12</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rFonts w:cstheme="minorBidi"/>
                <w:lang w:val="en-US"/>
              </w:rPr>
              <w:t>BE</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SVA-13</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SVA-14</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No-c</w:t>
            </w:r>
            <w:r w:rsidRPr="00C07424">
              <w:rPr>
                <w:rFonts w:cstheme="minorBidi"/>
                <w:lang w:val="en-US"/>
              </w:rPr>
              <w:t>orrection</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r w:rsidR="00C106CE" w:rsidRPr="00BC08D6" w:rsidTr="00C106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SVA-15</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All probesets</w:t>
            </w:r>
          </w:p>
        </w:tc>
      </w:tr>
      <w:tr w:rsidR="00C106CE" w:rsidRPr="00BC08D6" w:rsidTr="00C106CE">
        <w:trPr>
          <w:jc w:val="center"/>
        </w:trPr>
        <w:tc>
          <w:tcPr>
            <w:cnfStyle w:val="001000000000" w:firstRow="0" w:lastRow="0" w:firstColumn="1" w:lastColumn="0" w:oddVBand="0" w:evenVBand="0" w:oddHBand="0" w:evenHBand="0" w:firstRowFirstColumn="0" w:firstRowLastColumn="0" w:lastRowFirstColumn="0" w:lastRowLastColumn="0"/>
            <w:tcW w:w="1325" w:type="dxa"/>
            <w:tcBorders>
              <w:top w:val="nil"/>
              <w:right w:val="single" w:sz="4" w:space="0" w:color="95B3D7" w:themeColor="accent1" w:themeTint="99"/>
            </w:tcBorders>
            <w:vAlign w:val="center"/>
          </w:tcPr>
          <w:p w:rsidR="00C106CE" w:rsidRPr="00C07424" w:rsidRDefault="00C106CE" w:rsidP="001E35F1">
            <w:pPr>
              <w:jc w:val="center"/>
            </w:pPr>
            <w:r>
              <w:rPr>
                <w:rFonts w:cstheme="minorBidi"/>
                <w:lang w:val="en-US"/>
              </w:rPr>
              <w:t>SVA-16</w:t>
            </w:r>
          </w:p>
        </w:tc>
        <w:tc>
          <w:tcPr>
            <w:tcW w:w="143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42735C" w:rsidRDefault="00C106CE" w:rsidP="001E35F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150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pPr>
            <w:r>
              <w:rPr>
                <w:rFonts w:cstheme="minorBidi"/>
                <w:lang w:val="en-US"/>
              </w:rPr>
              <w:t>Leek</w:t>
            </w:r>
          </w:p>
        </w:tc>
        <w:tc>
          <w:tcPr>
            <w:tcW w:w="149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C07424" w:rsidRDefault="00C106CE" w:rsidP="001E35F1">
            <w:pPr>
              <w:jc w:val="center"/>
              <w:cnfStyle w:val="000000000000" w:firstRow="0" w:lastRow="0" w:firstColumn="0" w:lastColumn="0" w:oddVBand="0" w:evenVBand="0" w:oddHBand="0" w:evenHBand="0" w:firstRowFirstColumn="0" w:firstRowLastColumn="0" w:lastRowFirstColumn="0" w:lastRowLastColumn="0"/>
              <w:rPr>
                <w:rFonts w:ascii="Verdana" w:hAnsi="Verdana"/>
                <w:color w:val="000000"/>
                <w:sz w:val="18"/>
                <w:szCs w:val="18"/>
                <w:shd w:val="clear" w:color="auto" w:fill="FFFFFF"/>
                <w:lang w:val="en-US"/>
              </w:rPr>
            </w:pPr>
            <w:r>
              <w:rPr>
                <w:rFonts w:cstheme="minorBidi"/>
                <w:lang w:val="en-US"/>
              </w:rPr>
              <w:t>RMA-Combat</w:t>
            </w:r>
          </w:p>
        </w:tc>
        <w:tc>
          <w:tcPr>
            <w:tcW w:w="19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C106CE" w:rsidRPr="00BC08D6" w:rsidRDefault="00C106CE" w:rsidP="001E35F1">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Control probesets</w:t>
            </w:r>
          </w:p>
        </w:tc>
      </w:tr>
    </w:tbl>
    <w:p w:rsidR="008A5A38" w:rsidRDefault="000177DD" w:rsidP="008A5A38">
      <w:pPr>
        <w:pStyle w:val="Heading1"/>
      </w:pPr>
      <w:r>
        <w:t>Contrasting</w:t>
      </w:r>
      <w:r w:rsidR="008A5A38">
        <w:t xml:space="preserve"> different SVA approaches </w:t>
      </w:r>
      <w:r>
        <w:t xml:space="preserve">for </w:t>
      </w:r>
      <w:r w:rsidR="00A44AB9">
        <w:t xml:space="preserve">retrieving </w:t>
      </w:r>
      <w:r w:rsidR="0078532D">
        <w:t>gene-gene interaction</w:t>
      </w:r>
      <w:r w:rsidR="00A44AB9">
        <w:t>s in expression data</w:t>
      </w:r>
    </w:p>
    <w:p w:rsidR="00C82EBE" w:rsidRDefault="00975E0B" w:rsidP="006C53FE">
      <w:pPr>
        <w:jc w:val="both"/>
      </w:pPr>
      <w:r>
        <w:t>The</w:t>
      </w:r>
      <w:r w:rsidR="00F22499">
        <w:t xml:space="preserve"> </w:t>
      </w:r>
      <w:r w:rsidR="00350D26">
        <w:t>16</w:t>
      </w:r>
      <w:r w:rsidR="00F22499">
        <w:t xml:space="preserve"> SVA </w:t>
      </w:r>
      <w:r>
        <w:t>version</w:t>
      </w:r>
      <w:r w:rsidR="00236A37">
        <w:t>s</w:t>
      </w:r>
      <w:r>
        <w:t xml:space="preserve"> were contrasted against each other following the same experimentation protocol described in the main </w:t>
      </w:r>
      <w:r w:rsidR="006A1591">
        <w:t>manuscript.</w:t>
      </w:r>
      <w:r w:rsidR="005C74C0">
        <w:t xml:space="preserve"> We adopted partial correlations </w:t>
      </w:r>
      <w:r w:rsidR="005C74C0">
        <w:rPr>
          <w:rFonts w:eastAsiaTheme="minorEastAsia"/>
        </w:rPr>
        <w:fldChar w:fldCharType="begin" w:fldLock="1"/>
      </w:r>
      <w:r w:rsidR="006859E1">
        <w:rPr>
          <w:rFonts w:eastAsiaTheme="minorEastAsia"/>
        </w:rPr>
        <w:instrText>ADDIN CSL_CITATION { "citationItems" : [ { "id" : "ITEM-1", "itemData" : { "abstract" : "Reproduced with permission of Metron 35 THE DISTRIBUTION OF THE PARTIAL CORRELATION COEFFICIENT .1. The theoretical . distribution In ascertaining the exact distribution iu random samples to which the correlation coefficient between two normally distributed vari\u00e2tes is ...", "author" : [ { "dropping-particle" : "", "family" : "Fisher", "given" : "R A", "non-dropping-particle" : "", "parse-names" : false, "suffix" : "" } ], "container-title" : "Metron", "id" : "ITEM-1", "issue" : "3-4", "issued" : { "date-parts" : [ [ "1923" ] ] }, "page" : "329\u2013332", "title" : "The Distribution of the Partial Correlation Coefficient.", "type" : "article-journal", "volume" : "3" }, "uris" : [ "http://www.mendeley.com/documents/?uuid=c82905df-6697-4b63-8552-7985cfaaf9e8" ] } ], "mendeley" : { "formattedCitation" : "[7]", "plainTextFormattedCitation" : "[7]", "previouslyFormattedCitation" : "[7]" }, "properties" : { "noteIndex" : 0 }, "schema" : "https://github.com/citation-style-language/schema/raw/master/csl-citation.json" }</w:instrText>
      </w:r>
      <w:r w:rsidR="005C74C0">
        <w:rPr>
          <w:rFonts w:eastAsiaTheme="minorEastAsia"/>
        </w:rPr>
        <w:fldChar w:fldCharType="separate"/>
      </w:r>
      <w:r w:rsidR="00BC6C17" w:rsidRPr="00BC6C17">
        <w:rPr>
          <w:rFonts w:eastAsiaTheme="minorEastAsia"/>
          <w:noProof/>
        </w:rPr>
        <w:t>[7]</w:t>
      </w:r>
      <w:r w:rsidR="005C74C0">
        <w:rPr>
          <w:rFonts w:eastAsiaTheme="minorEastAsia"/>
        </w:rPr>
        <w:fldChar w:fldCharType="end"/>
      </w:r>
      <w:r w:rsidR="005C74C0">
        <w:t xml:space="preserve"> instead of the standard correlation</w:t>
      </w:r>
      <w:r w:rsidR="001430FD">
        <w:t xml:space="preserve"> measure</w:t>
      </w:r>
      <w:r w:rsidR="00144900">
        <w:t>s</w:t>
      </w:r>
      <w:r w:rsidR="005C74C0" w:rsidRPr="005C74C0">
        <w:t xml:space="preserve"> </w:t>
      </w:r>
      <w:r w:rsidR="00A75A81">
        <w:t>in order to quantify</w:t>
      </w:r>
      <w:r w:rsidR="005C74C0" w:rsidRPr="005C74C0">
        <w:t xml:space="preserve"> the linear association between the </w:t>
      </w:r>
      <w:r w:rsidR="00780945">
        <w:t>transcription factor</w:t>
      </w:r>
      <w:r w:rsidR="005C74C0" w:rsidRPr="005C74C0">
        <w:t xml:space="preserve"> and </w:t>
      </w:r>
      <w:r w:rsidR="00A75A81">
        <w:t xml:space="preserve">the other </w:t>
      </w:r>
      <w:r w:rsidR="005C74C0" w:rsidRPr="005C74C0">
        <w:t>gene</w:t>
      </w:r>
      <w:r w:rsidR="00A75A81">
        <w:t xml:space="preserve">s </w:t>
      </w:r>
      <w:r w:rsidR="005C74C0" w:rsidRPr="00A75A81">
        <w:rPr>
          <w:i/>
        </w:rPr>
        <w:t>given</w:t>
      </w:r>
      <w:r w:rsidR="005C74C0" w:rsidRPr="005C74C0">
        <w:t xml:space="preserve"> the surrogate variables.</w:t>
      </w:r>
      <w:r w:rsidR="004B2721">
        <w:t xml:space="preserve"> Particularly, we </w:t>
      </w:r>
      <w:r w:rsidR="005D4048">
        <w:t>used the function</w:t>
      </w:r>
      <w:r w:rsidR="003D2B8C">
        <w:t xml:space="preserve"> </w:t>
      </w:r>
      <w:r w:rsidR="00144900">
        <w:t>“</w:t>
      </w:r>
      <w:r w:rsidR="00144900" w:rsidRPr="00144900">
        <w:t>zStat</w:t>
      </w:r>
      <w:r w:rsidR="00144900">
        <w:t xml:space="preserve">” from the R package “pcalg” </w:t>
      </w:r>
      <w:r w:rsidR="00144900">
        <w:fldChar w:fldCharType="begin" w:fldLock="1"/>
      </w:r>
      <w:r w:rsidR="006859E1">
        <w:instrText>ADDIN CSL_CITATION { "citationItems" : [ { "id" : "ITEM-1", "itemData" : { "ISSN" : "15487660", "abstract" : "The pcalg package for R can be used for the following two purposes: Causal structure learning and estimation of causal effects from observational data. In this document, we give a brief overview of the methodology, and demonstrate the package\u2019s functionality in both toy examples and applications", "author" : [ { "dropping-particle" : "", "family" : "Kalisch", "given" : "Markus", "non-dropping-particle" : "", "parse-names" : false, "suffix" : "" }, { "dropping-particle" : "", "family" : "Machler", "given" : "Martin", "non-dropping-particle" : "", "parse-names" : false, "suffix" : "" }, { "dropping-particle" : "", "family" : "Colombo", "given" : "Diego", "non-dropping-particle" : "", "parse-names" : false, "suffix" : "" }, { "dropping-particle" : "", "family" : "Maathuis", "given" : "Marloes H", "non-dropping-particle" : "", "parse-names" : false, "suffix" : "" }, { "dropping-particle" : "", "family" : "Buhlmann", "given" : "Peter", "non-dropping-particle" : "", "parse-names" : false, "suffix" : "" } ], "container-title" : "Journal of Statistical Software", "id" : "ITEM-1", "issue" : "11", "issued" : { "date-parts" : [ [ "2012" ] ] }, "page" : "1-26", "title" : "Causal Inference Using Graphical Models with the R Package pcalg", "type" : "article-journal", "volume" : "47" }, "uris" : [ "http://www.mendeley.com/documents/?uuid=18e47348-64a3-4d58-aae9-125a1fbb79cb" ] } ], "mendeley" : { "formattedCitation" : "[8]", "plainTextFormattedCitation" : "[8]", "previouslyFormattedCitation" : "[8]" }, "properties" : { "noteIndex" : 0 }, "schema" : "https://github.com/citation-style-language/schema/raw/master/csl-citation.json" }</w:instrText>
      </w:r>
      <w:r w:rsidR="00144900">
        <w:fldChar w:fldCharType="separate"/>
      </w:r>
      <w:r w:rsidR="00BC6C17" w:rsidRPr="00BC6C17">
        <w:rPr>
          <w:noProof/>
        </w:rPr>
        <w:t>[8]</w:t>
      </w:r>
      <w:r w:rsidR="00144900">
        <w:fldChar w:fldCharType="end"/>
      </w:r>
      <w:r w:rsidR="005D4048">
        <w:t xml:space="preserve"> </w:t>
      </w:r>
      <w:r w:rsidR="001979AC">
        <w:t xml:space="preserve">for calculating </w:t>
      </w:r>
      <w:r w:rsidR="005D4048">
        <w:t xml:space="preserve">partial </w:t>
      </w:r>
      <w:r w:rsidR="001979AC">
        <w:t xml:space="preserve">correlations. </w:t>
      </w:r>
      <w:r w:rsidR="001336BD">
        <w:t>Given two variables X and Y and a conditions set CS, t</w:t>
      </w:r>
      <w:r w:rsidR="001979AC">
        <w:t>his function</w:t>
      </w:r>
      <w:r w:rsidR="00BF795B">
        <w:t xml:space="preserve"> takes as an input the matrix containing all</w:t>
      </w:r>
      <w:r w:rsidR="001979AC">
        <w:t xml:space="preserve"> </w:t>
      </w:r>
      <w:r w:rsidR="00C8789E">
        <w:t>pairwise</w:t>
      </w:r>
      <w:r w:rsidR="001336BD">
        <w:t xml:space="preserve"> correlations </w:t>
      </w:r>
      <w:r w:rsidR="000B4625">
        <w:t>between X, Y and CS. We p</w:t>
      </w:r>
      <w:r w:rsidR="001336BD">
        <w:t xml:space="preserve">rovided </w:t>
      </w:r>
      <w:r w:rsidR="000B4625">
        <w:t>in</w:t>
      </w:r>
      <w:r w:rsidR="00F14894">
        <w:t xml:space="preserve"> turn the</w:t>
      </w:r>
      <w:r w:rsidR="002815F2">
        <w:t xml:space="preserve"> Pearson</w:t>
      </w:r>
      <w:r w:rsidR="00F14894">
        <w:t xml:space="preserve"> and Spearman correlation matrix</w:t>
      </w:r>
      <w:r w:rsidR="00E81918">
        <w:t xml:space="preserve">, in order to compute </w:t>
      </w:r>
      <w:r w:rsidR="00355900">
        <w:t xml:space="preserve">Pearson and Spearman </w:t>
      </w:r>
      <w:r w:rsidR="00355900">
        <w:rPr>
          <w:i/>
        </w:rPr>
        <w:t>partial</w:t>
      </w:r>
      <w:r w:rsidR="00E81918">
        <w:t xml:space="preserve"> correlations</w:t>
      </w:r>
      <w:r w:rsidR="00F0539D" w:rsidRPr="00F0539D">
        <w:t xml:space="preserve"> </w:t>
      </w:r>
      <w:r w:rsidR="00F0539D">
        <w:t>respectively</w:t>
      </w:r>
      <w:r w:rsidR="00355900">
        <w:t xml:space="preserve">. It should be note that only </w:t>
      </w:r>
      <w:r w:rsidR="004E56BE">
        <w:t xml:space="preserve">the first ones are formally </w:t>
      </w:r>
      <w:r w:rsidR="00F661A1">
        <w:t>well-defined</w:t>
      </w:r>
      <w:r w:rsidR="00DB5E76">
        <w:t xml:space="preserve"> </w:t>
      </w:r>
      <w:r w:rsidR="00F661A1">
        <w:t xml:space="preserve">as </w:t>
      </w:r>
      <w:r w:rsidR="00DB5E76">
        <w:t>correlation measures.</w:t>
      </w:r>
    </w:p>
    <w:p w:rsidR="006C53FE" w:rsidRPr="00355900" w:rsidRDefault="00C82EBE" w:rsidP="00C82EBE">
      <w:pPr>
        <w:pStyle w:val="Heading1"/>
      </w:pPr>
      <w:r>
        <w:t>Results</w:t>
      </w:r>
      <w:r w:rsidR="00DB5E76">
        <w:t xml:space="preserve"> </w:t>
      </w:r>
    </w:p>
    <w:p w:rsidR="00E74525" w:rsidRDefault="007D642E" w:rsidP="006C53FE">
      <w:pPr>
        <w:jc w:val="both"/>
      </w:pPr>
      <w:r>
        <w:fldChar w:fldCharType="begin"/>
      </w:r>
      <w:r>
        <w:instrText xml:space="preserve"> REF _Ref427751097 \h </w:instrText>
      </w:r>
      <w:r>
        <w:fldChar w:fldCharType="separate"/>
      </w:r>
      <w:r>
        <w:t xml:space="preserve">Figure </w:t>
      </w:r>
      <w:r>
        <w:rPr>
          <w:noProof/>
        </w:rPr>
        <w:t>1</w:t>
      </w:r>
      <w:r>
        <w:fldChar w:fldCharType="end"/>
      </w:r>
      <w:r>
        <w:t xml:space="preserve"> </w:t>
      </w:r>
      <w:r w:rsidR="003C2072">
        <w:t>report</w:t>
      </w:r>
      <w:r w:rsidR="00C82EBE">
        <w:t>s</w:t>
      </w:r>
      <w:r w:rsidR="003C2072">
        <w:t xml:space="preserve"> the</w:t>
      </w:r>
      <w:r w:rsidR="00C82EBE">
        <w:t xml:space="preserve"> rank-product scores obtained by the 16 “network-reconstruction SVA” </w:t>
      </w:r>
      <w:r>
        <w:t>versions. The figure has been produced</w:t>
      </w:r>
      <w:r w:rsidR="002736CA">
        <w:t xml:space="preserve"> with the same procedure used for Figure</w:t>
      </w:r>
      <w:r w:rsidR="00E74525">
        <w:t xml:space="preserve"> 6</w:t>
      </w:r>
      <w:r w:rsidR="004D5B77">
        <w:t xml:space="preserve"> </w:t>
      </w:r>
      <w:r w:rsidR="002736CA">
        <w:t>in</w:t>
      </w:r>
      <w:r w:rsidR="004D5B77">
        <w:t xml:space="preserve"> the main text. </w:t>
      </w:r>
      <w:r w:rsidR="002736CA">
        <w:t xml:space="preserve">Briefly, </w:t>
      </w:r>
      <w:r w:rsidR="00C04467">
        <w:t>for each combination of data compendium (E. Coli and Yeast), correlation measure (Pearson and Spearman) and performance metric (AUC, pAUC, AUPRC, AUFDR) the SVA variations</w:t>
      </w:r>
      <w:r w:rsidR="00E74525">
        <w:t xml:space="preserve"> are ranked according to their</w:t>
      </w:r>
      <w:r w:rsidR="00E74525" w:rsidRPr="00DF3351">
        <w:t xml:space="preserve"> </w:t>
      </w:r>
      <w:r w:rsidR="00E74525">
        <w:t>performances</w:t>
      </w:r>
      <w:r w:rsidR="00C81023">
        <w:t xml:space="preserve">, producing </w:t>
      </w:r>
      <w:r w:rsidR="00727680">
        <w:t>a total of 16 different ranks</w:t>
      </w:r>
      <w:r w:rsidR="00E74525">
        <w:t xml:space="preserve">. These ranks are then combined using the Rank-Product method, and the statistical significance of the ranks are evaluated with the method reported in </w:t>
      </w:r>
      <w:r w:rsidR="00E74525">
        <w:lastRenderedPageBreak/>
        <w:fldChar w:fldCharType="begin" w:fldLock="1"/>
      </w:r>
      <w:r w:rsidR="006859E1">
        <w:instrText>ADDIN CSL_CITATION { "citationItems" : [ { "id" : "ITEM-1", "itemData" : { "DOI" : "10.1186/s12859-014-0367-1", "ISSN" : "1471-2105", "PMID" : "25413493", "abstract" : "BACKGROUND: The rank product method is a powerful statistical technique for identifying differentially expressed molecules in replicated experiments. A critical issue in molecule selection is accurate calculation of the p-value of the rank product statistic to adequately address multiple testing. Both exact calculation and permutation and gamma approximations have been proposed to determine molecule-level significance. These current approaches have serious drawbacks as they are either computationally burdensome or provide inaccurate estimates in the tail of the p-value distribution.\n\nRESULTS: We derive strict lower and upper bounds to the exact p-value along with an accurate approximation that can be used to assess the significance of the rank product statistic in a computationally fast manner. The bounds and the proposed approximation are shown to provide far better accuracy over existing approximate methods in determining tail probabilities, with the slightly conservative upper bound protecting against false positives. We illustrate the proposed method in the context of a recently published analysis on transcriptomic profiling performed in blood.\n\nCONCLUSIONS: We provide a method to determine upper bounds and accurate approximate p-values of the rank product statistic. The proposed algorithm provides an order of magnitude increase in throughput as compared with current approaches and offers the opportunity to explore new application domains with even larger multiple testing issue. The R code is published in one of the Additional files and is available at http://www.ru.nl/publish/pages/726696/rankprodbounds.zip .", "author" : [ { "dropping-particle" : "", "family" : "Heskes", "given" : "Tom", "non-dropping-particle" : "", "parse-names" : false, "suffix" : "" }, { "dropping-particle" : "", "family" : "Eisinga", "given" : "Rob", "non-dropping-particle" : "", "parse-names" : false, "suffix" : "" }, { "dropping-particle" : "", "family" : "Breitling", "given" : "Rainer", "non-dropping-particle" : "", "parse-names" : false, "suffix" : "" } ], "container-title" : "BMC bioinformatics", "id" : "ITEM-1", "issue" : "1", "issued" : { "date-parts" : [ [ "2014", "1" ] ] }, "page" : "367", "title" : "A fast algorithm for determining bounds and accurate approximate p-values of the rank product statistic for replicate experiments.", "type" : "article-journal", "volume" : "15" }, "uris" : [ "http://www.mendeley.com/documents/?uuid=83bf8289-ace9-479a-85cb-80d6d9d29631" ] } ], "mendeley" : { "formattedCitation" : "[9]", "plainTextFormattedCitation" : "[9]", "previouslyFormattedCitation" : "[74]" }, "properties" : { "noteIndex" : 0 }, "schema" : "https://github.com/citation-style-language/schema/raw/master/csl-citation.json" }</w:instrText>
      </w:r>
      <w:r w:rsidR="00E74525">
        <w:fldChar w:fldCharType="separate"/>
      </w:r>
      <w:r w:rsidR="006859E1" w:rsidRPr="006859E1">
        <w:rPr>
          <w:noProof/>
        </w:rPr>
        <w:t>[9]</w:t>
      </w:r>
      <w:r w:rsidR="00E74525">
        <w:fldChar w:fldCharType="end"/>
      </w:r>
      <w:r w:rsidR="00E74525">
        <w:t xml:space="preserve">. </w:t>
      </w:r>
      <w:r w:rsidR="006859E1">
        <w:t xml:space="preserve">In </w:t>
      </w:r>
      <w:r w:rsidR="006859E1">
        <w:fldChar w:fldCharType="begin"/>
      </w:r>
      <w:r w:rsidR="006859E1">
        <w:instrText xml:space="preserve"> REF _Ref427751097 \h </w:instrText>
      </w:r>
      <w:r w:rsidR="006859E1">
        <w:fldChar w:fldCharType="separate"/>
      </w:r>
      <w:r w:rsidR="006859E1">
        <w:t xml:space="preserve">Figure </w:t>
      </w:r>
      <w:r w:rsidR="006859E1">
        <w:rPr>
          <w:noProof/>
        </w:rPr>
        <w:t>1</w:t>
      </w:r>
      <w:r w:rsidR="006859E1">
        <w:fldChar w:fldCharType="end"/>
      </w:r>
      <w:r w:rsidR="006859E1">
        <w:t xml:space="preserve"> t</w:t>
      </w:r>
      <w:r w:rsidR="00E74525">
        <w:t xml:space="preserve">he negative logarithm of the Rank-Product score is reported on the y-axis, while </w:t>
      </w:r>
      <w:r w:rsidR="00FD4F09">
        <w:t>SVA variations are listed on the x-axis, along with the No-Correction and RMA-Combat methods.</w:t>
      </w:r>
      <w:r w:rsidR="00E74525">
        <w:t xml:space="preserve"> The color of each marker is directly proportional to the Coefficient of Variation (CV) of the respective log-</w:t>
      </w:r>
      <w:r w:rsidR="00FD4F09">
        <w:t>transformed rank-product score, with lighter color corresponding to higher variability</w:t>
      </w:r>
      <w:r w:rsidR="00606362">
        <w:t xml:space="preserve"> (</w:t>
      </w:r>
      <w:r w:rsidR="003824B2">
        <w:t xml:space="preserve">the </w:t>
      </w:r>
      <w:r w:rsidR="00FD4F09">
        <w:t>CV is calculated as the ratio between standard deviation and average value</w:t>
      </w:r>
      <w:r w:rsidR="00606362">
        <w:t>).</w:t>
      </w:r>
      <w:r w:rsidR="00E74525">
        <w:t xml:space="preserve"> Methods that tend to be consistently ranked in the top positions are placed on the top-right of the plots, while poorly performing methods remain the in the bottom-left corner. </w:t>
      </w:r>
    </w:p>
    <w:p w:rsidR="000177DD" w:rsidRDefault="00C106CE" w:rsidP="006C53FE">
      <w:pPr>
        <w:jc w:val="both"/>
      </w:pPr>
      <w:r>
        <w:t xml:space="preserve">Overall, </w:t>
      </w:r>
      <w:r w:rsidR="00705E9B">
        <w:t xml:space="preserve">variations </w:t>
      </w:r>
      <w:r>
        <w:t>SVA</w:t>
      </w:r>
      <w:r w:rsidR="00E74525">
        <w:t>-1 and SVA-3, corresponding to M</w:t>
      </w:r>
      <w:r>
        <w:t xml:space="preserve">odification 1, BE method and estimating the surrogate variables on all genes, are significantly better than the other approaches. Particularly, they both have better performance than the RMA-Combat, even though </w:t>
      </w:r>
      <w:r w:rsidR="000E2273">
        <w:t>SVA-1 uses the No-Correction mat</w:t>
      </w:r>
      <w:r w:rsidR="002701CA">
        <w:t>rix as initial input. This implies</w:t>
      </w:r>
      <w:r w:rsidR="000E2273">
        <w:t xml:space="preserve"> that SVA-1 is able to taken in account </w:t>
      </w:r>
      <w:r w:rsidR="006B6945">
        <w:t xml:space="preserve">at least </w:t>
      </w:r>
      <w:r w:rsidR="000F2838">
        <w:t>all the systematic biases removed by RMA-Comb</w:t>
      </w:r>
      <w:r w:rsidR="006B6945">
        <w:t>at</w:t>
      </w:r>
      <w:r w:rsidR="000F2838">
        <w:t xml:space="preserve">. </w:t>
      </w:r>
    </w:p>
    <w:p w:rsidR="00CF1300" w:rsidRDefault="002806D8" w:rsidP="006C53FE">
      <w:pPr>
        <w:jc w:val="both"/>
      </w:pPr>
      <w:r>
        <w:t>It is interesting to observe the ran</w:t>
      </w:r>
      <w:r w:rsidR="00B937A9">
        <w:t>k</w:t>
      </w:r>
      <w:r>
        <w:t>-product scores on</w:t>
      </w:r>
      <w:r w:rsidR="00CE0780">
        <w:t xml:space="preserve"> the individual data compendia</w:t>
      </w:r>
      <w:r w:rsidR="004D767A">
        <w:t xml:space="preserve"> (</w:t>
      </w:r>
      <w:r w:rsidR="00697FC7">
        <w:fldChar w:fldCharType="begin"/>
      </w:r>
      <w:r w:rsidR="00697FC7">
        <w:instrText xml:space="preserve"> REF _Ref429656627 \h </w:instrText>
      </w:r>
      <w:r w:rsidR="00697FC7">
        <w:fldChar w:fldCharType="separate"/>
      </w:r>
      <w:r w:rsidR="00697FC7">
        <w:t xml:space="preserve">Figure </w:t>
      </w:r>
      <w:r w:rsidR="00697FC7">
        <w:rPr>
          <w:noProof/>
        </w:rPr>
        <w:t>2</w:t>
      </w:r>
      <w:r w:rsidR="00697FC7">
        <w:fldChar w:fldCharType="end"/>
      </w:r>
      <w:r w:rsidR="00697FC7">
        <w:t xml:space="preserve">and </w:t>
      </w:r>
      <w:r w:rsidR="00697FC7">
        <w:fldChar w:fldCharType="begin"/>
      </w:r>
      <w:r w:rsidR="00697FC7">
        <w:instrText xml:space="preserve"> REF _Ref429656631 \h </w:instrText>
      </w:r>
      <w:r w:rsidR="00697FC7">
        <w:fldChar w:fldCharType="separate"/>
      </w:r>
      <w:r w:rsidR="00697FC7">
        <w:t xml:space="preserve">Figure </w:t>
      </w:r>
      <w:r w:rsidR="00697FC7">
        <w:rPr>
          <w:noProof/>
        </w:rPr>
        <w:t>3</w:t>
      </w:r>
      <w:r w:rsidR="00697FC7">
        <w:fldChar w:fldCharType="end"/>
      </w:r>
      <w:r w:rsidR="004D767A">
        <w:t>)</w:t>
      </w:r>
      <w:r>
        <w:t>. In E. Coli,</w:t>
      </w:r>
      <w:r w:rsidR="00CE0780">
        <w:t xml:space="preserve"> SVA-1 and SVA-3 still reach the top of the ranks</w:t>
      </w:r>
      <w:r>
        <w:t>, while the other approaches does not seem to provide a significant advantage with respect to their respective initial data matrices. In Yeast, the SVA-6 approach obtains outstanding performances, while this same approach is ranked last in E. Coli. We do not ha</w:t>
      </w:r>
      <w:r w:rsidR="00FE2268">
        <w:t>ve a clear explanation for this result</w:t>
      </w:r>
      <w:r>
        <w:t>. We not</w:t>
      </w:r>
      <w:r w:rsidR="00CE0780">
        <w:t>e</w:t>
      </w:r>
      <w:r>
        <w:t xml:space="preserve"> though that </w:t>
      </w:r>
      <w:r w:rsidR="00302E05">
        <w:t xml:space="preserve">SVA-1 and SVA-3 provide results that are better than the ones of RMA-Combat </w:t>
      </w:r>
      <w:r>
        <w:t>also for this data collection.</w:t>
      </w:r>
    </w:p>
    <w:p w:rsidR="00BD0A36" w:rsidRDefault="00BD0A36" w:rsidP="006C53FE">
      <w:pPr>
        <w:jc w:val="both"/>
      </w:pPr>
      <w:r>
        <w:fldChar w:fldCharType="begin"/>
      </w:r>
      <w:r>
        <w:instrText xml:space="preserve"> REF _Ref429650699 \h </w:instrText>
      </w:r>
      <w:r>
        <w:fldChar w:fldCharType="separate"/>
      </w:r>
      <w:r>
        <w:t xml:space="preserve">Table </w:t>
      </w:r>
      <w:r>
        <w:rPr>
          <w:noProof/>
        </w:rPr>
        <w:t>2</w:t>
      </w:r>
      <w:r>
        <w:fldChar w:fldCharType="end"/>
      </w:r>
      <w:r>
        <w:t xml:space="preserve">and </w:t>
      </w:r>
      <w:r>
        <w:fldChar w:fldCharType="begin"/>
      </w:r>
      <w:r>
        <w:instrText xml:space="preserve"> REF _Ref429656742 \h </w:instrText>
      </w:r>
      <w:r>
        <w:fldChar w:fldCharType="separate"/>
      </w:r>
      <w:r>
        <w:t xml:space="preserve">Table </w:t>
      </w:r>
      <w:r>
        <w:rPr>
          <w:noProof/>
        </w:rPr>
        <w:t>3</w:t>
      </w:r>
      <w:r>
        <w:fldChar w:fldCharType="end"/>
      </w:r>
      <w:r w:rsidR="0000499C">
        <w:t xml:space="preserve"> provide the detailed results of the whole experimentation</w:t>
      </w:r>
      <w:r>
        <w:t>.</w:t>
      </w:r>
    </w:p>
    <w:p w:rsidR="002806D8" w:rsidRPr="000177DD" w:rsidRDefault="002806D8" w:rsidP="002806D8">
      <w:pPr>
        <w:pStyle w:val="Heading1"/>
      </w:pPr>
      <w:r>
        <w:t>Conclusion</w:t>
      </w:r>
    </w:p>
    <w:p w:rsidR="00947D7E" w:rsidRDefault="008A5A38" w:rsidP="00A654D9">
      <w:pPr>
        <w:jc w:val="both"/>
      </w:pPr>
      <w:r>
        <w:t xml:space="preserve"> </w:t>
      </w:r>
      <w:r w:rsidR="00F50EEE">
        <w:t xml:space="preserve">We have </w:t>
      </w:r>
      <w:r w:rsidR="00384E04">
        <w:t>proposed and co</w:t>
      </w:r>
      <w:r w:rsidR="002E5B79">
        <w:t>ntrasted several approaches</w:t>
      </w:r>
      <w:r w:rsidR="00384E04">
        <w:t xml:space="preserve"> for </w:t>
      </w:r>
      <w:r w:rsidR="00651716">
        <w:t>adapting the SVA algorithm for</w:t>
      </w:r>
      <w:r w:rsidR="00384E04">
        <w:t xml:space="preserve"> network reconstruction task</w:t>
      </w:r>
      <w:r w:rsidR="00651716">
        <w:t>s</w:t>
      </w:r>
      <w:r w:rsidR="00384E04">
        <w:t xml:space="preserve">. </w:t>
      </w:r>
      <w:r w:rsidR="002E5B79">
        <w:t>In the limit</w:t>
      </w:r>
      <w:r w:rsidR="00651716">
        <w:t>s</w:t>
      </w:r>
      <w:r w:rsidR="002E5B79">
        <w:t xml:space="preserve"> of our experimentations, it seems that </w:t>
      </w:r>
      <w:r w:rsidR="007E1616">
        <w:t xml:space="preserve">the SVA variations </w:t>
      </w:r>
      <w:r w:rsidR="007C50FE">
        <w:t xml:space="preserve">SVA-1 and SVA-3 </w:t>
      </w:r>
      <w:r w:rsidR="00D82469">
        <w:t xml:space="preserve">consistently </w:t>
      </w:r>
      <w:r w:rsidR="002E5B79">
        <w:t xml:space="preserve">provide </w:t>
      </w:r>
      <w:r w:rsidR="00207CB9">
        <w:t>well-performing</w:t>
      </w:r>
      <w:r w:rsidR="00D82469">
        <w:t xml:space="preserve"> results</w:t>
      </w:r>
      <w:r w:rsidR="00651716">
        <w:t>. More studies are needed in order to confirm these findings.</w:t>
      </w:r>
    </w:p>
    <w:p w:rsidR="00B115AC" w:rsidRDefault="00F8626D" w:rsidP="00F8626D">
      <w:pPr>
        <w:pStyle w:val="Heading1"/>
      </w:pPr>
      <w:r>
        <w:t>References</w:t>
      </w:r>
    </w:p>
    <w:p w:rsidR="006859E1" w:rsidRPr="00780945" w:rsidRDefault="00F8626D">
      <w:pPr>
        <w:pStyle w:val="NormalWeb"/>
        <w:ind w:left="640" w:hanging="640"/>
        <w:divId w:val="1251699948"/>
        <w:rPr>
          <w:rFonts w:ascii="Calibri" w:hAnsi="Calibri"/>
          <w:noProof/>
          <w:sz w:val="22"/>
          <w:lang w:val="en-US"/>
        </w:rPr>
      </w:pPr>
      <w:r>
        <w:fldChar w:fldCharType="begin" w:fldLock="1"/>
      </w:r>
      <w:r w:rsidRPr="008A5A38">
        <w:rPr>
          <w:lang w:val="en-US"/>
        </w:rPr>
        <w:instrText xml:space="preserve">ADDIN Mendeley Bibliography CSL_BIBLIOGRAPHY </w:instrText>
      </w:r>
      <w:r>
        <w:fldChar w:fldCharType="separate"/>
      </w:r>
      <w:r w:rsidR="006859E1" w:rsidRPr="00780945">
        <w:rPr>
          <w:rFonts w:ascii="Calibri" w:hAnsi="Calibri"/>
          <w:noProof/>
          <w:sz w:val="22"/>
          <w:lang w:val="en-US"/>
        </w:rPr>
        <w:t>[1]</w:t>
      </w:r>
      <w:r w:rsidR="006859E1" w:rsidRPr="00780945">
        <w:rPr>
          <w:rFonts w:ascii="Calibri" w:hAnsi="Calibri"/>
          <w:noProof/>
          <w:sz w:val="22"/>
          <w:lang w:val="en-US"/>
        </w:rPr>
        <w:tab/>
        <w:t xml:space="preserve">J. T. Leek and J. D. Storey, “Capturing heterogeneity in gene expression studies by surrogate variable analysis.,” </w:t>
      </w:r>
      <w:r w:rsidR="006859E1" w:rsidRPr="00780945">
        <w:rPr>
          <w:rFonts w:ascii="Calibri" w:hAnsi="Calibri"/>
          <w:i/>
          <w:iCs/>
          <w:noProof/>
          <w:sz w:val="22"/>
          <w:lang w:val="en-US"/>
        </w:rPr>
        <w:t>PLoS Genet.</w:t>
      </w:r>
      <w:r w:rsidR="006859E1" w:rsidRPr="00780945">
        <w:rPr>
          <w:rFonts w:ascii="Calibri" w:hAnsi="Calibri"/>
          <w:noProof/>
          <w:sz w:val="22"/>
          <w:lang w:val="en-US"/>
        </w:rPr>
        <w:t>, vol. 3, no. 9, pp. 1724–35, Sep. 2007.</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[2]</w:t>
      </w:r>
      <w:r w:rsidRPr="00780945">
        <w:rPr>
          <w:rFonts w:ascii="Calibri" w:hAnsi="Calibri"/>
          <w:noProof/>
          <w:sz w:val="22"/>
          <w:lang w:val="en-US"/>
        </w:rPr>
        <w:tab/>
        <w:t xml:space="preserve">A. Buja and N. Eyuboglu, “Remarks on Parallel Analysis,” </w:t>
      </w:r>
      <w:r w:rsidRPr="00780945">
        <w:rPr>
          <w:rFonts w:ascii="Calibri" w:hAnsi="Calibri"/>
          <w:i/>
          <w:iCs/>
          <w:noProof/>
          <w:sz w:val="22"/>
          <w:lang w:val="en-US"/>
        </w:rPr>
        <w:t>Multivariate Behavioral Research</w:t>
      </w:r>
      <w:r w:rsidRPr="00780945">
        <w:rPr>
          <w:rFonts w:ascii="Calibri" w:hAnsi="Calibri"/>
          <w:noProof/>
          <w:sz w:val="22"/>
          <w:lang w:val="en-US"/>
        </w:rPr>
        <w:t>, vol. 27, no. 4. pp. 509–540, 1992.</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[3]</w:t>
      </w:r>
      <w:r w:rsidRPr="00780945">
        <w:rPr>
          <w:rFonts w:ascii="Calibri" w:hAnsi="Calibri"/>
          <w:noProof/>
          <w:sz w:val="22"/>
          <w:lang w:val="en-US"/>
        </w:rPr>
        <w:tab/>
        <w:t xml:space="preserve">J. T. Leek, “Asymptotic Conditional Singular Value Decomposition for High-Dimensional Genomic Data,” </w:t>
      </w:r>
      <w:r w:rsidRPr="00780945">
        <w:rPr>
          <w:rFonts w:ascii="Calibri" w:hAnsi="Calibri"/>
          <w:i/>
          <w:iCs/>
          <w:noProof/>
          <w:sz w:val="22"/>
          <w:lang w:val="en-US"/>
        </w:rPr>
        <w:t>Biometrics</w:t>
      </w:r>
      <w:r w:rsidRPr="00780945">
        <w:rPr>
          <w:rFonts w:ascii="Calibri" w:hAnsi="Calibri"/>
          <w:noProof/>
          <w:sz w:val="22"/>
          <w:lang w:val="en-US"/>
        </w:rPr>
        <w:t>, vol. 67, no. 2, pp. 344–352, 2011.</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[4]</w:t>
      </w:r>
      <w:r w:rsidRPr="00780945">
        <w:rPr>
          <w:rFonts w:ascii="Calibri" w:hAnsi="Calibri"/>
          <w:noProof/>
          <w:sz w:val="22"/>
          <w:lang w:val="en-US"/>
        </w:rPr>
        <w:tab/>
        <w:t xml:space="preserve">J. A. Gagnon-Bartsch and T. P. Speed, “Using control genes to correct for unwanted variation in microarray data,” </w:t>
      </w:r>
      <w:r w:rsidRPr="00780945">
        <w:rPr>
          <w:rFonts w:ascii="Calibri" w:hAnsi="Calibri"/>
          <w:i/>
          <w:iCs/>
          <w:noProof/>
          <w:sz w:val="22"/>
          <w:lang w:val="en-US"/>
        </w:rPr>
        <w:t>Biostatistics</w:t>
      </w:r>
      <w:r w:rsidRPr="00780945">
        <w:rPr>
          <w:rFonts w:ascii="Calibri" w:hAnsi="Calibri"/>
          <w:noProof/>
          <w:sz w:val="22"/>
          <w:lang w:val="en-US"/>
        </w:rPr>
        <w:t>, vol. 13, no. 3, pp. 539–552, 2012.</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lastRenderedPageBreak/>
        <w:t>[5]</w:t>
      </w:r>
      <w:r w:rsidRPr="00780945">
        <w:rPr>
          <w:rFonts w:ascii="Calibri" w:hAnsi="Calibri"/>
          <w:noProof/>
          <w:sz w:val="22"/>
          <w:lang w:val="en-US"/>
        </w:rPr>
        <w:tab/>
        <w:t xml:space="preserve">J. T. Leek, “svaseq: removing batch effects and other unwanted noise from sequencing data.,” </w:t>
      </w:r>
      <w:r w:rsidRPr="00780945">
        <w:rPr>
          <w:rFonts w:ascii="Calibri" w:hAnsi="Calibri"/>
          <w:i/>
          <w:iCs/>
          <w:noProof/>
          <w:sz w:val="22"/>
          <w:lang w:val="en-US"/>
        </w:rPr>
        <w:t>Nucleic Acids Res.</w:t>
      </w:r>
      <w:r w:rsidRPr="00780945">
        <w:rPr>
          <w:rFonts w:ascii="Calibri" w:hAnsi="Calibri"/>
          <w:noProof/>
          <w:sz w:val="22"/>
          <w:lang w:val="en-US"/>
        </w:rPr>
        <w:t>, vol. 42, no. 21, p. gku864–, Dec. 2014.</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[6]</w:t>
      </w:r>
      <w:r w:rsidRPr="00780945">
        <w:rPr>
          <w:rFonts w:ascii="Calibri" w:hAnsi="Calibri"/>
          <w:noProof/>
          <w:sz w:val="22"/>
          <w:lang w:val="en-US"/>
        </w:rPr>
        <w:tab/>
        <w:t xml:space="preserve">B. Lehner, C. Crombie, J. Tischler, A. Fortunato, and A. G. Fraser, “Systematic mapping of genetic interactions in Caenorhabditis elegans identifies common modifiers of diverse signaling pathways.,” </w:t>
      </w:r>
      <w:r w:rsidRPr="00780945">
        <w:rPr>
          <w:rFonts w:ascii="Calibri" w:hAnsi="Calibri"/>
          <w:i/>
          <w:iCs/>
          <w:noProof/>
          <w:sz w:val="22"/>
          <w:lang w:val="en-US"/>
        </w:rPr>
        <w:t>Nat. Genet.</w:t>
      </w:r>
      <w:r w:rsidRPr="00780945">
        <w:rPr>
          <w:rFonts w:ascii="Calibri" w:hAnsi="Calibri"/>
          <w:noProof/>
          <w:sz w:val="22"/>
          <w:lang w:val="en-US"/>
        </w:rPr>
        <w:t>, vol. 38, no. 8, pp. 896–903, 2006.</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[7]</w:t>
      </w:r>
      <w:r w:rsidRPr="00780945">
        <w:rPr>
          <w:rFonts w:ascii="Calibri" w:hAnsi="Calibri"/>
          <w:noProof/>
          <w:sz w:val="22"/>
          <w:lang w:val="en-US"/>
        </w:rPr>
        <w:tab/>
        <w:t xml:space="preserve">R. A. Fisher, “The Distribution of the Partial Correlation Coefficient.,” </w:t>
      </w:r>
      <w:r w:rsidRPr="00780945">
        <w:rPr>
          <w:rFonts w:ascii="Calibri" w:hAnsi="Calibri"/>
          <w:i/>
          <w:iCs/>
          <w:noProof/>
          <w:sz w:val="22"/>
          <w:lang w:val="en-US"/>
        </w:rPr>
        <w:t>Metron</w:t>
      </w:r>
      <w:r w:rsidRPr="00780945">
        <w:rPr>
          <w:rFonts w:ascii="Calibri" w:hAnsi="Calibri"/>
          <w:noProof/>
          <w:sz w:val="22"/>
          <w:lang w:val="en-US"/>
        </w:rPr>
        <w:t>, vol. 3, no. 3–4, pp. 329–332, 1923.</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[8]</w:t>
      </w:r>
      <w:r w:rsidRPr="00780945">
        <w:rPr>
          <w:rFonts w:ascii="Calibri" w:hAnsi="Calibri"/>
          <w:noProof/>
          <w:sz w:val="22"/>
          <w:lang w:val="en-US"/>
        </w:rPr>
        <w:tab/>
        <w:t xml:space="preserve">M. Kalisch, M. Machler, D. Colombo, M. H. Maathuis, and P. Buhlmann, “Causal Inference Using Graphical Models with the R Package pcalg,” </w:t>
      </w:r>
      <w:r w:rsidRPr="00780945">
        <w:rPr>
          <w:rFonts w:ascii="Calibri" w:hAnsi="Calibri"/>
          <w:i/>
          <w:iCs/>
          <w:noProof/>
          <w:sz w:val="22"/>
          <w:lang w:val="en-US"/>
        </w:rPr>
        <w:t>J. Stat. Softw.</w:t>
      </w:r>
      <w:r w:rsidRPr="00780945">
        <w:rPr>
          <w:rFonts w:ascii="Calibri" w:hAnsi="Calibri"/>
          <w:noProof/>
          <w:sz w:val="22"/>
          <w:lang w:val="en-US"/>
        </w:rPr>
        <w:t>, vol. 47, no. 11, pp. 1–26, 2012.</w:t>
      </w:r>
    </w:p>
    <w:p w:rsidR="006859E1" w:rsidRPr="00780945" w:rsidRDefault="006859E1">
      <w:pPr>
        <w:pStyle w:val="NormalWeb"/>
        <w:ind w:left="640" w:hanging="640"/>
        <w:divId w:val="1251699948"/>
        <w:rPr>
          <w:rFonts w:ascii="Calibri" w:hAnsi="Calibri"/>
          <w:noProof/>
          <w:sz w:val="22"/>
          <w:lang w:val="en-US"/>
        </w:rPr>
      </w:pPr>
      <w:r w:rsidRPr="00780945">
        <w:rPr>
          <w:rFonts w:ascii="Calibri" w:hAnsi="Calibri"/>
          <w:noProof/>
          <w:sz w:val="22"/>
          <w:lang w:val="en-US"/>
        </w:rPr>
        <w:t>[9]</w:t>
      </w:r>
      <w:r w:rsidRPr="00780945">
        <w:rPr>
          <w:rFonts w:ascii="Calibri" w:hAnsi="Calibri"/>
          <w:noProof/>
          <w:sz w:val="22"/>
          <w:lang w:val="en-US"/>
        </w:rPr>
        <w:tab/>
        <w:t xml:space="preserve">T. Heskes, R. Eisinga, and R. Breitling, “A fast algorithm for determining bounds and accurate approximate p-values of the rank product statistic for replicate experiments.,” </w:t>
      </w:r>
      <w:r w:rsidRPr="00780945">
        <w:rPr>
          <w:rFonts w:ascii="Calibri" w:hAnsi="Calibri"/>
          <w:i/>
          <w:iCs/>
          <w:noProof/>
          <w:sz w:val="22"/>
          <w:lang w:val="en-US"/>
        </w:rPr>
        <w:t>BMC Bioinformatics</w:t>
      </w:r>
      <w:r w:rsidRPr="00780945">
        <w:rPr>
          <w:rFonts w:ascii="Calibri" w:hAnsi="Calibri"/>
          <w:noProof/>
          <w:sz w:val="22"/>
          <w:lang w:val="en-US"/>
        </w:rPr>
        <w:t xml:space="preserve">, vol. 15, no. 1, p. 367, Jan. 2014. </w:t>
      </w:r>
    </w:p>
    <w:p w:rsidR="00B2756F" w:rsidRPr="00780945" w:rsidRDefault="00F8626D" w:rsidP="006859E1">
      <w:pPr>
        <w:pStyle w:val="NormalWeb"/>
        <w:ind w:left="640" w:hanging="640"/>
        <w:divId w:val="1868981114"/>
        <w:rPr>
          <w:lang w:val="en-US"/>
        </w:rPr>
      </w:pPr>
      <w:r>
        <w:fldChar w:fldCharType="end"/>
      </w:r>
      <w:r w:rsidR="00B2756F" w:rsidRPr="00780945">
        <w:rPr>
          <w:lang w:val="en-US"/>
        </w:rPr>
        <w:br w:type="page"/>
      </w:r>
    </w:p>
    <w:p w:rsidR="00BA58B3" w:rsidRDefault="00BA58B3" w:rsidP="00BA58B3">
      <w:pPr>
        <w:pStyle w:val="Heading1"/>
        <w:jc w:val="both"/>
      </w:pPr>
      <w:r>
        <w:lastRenderedPageBreak/>
        <w:t>Figures</w:t>
      </w:r>
    </w:p>
    <w:p w:rsidR="00B2756F" w:rsidRDefault="00B2756F" w:rsidP="00F309BC"/>
    <w:p w:rsidR="007D642E" w:rsidRDefault="005846F8" w:rsidP="007D642E">
      <w:pPr>
        <w:keepNext/>
      </w:pPr>
      <w:r>
        <w:rPr>
          <w:noProof/>
          <w:lang w:val="el-GR" w:eastAsia="el-GR"/>
        </w:rPr>
        <w:drawing>
          <wp:inline distT="0" distB="0" distL="0" distR="0" wp14:anchorId="55E2B4AC" wp14:editId="753A163A">
            <wp:extent cx="5943600" cy="2502568"/>
            <wp:effectExtent l="0" t="0" r="0" b="0"/>
            <wp:docPr id="1" name="Picture 1" descr="C:\Users\Vincenzo\Dropbox\inprogress\AfterSMODIA\Text\Figures\2_realData\rankings\SVA_Methods\AllRa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ncenzo\Dropbox\inprogress\AfterSMODIA\Text\Figures\2_realData\rankings\SVA_Methods\AllRa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502568"/>
                    </a:xfrm>
                    <a:prstGeom prst="rect">
                      <a:avLst/>
                    </a:prstGeom>
                    <a:noFill/>
                    <a:ln>
                      <a:noFill/>
                    </a:ln>
                  </pic:spPr>
                </pic:pic>
              </a:graphicData>
            </a:graphic>
          </wp:inline>
        </w:drawing>
      </w:r>
    </w:p>
    <w:p w:rsidR="00AD3F5B" w:rsidRDefault="007D642E" w:rsidP="007D642E">
      <w:pPr>
        <w:pStyle w:val="Caption"/>
      </w:pPr>
      <w:bookmarkStart w:id="1" w:name="_Ref427751097"/>
      <w:r>
        <w:t xml:space="preserve">Figure </w:t>
      </w:r>
      <w:r w:rsidR="0001286C">
        <w:fldChar w:fldCharType="begin"/>
      </w:r>
      <w:r w:rsidR="0001286C">
        <w:instrText xml:space="preserve"> SEQ Figure \* ARABIC </w:instrText>
      </w:r>
      <w:r w:rsidR="0001286C">
        <w:fldChar w:fldCharType="separate"/>
      </w:r>
      <w:r>
        <w:rPr>
          <w:noProof/>
        </w:rPr>
        <w:t>1</w:t>
      </w:r>
      <w:r w:rsidR="0001286C">
        <w:rPr>
          <w:noProof/>
        </w:rPr>
        <w:fldChar w:fldCharType="end"/>
      </w:r>
      <w:bookmarkEnd w:id="1"/>
      <w:r w:rsidR="00183C02">
        <w:t>: rank-product on both E. Coli and Yeast data collections</w:t>
      </w:r>
      <w:r w:rsidR="00AA31BB">
        <w:t xml:space="preserve">. Details as in </w:t>
      </w:r>
      <w:r w:rsidR="00AA31BB">
        <w:t>Figure 6 in the main text</w:t>
      </w:r>
      <w:r w:rsidR="007E4871">
        <w:t>.</w:t>
      </w:r>
    </w:p>
    <w:p w:rsidR="007D642E" w:rsidRPr="007D642E" w:rsidRDefault="007D642E" w:rsidP="007D642E"/>
    <w:p w:rsidR="007D642E" w:rsidRDefault="005846F8" w:rsidP="007D642E">
      <w:pPr>
        <w:keepNext/>
      </w:pPr>
      <w:r>
        <w:rPr>
          <w:noProof/>
          <w:lang w:val="el-GR" w:eastAsia="el-GR"/>
        </w:rPr>
        <w:drawing>
          <wp:inline distT="0" distB="0" distL="0" distR="0" wp14:anchorId="5073B6EA" wp14:editId="023D14FD">
            <wp:extent cx="5943600" cy="2502568"/>
            <wp:effectExtent l="0" t="0" r="0" b="0"/>
            <wp:docPr id="5" name="Picture 5" descr="C:\Users\Vincenzo\Dropbox\inprogress\AfterSMODIA\Text\Figures\2_realData\rankings\SVA_Methods\EC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ncenzo\Dropbox\inprogress\AfterSMODIA\Text\Figures\2_realData\rankings\SVA_Methods\ECol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502568"/>
                    </a:xfrm>
                    <a:prstGeom prst="rect">
                      <a:avLst/>
                    </a:prstGeom>
                    <a:noFill/>
                    <a:ln>
                      <a:noFill/>
                    </a:ln>
                  </pic:spPr>
                </pic:pic>
              </a:graphicData>
            </a:graphic>
          </wp:inline>
        </w:drawing>
      </w:r>
    </w:p>
    <w:p w:rsidR="00183C02" w:rsidRDefault="007D642E" w:rsidP="00183C02">
      <w:pPr>
        <w:pStyle w:val="Caption"/>
      </w:pPr>
      <w:bookmarkStart w:id="2" w:name="_Ref429656627"/>
      <w:r>
        <w:t xml:space="preserve">Figure </w:t>
      </w:r>
      <w:r w:rsidR="0001286C">
        <w:fldChar w:fldCharType="begin"/>
      </w:r>
      <w:r w:rsidR="0001286C">
        <w:instrText xml:space="preserve"> SEQ Figure \* ARABIC </w:instrText>
      </w:r>
      <w:r w:rsidR="0001286C">
        <w:fldChar w:fldCharType="separate"/>
      </w:r>
      <w:r>
        <w:rPr>
          <w:noProof/>
        </w:rPr>
        <w:t>2</w:t>
      </w:r>
      <w:r w:rsidR="0001286C">
        <w:rPr>
          <w:noProof/>
        </w:rPr>
        <w:fldChar w:fldCharType="end"/>
      </w:r>
      <w:bookmarkEnd w:id="2"/>
      <w:r w:rsidR="00183C02">
        <w:t>: rank-product on E. Coli data collection</w:t>
      </w:r>
      <w:r w:rsidR="008D13BC">
        <w:t xml:space="preserve">. </w:t>
      </w:r>
      <w:r w:rsidR="008D13BC">
        <w:t>Details as in Figure 6 in the main text.</w:t>
      </w:r>
    </w:p>
    <w:p w:rsidR="007D642E" w:rsidRDefault="007D642E" w:rsidP="007D642E">
      <w:pPr>
        <w:pStyle w:val="Caption"/>
      </w:pPr>
    </w:p>
    <w:p w:rsidR="007D642E" w:rsidRDefault="005846F8" w:rsidP="007D642E">
      <w:pPr>
        <w:keepNext/>
      </w:pPr>
      <w:r>
        <w:rPr>
          <w:noProof/>
          <w:lang w:val="el-GR" w:eastAsia="el-GR"/>
        </w:rPr>
        <w:lastRenderedPageBreak/>
        <w:drawing>
          <wp:inline distT="0" distB="0" distL="0" distR="0" wp14:anchorId="7C5AE98D" wp14:editId="46BEB68B">
            <wp:extent cx="5943600" cy="2502568"/>
            <wp:effectExtent l="0" t="0" r="0" b="0"/>
            <wp:docPr id="6" name="Picture 6" descr="C:\Users\Vincenzo\Dropbox\inprogress\AfterSMODIA\Text\Figures\2_realData\rankings\SVA_Methods\Ye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ncenzo\Dropbox\inprogress\AfterSMODIA\Text\Figures\2_realData\rankings\SVA_Methods\Yeas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502568"/>
                    </a:xfrm>
                    <a:prstGeom prst="rect">
                      <a:avLst/>
                    </a:prstGeom>
                    <a:noFill/>
                    <a:ln>
                      <a:noFill/>
                    </a:ln>
                  </pic:spPr>
                </pic:pic>
              </a:graphicData>
            </a:graphic>
          </wp:inline>
        </w:drawing>
      </w:r>
    </w:p>
    <w:p w:rsidR="00183C02" w:rsidRDefault="007D642E" w:rsidP="00183C02">
      <w:pPr>
        <w:pStyle w:val="Caption"/>
      </w:pPr>
      <w:bookmarkStart w:id="3" w:name="_Ref429656631"/>
      <w:r>
        <w:t xml:space="preserve">Figure </w:t>
      </w:r>
      <w:r w:rsidR="0001286C">
        <w:fldChar w:fldCharType="begin"/>
      </w:r>
      <w:r w:rsidR="0001286C">
        <w:instrText xml:space="preserve"> SEQ Figure \* ARABIC </w:instrText>
      </w:r>
      <w:r w:rsidR="0001286C">
        <w:fldChar w:fldCharType="separate"/>
      </w:r>
      <w:r>
        <w:rPr>
          <w:noProof/>
        </w:rPr>
        <w:t>3</w:t>
      </w:r>
      <w:r w:rsidR="0001286C">
        <w:rPr>
          <w:noProof/>
        </w:rPr>
        <w:fldChar w:fldCharType="end"/>
      </w:r>
      <w:bookmarkEnd w:id="3"/>
      <w:r w:rsidR="00183C02">
        <w:t>:</w:t>
      </w:r>
      <w:r w:rsidR="00183C02" w:rsidRPr="00183C02">
        <w:t xml:space="preserve"> </w:t>
      </w:r>
      <w:r w:rsidR="00183C02">
        <w:t>rank-product on Yeast data collection</w:t>
      </w:r>
      <w:r w:rsidR="005A7A78">
        <w:t xml:space="preserve">. </w:t>
      </w:r>
      <w:r w:rsidR="005A7A78">
        <w:t>Details as in Figure 6 in the main text.</w:t>
      </w:r>
      <w:bookmarkStart w:id="4" w:name="_GoBack"/>
      <w:bookmarkEnd w:id="4"/>
    </w:p>
    <w:p w:rsidR="001B2BE4" w:rsidRDefault="001B2BE4" w:rsidP="007D642E">
      <w:pPr>
        <w:pStyle w:val="Caption"/>
      </w:pPr>
    </w:p>
    <w:p w:rsidR="00CF1300" w:rsidRDefault="00CF1300">
      <w:r>
        <w:br w:type="page"/>
      </w:r>
    </w:p>
    <w:p w:rsidR="004320E3" w:rsidRDefault="004320E3" w:rsidP="004320E3">
      <w:pPr>
        <w:pStyle w:val="Heading1"/>
      </w:pPr>
      <w:r>
        <w:lastRenderedPageBreak/>
        <w:t>Tables</w:t>
      </w:r>
    </w:p>
    <w:p w:rsidR="001B0F08" w:rsidRDefault="001B0F08" w:rsidP="001B0F08">
      <w:pPr>
        <w:pStyle w:val="Caption"/>
        <w:keepNext/>
        <w:jc w:val="both"/>
      </w:pPr>
    </w:p>
    <w:p w:rsidR="001B0F08" w:rsidRDefault="001B0F08" w:rsidP="001B2072">
      <w:pPr>
        <w:pStyle w:val="Caption"/>
        <w:keepNext/>
        <w:jc w:val="both"/>
      </w:pPr>
      <w:bookmarkStart w:id="5" w:name="_Ref429650699"/>
      <w:r>
        <w:t xml:space="preserve">Table </w:t>
      </w:r>
      <w:fldSimple w:instr=" SEQ Table \* ARABIC ">
        <w:r w:rsidR="004B56F5">
          <w:rPr>
            <w:noProof/>
          </w:rPr>
          <w:t>2</w:t>
        </w:r>
      </w:fldSimple>
      <w:bookmarkEnd w:id="5"/>
      <w:r>
        <w:t xml:space="preserve">: details of the results on the E. Coli compendium. The table is subdivided in eight sub-tables delimited by black borders, one sub-table for each combination of the four metrics (AUC, pAUC, AUPRC and AUFDR) and correlation methods (Pearson and Spearman). Within each sub-table, SVA </w:t>
      </w:r>
      <w:r w:rsidR="00486BDD">
        <w:t>variations</w:t>
      </w:r>
      <w:r>
        <w:t xml:space="preserve"> are sorted according to their average performances. One-side, paired t-test p-values are reported as well, comparing each method with the first one and with the method immediately preceding. Performances are averaged over all </w:t>
      </w:r>
      <w:r w:rsidR="00780945">
        <w:t>transcription factor</w:t>
      </w:r>
      <w:r>
        <w:t>s of the data compendium.</w:t>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1B0F08" w:rsidRPr="008E01F9" w:rsidTr="003B1DB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1B0F08" w:rsidRPr="008E01F9" w:rsidRDefault="001B0F08" w:rsidP="009A3CF8">
            <w:pPr>
              <w:rPr>
                <w:sz w:val="20"/>
                <w:szCs w:val="20"/>
              </w:rPr>
            </w:pPr>
            <w:r w:rsidRPr="008E01F9">
              <w:rPr>
                <w:sz w:val="20"/>
                <w:szCs w:val="20"/>
              </w:rPr>
              <w:t>Method</w:t>
            </w:r>
          </w:p>
        </w:tc>
        <w:tc>
          <w:tcPr>
            <w:tcW w:w="1597"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Pr="008E01F9">
              <w:rPr>
                <w:sz w:val="20"/>
                <w:szCs w:val="20"/>
                <w:lang w:val="en-US"/>
              </w:rPr>
              <w:t xml:space="preserve"> Performance</w:t>
            </w:r>
          </w:p>
        </w:tc>
        <w:tc>
          <w:tcPr>
            <w:tcW w:w="1397"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best method</w:t>
            </w:r>
          </w:p>
        </w:tc>
        <w:tc>
          <w:tcPr>
            <w:tcW w:w="1852"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1B0F08" w:rsidRPr="008E01F9" w:rsidRDefault="001B0F08" w:rsidP="003B1DBC">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Pr="008E01F9">
              <w:rPr>
                <w:sz w:val="20"/>
                <w:szCs w:val="20"/>
                <w:lang w:val="en-US"/>
              </w:rPr>
              <w:t>elation method</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0.6543</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0.20619</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0.6543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0.20619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0.6543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0.20619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0.65304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0.20812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0.42604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0.42604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0.6518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0.19173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0.45123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0.47664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0.65105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0.21093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0.35403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0.48602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0.65105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0.21093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0.35403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0.65096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0.21097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0.35006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0.08739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0.65046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0.17059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0.41328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0.4892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0.64559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0.18376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0.29121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0.38872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0.64143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0.20902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0.06381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0.40743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0.56653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0.22508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0.56086</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0.2303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0.28149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0.56059</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0.22709</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0.46933</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0.55832</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0.2287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0.33561</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0.55139</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0.23147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0.09071</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0.54587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0.23267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0.23236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0.53316</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0.22717</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0.03497</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0.66826</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0.17948</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0.66508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0.19747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0.41989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0.41989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0.66376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0.2004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0.38454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0.40748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0.66376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0.2004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0.38454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0.66376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0.2004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0.38454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0.65831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0.19725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0.26416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0.26673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0.65831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0.19725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0.26416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0.65814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0.19744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0.26068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0.22066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0.65623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0.22741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0.25613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0.45503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0.65099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0.19631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0.1211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0.38026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0.64631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0.20838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0.09314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0.4005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0.58894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0.24177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0.5873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0.2408</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0.00004</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0.36486</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0.58025</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0.24104</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0.10209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0.57909</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0.2344</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0.43038</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lastRenderedPageBreak/>
              <w:t>SVA-13</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0.5783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0.23917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0.46909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3B1DBC"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0.57716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0.24715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0.4431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0.56912</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0.23723</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0.17891</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0.08637</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0.1688</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0.08398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0.16291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0.38511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0.38511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0.07719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0.16008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0.21484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0.30753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0.07719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0.16008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0.21484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0.07713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0.1601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0.21352</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0.07083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0.0767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0.20038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0.41369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0.07345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0.15391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0.12595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0.23223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0.07156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0.14635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0.10489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0.35522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0.07156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0.14635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0.10489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0.07156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0.14635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0.10489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0.05728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0.12751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0.00925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0.05172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0.04911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0.12677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0.00094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0.17356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0.04351</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0.00171</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0.23356</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0.0429</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0.12339</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0.00224</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0.41135</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0.04232</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0.12403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0.00158</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0.35029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0.0416</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0.12121</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0.00104</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0.29734</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0.04085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0.12048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0.00115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0.27056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0.0408</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0.11555</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0.49328</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0.09131</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0.1687</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0.07157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0.15577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0.01057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0.01057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0.0667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0.1348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0.0165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0.34103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0.0667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0.1348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0.0165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0.06666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0.13481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0.01637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0.18583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0.0657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0.12836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0.0106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0.43182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0.06553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0.13179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0.01413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0.4885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0.06277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0.14098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0.39655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0.06248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0.12443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0.00685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0.48874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0.06248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0.12443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0.00685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0.06248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0.12443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0.00685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0.0575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0.14295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0.00046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0.29218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0.05702</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0.14516</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0.00042</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0.38208</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0.05458</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0.14008</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0.00035</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0.23154</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0.05387</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0.1335</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0.00059</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0.45628</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0.05287</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0.1363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0.00089</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0.44093</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0.05187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0.13335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0.24197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0.05088</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0.12887</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0.00048</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0.36582</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0.64061</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0.15798</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0.63355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0.16376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0.30449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0.30449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lastRenderedPageBreak/>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0.63355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0.16376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0.30449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0.63355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0.16376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0.30449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0.63292</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0.15921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0.28889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0.42591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0.63109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0.1596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0.24704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0.1291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0.63109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0.1596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0.24704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0.63092</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0.15974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0.24327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0.05739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0.62979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0.15592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0.16873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0.46417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0.62146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0.15637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0.07663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0.24124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0.60729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0.14723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0.01323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0.12249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0.5687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0.14167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0.0024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0.56793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0.14136</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0.37732</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0.56693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0.14132</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0.44421</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0.56465</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0.14003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0.34712</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0.56328</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0.13987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0.33522</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0.56317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0.13835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0.49048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0.56026</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0.13739</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0.27274</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0.64124</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0.15855</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0.63384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0.15788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0.22992</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0.22992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0.63313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0.16189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0.19877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0.42315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0.63313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0.16189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0.19877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0.63313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0.16189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0.19877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0.63129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0.15794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0.18674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0.42774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0.63101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0.15763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0.14813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0.48857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0.63088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0.15766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0.14479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0.36879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0.63088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0.15766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0.14479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0.62907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0.1587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0.09638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0.26412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0.62473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0.16439</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0.03907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0.34935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0.59206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0.1522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0.00106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0.59037</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0.15387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0.00003</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0.29028</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0.5902</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0.15522</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0.00004</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0.48057</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0.58731</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0.15453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0.00002</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0.16114</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0.58542</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0.15486</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0.27787</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0.58468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0.15212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0.43718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0.58231</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0.14697</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0.37511</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pAUC</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0.19047</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0.237</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0.17939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0.23384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0.16527</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0.16527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0.15616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0.01208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0.07538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0.15616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0.01208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0.15577</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0.22737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0.01131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0.15366</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0.15574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0.22563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0.01206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0.4933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0.1526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0.2252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0.00463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0.28928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lastRenderedPageBreak/>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0.15145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0.21858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0.00538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0.43787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0.15145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0.21858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0.00538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0.15145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0.21858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0.00538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0.13166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0.20584</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0.00019</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0.04722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0.10158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0.18397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0.0081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0.09371</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0.18668</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0.12459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0.08903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0.17881</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0.11261</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0.08818</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0.17743</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0.38917</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0.08787</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0.17489</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0.47199</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0.08711</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0.17757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0.4025</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0.08462</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0.17254</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0.18697</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Pearson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SVA-3</w:t>
            </w:r>
          </w:p>
        </w:tc>
        <w:tc>
          <w:tcPr>
            <w:tcW w:w="15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0.19499</w:t>
            </w:r>
          </w:p>
        </w:tc>
        <w:tc>
          <w:tcPr>
            <w:tcW w:w="1397"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0.245</w:t>
            </w:r>
          </w:p>
        </w:tc>
        <w:tc>
          <w:tcPr>
            <w:tcW w:w="1423"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0.16228</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0.22773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0.00328</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0.00328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0.15166</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0.21815</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0.0003</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0.2071</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0.14759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0.21766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0.00035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0.25332</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0.14759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0.21766</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0.00035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0.14753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0.21768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0.00034</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0.26824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0.14483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0.20811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0.00015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0.26664</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0.14483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0.20811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0.00015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0.14483</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0.20811</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0.00015</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0.14435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0.21217</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0.00016</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0.42099</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0.13815</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0.21382</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0.00001</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0.28718</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0.11764</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0.20233</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0.00817</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SVA-2</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0.11561</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0.20857</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0.38393</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0.11533</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0.20501</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0.47032</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SVA-13</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0.11526</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0.19852</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0.4945</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0.11308</w:t>
            </w:r>
          </w:p>
        </w:tc>
        <w:tc>
          <w:tcPr>
            <w:tcW w:w="1397"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0.20858</w:t>
            </w:r>
          </w:p>
        </w:tc>
        <w:tc>
          <w:tcPr>
            <w:tcW w:w="1423"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0.34112</w:t>
            </w:r>
          </w:p>
        </w:tc>
        <w:tc>
          <w:tcPr>
            <w:tcW w:w="928" w:type="dxa"/>
            <w:tcBorders>
              <w:bottom w:val="single" w:sz="4" w:space="0" w:color="95B3D7" w:themeColor="accent1" w:themeTint="99"/>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0.11129</w:t>
            </w:r>
          </w:p>
        </w:tc>
        <w:tc>
          <w:tcPr>
            <w:tcW w:w="1397"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0.20158</w:t>
            </w:r>
          </w:p>
        </w:tc>
        <w:tc>
          <w:tcPr>
            <w:tcW w:w="1423"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0.35243</w:t>
            </w:r>
          </w:p>
        </w:tc>
        <w:tc>
          <w:tcPr>
            <w:tcW w:w="928" w:type="dxa"/>
            <w:tcBorders>
              <w:bottom w:val="single" w:sz="4" w:space="0" w:color="95B3D7" w:themeColor="accent1" w:themeTint="99"/>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A62D0" w:rsidRPr="003B1DBC" w:rsidRDefault="00CA62D0" w:rsidP="003B1DB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r w:rsidR="00CA62D0" w:rsidRPr="008E01F9" w:rsidTr="003B1DBC">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A62D0" w:rsidRPr="003B1DBC" w:rsidRDefault="00CA62D0" w:rsidP="003B1DBC">
            <w:pPr>
              <w:rPr>
                <w:rFonts w:ascii="Calibri" w:hAnsi="Calibri"/>
                <w:color w:val="000000"/>
                <w:sz w:val="20"/>
                <w:szCs w:val="20"/>
              </w:rPr>
            </w:pPr>
            <w:r w:rsidRPr="003B1DBC">
              <w:rPr>
                <w:rFonts w:ascii="Calibri" w:hAnsi="Calibri"/>
                <w:color w:val="000000"/>
                <w:sz w:val="20"/>
                <w:szCs w:val="20"/>
              </w:rPr>
              <w:t>SVA-6</w:t>
            </w:r>
          </w:p>
        </w:tc>
        <w:tc>
          <w:tcPr>
            <w:tcW w:w="15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0.11126</w:t>
            </w:r>
          </w:p>
        </w:tc>
        <w:tc>
          <w:tcPr>
            <w:tcW w:w="1397"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0.20057</w:t>
            </w:r>
          </w:p>
        </w:tc>
        <w:tc>
          <w:tcPr>
            <w:tcW w:w="1423"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w:t>
            </w:r>
          </w:p>
        </w:tc>
        <w:tc>
          <w:tcPr>
            <w:tcW w:w="1852"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0.49576</w:t>
            </w:r>
          </w:p>
        </w:tc>
        <w:tc>
          <w:tcPr>
            <w:tcW w:w="928" w:type="dxa"/>
            <w:tcBorders>
              <w:bottom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CA62D0" w:rsidRPr="003B1DBC" w:rsidRDefault="00CA62D0" w:rsidP="003B1DB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3B1DBC">
              <w:rPr>
                <w:rFonts w:ascii="Calibri" w:hAnsi="Calibri"/>
                <w:color w:val="000000"/>
                <w:sz w:val="20"/>
                <w:szCs w:val="20"/>
              </w:rPr>
              <w:t>Spearman</w:t>
            </w:r>
          </w:p>
        </w:tc>
      </w:tr>
    </w:tbl>
    <w:p w:rsidR="001B0F08" w:rsidRDefault="001B0F08" w:rsidP="00CF1300"/>
    <w:p w:rsidR="004B56F5" w:rsidRDefault="004B56F5">
      <w:r>
        <w:br w:type="page"/>
      </w:r>
    </w:p>
    <w:p w:rsidR="004B56F5" w:rsidRDefault="004B56F5" w:rsidP="004B56F5">
      <w:pPr>
        <w:pStyle w:val="Caption"/>
        <w:keepNext/>
      </w:pPr>
      <w:bookmarkStart w:id="6" w:name="_Ref429656742"/>
      <w:r>
        <w:lastRenderedPageBreak/>
        <w:t xml:space="preserve">Table </w:t>
      </w:r>
      <w:fldSimple w:instr=" SEQ Table \* ARABIC ">
        <w:r>
          <w:rPr>
            <w:noProof/>
          </w:rPr>
          <w:t>3</w:t>
        </w:r>
      </w:fldSimple>
      <w:bookmarkEnd w:id="6"/>
      <w:r w:rsidRPr="00F41EBD">
        <w:t>: detai</w:t>
      </w:r>
      <w:r>
        <w:t>ls of the results on the Yeast</w:t>
      </w:r>
      <w:r w:rsidRPr="00F41EBD">
        <w:t xml:space="preserve"> compendium. </w:t>
      </w:r>
      <w:r w:rsidR="00F24329">
        <w:t xml:space="preserve">Details as in </w:t>
      </w:r>
      <w:r w:rsidR="00F24329">
        <w:fldChar w:fldCharType="begin"/>
      </w:r>
      <w:r w:rsidR="00F24329">
        <w:instrText xml:space="preserve"> REF _Ref429650699 \h </w:instrText>
      </w:r>
      <w:r w:rsidR="00F24329">
        <w:fldChar w:fldCharType="separate"/>
      </w:r>
      <w:r w:rsidR="00F24329">
        <w:t xml:space="preserve">Table </w:t>
      </w:r>
      <w:r w:rsidR="00F24329">
        <w:rPr>
          <w:noProof/>
        </w:rPr>
        <w:t>2</w:t>
      </w:r>
      <w:r w:rsidR="00F24329">
        <w:fldChar w:fldCharType="end"/>
      </w:r>
      <w:r w:rsidR="00F24329">
        <w:t>.</w:t>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4B56F5" w:rsidRPr="008E01F9" w:rsidTr="009A3CF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4B56F5" w:rsidRPr="008E01F9" w:rsidRDefault="004B56F5" w:rsidP="009A3CF8">
            <w:pPr>
              <w:rPr>
                <w:sz w:val="20"/>
                <w:szCs w:val="20"/>
              </w:rPr>
            </w:pPr>
            <w:r w:rsidRPr="008E01F9">
              <w:rPr>
                <w:sz w:val="20"/>
                <w:szCs w:val="20"/>
              </w:rPr>
              <w:t>Method</w:t>
            </w:r>
          </w:p>
        </w:tc>
        <w:tc>
          <w:tcPr>
            <w:tcW w:w="1597"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Pr="008E01F9">
              <w:rPr>
                <w:sz w:val="20"/>
                <w:szCs w:val="20"/>
                <w:lang w:val="en-US"/>
              </w:rPr>
              <w:t xml:space="preserve"> Performance</w:t>
            </w:r>
          </w:p>
        </w:tc>
        <w:tc>
          <w:tcPr>
            <w:tcW w:w="1397"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best method</w:t>
            </w:r>
          </w:p>
        </w:tc>
        <w:tc>
          <w:tcPr>
            <w:tcW w:w="1852"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4B56F5" w:rsidRPr="008E01F9" w:rsidRDefault="004B56F5" w:rsidP="009A3CF8">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Pr="008E01F9">
              <w:rPr>
                <w:sz w:val="20"/>
                <w:szCs w:val="20"/>
                <w:lang w:val="en-US"/>
              </w:rPr>
              <w:t>elation method</w:t>
            </w:r>
          </w:p>
        </w:tc>
      </w:tr>
      <w:tr w:rsidR="00B0686B"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0.60453</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0.16469</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0.60338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0.19605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7C5CB0"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0.60231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0.15527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0.26294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0.47988</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0.60231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0.15527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0.26294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7C5CB0"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0.60037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0.16394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0.28266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0.40073</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0.60037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0.16394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0.28266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7C5CB0"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0.60037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0.16394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0.28266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0.59971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0.18355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0.42252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0.48969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7C5CB0"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0.59439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0.16998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0.12481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0.41645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0.58719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0.16023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0.0483</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0.11991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7C5CB0"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0.58533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0.19472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0.20352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0.46795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0.1956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0.16075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0.38821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0.5619</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0.16464</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0.09378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0.27019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0.55989</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0.15859</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0.01365</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0.47207</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0.54991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0.15389</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0.00548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0.13713</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0.50157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0.2114</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0.00011</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0.04446</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0.49326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0.20787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0.00015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0.36461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0.47817</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0.19389</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0.00001</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0.21214</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0.60751</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0.18133</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0.59255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0.1578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0.25362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0.25362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0.59255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0.1578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0.25362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0.16207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0.25388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0.45608</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0.16207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0.25388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0.16207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0.25388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0.59005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0.16474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0.22686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0.39972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0.58716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0.16828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0.20058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0.33741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0.58193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0.18755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0.08439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0.42598</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0.58108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0.15602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0.14125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0.48683</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0.58018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0.17548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0.05604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0.48471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0.57934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0.18016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0.05998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0.48581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0.57618</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0.17351</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0.03738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0.44649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0.55582</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0.19341</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0.01007</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0.1556</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0.55296</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0.1833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0.06289</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0.46548</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0.54561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0.18444</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0.00017</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0.41771</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0.54257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0.18729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0.00024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0.43936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0.53425</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0.18923</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0.00046</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0.21381</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0.01374</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0.03993</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0.01367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0.03481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0.49292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0.49292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lastRenderedPageBreak/>
              <w:t>SVA-1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0.01253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0.03127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0.37707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0.13402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0.0118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0.05753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0.401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0.46074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0.01119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0.03976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0.29781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0.45014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0.01062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0.03734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0.26377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0.37674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0.00995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0.02877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0.05102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0.42343</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0.00965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0.0377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0.06769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0.00782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0.0628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0.18617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0.00759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0.02369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0.09112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0.42709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0.00759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0.02369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0.09112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0.01877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0.06507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0.12689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0.00657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0.01879</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0.06113</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0.45838</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0.00657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0.01879</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0.06113</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0.00657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0.01879</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0.06113</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0.00614</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0.01748</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0.05624</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0.10079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0.00447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0.01094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0.04271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0.10942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0.00288</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0.00753</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0.02405</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0.09275</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0.01137</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0.05597</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0.01026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0.04046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0.37599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0.37599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0.00937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0.03114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0.34165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0.32375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0.00846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0.02444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0.30637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0.2715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0.00782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0.02256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0.29297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0.27096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0.00782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0.02256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0.29297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0.00778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0.02247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0.26717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0.4881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0.00772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0.02148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0.28238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0.47819</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0.00767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0.0215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0.2797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0.19787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0.00751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0.02112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0.27496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0.45186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0.00749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0.02332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0.23492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0.49457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0.00731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0.02023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0.26748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0.45107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0.00731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0.02023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0.26748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0.00731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0.02023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0.26748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0.00695</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0.02057</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0.23347</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0.32973</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0.00686</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0.0193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0.24402</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0.45019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0.00631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0.01669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0.22331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0.25364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0.00478</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0.01366</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0.16778</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0.10644</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0.5651</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0.13221</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0.5617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0.12589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0.37651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0.37651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0.56075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0.12261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0.35105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0.4572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0.55679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0.12067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0.17537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0.3074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0.55477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0.11181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0.22328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0.43374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0.55477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0.11181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0.22328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0.55477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0.11181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0.22328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lastRenderedPageBreak/>
              <w:t>SVA-15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0.55298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0.11097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0.18749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0.23477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0.54949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0.11426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0.10945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0.26621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0.54572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0.11511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0.07508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0.07517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0.54572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0.11511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0.07508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0.54555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0.11518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0.09582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0.48957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0.54398</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0.1061</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0.11979</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0.45667</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0.53808</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0.12724</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0.01432</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0.35471</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0.53641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0.12305</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0.00541</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0.45053</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0.5299</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0.12035</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0.00203</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0.07802</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0.52469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0.11777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0.00148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0.36487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0.51309</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0.10614</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0.00026</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0.14557</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0.55798</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0.13418</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0.55709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0.12619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0.44404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0.44404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0.55443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0.12749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0.16982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0.32231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0.55251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0.12983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0.23475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0.38824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0.55239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0.12902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0.05214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0.49305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0.55014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0.11195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0.26312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0.42483</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0.55014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0.11195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0.26312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0.55014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0.11195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0.26312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0.54801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0.10973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0.28639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0.4451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0.54751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0.11301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0.20507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0.48692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0.54713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0.12691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0.17402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0.48578</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0.54596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0.11119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0.16534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0.44965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0.54499</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0.11996</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0.07188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0.46658</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0.54419</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0.12396</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0.09689</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0.47159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0.54251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0.11345</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0.12989</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0.43779</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0.54251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0.11345</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0.12989</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0.53982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0.12513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0.01519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0.42726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0.53803</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0.11596</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0.09951</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0.45457</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pAUC</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0.04932</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0.11676</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0.04784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0.16635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0.16635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0.03943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0.11396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0.12577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0.16122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0.03369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0.11118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0.1255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0.31235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0.03357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0.09933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0.05915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0.49531</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0.03245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0.1233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0.11147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0.4544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0.03239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0.11337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0.09095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0.49722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0.03102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0.0878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0.03746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0.45237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0.03068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0.09874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0.02678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0.46622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0.02987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0.09373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0.03496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0.44994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0.02987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0.09373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0.03496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0.02822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0.08633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0.0266</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0.13674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lastRenderedPageBreak/>
              <w:t>SVA-8</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0.02822</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0.08633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0.0266</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0.02822</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0.08633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0.0266</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0.02791</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0.08598</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0.02635</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0.26968</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0.02708</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0.08308</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0.02198</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0.13094</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0.02612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0.06035</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0.03685</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0.4344</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0.01865</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0.0533</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0.0094</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0.0832</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Pearson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w:t>
            </w:r>
          </w:p>
        </w:tc>
        <w:tc>
          <w:tcPr>
            <w:tcW w:w="15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0.03347</w:t>
            </w:r>
          </w:p>
        </w:tc>
        <w:tc>
          <w:tcPr>
            <w:tcW w:w="1397"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0.09183</w:t>
            </w:r>
          </w:p>
        </w:tc>
        <w:tc>
          <w:tcPr>
            <w:tcW w:w="1423"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0.0319</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0.0916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0.30422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0.30422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0.03172</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0.09709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0.35008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0.48506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0.03017</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0.09332</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0.32558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0.38486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0.0301</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0.11091</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0.31218</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0.49706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SVA-11</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0.0298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0.10458</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0.26472</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0.47967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SVA-10</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0.02968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0.09346</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0.30409</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0.49457</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SVA-4</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0.02886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0.08999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0.21227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0.45862</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SVA-12</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0.02886</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0.08999</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0.21227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SVA-13</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0.0288</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0.1144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0.26683</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0.49743</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SVA-16</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0.02844</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0.08754</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0.19257</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0.485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SVA-7</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0.02833</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0.08597</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0.18794</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0.40526</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SVA-8</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0.02833</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0.08597</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0.18794</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RMACOMBAT</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0.02833</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0.08597</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0.18794</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NA</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SVA-14</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0.02797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0.08633</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0.15363</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0.47505</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SVA-9</w:t>
            </w:r>
          </w:p>
        </w:tc>
        <w:tc>
          <w:tcPr>
            <w:tcW w:w="15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0.02767</w:t>
            </w:r>
          </w:p>
        </w:tc>
        <w:tc>
          <w:tcPr>
            <w:tcW w:w="1397"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0.07697</w:t>
            </w:r>
          </w:p>
        </w:tc>
        <w:tc>
          <w:tcPr>
            <w:tcW w:w="1423"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0.1194</w:t>
            </w:r>
          </w:p>
        </w:tc>
        <w:tc>
          <w:tcPr>
            <w:tcW w:w="1852"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0.476</w:t>
            </w:r>
          </w:p>
        </w:tc>
        <w:tc>
          <w:tcPr>
            <w:tcW w:w="928" w:type="dxa"/>
            <w:tcBorders>
              <w:bottom w:val="single" w:sz="4" w:space="0" w:color="95B3D7" w:themeColor="accent1" w:themeTint="99"/>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SVA-15</w:t>
            </w:r>
          </w:p>
        </w:tc>
        <w:tc>
          <w:tcPr>
            <w:tcW w:w="15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0.02605</w:t>
            </w:r>
          </w:p>
        </w:tc>
        <w:tc>
          <w:tcPr>
            <w:tcW w:w="1397"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0.08353</w:t>
            </w:r>
          </w:p>
        </w:tc>
        <w:tc>
          <w:tcPr>
            <w:tcW w:w="1423"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0.09521</w:t>
            </w:r>
          </w:p>
        </w:tc>
        <w:tc>
          <w:tcPr>
            <w:tcW w:w="1852"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0.37915</w:t>
            </w:r>
          </w:p>
        </w:tc>
        <w:tc>
          <w:tcPr>
            <w:tcW w:w="928" w:type="dxa"/>
            <w:tcBorders>
              <w:bottom w:val="single" w:sz="4" w:space="0" w:color="95B3D7" w:themeColor="accent1" w:themeTint="99"/>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B0686B" w:rsidRPr="007C5CB0" w:rsidRDefault="00B0686B" w:rsidP="007C5CB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r w:rsidR="00B0686B" w:rsidRPr="008E01F9" w:rsidTr="007C5CB0">
        <w:tblPrEx>
          <w:tblCellMar>
            <w:left w:w="108" w:type="dxa"/>
            <w:right w:w="108"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B0686B" w:rsidRPr="007C5CB0" w:rsidRDefault="00B0686B" w:rsidP="007C5CB0">
            <w:pPr>
              <w:rPr>
                <w:rFonts w:ascii="Calibri" w:hAnsi="Calibri"/>
                <w:color w:val="000000"/>
                <w:sz w:val="20"/>
                <w:szCs w:val="20"/>
              </w:rPr>
            </w:pPr>
            <w:r w:rsidRPr="007C5CB0">
              <w:rPr>
                <w:rFonts w:ascii="Calibri" w:hAnsi="Calibri"/>
                <w:color w:val="000000"/>
                <w:sz w:val="20"/>
                <w:szCs w:val="20"/>
              </w:rPr>
              <w:t>NoCorrection</w:t>
            </w:r>
          </w:p>
        </w:tc>
        <w:tc>
          <w:tcPr>
            <w:tcW w:w="15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0.02038</w:t>
            </w:r>
          </w:p>
        </w:tc>
        <w:tc>
          <w:tcPr>
            <w:tcW w:w="1397"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0.06614</w:t>
            </w:r>
          </w:p>
        </w:tc>
        <w:tc>
          <w:tcPr>
            <w:tcW w:w="1423"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0.02898</w:t>
            </w:r>
          </w:p>
        </w:tc>
        <w:tc>
          <w:tcPr>
            <w:tcW w:w="1852"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0.23328</w:t>
            </w:r>
          </w:p>
        </w:tc>
        <w:tc>
          <w:tcPr>
            <w:tcW w:w="928" w:type="dxa"/>
            <w:tcBorders>
              <w:bottom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B0686B" w:rsidRPr="007C5CB0" w:rsidRDefault="00B0686B" w:rsidP="007C5C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C5CB0">
              <w:rPr>
                <w:rFonts w:ascii="Calibri" w:hAnsi="Calibri"/>
                <w:color w:val="000000"/>
                <w:sz w:val="20"/>
                <w:szCs w:val="20"/>
              </w:rPr>
              <w:t>Spearman</w:t>
            </w:r>
          </w:p>
        </w:tc>
      </w:tr>
    </w:tbl>
    <w:p w:rsidR="004B56F5" w:rsidRDefault="004B56F5" w:rsidP="00CF1300"/>
    <w:p w:rsidR="004B56F5" w:rsidRDefault="004B56F5" w:rsidP="00CF1300"/>
    <w:p w:rsidR="00CF1300" w:rsidRPr="00CF1300" w:rsidRDefault="00CF1300" w:rsidP="00CF1300"/>
    <w:sectPr w:rsidR="00CF1300" w:rsidRPr="00CF13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86C" w:rsidRDefault="0001286C" w:rsidP="00C23CC6">
      <w:pPr>
        <w:spacing w:after="0" w:line="240" w:lineRule="auto"/>
      </w:pPr>
      <w:r>
        <w:separator/>
      </w:r>
    </w:p>
  </w:endnote>
  <w:endnote w:type="continuationSeparator" w:id="0">
    <w:p w:rsidR="0001286C" w:rsidRDefault="0001286C" w:rsidP="00C2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2FF" w:usb1="420024FF" w:usb2="00000000" w:usb3="00000000" w:csb0="0000019F" w:csb1="00000000"/>
  </w:font>
  <w:font w:name="Verdana">
    <w:panose1 w:val="020B0604030504040204"/>
    <w:charset w:val="A1"/>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86C" w:rsidRDefault="0001286C" w:rsidP="00C23CC6">
      <w:pPr>
        <w:spacing w:after="0" w:line="240" w:lineRule="auto"/>
      </w:pPr>
      <w:r>
        <w:separator/>
      </w:r>
    </w:p>
  </w:footnote>
  <w:footnote w:type="continuationSeparator" w:id="0">
    <w:p w:rsidR="0001286C" w:rsidRDefault="0001286C" w:rsidP="00C23C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B55E84"/>
    <w:multiLevelType w:val="hybridMultilevel"/>
    <w:tmpl w:val="724407E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34E43A50"/>
    <w:multiLevelType w:val="hybridMultilevel"/>
    <w:tmpl w:val="3202C72C"/>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10F7968"/>
    <w:multiLevelType w:val="hybridMultilevel"/>
    <w:tmpl w:val="469E947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FFF"/>
    <w:rsid w:val="00001A83"/>
    <w:rsid w:val="0000471D"/>
    <w:rsid w:val="0000499C"/>
    <w:rsid w:val="00005521"/>
    <w:rsid w:val="0001286C"/>
    <w:rsid w:val="00013C02"/>
    <w:rsid w:val="00016ACC"/>
    <w:rsid w:val="000177DD"/>
    <w:rsid w:val="00030A50"/>
    <w:rsid w:val="000423EE"/>
    <w:rsid w:val="0004492C"/>
    <w:rsid w:val="00044BF5"/>
    <w:rsid w:val="000476DF"/>
    <w:rsid w:val="00055E6F"/>
    <w:rsid w:val="00057813"/>
    <w:rsid w:val="00062CC9"/>
    <w:rsid w:val="00074F47"/>
    <w:rsid w:val="00075FE1"/>
    <w:rsid w:val="00076E7B"/>
    <w:rsid w:val="00080328"/>
    <w:rsid w:val="000846B8"/>
    <w:rsid w:val="000850A3"/>
    <w:rsid w:val="00085482"/>
    <w:rsid w:val="000A2E2E"/>
    <w:rsid w:val="000A4B74"/>
    <w:rsid w:val="000A518F"/>
    <w:rsid w:val="000A595A"/>
    <w:rsid w:val="000A5F76"/>
    <w:rsid w:val="000B28D5"/>
    <w:rsid w:val="000B4625"/>
    <w:rsid w:val="000C327D"/>
    <w:rsid w:val="000D06BD"/>
    <w:rsid w:val="000D61FD"/>
    <w:rsid w:val="000D684D"/>
    <w:rsid w:val="000D780C"/>
    <w:rsid w:val="000E2273"/>
    <w:rsid w:val="000E7357"/>
    <w:rsid w:val="000F2838"/>
    <w:rsid w:val="000F31A0"/>
    <w:rsid w:val="000F49EC"/>
    <w:rsid w:val="00102964"/>
    <w:rsid w:val="00103D41"/>
    <w:rsid w:val="0010456A"/>
    <w:rsid w:val="00107EB9"/>
    <w:rsid w:val="001102EE"/>
    <w:rsid w:val="00111252"/>
    <w:rsid w:val="00123B5F"/>
    <w:rsid w:val="00127CAD"/>
    <w:rsid w:val="00127EE4"/>
    <w:rsid w:val="001336BD"/>
    <w:rsid w:val="00135BD9"/>
    <w:rsid w:val="001419D9"/>
    <w:rsid w:val="001430FD"/>
    <w:rsid w:val="00144900"/>
    <w:rsid w:val="00176B88"/>
    <w:rsid w:val="00177CEB"/>
    <w:rsid w:val="001833DA"/>
    <w:rsid w:val="00183C02"/>
    <w:rsid w:val="001918EE"/>
    <w:rsid w:val="001979AC"/>
    <w:rsid w:val="00197EE2"/>
    <w:rsid w:val="001A0277"/>
    <w:rsid w:val="001A3DF3"/>
    <w:rsid w:val="001B0F08"/>
    <w:rsid w:val="001B12B3"/>
    <w:rsid w:val="001B2072"/>
    <w:rsid w:val="001B2BE4"/>
    <w:rsid w:val="001B3C9D"/>
    <w:rsid w:val="001B650A"/>
    <w:rsid w:val="001C4E6B"/>
    <w:rsid w:val="001C63CF"/>
    <w:rsid w:val="001D0CFB"/>
    <w:rsid w:val="001D56FF"/>
    <w:rsid w:val="001E35F1"/>
    <w:rsid w:val="001F18E8"/>
    <w:rsid w:val="001F1C6E"/>
    <w:rsid w:val="001F720B"/>
    <w:rsid w:val="0020392F"/>
    <w:rsid w:val="00203DD3"/>
    <w:rsid w:val="00207CB9"/>
    <w:rsid w:val="00232955"/>
    <w:rsid w:val="00236A37"/>
    <w:rsid w:val="00244845"/>
    <w:rsid w:val="00244F52"/>
    <w:rsid w:val="002515DA"/>
    <w:rsid w:val="00253157"/>
    <w:rsid w:val="00253B54"/>
    <w:rsid w:val="00256A9E"/>
    <w:rsid w:val="00257540"/>
    <w:rsid w:val="002630EF"/>
    <w:rsid w:val="002640DA"/>
    <w:rsid w:val="002701CA"/>
    <w:rsid w:val="00270202"/>
    <w:rsid w:val="00272B8D"/>
    <w:rsid w:val="002736CA"/>
    <w:rsid w:val="0027424B"/>
    <w:rsid w:val="0027557E"/>
    <w:rsid w:val="002806D8"/>
    <w:rsid w:val="002815F2"/>
    <w:rsid w:val="002825D3"/>
    <w:rsid w:val="002847A6"/>
    <w:rsid w:val="00287BB5"/>
    <w:rsid w:val="002949ED"/>
    <w:rsid w:val="002A4B34"/>
    <w:rsid w:val="002A7867"/>
    <w:rsid w:val="002B2EC8"/>
    <w:rsid w:val="002B745C"/>
    <w:rsid w:val="002C2AD3"/>
    <w:rsid w:val="002C2CCE"/>
    <w:rsid w:val="002C7EB7"/>
    <w:rsid w:val="002D6FAB"/>
    <w:rsid w:val="002E1F60"/>
    <w:rsid w:val="002E2C37"/>
    <w:rsid w:val="002E5B79"/>
    <w:rsid w:val="002E69C9"/>
    <w:rsid w:val="002E6AEC"/>
    <w:rsid w:val="002E77EF"/>
    <w:rsid w:val="002F316C"/>
    <w:rsid w:val="002F728C"/>
    <w:rsid w:val="00300B99"/>
    <w:rsid w:val="00301FD8"/>
    <w:rsid w:val="00302E05"/>
    <w:rsid w:val="00312198"/>
    <w:rsid w:val="0031226E"/>
    <w:rsid w:val="003166D9"/>
    <w:rsid w:val="00317E6A"/>
    <w:rsid w:val="003233E1"/>
    <w:rsid w:val="003424F3"/>
    <w:rsid w:val="003462DD"/>
    <w:rsid w:val="00350D26"/>
    <w:rsid w:val="00355900"/>
    <w:rsid w:val="003629E7"/>
    <w:rsid w:val="00367387"/>
    <w:rsid w:val="00373C4E"/>
    <w:rsid w:val="0037559F"/>
    <w:rsid w:val="00381AD5"/>
    <w:rsid w:val="003824B2"/>
    <w:rsid w:val="00384E04"/>
    <w:rsid w:val="00392C0E"/>
    <w:rsid w:val="003A5A4D"/>
    <w:rsid w:val="003A66AD"/>
    <w:rsid w:val="003B0FAF"/>
    <w:rsid w:val="003B1DBC"/>
    <w:rsid w:val="003B5306"/>
    <w:rsid w:val="003B7DBF"/>
    <w:rsid w:val="003C2072"/>
    <w:rsid w:val="003D27EF"/>
    <w:rsid w:val="003D2B8C"/>
    <w:rsid w:val="003D7D37"/>
    <w:rsid w:val="003E3128"/>
    <w:rsid w:val="003E3A5D"/>
    <w:rsid w:val="003F5F87"/>
    <w:rsid w:val="003F6A56"/>
    <w:rsid w:val="003F7526"/>
    <w:rsid w:val="004004C0"/>
    <w:rsid w:val="0040118F"/>
    <w:rsid w:val="00406700"/>
    <w:rsid w:val="00410834"/>
    <w:rsid w:val="00412578"/>
    <w:rsid w:val="004128F0"/>
    <w:rsid w:val="004250A8"/>
    <w:rsid w:val="0042735C"/>
    <w:rsid w:val="00431536"/>
    <w:rsid w:val="004320E3"/>
    <w:rsid w:val="004430B0"/>
    <w:rsid w:val="00447C7A"/>
    <w:rsid w:val="00450CAA"/>
    <w:rsid w:val="00467828"/>
    <w:rsid w:val="00477BE4"/>
    <w:rsid w:val="00486B0D"/>
    <w:rsid w:val="00486BDD"/>
    <w:rsid w:val="0049045B"/>
    <w:rsid w:val="00490A22"/>
    <w:rsid w:val="00496B32"/>
    <w:rsid w:val="004A04B7"/>
    <w:rsid w:val="004A581D"/>
    <w:rsid w:val="004A6BF0"/>
    <w:rsid w:val="004A7351"/>
    <w:rsid w:val="004B2721"/>
    <w:rsid w:val="004B56F5"/>
    <w:rsid w:val="004C6254"/>
    <w:rsid w:val="004D5B77"/>
    <w:rsid w:val="004D767A"/>
    <w:rsid w:val="004E3C86"/>
    <w:rsid w:val="004E4BEB"/>
    <w:rsid w:val="004E4D39"/>
    <w:rsid w:val="004E56BE"/>
    <w:rsid w:val="004E754B"/>
    <w:rsid w:val="004F0EB9"/>
    <w:rsid w:val="004F2BE0"/>
    <w:rsid w:val="004F398B"/>
    <w:rsid w:val="004F4D9F"/>
    <w:rsid w:val="00500472"/>
    <w:rsid w:val="00506D21"/>
    <w:rsid w:val="00522D4D"/>
    <w:rsid w:val="00540649"/>
    <w:rsid w:val="00541F5A"/>
    <w:rsid w:val="00556C97"/>
    <w:rsid w:val="0056191C"/>
    <w:rsid w:val="00563BE3"/>
    <w:rsid w:val="00567FEC"/>
    <w:rsid w:val="00570B4E"/>
    <w:rsid w:val="0058008C"/>
    <w:rsid w:val="005846F8"/>
    <w:rsid w:val="005848F3"/>
    <w:rsid w:val="00591C80"/>
    <w:rsid w:val="00593A60"/>
    <w:rsid w:val="005A0CA2"/>
    <w:rsid w:val="005A7A78"/>
    <w:rsid w:val="005B0B54"/>
    <w:rsid w:val="005B5F8F"/>
    <w:rsid w:val="005B7E82"/>
    <w:rsid w:val="005C74C0"/>
    <w:rsid w:val="005D2E44"/>
    <w:rsid w:val="005D3F80"/>
    <w:rsid w:val="005D4048"/>
    <w:rsid w:val="005D6B4A"/>
    <w:rsid w:val="005F01FA"/>
    <w:rsid w:val="005F02F2"/>
    <w:rsid w:val="005F22AD"/>
    <w:rsid w:val="005F3D3C"/>
    <w:rsid w:val="005F505F"/>
    <w:rsid w:val="005F54F5"/>
    <w:rsid w:val="006005C2"/>
    <w:rsid w:val="00602EF4"/>
    <w:rsid w:val="00604AC0"/>
    <w:rsid w:val="00606362"/>
    <w:rsid w:val="00611A3A"/>
    <w:rsid w:val="00621743"/>
    <w:rsid w:val="00622BA5"/>
    <w:rsid w:val="00636F66"/>
    <w:rsid w:val="00650459"/>
    <w:rsid w:val="00651716"/>
    <w:rsid w:val="00662353"/>
    <w:rsid w:val="00667F71"/>
    <w:rsid w:val="00671D4D"/>
    <w:rsid w:val="00671E90"/>
    <w:rsid w:val="006743A6"/>
    <w:rsid w:val="00676D88"/>
    <w:rsid w:val="00682A6B"/>
    <w:rsid w:val="006859E1"/>
    <w:rsid w:val="00691EF1"/>
    <w:rsid w:val="00697FC7"/>
    <w:rsid w:val="006A1591"/>
    <w:rsid w:val="006A1DDD"/>
    <w:rsid w:val="006B0D71"/>
    <w:rsid w:val="006B18E5"/>
    <w:rsid w:val="006B5867"/>
    <w:rsid w:val="006B6945"/>
    <w:rsid w:val="006C064A"/>
    <w:rsid w:val="006C4A0A"/>
    <w:rsid w:val="006C53FE"/>
    <w:rsid w:val="006D2451"/>
    <w:rsid w:val="006E0A5A"/>
    <w:rsid w:val="006E5CE9"/>
    <w:rsid w:val="006E6B7C"/>
    <w:rsid w:val="006F1994"/>
    <w:rsid w:val="006F494B"/>
    <w:rsid w:val="0070030E"/>
    <w:rsid w:val="00705E9B"/>
    <w:rsid w:val="0072360D"/>
    <w:rsid w:val="00724508"/>
    <w:rsid w:val="00727680"/>
    <w:rsid w:val="00730FB0"/>
    <w:rsid w:val="0074286A"/>
    <w:rsid w:val="007436E6"/>
    <w:rsid w:val="007442EE"/>
    <w:rsid w:val="007461A6"/>
    <w:rsid w:val="00763B09"/>
    <w:rsid w:val="00770121"/>
    <w:rsid w:val="00776123"/>
    <w:rsid w:val="00776202"/>
    <w:rsid w:val="00780945"/>
    <w:rsid w:val="0078301D"/>
    <w:rsid w:val="0078532D"/>
    <w:rsid w:val="00786190"/>
    <w:rsid w:val="007865C7"/>
    <w:rsid w:val="00792432"/>
    <w:rsid w:val="00797216"/>
    <w:rsid w:val="007B2865"/>
    <w:rsid w:val="007B40FC"/>
    <w:rsid w:val="007C4C4F"/>
    <w:rsid w:val="007C50FE"/>
    <w:rsid w:val="007C5CB0"/>
    <w:rsid w:val="007C6255"/>
    <w:rsid w:val="007D3F8A"/>
    <w:rsid w:val="007D642E"/>
    <w:rsid w:val="007E1616"/>
    <w:rsid w:val="007E4871"/>
    <w:rsid w:val="007E7F39"/>
    <w:rsid w:val="007F3C25"/>
    <w:rsid w:val="00817CA0"/>
    <w:rsid w:val="00831947"/>
    <w:rsid w:val="0083276E"/>
    <w:rsid w:val="008340F1"/>
    <w:rsid w:val="00843F91"/>
    <w:rsid w:val="008527AB"/>
    <w:rsid w:val="0085426E"/>
    <w:rsid w:val="00857844"/>
    <w:rsid w:val="00867546"/>
    <w:rsid w:val="00880EF9"/>
    <w:rsid w:val="008860D3"/>
    <w:rsid w:val="00890699"/>
    <w:rsid w:val="008974FE"/>
    <w:rsid w:val="008A0D66"/>
    <w:rsid w:val="008A2C95"/>
    <w:rsid w:val="008A5A38"/>
    <w:rsid w:val="008B6A30"/>
    <w:rsid w:val="008B7A4E"/>
    <w:rsid w:val="008C28C3"/>
    <w:rsid w:val="008D13BC"/>
    <w:rsid w:val="008D3CD1"/>
    <w:rsid w:val="008D6AC3"/>
    <w:rsid w:val="008E27AB"/>
    <w:rsid w:val="008F1ACD"/>
    <w:rsid w:val="0090322C"/>
    <w:rsid w:val="00914676"/>
    <w:rsid w:val="0092136B"/>
    <w:rsid w:val="009258F1"/>
    <w:rsid w:val="00927B7F"/>
    <w:rsid w:val="00931EBA"/>
    <w:rsid w:val="009328CC"/>
    <w:rsid w:val="00947D7E"/>
    <w:rsid w:val="0095145B"/>
    <w:rsid w:val="0096054F"/>
    <w:rsid w:val="00966D48"/>
    <w:rsid w:val="0097324A"/>
    <w:rsid w:val="00975849"/>
    <w:rsid w:val="00975E0B"/>
    <w:rsid w:val="00977A56"/>
    <w:rsid w:val="00994A54"/>
    <w:rsid w:val="00996EC5"/>
    <w:rsid w:val="00997CA8"/>
    <w:rsid w:val="009B2B81"/>
    <w:rsid w:val="009C3FBD"/>
    <w:rsid w:val="009D0065"/>
    <w:rsid w:val="009D70E9"/>
    <w:rsid w:val="009E1414"/>
    <w:rsid w:val="009E4A0E"/>
    <w:rsid w:val="009F2086"/>
    <w:rsid w:val="00A06148"/>
    <w:rsid w:val="00A10090"/>
    <w:rsid w:val="00A10FFF"/>
    <w:rsid w:val="00A35AB0"/>
    <w:rsid w:val="00A44AB9"/>
    <w:rsid w:val="00A56AAA"/>
    <w:rsid w:val="00A6040B"/>
    <w:rsid w:val="00A607F2"/>
    <w:rsid w:val="00A654D9"/>
    <w:rsid w:val="00A72FE5"/>
    <w:rsid w:val="00A7420C"/>
    <w:rsid w:val="00A75A81"/>
    <w:rsid w:val="00A82BB8"/>
    <w:rsid w:val="00A84824"/>
    <w:rsid w:val="00A84C35"/>
    <w:rsid w:val="00AA2E46"/>
    <w:rsid w:val="00AA31BB"/>
    <w:rsid w:val="00AA51E1"/>
    <w:rsid w:val="00AB3540"/>
    <w:rsid w:val="00AB3B36"/>
    <w:rsid w:val="00AB590E"/>
    <w:rsid w:val="00AC148D"/>
    <w:rsid w:val="00AD05C6"/>
    <w:rsid w:val="00AD12A9"/>
    <w:rsid w:val="00AD2CD2"/>
    <w:rsid w:val="00AD3F5B"/>
    <w:rsid w:val="00AF2688"/>
    <w:rsid w:val="00AF6772"/>
    <w:rsid w:val="00B0686B"/>
    <w:rsid w:val="00B115AC"/>
    <w:rsid w:val="00B1470A"/>
    <w:rsid w:val="00B213CF"/>
    <w:rsid w:val="00B2339B"/>
    <w:rsid w:val="00B26B42"/>
    <w:rsid w:val="00B2756F"/>
    <w:rsid w:val="00B27A9F"/>
    <w:rsid w:val="00B46D93"/>
    <w:rsid w:val="00B53DAC"/>
    <w:rsid w:val="00B60BC4"/>
    <w:rsid w:val="00B620E1"/>
    <w:rsid w:val="00B63774"/>
    <w:rsid w:val="00B65850"/>
    <w:rsid w:val="00B66879"/>
    <w:rsid w:val="00B709EB"/>
    <w:rsid w:val="00B766B4"/>
    <w:rsid w:val="00B806C1"/>
    <w:rsid w:val="00B8313A"/>
    <w:rsid w:val="00B937A9"/>
    <w:rsid w:val="00B975D7"/>
    <w:rsid w:val="00BA58B3"/>
    <w:rsid w:val="00BA5DA4"/>
    <w:rsid w:val="00BA66DD"/>
    <w:rsid w:val="00BA6A83"/>
    <w:rsid w:val="00BA7707"/>
    <w:rsid w:val="00BB1E94"/>
    <w:rsid w:val="00BB2B0C"/>
    <w:rsid w:val="00BB35D0"/>
    <w:rsid w:val="00BC03CE"/>
    <w:rsid w:val="00BC6BA1"/>
    <w:rsid w:val="00BC6C17"/>
    <w:rsid w:val="00BC7F8A"/>
    <w:rsid w:val="00BD0A36"/>
    <w:rsid w:val="00BD0F6B"/>
    <w:rsid w:val="00BE47F5"/>
    <w:rsid w:val="00BE57C5"/>
    <w:rsid w:val="00BF05A7"/>
    <w:rsid w:val="00BF2799"/>
    <w:rsid w:val="00BF795B"/>
    <w:rsid w:val="00C00296"/>
    <w:rsid w:val="00C03756"/>
    <w:rsid w:val="00C03DAF"/>
    <w:rsid w:val="00C04467"/>
    <w:rsid w:val="00C07424"/>
    <w:rsid w:val="00C0759C"/>
    <w:rsid w:val="00C106CE"/>
    <w:rsid w:val="00C107E7"/>
    <w:rsid w:val="00C12A90"/>
    <w:rsid w:val="00C13201"/>
    <w:rsid w:val="00C23CC6"/>
    <w:rsid w:val="00C24FCA"/>
    <w:rsid w:val="00C31989"/>
    <w:rsid w:val="00C35DF5"/>
    <w:rsid w:val="00C366CB"/>
    <w:rsid w:val="00C4268C"/>
    <w:rsid w:val="00C43597"/>
    <w:rsid w:val="00C51975"/>
    <w:rsid w:val="00C5631C"/>
    <w:rsid w:val="00C81023"/>
    <w:rsid w:val="00C82EBE"/>
    <w:rsid w:val="00C82EF2"/>
    <w:rsid w:val="00C83F50"/>
    <w:rsid w:val="00C8789E"/>
    <w:rsid w:val="00CA3835"/>
    <w:rsid w:val="00CA62D0"/>
    <w:rsid w:val="00CB4E8A"/>
    <w:rsid w:val="00CC66A0"/>
    <w:rsid w:val="00CC77AE"/>
    <w:rsid w:val="00CD0037"/>
    <w:rsid w:val="00CD0D27"/>
    <w:rsid w:val="00CD1F50"/>
    <w:rsid w:val="00CD27FE"/>
    <w:rsid w:val="00CD6406"/>
    <w:rsid w:val="00CE0780"/>
    <w:rsid w:val="00CF0906"/>
    <w:rsid w:val="00CF1300"/>
    <w:rsid w:val="00CF4E88"/>
    <w:rsid w:val="00D0393E"/>
    <w:rsid w:val="00D05DF5"/>
    <w:rsid w:val="00D11382"/>
    <w:rsid w:val="00D11A85"/>
    <w:rsid w:val="00D17165"/>
    <w:rsid w:val="00D20420"/>
    <w:rsid w:val="00D25B09"/>
    <w:rsid w:val="00D34BF4"/>
    <w:rsid w:val="00D502DF"/>
    <w:rsid w:val="00D53763"/>
    <w:rsid w:val="00D56657"/>
    <w:rsid w:val="00D60094"/>
    <w:rsid w:val="00D67518"/>
    <w:rsid w:val="00D76D25"/>
    <w:rsid w:val="00D80044"/>
    <w:rsid w:val="00D82469"/>
    <w:rsid w:val="00D824E7"/>
    <w:rsid w:val="00D9169A"/>
    <w:rsid w:val="00D94391"/>
    <w:rsid w:val="00D95B20"/>
    <w:rsid w:val="00D95EC6"/>
    <w:rsid w:val="00D96688"/>
    <w:rsid w:val="00DB14B4"/>
    <w:rsid w:val="00DB5654"/>
    <w:rsid w:val="00DB5E76"/>
    <w:rsid w:val="00DB7B2B"/>
    <w:rsid w:val="00DC25BA"/>
    <w:rsid w:val="00DC67A0"/>
    <w:rsid w:val="00DC74AD"/>
    <w:rsid w:val="00DD2E2D"/>
    <w:rsid w:val="00DD3BEB"/>
    <w:rsid w:val="00DD3C9E"/>
    <w:rsid w:val="00DD4D61"/>
    <w:rsid w:val="00DD6B48"/>
    <w:rsid w:val="00DE3E8C"/>
    <w:rsid w:val="00DF17D6"/>
    <w:rsid w:val="00E02089"/>
    <w:rsid w:val="00E03526"/>
    <w:rsid w:val="00E26556"/>
    <w:rsid w:val="00E344FD"/>
    <w:rsid w:val="00E35347"/>
    <w:rsid w:val="00E35CF5"/>
    <w:rsid w:val="00E423CF"/>
    <w:rsid w:val="00E52282"/>
    <w:rsid w:val="00E5320A"/>
    <w:rsid w:val="00E57942"/>
    <w:rsid w:val="00E60F7B"/>
    <w:rsid w:val="00E6486D"/>
    <w:rsid w:val="00E71935"/>
    <w:rsid w:val="00E7236C"/>
    <w:rsid w:val="00E74525"/>
    <w:rsid w:val="00E81918"/>
    <w:rsid w:val="00E85D9B"/>
    <w:rsid w:val="00E90E49"/>
    <w:rsid w:val="00E96365"/>
    <w:rsid w:val="00EA1848"/>
    <w:rsid w:val="00EA6330"/>
    <w:rsid w:val="00EA72DD"/>
    <w:rsid w:val="00EB1138"/>
    <w:rsid w:val="00EB35C4"/>
    <w:rsid w:val="00EB759B"/>
    <w:rsid w:val="00EC2E34"/>
    <w:rsid w:val="00ED2D9C"/>
    <w:rsid w:val="00ED6BA8"/>
    <w:rsid w:val="00EE5104"/>
    <w:rsid w:val="00EF2643"/>
    <w:rsid w:val="00EF2FE2"/>
    <w:rsid w:val="00F01F58"/>
    <w:rsid w:val="00F0364A"/>
    <w:rsid w:val="00F0539D"/>
    <w:rsid w:val="00F121B8"/>
    <w:rsid w:val="00F145E2"/>
    <w:rsid w:val="00F14894"/>
    <w:rsid w:val="00F14C98"/>
    <w:rsid w:val="00F14F7B"/>
    <w:rsid w:val="00F157B5"/>
    <w:rsid w:val="00F22499"/>
    <w:rsid w:val="00F22C5B"/>
    <w:rsid w:val="00F24329"/>
    <w:rsid w:val="00F309BC"/>
    <w:rsid w:val="00F30AC7"/>
    <w:rsid w:val="00F350F2"/>
    <w:rsid w:val="00F37E50"/>
    <w:rsid w:val="00F4176B"/>
    <w:rsid w:val="00F45F28"/>
    <w:rsid w:val="00F50EEE"/>
    <w:rsid w:val="00F536EE"/>
    <w:rsid w:val="00F54D6C"/>
    <w:rsid w:val="00F60E19"/>
    <w:rsid w:val="00F62F5F"/>
    <w:rsid w:val="00F661A1"/>
    <w:rsid w:val="00F751F1"/>
    <w:rsid w:val="00F77502"/>
    <w:rsid w:val="00F8496D"/>
    <w:rsid w:val="00F8626D"/>
    <w:rsid w:val="00F900D9"/>
    <w:rsid w:val="00F92905"/>
    <w:rsid w:val="00F93997"/>
    <w:rsid w:val="00F95AC5"/>
    <w:rsid w:val="00F97DA7"/>
    <w:rsid w:val="00FA07E4"/>
    <w:rsid w:val="00FA7708"/>
    <w:rsid w:val="00FB2E56"/>
    <w:rsid w:val="00FB5CEE"/>
    <w:rsid w:val="00FB7CD4"/>
    <w:rsid w:val="00FC2EC9"/>
    <w:rsid w:val="00FC7CAA"/>
    <w:rsid w:val="00FD2761"/>
    <w:rsid w:val="00FD4F09"/>
    <w:rsid w:val="00FD75FC"/>
    <w:rsid w:val="00FD769F"/>
    <w:rsid w:val="00FE2268"/>
    <w:rsid w:val="00FE2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B58BE4-171F-41BD-A28F-A8C891FE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12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0F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0FF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D12A9"/>
    <w:rPr>
      <w:rFonts w:asciiTheme="majorHAnsi" w:eastAsiaTheme="majorEastAsia" w:hAnsiTheme="majorHAnsi" w:cstheme="majorBidi"/>
      <w:b/>
      <w:bCs/>
      <w:color w:val="365F91" w:themeColor="accent1" w:themeShade="BF"/>
      <w:sz w:val="28"/>
      <w:szCs w:val="28"/>
    </w:rPr>
  </w:style>
  <w:style w:type="table" w:customStyle="1" w:styleId="GridTable3-Accent11">
    <w:name w:val="Grid Table 3 - Accent 11"/>
    <w:basedOn w:val="TableNormal"/>
    <w:uiPriority w:val="48"/>
    <w:rsid w:val="00C23CC6"/>
    <w:pPr>
      <w:spacing w:after="0" w:line="240" w:lineRule="auto"/>
    </w:pPr>
    <w:rPr>
      <w:rFonts w:cs="Calibri"/>
      <w:lang w:val="el-G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EndnoteText">
    <w:name w:val="endnote text"/>
    <w:basedOn w:val="Normal"/>
    <w:link w:val="EndnoteTextChar"/>
    <w:uiPriority w:val="99"/>
    <w:semiHidden/>
    <w:unhideWhenUsed/>
    <w:rsid w:val="00C23C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CC6"/>
    <w:rPr>
      <w:sz w:val="20"/>
      <w:szCs w:val="20"/>
    </w:rPr>
  </w:style>
  <w:style w:type="character" w:styleId="EndnoteReference">
    <w:name w:val="endnote reference"/>
    <w:basedOn w:val="DefaultParagraphFont"/>
    <w:uiPriority w:val="99"/>
    <w:semiHidden/>
    <w:unhideWhenUsed/>
    <w:rsid w:val="00C23CC6"/>
    <w:rPr>
      <w:vertAlign w:val="superscript"/>
    </w:rPr>
  </w:style>
  <w:style w:type="paragraph" w:styleId="Caption">
    <w:name w:val="caption"/>
    <w:basedOn w:val="Normal"/>
    <w:next w:val="Normal"/>
    <w:uiPriority w:val="35"/>
    <w:unhideWhenUsed/>
    <w:qFormat/>
    <w:rsid w:val="00C23CC6"/>
    <w:pPr>
      <w:spacing w:line="240" w:lineRule="auto"/>
    </w:pPr>
    <w:rPr>
      <w:b/>
      <w:bCs/>
      <w:color w:val="4F81BD" w:themeColor="accent1"/>
      <w:sz w:val="18"/>
      <w:szCs w:val="18"/>
    </w:rPr>
  </w:style>
  <w:style w:type="character" w:customStyle="1" w:styleId="apple-converted-space">
    <w:name w:val="apple-converted-space"/>
    <w:basedOn w:val="DefaultParagraphFont"/>
    <w:rsid w:val="00F309BC"/>
  </w:style>
  <w:style w:type="paragraph" w:styleId="BalloonText">
    <w:name w:val="Balloon Text"/>
    <w:basedOn w:val="Normal"/>
    <w:link w:val="BalloonTextChar"/>
    <w:uiPriority w:val="99"/>
    <w:semiHidden/>
    <w:unhideWhenUsed/>
    <w:rsid w:val="00AD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F5B"/>
    <w:rPr>
      <w:rFonts w:ascii="Tahoma" w:hAnsi="Tahoma" w:cs="Tahoma"/>
      <w:sz w:val="16"/>
      <w:szCs w:val="16"/>
    </w:rPr>
  </w:style>
  <w:style w:type="paragraph" w:styleId="ListParagraph">
    <w:name w:val="List Paragraph"/>
    <w:basedOn w:val="Normal"/>
    <w:uiPriority w:val="34"/>
    <w:qFormat/>
    <w:rsid w:val="00085482"/>
    <w:pPr>
      <w:ind w:left="720"/>
      <w:contextualSpacing/>
    </w:pPr>
  </w:style>
  <w:style w:type="paragraph" w:styleId="Subtitle">
    <w:name w:val="Subtitle"/>
    <w:basedOn w:val="Normal"/>
    <w:next w:val="Normal"/>
    <w:link w:val="SubtitleChar"/>
    <w:uiPriority w:val="11"/>
    <w:qFormat/>
    <w:rsid w:val="002515D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515DA"/>
    <w:rPr>
      <w:rFonts w:eastAsiaTheme="minorEastAsia"/>
      <w:color w:val="5A5A5A" w:themeColor="text1" w:themeTint="A5"/>
      <w:spacing w:val="15"/>
    </w:rPr>
  </w:style>
  <w:style w:type="character" w:styleId="PlaceholderText">
    <w:name w:val="Placeholder Text"/>
    <w:basedOn w:val="DefaultParagraphFont"/>
    <w:uiPriority w:val="99"/>
    <w:semiHidden/>
    <w:rsid w:val="00FD2761"/>
    <w:rPr>
      <w:color w:val="808080"/>
    </w:rPr>
  </w:style>
  <w:style w:type="paragraph" w:styleId="NormalWeb">
    <w:name w:val="Normal (Web)"/>
    <w:basedOn w:val="Normal"/>
    <w:uiPriority w:val="99"/>
    <w:unhideWhenUsed/>
    <w:rsid w:val="00F8626D"/>
    <w:pPr>
      <w:spacing w:before="100" w:beforeAutospacing="1" w:after="100" w:afterAutospacing="1" w:line="240" w:lineRule="auto"/>
    </w:pPr>
    <w:rPr>
      <w:rFonts w:ascii="Times New Roman" w:eastAsiaTheme="minorEastAsia"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174278">
      <w:bodyDiv w:val="1"/>
      <w:marLeft w:val="0"/>
      <w:marRight w:val="0"/>
      <w:marTop w:val="0"/>
      <w:marBottom w:val="0"/>
      <w:divBdr>
        <w:top w:val="none" w:sz="0" w:space="0" w:color="auto"/>
        <w:left w:val="none" w:sz="0" w:space="0" w:color="auto"/>
        <w:bottom w:val="none" w:sz="0" w:space="0" w:color="auto"/>
        <w:right w:val="none" w:sz="0" w:space="0" w:color="auto"/>
      </w:divBdr>
    </w:div>
    <w:div w:id="1155149394">
      <w:bodyDiv w:val="1"/>
      <w:marLeft w:val="0"/>
      <w:marRight w:val="0"/>
      <w:marTop w:val="0"/>
      <w:marBottom w:val="0"/>
      <w:divBdr>
        <w:top w:val="none" w:sz="0" w:space="0" w:color="auto"/>
        <w:left w:val="none" w:sz="0" w:space="0" w:color="auto"/>
        <w:bottom w:val="none" w:sz="0" w:space="0" w:color="auto"/>
        <w:right w:val="none" w:sz="0" w:space="0" w:color="auto"/>
      </w:divBdr>
      <w:divsChild>
        <w:div w:id="1474299539">
          <w:marLeft w:val="0"/>
          <w:marRight w:val="0"/>
          <w:marTop w:val="0"/>
          <w:marBottom w:val="0"/>
          <w:divBdr>
            <w:top w:val="none" w:sz="0" w:space="0" w:color="auto"/>
            <w:left w:val="none" w:sz="0" w:space="0" w:color="auto"/>
            <w:bottom w:val="none" w:sz="0" w:space="0" w:color="auto"/>
            <w:right w:val="none" w:sz="0" w:space="0" w:color="auto"/>
          </w:divBdr>
          <w:divsChild>
            <w:div w:id="1673677463">
              <w:marLeft w:val="0"/>
              <w:marRight w:val="0"/>
              <w:marTop w:val="0"/>
              <w:marBottom w:val="0"/>
              <w:divBdr>
                <w:top w:val="none" w:sz="0" w:space="0" w:color="auto"/>
                <w:left w:val="none" w:sz="0" w:space="0" w:color="auto"/>
                <w:bottom w:val="none" w:sz="0" w:space="0" w:color="auto"/>
                <w:right w:val="none" w:sz="0" w:space="0" w:color="auto"/>
              </w:divBdr>
              <w:divsChild>
                <w:div w:id="834568087">
                  <w:marLeft w:val="0"/>
                  <w:marRight w:val="0"/>
                  <w:marTop w:val="0"/>
                  <w:marBottom w:val="0"/>
                  <w:divBdr>
                    <w:top w:val="none" w:sz="0" w:space="0" w:color="auto"/>
                    <w:left w:val="none" w:sz="0" w:space="0" w:color="auto"/>
                    <w:bottom w:val="none" w:sz="0" w:space="0" w:color="auto"/>
                    <w:right w:val="none" w:sz="0" w:space="0" w:color="auto"/>
                  </w:divBdr>
                  <w:divsChild>
                    <w:div w:id="1966151595">
                      <w:marLeft w:val="0"/>
                      <w:marRight w:val="0"/>
                      <w:marTop w:val="0"/>
                      <w:marBottom w:val="0"/>
                      <w:divBdr>
                        <w:top w:val="none" w:sz="0" w:space="0" w:color="auto"/>
                        <w:left w:val="none" w:sz="0" w:space="0" w:color="auto"/>
                        <w:bottom w:val="none" w:sz="0" w:space="0" w:color="auto"/>
                        <w:right w:val="none" w:sz="0" w:space="0" w:color="auto"/>
                      </w:divBdr>
                      <w:divsChild>
                        <w:div w:id="638389643">
                          <w:marLeft w:val="0"/>
                          <w:marRight w:val="0"/>
                          <w:marTop w:val="0"/>
                          <w:marBottom w:val="0"/>
                          <w:divBdr>
                            <w:top w:val="none" w:sz="0" w:space="0" w:color="auto"/>
                            <w:left w:val="none" w:sz="0" w:space="0" w:color="auto"/>
                            <w:bottom w:val="none" w:sz="0" w:space="0" w:color="auto"/>
                            <w:right w:val="none" w:sz="0" w:space="0" w:color="auto"/>
                          </w:divBdr>
                          <w:divsChild>
                            <w:div w:id="1562591281">
                              <w:marLeft w:val="0"/>
                              <w:marRight w:val="0"/>
                              <w:marTop w:val="0"/>
                              <w:marBottom w:val="0"/>
                              <w:divBdr>
                                <w:top w:val="none" w:sz="0" w:space="0" w:color="auto"/>
                                <w:left w:val="none" w:sz="0" w:space="0" w:color="auto"/>
                                <w:bottom w:val="none" w:sz="0" w:space="0" w:color="auto"/>
                                <w:right w:val="none" w:sz="0" w:space="0" w:color="auto"/>
                              </w:divBdr>
                              <w:divsChild>
                                <w:div w:id="1510683616">
                                  <w:marLeft w:val="0"/>
                                  <w:marRight w:val="0"/>
                                  <w:marTop w:val="0"/>
                                  <w:marBottom w:val="0"/>
                                  <w:divBdr>
                                    <w:top w:val="none" w:sz="0" w:space="0" w:color="auto"/>
                                    <w:left w:val="none" w:sz="0" w:space="0" w:color="auto"/>
                                    <w:bottom w:val="none" w:sz="0" w:space="0" w:color="auto"/>
                                    <w:right w:val="none" w:sz="0" w:space="0" w:color="auto"/>
                                  </w:divBdr>
                                  <w:divsChild>
                                    <w:div w:id="222182649">
                                      <w:marLeft w:val="0"/>
                                      <w:marRight w:val="0"/>
                                      <w:marTop w:val="0"/>
                                      <w:marBottom w:val="0"/>
                                      <w:divBdr>
                                        <w:top w:val="none" w:sz="0" w:space="0" w:color="auto"/>
                                        <w:left w:val="none" w:sz="0" w:space="0" w:color="auto"/>
                                        <w:bottom w:val="none" w:sz="0" w:space="0" w:color="auto"/>
                                        <w:right w:val="none" w:sz="0" w:space="0" w:color="auto"/>
                                      </w:divBdr>
                                      <w:divsChild>
                                        <w:div w:id="1868981114">
                                          <w:marLeft w:val="0"/>
                                          <w:marRight w:val="0"/>
                                          <w:marTop w:val="0"/>
                                          <w:marBottom w:val="0"/>
                                          <w:divBdr>
                                            <w:top w:val="none" w:sz="0" w:space="0" w:color="auto"/>
                                            <w:left w:val="none" w:sz="0" w:space="0" w:color="auto"/>
                                            <w:bottom w:val="none" w:sz="0" w:space="0" w:color="auto"/>
                                            <w:right w:val="none" w:sz="0" w:space="0" w:color="auto"/>
                                          </w:divBdr>
                                          <w:divsChild>
                                            <w:div w:id="125169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814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85F81-C9CB-47CB-BD13-C32172A8D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15</Pages>
  <Words>8187</Words>
  <Characters>44211</Characters>
  <Application>Microsoft Office Word</Application>
  <DocSecurity>0</DocSecurity>
  <Lines>368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Lagani</dc:creator>
  <cp:lastModifiedBy>VINCENZO LAGANI</cp:lastModifiedBy>
  <cp:revision>537</cp:revision>
  <dcterms:created xsi:type="dcterms:W3CDTF">2015-03-16T21:54:00Z</dcterms:created>
  <dcterms:modified xsi:type="dcterms:W3CDTF">2015-12-02T02:05:00Z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vlagani@ics.forth.gr@www.mendeley.com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http://www.zotero.org/styles/bmc-bioinformatics</vt:lpwstr>
  </property>
  <property fmtid="{D5CDD505-2E9C-101B-9397-08002B2CF9AE}" pid="14" name="Mendeley Recent Style Name 4_1">
    <vt:lpwstr>BMC Bioinformatics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http://www.zotero.org/styles/diabetes-care</vt:lpwstr>
  </property>
  <property fmtid="{D5CDD505-2E9C-101B-9397-08002B2CF9AE}" pid="18" name="Mendeley Recent Style Name 6_1">
    <vt:lpwstr>Diabetes Care</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