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F0900" w14:textId="77777777" w:rsidR="00EB4E3C" w:rsidRPr="006B2FD0" w:rsidRDefault="00EB4E3C" w:rsidP="00EB4E3C">
      <w:pPr>
        <w:spacing w:line="480" w:lineRule="auto"/>
        <w:outlineLvl w:val="0"/>
        <w:rPr>
          <w:rFonts w:ascii="Arial" w:hAnsi="Arial" w:cs="Arial"/>
          <w:b/>
          <w:sz w:val="22"/>
          <w:szCs w:val="22"/>
        </w:rPr>
      </w:pPr>
      <w:r w:rsidRPr="006B2FD0">
        <w:rPr>
          <w:rFonts w:ascii="Arial" w:hAnsi="Arial" w:cs="Arial"/>
          <w:b/>
          <w:sz w:val="22"/>
          <w:szCs w:val="22"/>
        </w:rPr>
        <w:t>Additional file 1</w:t>
      </w:r>
    </w:p>
    <w:p w14:paraId="6159110D" w14:textId="77777777" w:rsidR="00EB4E3C" w:rsidRPr="006B2FD0" w:rsidRDefault="00EB4E3C" w:rsidP="00EB4E3C">
      <w:pPr>
        <w:spacing w:line="480" w:lineRule="auto"/>
        <w:rPr>
          <w:rFonts w:ascii="Arial" w:hAnsi="Arial" w:cs="Arial"/>
          <w:sz w:val="22"/>
          <w:szCs w:val="22"/>
        </w:rPr>
      </w:pPr>
    </w:p>
    <w:p w14:paraId="30F00793" w14:textId="77777777" w:rsidR="00EB4E3C" w:rsidRPr="006B2FD0" w:rsidRDefault="00EB4E3C" w:rsidP="00EB4E3C">
      <w:pPr>
        <w:spacing w:line="480" w:lineRule="auto"/>
        <w:ind w:firstLine="360"/>
        <w:outlineLvl w:val="0"/>
        <w:rPr>
          <w:rFonts w:ascii="Arial" w:hAnsi="Arial" w:cs="Arial"/>
          <w:b/>
          <w:sz w:val="22"/>
          <w:szCs w:val="22"/>
        </w:rPr>
      </w:pPr>
      <w:r w:rsidRPr="006B2FD0">
        <w:rPr>
          <w:rFonts w:ascii="Arial" w:hAnsi="Arial" w:cs="Arial"/>
          <w:b/>
          <w:sz w:val="22"/>
          <w:szCs w:val="22"/>
        </w:rPr>
        <w:t>1.1 Analysis of Heterogeneous observations versus cell type-specific</w:t>
      </w:r>
    </w:p>
    <w:p w14:paraId="035F62CE" w14:textId="77777777" w:rsidR="00EB4E3C" w:rsidRPr="006B2FD0" w:rsidRDefault="00EB4E3C" w:rsidP="00EB4E3C">
      <w:pPr>
        <w:spacing w:line="480" w:lineRule="auto"/>
        <w:rPr>
          <w:rFonts w:ascii="Arial" w:hAnsi="Arial" w:cs="Arial"/>
          <w:sz w:val="22"/>
          <w:szCs w:val="22"/>
        </w:rPr>
      </w:pPr>
      <w:r w:rsidRPr="006B2FD0">
        <w:rPr>
          <w:rFonts w:ascii="Arial" w:hAnsi="Arial" w:cs="Arial"/>
          <w:sz w:val="22"/>
          <w:szCs w:val="22"/>
        </w:rPr>
        <w:t xml:space="preserve">When considering cell type-specific vs. heterogeneous differential expression detection, we may observe two scenarios. In the first scenario, the true difference may exist in only one cell type – it will be detected on heterogeneous level. In the second, the true differences may exist in multiple cell types. If the directionality of those differences is opposite, theoretically they may not be detectable at heterogeneous level by cancelling each other in the cross-product arithmetic. </w:t>
      </w:r>
      <w:r>
        <w:rPr>
          <w:rFonts w:ascii="Arial" w:hAnsi="Arial" w:cs="Arial"/>
          <w:sz w:val="22"/>
          <w:szCs w:val="22"/>
        </w:rPr>
        <w:t xml:space="preserve">It is for this reason we recommend performing cell type-specific deconvolution on the entire dataset. Selecting the top most varying genes, as done in </w:t>
      </w:r>
      <w:r>
        <w:rPr>
          <w:rFonts w:ascii="Arial" w:hAnsi="Arial" w:cs="Arial"/>
          <w:sz w:val="22"/>
          <w:szCs w:val="22"/>
        </w:rPr>
        <w:fldChar w:fldCharType="begin" w:fldLock="1"/>
      </w:r>
      <w:r>
        <w:rPr>
          <w:rFonts w:ascii="Arial" w:hAnsi="Arial" w:cs="Arial"/>
          <w:sz w:val="22"/>
          <w:szCs w:val="22"/>
        </w:rPr>
        <w:instrText>ADDIN CSL_CITATION { "citationItems" : [ { "id" : "ITEM-1", "itemData" : { "DOI" : "10.1038/nmeth.1439", "ISSN" : "1548-7105", "PMID" : "20208531", "abstract" : "We describe cell type-specific significance analysis of microarrays (csSAM) for analyzing differential gene expression for each cell type in a biological sample from microarray data and relative cell-type frequencies. First, we validated csSAM with predesigned mixtures and then applied it to whole-blood gene expression datasets from stable post-transplant kidney transplant recipients and those experiencing acute transplant rejection, which revealed hundreds of differentially expressed genes that were otherwise undetectable.", "author" : [ { "dropping-particle" : "", "family" : "Shen-Orr", "given" : "Shai S", "non-dropping-particle" : "", "parse-names" : false, "suffix" : "" }, { "dropping-particle" : "", "family" : "Tibshirani", "given" : "Robert", "non-dropping-particle" : "", "parse-names" : false, "suffix" : "" }, { "dropping-particle" : "", "family" : "Khatri", "given" : "Purvesh", "non-dropping-particle" : "", "parse-names" : false, "suffix" : "" }, { "dropping-particle" : "", "family" : "Bodian", "given" : "Dale L", "non-dropping-particle" : "", "parse-names" : false, "suffix" : "" }, { "dropping-particle" : "", "family" : "Staedtler", "given" : "Frank", "non-dropping-particle" : "", "parse-names" : false, "suffix" : "" }, { "dropping-particle" : "", "family" : "Perry", "given" : "Nicholas M", "non-dropping-particle" : "", "parse-names" : false, "suffix" : "" }, { "dropping-particle" : "", "family" : "Hastie", "given" : "Trevor", "non-dropping-particle" : "", "parse-names" : false, "suffix" : "" }, { "dropping-particle" : "", "family" : "Sarwal", "given" : "Minnie M", "non-dropping-particle" : "", "parse-names" : false, "suffix" : "" }, { "dropping-particle" : "", "family" : "Davis", "given" : "Mark M", "non-dropping-particle" : "", "parse-names" : false, "suffix" : "" }, { "dropping-particle" : "", "family" : "Butte", "given" : "Atul J", "non-dropping-particle" : "", "parse-names" : false, "suffix" : "" } ], "container-title" : "Nature methods", "id" : "ITEM-1", "issue" : "4", "issued" : { "date-parts" : [ [ "2010", "4" ] ] }, "page" : "287-9", "publisher" : "Nature Publishing Group", "title" : "Cell type-specific gene expression differences in complex tissues.", "type" : "article-journal", "volume" : "7" }, "uris" : [ "http://www.mendeley.com/documents/?uuid=4047f941-21e4-4bff-930f-f8d44cf91b79" ] } ], "mendeley" : { "formattedCitation" : "[5]", "plainTextFormattedCitation" : "[5]", "previouslyFormattedCitation" : "[5]" }, "properties" : { "noteIndex" : 0 }, "schema" : "https://github.com/citation-style-language/schema/raw/master/csl-citation.json" }</w:instrText>
      </w:r>
      <w:r>
        <w:rPr>
          <w:rFonts w:ascii="Arial" w:hAnsi="Arial" w:cs="Arial"/>
          <w:sz w:val="22"/>
          <w:szCs w:val="22"/>
        </w:rPr>
        <w:fldChar w:fldCharType="separate"/>
      </w:r>
      <w:r w:rsidRPr="00DF2E92">
        <w:rPr>
          <w:rFonts w:ascii="Arial" w:hAnsi="Arial" w:cs="Arial"/>
          <w:noProof/>
          <w:sz w:val="22"/>
          <w:szCs w:val="22"/>
        </w:rPr>
        <w:t>[5]</w:t>
      </w:r>
      <w:r>
        <w:rPr>
          <w:rFonts w:ascii="Arial" w:hAnsi="Arial" w:cs="Arial"/>
          <w:sz w:val="22"/>
          <w:szCs w:val="22"/>
        </w:rPr>
        <w:fldChar w:fldCharType="end"/>
      </w:r>
      <w:r>
        <w:rPr>
          <w:rFonts w:ascii="Arial" w:hAnsi="Arial" w:cs="Arial"/>
          <w:sz w:val="22"/>
          <w:szCs w:val="22"/>
        </w:rPr>
        <w:t xml:space="preserve"> Supplementary Figure 6, may remove informative signal absent in heterogeneous measures but detectable on cell type-specific level (Table S.1.7).</w:t>
      </w:r>
    </w:p>
    <w:tbl>
      <w:tblPr>
        <w:tblpPr w:leftFromText="180" w:rightFromText="180" w:vertAnchor="text" w:horzAnchor="margin" w:tblpXSpec="center" w:tblpY="369"/>
        <w:tblW w:w="10256" w:type="dxa"/>
        <w:tblBorders>
          <w:bottom w:val="single" w:sz="4" w:space="0" w:color="auto"/>
          <w:insideH w:val="single" w:sz="4" w:space="0" w:color="auto"/>
        </w:tblBorders>
        <w:tblLook w:val="04A0" w:firstRow="1" w:lastRow="0" w:firstColumn="1" w:lastColumn="0" w:noHBand="0" w:noVBand="1"/>
      </w:tblPr>
      <w:tblGrid>
        <w:gridCol w:w="987"/>
        <w:gridCol w:w="1305"/>
        <w:gridCol w:w="569"/>
        <w:gridCol w:w="990"/>
        <w:gridCol w:w="326"/>
        <w:gridCol w:w="1280"/>
        <w:gridCol w:w="508"/>
        <w:gridCol w:w="763"/>
        <w:gridCol w:w="326"/>
        <w:gridCol w:w="1280"/>
        <w:gridCol w:w="360"/>
        <w:gridCol w:w="763"/>
        <w:gridCol w:w="326"/>
        <w:gridCol w:w="1280"/>
      </w:tblGrid>
      <w:tr w:rsidR="00EB4E3C" w:rsidRPr="006B2FD0" w14:paraId="20443155" w14:textId="77777777" w:rsidTr="00310A77">
        <w:trPr>
          <w:trHeight w:val="285"/>
        </w:trPr>
        <w:tc>
          <w:tcPr>
            <w:tcW w:w="10256" w:type="dxa"/>
            <w:gridSpan w:val="14"/>
            <w:shd w:val="clear" w:color="auto" w:fill="auto"/>
            <w:noWrap/>
            <w:vAlign w:val="bottom"/>
          </w:tcPr>
          <w:p w14:paraId="7D5E287D" w14:textId="77777777" w:rsidR="00EB4E3C" w:rsidRPr="00874CE6" w:rsidRDefault="00EB4E3C" w:rsidP="00310A77">
            <w:pPr>
              <w:rPr>
                <w:rFonts w:ascii="Arial" w:eastAsia="Times New Roman" w:hAnsi="Arial" w:cs="Arial"/>
                <w:color w:val="000000"/>
                <w:sz w:val="22"/>
                <w:szCs w:val="22"/>
              </w:rPr>
            </w:pPr>
            <w:r w:rsidRPr="00025113">
              <w:rPr>
                <w:rFonts w:ascii="Arial" w:eastAsia="Times New Roman" w:hAnsi="Arial" w:cs="Arial"/>
                <w:b/>
                <w:sz w:val="22"/>
                <w:szCs w:val="22"/>
              </w:rPr>
              <w:t>Table S.1.7</w:t>
            </w:r>
            <w:r w:rsidRPr="00025113">
              <w:rPr>
                <w:rFonts w:ascii="Arial" w:eastAsia="Times New Roman" w:hAnsi="Arial" w:cs="Arial"/>
                <w:sz w:val="22"/>
                <w:szCs w:val="22"/>
              </w:rPr>
              <w:t xml:space="preserve"> Illustration of case in which differential expre</w:t>
            </w:r>
            <w:r w:rsidRPr="002438B0">
              <w:rPr>
                <w:rFonts w:ascii="Arial" w:eastAsia="Times New Roman" w:hAnsi="Arial" w:cs="Arial"/>
                <w:sz w:val="22"/>
                <w:szCs w:val="22"/>
              </w:rPr>
              <w:t>ssion is undetectable at heterogeneous level.  Given a 2 fold up-regulation of cell 2, then there must be some amount of down-regulation of the same gene in at least one or more other cell types to mask the change at the heterogeneous level.</w:t>
            </w:r>
          </w:p>
        </w:tc>
      </w:tr>
      <w:tr w:rsidR="00EB4E3C" w:rsidRPr="006B2FD0" w14:paraId="571B6380" w14:textId="77777777" w:rsidTr="00310A77">
        <w:trPr>
          <w:trHeight w:val="285"/>
        </w:trPr>
        <w:tc>
          <w:tcPr>
            <w:tcW w:w="270" w:type="dxa"/>
            <w:shd w:val="clear" w:color="auto" w:fill="auto"/>
            <w:noWrap/>
            <w:vAlign w:val="bottom"/>
            <w:hideMark/>
          </w:tcPr>
          <w:p w14:paraId="73254F56" w14:textId="77777777" w:rsidR="00EB4E3C" w:rsidRPr="00A2288F" w:rsidRDefault="00EB4E3C" w:rsidP="00310A77">
            <w:pPr>
              <w:rPr>
                <w:rFonts w:ascii="Arial" w:eastAsia="Times New Roman" w:hAnsi="Arial" w:cs="Arial"/>
                <w:sz w:val="22"/>
                <w:szCs w:val="22"/>
              </w:rPr>
            </w:pPr>
          </w:p>
        </w:tc>
        <w:tc>
          <w:tcPr>
            <w:tcW w:w="1296" w:type="dxa"/>
            <w:shd w:val="clear" w:color="auto" w:fill="auto"/>
            <w:noWrap/>
            <w:vAlign w:val="bottom"/>
            <w:hideMark/>
          </w:tcPr>
          <w:p w14:paraId="79617EB0" w14:textId="77777777" w:rsidR="00EB4E3C" w:rsidRPr="00655046" w:rsidRDefault="00EB4E3C" w:rsidP="00310A77">
            <w:pPr>
              <w:jc w:val="center"/>
              <w:rPr>
                <w:rFonts w:ascii="Arial" w:eastAsia="Times New Roman" w:hAnsi="Arial" w:cs="Arial"/>
                <w:color w:val="000000"/>
                <w:sz w:val="22"/>
                <w:szCs w:val="22"/>
              </w:rPr>
            </w:pPr>
            <w:r w:rsidRPr="00162421">
              <w:rPr>
                <w:rFonts w:ascii="Arial" w:eastAsia="Times New Roman" w:hAnsi="Arial" w:cs="Arial"/>
                <w:color w:val="000000"/>
                <w:sz w:val="22"/>
                <w:szCs w:val="22"/>
              </w:rPr>
              <w:t>Hetero-geneo</w:t>
            </w:r>
            <w:r w:rsidRPr="00655046">
              <w:rPr>
                <w:rFonts w:ascii="Arial" w:eastAsia="Times New Roman" w:hAnsi="Arial" w:cs="Arial"/>
                <w:color w:val="000000"/>
                <w:sz w:val="22"/>
                <w:szCs w:val="22"/>
              </w:rPr>
              <w:t>us</w:t>
            </w:r>
          </w:p>
          <w:p w14:paraId="2C462E3C"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Expression gene J</w:t>
            </w:r>
          </w:p>
        </w:tc>
        <w:tc>
          <w:tcPr>
            <w:tcW w:w="569" w:type="dxa"/>
            <w:shd w:val="clear" w:color="auto" w:fill="auto"/>
            <w:noWrap/>
            <w:vAlign w:val="bottom"/>
            <w:hideMark/>
          </w:tcPr>
          <w:p w14:paraId="1B6876DC" w14:textId="77777777" w:rsidR="00EB4E3C" w:rsidRPr="006B2FD0" w:rsidRDefault="00EB4E3C" w:rsidP="00310A77">
            <w:pPr>
              <w:jc w:val="center"/>
              <w:rPr>
                <w:rFonts w:ascii="Arial" w:eastAsia="Times New Roman" w:hAnsi="Arial" w:cs="Arial"/>
                <w:color w:val="000000"/>
                <w:sz w:val="22"/>
                <w:szCs w:val="22"/>
              </w:rPr>
            </w:pPr>
          </w:p>
        </w:tc>
        <w:tc>
          <w:tcPr>
            <w:tcW w:w="990" w:type="dxa"/>
            <w:shd w:val="clear" w:color="auto" w:fill="auto"/>
            <w:noWrap/>
            <w:vAlign w:val="bottom"/>
            <w:hideMark/>
          </w:tcPr>
          <w:p w14:paraId="11A49F34"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Cell 1 Prop</w:t>
            </w:r>
          </w:p>
        </w:tc>
        <w:tc>
          <w:tcPr>
            <w:tcW w:w="336" w:type="dxa"/>
          </w:tcPr>
          <w:p w14:paraId="737C5A17" w14:textId="77777777" w:rsidR="00EB4E3C" w:rsidRPr="006B2FD0" w:rsidRDefault="00EB4E3C" w:rsidP="00310A77">
            <w:pPr>
              <w:jc w:val="center"/>
              <w:rPr>
                <w:rFonts w:ascii="Arial" w:eastAsia="Times New Roman" w:hAnsi="Arial" w:cs="Arial"/>
                <w:color w:val="000000"/>
                <w:sz w:val="22"/>
                <w:szCs w:val="22"/>
              </w:rPr>
            </w:pPr>
          </w:p>
        </w:tc>
        <w:tc>
          <w:tcPr>
            <w:tcW w:w="1243" w:type="dxa"/>
            <w:shd w:val="clear" w:color="auto" w:fill="auto"/>
            <w:noWrap/>
            <w:vAlign w:val="bottom"/>
            <w:hideMark/>
          </w:tcPr>
          <w:p w14:paraId="04991A26"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cell expression</w:t>
            </w:r>
          </w:p>
        </w:tc>
        <w:tc>
          <w:tcPr>
            <w:tcW w:w="508" w:type="dxa"/>
            <w:shd w:val="clear" w:color="auto" w:fill="auto"/>
            <w:noWrap/>
            <w:vAlign w:val="bottom"/>
            <w:hideMark/>
          </w:tcPr>
          <w:p w14:paraId="008CC59A" w14:textId="77777777" w:rsidR="00EB4E3C" w:rsidRPr="006B2FD0" w:rsidRDefault="00EB4E3C" w:rsidP="00310A77">
            <w:pPr>
              <w:jc w:val="center"/>
              <w:rPr>
                <w:rFonts w:ascii="Arial" w:eastAsia="Times New Roman" w:hAnsi="Arial" w:cs="Arial"/>
                <w:color w:val="000000"/>
                <w:sz w:val="22"/>
                <w:szCs w:val="22"/>
              </w:rPr>
            </w:pPr>
          </w:p>
        </w:tc>
        <w:tc>
          <w:tcPr>
            <w:tcW w:w="763" w:type="dxa"/>
            <w:shd w:val="clear" w:color="auto" w:fill="auto"/>
            <w:noWrap/>
            <w:vAlign w:val="bottom"/>
            <w:hideMark/>
          </w:tcPr>
          <w:p w14:paraId="3385555A"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Cell Prop</w:t>
            </w:r>
          </w:p>
        </w:tc>
        <w:tc>
          <w:tcPr>
            <w:tcW w:w="336" w:type="dxa"/>
          </w:tcPr>
          <w:p w14:paraId="1D281E36" w14:textId="77777777" w:rsidR="00EB4E3C" w:rsidRPr="006B2FD0" w:rsidRDefault="00EB4E3C" w:rsidP="00310A77">
            <w:pPr>
              <w:jc w:val="center"/>
              <w:rPr>
                <w:rFonts w:ascii="Arial" w:eastAsia="Times New Roman" w:hAnsi="Arial" w:cs="Arial"/>
                <w:color w:val="000000"/>
                <w:sz w:val="22"/>
                <w:szCs w:val="22"/>
              </w:rPr>
            </w:pPr>
          </w:p>
        </w:tc>
        <w:tc>
          <w:tcPr>
            <w:tcW w:w="1243" w:type="dxa"/>
            <w:shd w:val="clear" w:color="auto" w:fill="auto"/>
            <w:noWrap/>
            <w:vAlign w:val="bottom"/>
            <w:hideMark/>
          </w:tcPr>
          <w:p w14:paraId="271BCBA8"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cell expression</w:t>
            </w:r>
          </w:p>
        </w:tc>
        <w:tc>
          <w:tcPr>
            <w:tcW w:w="360" w:type="dxa"/>
            <w:shd w:val="clear" w:color="auto" w:fill="auto"/>
            <w:noWrap/>
            <w:vAlign w:val="bottom"/>
            <w:hideMark/>
          </w:tcPr>
          <w:p w14:paraId="7060B98B" w14:textId="77777777" w:rsidR="00EB4E3C" w:rsidRPr="006B2FD0" w:rsidRDefault="00EB4E3C" w:rsidP="00310A77">
            <w:pPr>
              <w:jc w:val="center"/>
              <w:rPr>
                <w:rFonts w:ascii="Arial" w:eastAsia="Times New Roman" w:hAnsi="Arial" w:cs="Arial"/>
                <w:color w:val="000000"/>
                <w:sz w:val="22"/>
                <w:szCs w:val="22"/>
              </w:rPr>
            </w:pPr>
          </w:p>
        </w:tc>
        <w:tc>
          <w:tcPr>
            <w:tcW w:w="763" w:type="dxa"/>
            <w:shd w:val="clear" w:color="auto" w:fill="auto"/>
            <w:noWrap/>
            <w:vAlign w:val="bottom"/>
            <w:hideMark/>
          </w:tcPr>
          <w:p w14:paraId="49BAF2F5"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Cell Prop</w:t>
            </w:r>
          </w:p>
        </w:tc>
        <w:tc>
          <w:tcPr>
            <w:tcW w:w="336" w:type="dxa"/>
          </w:tcPr>
          <w:p w14:paraId="240780FD" w14:textId="77777777" w:rsidR="00EB4E3C" w:rsidRPr="006B2FD0" w:rsidRDefault="00EB4E3C" w:rsidP="00310A77">
            <w:pPr>
              <w:jc w:val="center"/>
              <w:rPr>
                <w:rFonts w:ascii="Arial" w:eastAsia="Times New Roman" w:hAnsi="Arial" w:cs="Arial"/>
                <w:color w:val="000000"/>
                <w:sz w:val="22"/>
                <w:szCs w:val="22"/>
              </w:rPr>
            </w:pPr>
          </w:p>
        </w:tc>
        <w:tc>
          <w:tcPr>
            <w:tcW w:w="1243" w:type="dxa"/>
            <w:shd w:val="clear" w:color="auto" w:fill="auto"/>
            <w:noWrap/>
            <w:vAlign w:val="bottom"/>
            <w:hideMark/>
          </w:tcPr>
          <w:p w14:paraId="4EEC3789"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cell expression</w:t>
            </w:r>
          </w:p>
        </w:tc>
      </w:tr>
      <w:tr w:rsidR="00EB4E3C" w:rsidRPr="006B2FD0" w14:paraId="63E09BDE" w14:textId="77777777" w:rsidTr="00310A77">
        <w:trPr>
          <w:trHeight w:val="285"/>
        </w:trPr>
        <w:tc>
          <w:tcPr>
            <w:tcW w:w="270" w:type="dxa"/>
            <w:shd w:val="clear" w:color="auto" w:fill="auto"/>
            <w:noWrap/>
            <w:vAlign w:val="bottom"/>
            <w:hideMark/>
          </w:tcPr>
          <w:p w14:paraId="50C51272" w14:textId="77777777" w:rsidR="00EB4E3C" w:rsidRPr="006B2FD0" w:rsidRDefault="00EB4E3C" w:rsidP="00310A77">
            <w:pPr>
              <w:jc w:val="center"/>
              <w:rPr>
                <w:rFonts w:ascii="Arial" w:eastAsia="Times New Roman" w:hAnsi="Arial" w:cs="Arial"/>
                <w:color w:val="000000"/>
                <w:sz w:val="22"/>
                <w:szCs w:val="22"/>
              </w:rPr>
            </w:pPr>
          </w:p>
        </w:tc>
        <w:tc>
          <w:tcPr>
            <w:tcW w:w="1296" w:type="dxa"/>
            <w:shd w:val="clear" w:color="auto" w:fill="auto"/>
            <w:noWrap/>
            <w:vAlign w:val="bottom"/>
            <w:hideMark/>
          </w:tcPr>
          <w:p w14:paraId="33617D4D" w14:textId="77777777" w:rsidR="00EB4E3C" w:rsidRPr="006B2FD0" w:rsidRDefault="00EB4E3C" w:rsidP="00310A77">
            <w:pPr>
              <w:jc w:val="center"/>
              <w:rPr>
                <w:rFonts w:ascii="Arial" w:eastAsia="Times New Roman" w:hAnsi="Arial" w:cs="Arial"/>
                <w:sz w:val="22"/>
                <w:szCs w:val="22"/>
              </w:rPr>
            </w:pPr>
          </w:p>
        </w:tc>
        <w:tc>
          <w:tcPr>
            <w:tcW w:w="569" w:type="dxa"/>
            <w:shd w:val="clear" w:color="auto" w:fill="auto"/>
            <w:noWrap/>
            <w:vAlign w:val="bottom"/>
            <w:hideMark/>
          </w:tcPr>
          <w:p w14:paraId="3E10BD4D" w14:textId="77777777" w:rsidR="00EB4E3C" w:rsidRPr="006B2FD0" w:rsidRDefault="00EB4E3C" w:rsidP="00310A77">
            <w:pPr>
              <w:jc w:val="center"/>
              <w:rPr>
                <w:rFonts w:ascii="Arial" w:eastAsia="Times New Roman" w:hAnsi="Arial" w:cs="Arial"/>
                <w:sz w:val="22"/>
                <w:szCs w:val="22"/>
              </w:rPr>
            </w:pPr>
          </w:p>
        </w:tc>
        <w:tc>
          <w:tcPr>
            <w:tcW w:w="990" w:type="dxa"/>
            <w:shd w:val="clear" w:color="auto" w:fill="auto"/>
            <w:noWrap/>
            <w:vAlign w:val="bottom"/>
            <w:hideMark/>
          </w:tcPr>
          <w:p w14:paraId="233B1402" w14:textId="77777777" w:rsidR="00EB4E3C" w:rsidRPr="006B2FD0" w:rsidRDefault="00EB4E3C" w:rsidP="00310A77">
            <w:pPr>
              <w:jc w:val="center"/>
              <w:rPr>
                <w:rFonts w:ascii="Arial" w:eastAsia="Times New Roman" w:hAnsi="Arial" w:cs="Arial"/>
                <w:sz w:val="22"/>
                <w:szCs w:val="22"/>
              </w:rPr>
            </w:pPr>
          </w:p>
        </w:tc>
        <w:tc>
          <w:tcPr>
            <w:tcW w:w="336" w:type="dxa"/>
          </w:tcPr>
          <w:p w14:paraId="2C7B4CD2"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113EE1B1" w14:textId="77777777" w:rsidR="00EB4E3C" w:rsidRPr="006B2FD0" w:rsidRDefault="00EB4E3C" w:rsidP="00310A77">
            <w:pPr>
              <w:jc w:val="center"/>
              <w:rPr>
                <w:rFonts w:ascii="Arial" w:eastAsia="Times New Roman" w:hAnsi="Arial" w:cs="Arial"/>
                <w:sz w:val="22"/>
                <w:szCs w:val="22"/>
              </w:rPr>
            </w:pPr>
          </w:p>
        </w:tc>
        <w:tc>
          <w:tcPr>
            <w:tcW w:w="508" w:type="dxa"/>
            <w:shd w:val="clear" w:color="auto" w:fill="auto"/>
            <w:noWrap/>
            <w:vAlign w:val="bottom"/>
            <w:hideMark/>
          </w:tcPr>
          <w:p w14:paraId="34650F21" w14:textId="77777777" w:rsidR="00EB4E3C" w:rsidRPr="006B2FD0" w:rsidRDefault="00EB4E3C" w:rsidP="00310A77">
            <w:pPr>
              <w:jc w:val="center"/>
              <w:rPr>
                <w:rFonts w:ascii="Arial" w:eastAsia="Times New Roman" w:hAnsi="Arial" w:cs="Arial"/>
                <w:sz w:val="22"/>
                <w:szCs w:val="22"/>
              </w:rPr>
            </w:pPr>
          </w:p>
        </w:tc>
        <w:tc>
          <w:tcPr>
            <w:tcW w:w="763" w:type="dxa"/>
            <w:shd w:val="clear" w:color="auto" w:fill="auto"/>
            <w:noWrap/>
            <w:vAlign w:val="bottom"/>
            <w:hideMark/>
          </w:tcPr>
          <w:p w14:paraId="240237F0" w14:textId="77777777" w:rsidR="00EB4E3C" w:rsidRPr="006B2FD0" w:rsidRDefault="00EB4E3C" w:rsidP="00310A77">
            <w:pPr>
              <w:jc w:val="center"/>
              <w:rPr>
                <w:rFonts w:ascii="Arial" w:eastAsia="Times New Roman" w:hAnsi="Arial" w:cs="Arial"/>
                <w:sz w:val="22"/>
                <w:szCs w:val="22"/>
              </w:rPr>
            </w:pPr>
          </w:p>
        </w:tc>
        <w:tc>
          <w:tcPr>
            <w:tcW w:w="336" w:type="dxa"/>
          </w:tcPr>
          <w:p w14:paraId="0428A897"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26D85763" w14:textId="77777777" w:rsidR="00EB4E3C" w:rsidRPr="006B2FD0" w:rsidRDefault="00EB4E3C" w:rsidP="00310A77">
            <w:pPr>
              <w:jc w:val="center"/>
              <w:rPr>
                <w:rFonts w:ascii="Arial" w:eastAsia="Times New Roman" w:hAnsi="Arial" w:cs="Arial"/>
                <w:sz w:val="22"/>
                <w:szCs w:val="22"/>
              </w:rPr>
            </w:pPr>
          </w:p>
        </w:tc>
        <w:tc>
          <w:tcPr>
            <w:tcW w:w="360" w:type="dxa"/>
            <w:shd w:val="clear" w:color="auto" w:fill="auto"/>
            <w:noWrap/>
            <w:vAlign w:val="bottom"/>
            <w:hideMark/>
          </w:tcPr>
          <w:p w14:paraId="549D4316" w14:textId="77777777" w:rsidR="00EB4E3C" w:rsidRPr="006B2FD0" w:rsidRDefault="00EB4E3C" w:rsidP="00310A77">
            <w:pPr>
              <w:jc w:val="center"/>
              <w:rPr>
                <w:rFonts w:ascii="Arial" w:eastAsia="Times New Roman" w:hAnsi="Arial" w:cs="Arial"/>
                <w:sz w:val="22"/>
                <w:szCs w:val="22"/>
              </w:rPr>
            </w:pPr>
          </w:p>
        </w:tc>
        <w:tc>
          <w:tcPr>
            <w:tcW w:w="763" w:type="dxa"/>
            <w:shd w:val="clear" w:color="auto" w:fill="auto"/>
            <w:noWrap/>
            <w:vAlign w:val="bottom"/>
            <w:hideMark/>
          </w:tcPr>
          <w:p w14:paraId="30237FD4" w14:textId="77777777" w:rsidR="00EB4E3C" w:rsidRPr="006B2FD0" w:rsidRDefault="00EB4E3C" w:rsidP="00310A77">
            <w:pPr>
              <w:rPr>
                <w:rFonts w:ascii="Arial" w:eastAsia="Times New Roman" w:hAnsi="Arial" w:cs="Arial"/>
                <w:sz w:val="22"/>
                <w:szCs w:val="22"/>
              </w:rPr>
            </w:pPr>
          </w:p>
        </w:tc>
        <w:tc>
          <w:tcPr>
            <w:tcW w:w="336" w:type="dxa"/>
          </w:tcPr>
          <w:p w14:paraId="5CEBC3E0"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5BC65CBD" w14:textId="77777777" w:rsidR="00EB4E3C" w:rsidRPr="006B2FD0" w:rsidRDefault="00EB4E3C" w:rsidP="00310A77">
            <w:pPr>
              <w:jc w:val="center"/>
              <w:rPr>
                <w:rFonts w:ascii="Arial" w:eastAsia="Times New Roman" w:hAnsi="Arial" w:cs="Arial"/>
                <w:sz w:val="22"/>
                <w:szCs w:val="22"/>
              </w:rPr>
            </w:pPr>
          </w:p>
        </w:tc>
      </w:tr>
      <w:tr w:rsidR="00EB4E3C" w:rsidRPr="006B2FD0" w14:paraId="64CD5521" w14:textId="77777777" w:rsidTr="00310A77">
        <w:trPr>
          <w:trHeight w:val="300"/>
        </w:trPr>
        <w:tc>
          <w:tcPr>
            <w:tcW w:w="270" w:type="dxa"/>
            <w:shd w:val="clear" w:color="auto" w:fill="auto"/>
            <w:noWrap/>
            <w:vAlign w:val="bottom"/>
            <w:hideMark/>
          </w:tcPr>
          <w:p w14:paraId="3AC8925A"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controls</w:t>
            </w:r>
          </w:p>
        </w:tc>
        <w:tc>
          <w:tcPr>
            <w:tcW w:w="1296" w:type="dxa"/>
            <w:shd w:val="clear" w:color="auto" w:fill="auto"/>
            <w:noWrap/>
            <w:vAlign w:val="bottom"/>
            <w:hideMark/>
          </w:tcPr>
          <w:p w14:paraId="3BA3667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069E4F3A"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02522ACF"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2540E64C" w14:textId="77777777" w:rsidR="00EB4E3C" w:rsidRPr="006B2FD0" w:rsidRDefault="00EB4E3C" w:rsidP="00310A77">
            <w:pPr>
              <w:jc w:val="center"/>
              <w:rPr>
                <w:rFonts w:ascii="Arial" w:eastAsia="Times New Roman" w:hAnsi="Arial" w:cs="Arial"/>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45CFB3B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2.5</w:t>
            </w:r>
          </w:p>
        </w:tc>
        <w:tc>
          <w:tcPr>
            <w:tcW w:w="508" w:type="dxa"/>
            <w:shd w:val="clear" w:color="auto" w:fill="auto"/>
            <w:noWrap/>
            <w:vAlign w:val="bottom"/>
            <w:hideMark/>
          </w:tcPr>
          <w:p w14:paraId="4C2DAC73"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0F3D8A20"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46E8B901"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690E2ADC"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360" w:type="dxa"/>
            <w:shd w:val="clear" w:color="auto" w:fill="auto"/>
            <w:noWrap/>
            <w:vAlign w:val="bottom"/>
            <w:hideMark/>
          </w:tcPr>
          <w:p w14:paraId="5F8F2F68"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131AA1CB"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7FBDA9A1"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2A21913B"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4</w:t>
            </w:r>
          </w:p>
        </w:tc>
      </w:tr>
      <w:tr w:rsidR="00EB4E3C" w:rsidRPr="006B2FD0" w14:paraId="2028B708" w14:textId="77777777" w:rsidTr="00310A77">
        <w:trPr>
          <w:trHeight w:val="300"/>
        </w:trPr>
        <w:tc>
          <w:tcPr>
            <w:tcW w:w="270" w:type="dxa"/>
            <w:shd w:val="clear" w:color="auto" w:fill="auto"/>
            <w:noWrap/>
            <w:vAlign w:val="bottom"/>
            <w:hideMark/>
          </w:tcPr>
          <w:p w14:paraId="3447C4E1"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4058C92D"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292A8A3B"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6005CCD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598FC139" w14:textId="77777777" w:rsidR="00EB4E3C" w:rsidRPr="006B2FD0" w:rsidRDefault="00EB4E3C" w:rsidP="00310A77">
            <w:pPr>
              <w:jc w:val="center"/>
              <w:rPr>
                <w:rFonts w:ascii="Arial" w:eastAsia="Times New Roman" w:hAnsi="Arial" w:cs="Arial"/>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7AF48A3C"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2.5</w:t>
            </w:r>
          </w:p>
        </w:tc>
        <w:tc>
          <w:tcPr>
            <w:tcW w:w="508" w:type="dxa"/>
            <w:shd w:val="clear" w:color="auto" w:fill="auto"/>
            <w:noWrap/>
            <w:vAlign w:val="bottom"/>
            <w:hideMark/>
          </w:tcPr>
          <w:p w14:paraId="12681A88"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3ECE9B4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17273A99"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56FFD09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360" w:type="dxa"/>
            <w:shd w:val="clear" w:color="auto" w:fill="auto"/>
            <w:noWrap/>
            <w:vAlign w:val="bottom"/>
            <w:hideMark/>
          </w:tcPr>
          <w:p w14:paraId="2EF1A52B"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075A2F9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29DFE2C9"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0D0BFE55"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4</w:t>
            </w:r>
          </w:p>
        </w:tc>
      </w:tr>
      <w:tr w:rsidR="00EB4E3C" w:rsidRPr="006B2FD0" w14:paraId="5B574C50" w14:textId="77777777" w:rsidTr="00310A77">
        <w:trPr>
          <w:trHeight w:val="300"/>
        </w:trPr>
        <w:tc>
          <w:tcPr>
            <w:tcW w:w="270" w:type="dxa"/>
            <w:shd w:val="clear" w:color="auto" w:fill="auto"/>
            <w:noWrap/>
            <w:vAlign w:val="bottom"/>
            <w:hideMark/>
          </w:tcPr>
          <w:p w14:paraId="55027191"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59CBA256"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741FB533"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7F775E4F"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2169F569" w14:textId="77777777" w:rsidR="00EB4E3C" w:rsidRPr="006B2FD0" w:rsidRDefault="00EB4E3C" w:rsidP="00310A77">
            <w:pPr>
              <w:jc w:val="center"/>
              <w:rPr>
                <w:rFonts w:ascii="Arial" w:eastAsia="Times New Roman" w:hAnsi="Arial" w:cs="Arial"/>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78F8889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2.5</w:t>
            </w:r>
          </w:p>
        </w:tc>
        <w:tc>
          <w:tcPr>
            <w:tcW w:w="508" w:type="dxa"/>
            <w:shd w:val="clear" w:color="auto" w:fill="auto"/>
            <w:noWrap/>
            <w:vAlign w:val="bottom"/>
            <w:hideMark/>
          </w:tcPr>
          <w:p w14:paraId="719D2C0C"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35AFB9E0"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317AA769"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4975233D"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360" w:type="dxa"/>
            <w:shd w:val="clear" w:color="auto" w:fill="auto"/>
            <w:noWrap/>
            <w:vAlign w:val="bottom"/>
            <w:hideMark/>
          </w:tcPr>
          <w:p w14:paraId="2DD5A890"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78B0682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22980007"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3C45C30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4</w:t>
            </w:r>
          </w:p>
        </w:tc>
      </w:tr>
      <w:tr w:rsidR="00EB4E3C" w:rsidRPr="006B2FD0" w14:paraId="41198BC4" w14:textId="77777777" w:rsidTr="00310A77">
        <w:trPr>
          <w:trHeight w:val="300"/>
        </w:trPr>
        <w:tc>
          <w:tcPr>
            <w:tcW w:w="270" w:type="dxa"/>
            <w:shd w:val="clear" w:color="auto" w:fill="auto"/>
            <w:noWrap/>
            <w:vAlign w:val="bottom"/>
            <w:hideMark/>
          </w:tcPr>
          <w:p w14:paraId="3F178D6D"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05996BD0"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69C9BC8A"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7B52D9E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347DDEEA" w14:textId="77777777" w:rsidR="00EB4E3C" w:rsidRPr="006B2FD0" w:rsidRDefault="00EB4E3C" w:rsidP="00310A77">
            <w:pPr>
              <w:jc w:val="center"/>
              <w:rPr>
                <w:rFonts w:ascii="Arial" w:eastAsia="Times New Roman" w:hAnsi="Arial" w:cs="Arial"/>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5BDD7DD0"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2.5</w:t>
            </w:r>
          </w:p>
        </w:tc>
        <w:tc>
          <w:tcPr>
            <w:tcW w:w="508" w:type="dxa"/>
            <w:shd w:val="clear" w:color="auto" w:fill="auto"/>
            <w:noWrap/>
            <w:vAlign w:val="bottom"/>
            <w:hideMark/>
          </w:tcPr>
          <w:p w14:paraId="5B30875A"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6FC56C06"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03CE0457"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11892F49"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360" w:type="dxa"/>
            <w:shd w:val="clear" w:color="auto" w:fill="auto"/>
            <w:noWrap/>
            <w:vAlign w:val="bottom"/>
            <w:hideMark/>
          </w:tcPr>
          <w:p w14:paraId="56E7C767"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14D9A9FD"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7D5B142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2A20A2FD"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4</w:t>
            </w:r>
          </w:p>
        </w:tc>
      </w:tr>
      <w:tr w:rsidR="00EB4E3C" w:rsidRPr="006B2FD0" w14:paraId="45F7FEDD" w14:textId="77777777" w:rsidTr="00310A77">
        <w:trPr>
          <w:trHeight w:val="300"/>
        </w:trPr>
        <w:tc>
          <w:tcPr>
            <w:tcW w:w="270" w:type="dxa"/>
            <w:shd w:val="clear" w:color="auto" w:fill="auto"/>
            <w:noWrap/>
            <w:vAlign w:val="bottom"/>
            <w:hideMark/>
          </w:tcPr>
          <w:p w14:paraId="0C13BF77"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6CA4E2DD"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0CA01FB1"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75EC6FE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0A8D4636" w14:textId="77777777" w:rsidR="00EB4E3C" w:rsidRPr="006B2FD0" w:rsidRDefault="00EB4E3C" w:rsidP="00310A77">
            <w:pPr>
              <w:jc w:val="center"/>
              <w:rPr>
                <w:rFonts w:ascii="Arial" w:eastAsia="Times New Roman" w:hAnsi="Arial" w:cs="Arial"/>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68CB4B1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2.5</w:t>
            </w:r>
          </w:p>
        </w:tc>
        <w:tc>
          <w:tcPr>
            <w:tcW w:w="508" w:type="dxa"/>
            <w:shd w:val="clear" w:color="auto" w:fill="auto"/>
            <w:noWrap/>
            <w:vAlign w:val="bottom"/>
            <w:hideMark/>
          </w:tcPr>
          <w:p w14:paraId="5A0C005A"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19765E7B"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6D1349BB"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18007BDA"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360" w:type="dxa"/>
            <w:shd w:val="clear" w:color="auto" w:fill="auto"/>
            <w:noWrap/>
            <w:vAlign w:val="bottom"/>
            <w:hideMark/>
          </w:tcPr>
          <w:p w14:paraId="659C29D8"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32FE208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5A32CBCF"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69C1AC3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4</w:t>
            </w:r>
          </w:p>
        </w:tc>
      </w:tr>
      <w:tr w:rsidR="00EB4E3C" w:rsidRPr="006B2FD0" w14:paraId="3B9A1374" w14:textId="77777777" w:rsidTr="00310A77">
        <w:trPr>
          <w:trHeight w:val="300"/>
        </w:trPr>
        <w:tc>
          <w:tcPr>
            <w:tcW w:w="270" w:type="dxa"/>
            <w:shd w:val="clear" w:color="auto" w:fill="auto"/>
            <w:noWrap/>
            <w:vAlign w:val="bottom"/>
            <w:hideMark/>
          </w:tcPr>
          <w:p w14:paraId="55F9320F"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5402581E" w14:textId="77777777" w:rsidR="00EB4E3C" w:rsidRPr="006B2FD0" w:rsidRDefault="00EB4E3C" w:rsidP="00310A77">
            <w:pPr>
              <w:jc w:val="center"/>
              <w:rPr>
                <w:rFonts w:ascii="Arial" w:eastAsia="Times New Roman" w:hAnsi="Arial" w:cs="Arial"/>
                <w:sz w:val="22"/>
                <w:szCs w:val="22"/>
              </w:rPr>
            </w:pPr>
          </w:p>
        </w:tc>
        <w:tc>
          <w:tcPr>
            <w:tcW w:w="569" w:type="dxa"/>
            <w:shd w:val="clear" w:color="auto" w:fill="auto"/>
            <w:noWrap/>
            <w:vAlign w:val="bottom"/>
            <w:hideMark/>
          </w:tcPr>
          <w:p w14:paraId="78FB5B99" w14:textId="77777777" w:rsidR="00EB4E3C" w:rsidRPr="006B2FD0" w:rsidRDefault="00EB4E3C" w:rsidP="00310A77">
            <w:pPr>
              <w:jc w:val="center"/>
              <w:rPr>
                <w:rFonts w:ascii="Arial" w:eastAsia="Times New Roman" w:hAnsi="Arial" w:cs="Arial"/>
                <w:sz w:val="22"/>
                <w:szCs w:val="22"/>
              </w:rPr>
            </w:pPr>
          </w:p>
        </w:tc>
        <w:tc>
          <w:tcPr>
            <w:tcW w:w="990" w:type="dxa"/>
            <w:shd w:val="clear" w:color="auto" w:fill="auto"/>
            <w:noWrap/>
            <w:vAlign w:val="bottom"/>
            <w:hideMark/>
          </w:tcPr>
          <w:p w14:paraId="5DF60194" w14:textId="77777777" w:rsidR="00EB4E3C" w:rsidRPr="006B2FD0" w:rsidRDefault="00EB4E3C" w:rsidP="00310A77">
            <w:pPr>
              <w:jc w:val="center"/>
              <w:rPr>
                <w:rFonts w:ascii="Arial" w:eastAsia="Times New Roman" w:hAnsi="Arial" w:cs="Arial"/>
                <w:sz w:val="22"/>
                <w:szCs w:val="22"/>
              </w:rPr>
            </w:pPr>
          </w:p>
        </w:tc>
        <w:tc>
          <w:tcPr>
            <w:tcW w:w="336" w:type="dxa"/>
          </w:tcPr>
          <w:p w14:paraId="41A7747D"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502CC490" w14:textId="77777777" w:rsidR="00EB4E3C" w:rsidRPr="006B2FD0" w:rsidRDefault="00EB4E3C" w:rsidP="00310A77">
            <w:pPr>
              <w:jc w:val="center"/>
              <w:rPr>
                <w:rFonts w:ascii="Arial" w:eastAsia="Times New Roman" w:hAnsi="Arial" w:cs="Arial"/>
                <w:sz w:val="22"/>
                <w:szCs w:val="22"/>
              </w:rPr>
            </w:pPr>
          </w:p>
        </w:tc>
        <w:tc>
          <w:tcPr>
            <w:tcW w:w="508" w:type="dxa"/>
            <w:shd w:val="clear" w:color="auto" w:fill="auto"/>
            <w:noWrap/>
            <w:vAlign w:val="bottom"/>
            <w:hideMark/>
          </w:tcPr>
          <w:p w14:paraId="607DAA64" w14:textId="77777777" w:rsidR="00EB4E3C" w:rsidRPr="006B2FD0" w:rsidRDefault="00EB4E3C" w:rsidP="00310A77">
            <w:pPr>
              <w:jc w:val="center"/>
              <w:rPr>
                <w:rFonts w:ascii="Arial" w:eastAsia="Times New Roman" w:hAnsi="Arial" w:cs="Arial"/>
                <w:sz w:val="22"/>
                <w:szCs w:val="22"/>
              </w:rPr>
            </w:pPr>
          </w:p>
        </w:tc>
        <w:tc>
          <w:tcPr>
            <w:tcW w:w="763" w:type="dxa"/>
            <w:shd w:val="clear" w:color="auto" w:fill="auto"/>
            <w:noWrap/>
            <w:vAlign w:val="bottom"/>
            <w:hideMark/>
          </w:tcPr>
          <w:p w14:paraId="4FFEB59D" w14:textId="77777777" w:rsidR="00EB4E3C" w:rsidRPr="006B2FD0" w:rsidRDefault="00EB4E3C" w:rsidP="00310A77">
            <w:pPr>
              <w:jc w:val="center"/>
              <w:rPr>
                <w:rFonts w:ascii="Arial" w:eastAsia="Times New Roman" w:hAnsi="Arial" w:cs="Arial"/>
                <w:sz w:val="22"/>
                <w:szCs w:val="22"/>
              </w:rPr>
            </w:pPr>
          </w:p>
        </w:tc>
        <w:tc>
          <w:tcPr>
            <w:tcW w:w="336" w:type="dxa"/>
          </w:tcPr>
          <w:p w14:paraId="798A2877"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443F54AB" w14:textId="77777777" w:rsidR="00EB4E3C" w:rsidRPr="006B2FD0" w:rsidRDefault="00EB4E3C" w:rsidP="00310A77">
            <w:pPr>
              <w:jc w:val="center"/>
              <w:rPr>
                <w:rFonts w:ascii="Arial" w:eastAsia="Times New Roman" w:hAnsi="Arial" w:cs="Arial"/>
                <w:sz w:val="22"/>
                <w:szCs w:val="22"/>
              </w:rPr>
            </w:pPr>
          </w:p>
        </w:tc>
        <w:tc>
          <w:tcPr>
            <w:tcW w:w="360" w:type="dxa"/>
            <w:shd w:val="clear" w:color="auto" w:fill="auto"/>
            <w:noWrap/>
            <w:vAlign w:val="bottom"/>
            <w:hideMark/>
          </w:tcPr>
          <w:p w14:paraId="4C9FEC47" w14:textId="77777777" w:rsidR="00EB4E3C" w:rsidRPr="006B2FD0" w:rsidRDefault="00EB4E3C" w:rsidP="00310A77">
            <w:pPr>
              <w:jc w:val="center"/>
              <w:rPr>
                <w:rFonts w:ascii="Arial" w:eastAsia="Times New Roman" w:hAnsi="Arial" w:cs="Arial"/>
                <w:sz w:val="22"/>
                <w:szCs w:val="22"/>
              </w:rPr>
            </w:pPr>
          </w:p>
        </w:tc>
        <w:tc>
          <w:tcPr>
            <w:tcW w:w="763" w:type="dxa"/>
            <w:shd w:val="clear" w:color="auto" w:fill="auto"/>
            <w:noWrap/>
            <w:vAlign w:val="bottom"/>
            <w:hideMark/>
          </w:tcPr>
          <w:p w14:paraId="2E383690" w14:textId="77777777" w:rsidR="00EB4E3C" w:rsidRPr="006B2FD0" w:rsidRDefault="00EB4E3C" w:rsidP="00310A77">
            <w:pPr>
              <w:jc w:val="center"/>
              <w:rPr>
                <w:rFonts w:ascii="Arial" w:eastAsia="Times New Roman" w:hAnsi="Arial" w:cs="Arial"/>
                <w:sz w:val="22"/>
                <w:szCs w:val="22"/>
              </w:rPr>
            </w:pPr>
          </w:p>
        </w:tc>
        <w:tc>
          <w:tcPr>
            <w:tcW w:w="336" w:type="dxa"/>
          </w:tcPr>
          <w:p w14:paraId="3D91F2D4"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231D718E" w14:textId="77777777" w:rsidR="00EB4E3C" w:rsidRPr="006B2FD0" w:rsidRDefault="00EB4E3C" w:rsidP="00310A77">
            <w:pPr>
              <w:jc w:val="center"/>
              <w:rPr>
                <w:rFonts w:ascii="Arial" w:eastAsia="Times New Roman" w:hAnsi="Arial" w:cs="Arial"/>
                <w:sz w:val="22"/>
                <w:szCs w:val="22"/>
              </w:rPr>
            </w:pPr>
          </w:p>
        </w:tc>
      </w:tr>
      <w:tr w:rsidR="00EB4E3C" w:rsidRPr="006B2FD0" w14:paraId="100BAC0E" w14:textId="77777777" w:rsidTr="00310A77">
        <w:trPr>
          <w:trHeight w:val="300"/>
        </w:trPr>
        <w:tc>
          <w:tcPr>
            <w:tcW w:w="270" w:type="dxa"/>
            <w:shd w:val="clear" w:color="auto" w:fill="auto"/>
            <w:noWrap/>
            <w:vAlign w:val="bottom"/>
            <w:hideMark/>
          </w:tcPr>
          <w:p w14:paraId="20E90BD4" w14:textId="77777777" w:rsidR="00EB4E3C" w:rsidRPr="006B2FD0" w:rsidRDefault="00EB4E3C" w:rsidP="00310A77">
            <w:pPr>
              <w:jc w:val="center"/>
              <w:rPr>
                <w:rFonts w:ascii="Arial" w:eastAsia="Times New Roman" w:hAnsi="Arial" w:cs="Arial"/>
                <w:sz w:val="22"/>
                <w:szCs w:val="22"/>
              </w:rPr>
            </w:pPr>
          </w:p>
        </w:tc>
        <w:tc>
          <w:tcPr>
            <w:tcW w:w="1296" w:type="dxa"/>
            <w:shd w:val="clear" w:color="auto" w:fill="auto"/>
            <w:noWrap/>
            <w:vAlign w:val="bottom"/>
            <w:hideMark/>
          </w:tcPr>
          <w:p w14:paraId="277790D2" w14:textId="77777777" w:rsidR="00EB4E3C" w:rsidRPr="006B2FD0" w:rsidRDefault="00EB4E3C" w:rsidP="00310A77">
            <w:pPr>
              <w:jc w:val="center"/>
              <w:rPr>
                <w:rFonts w:ascii="Arial" w:eastAsia="Times New Roman" w:hAnsi="Arial" w:cs="Arial"/>
                <w:sz w:val="22"/>
                <w:szCs w:val="22"/>
              </w:rPr>
            </w:pPr>
          </w:p>
        </w:tc>
        <w:tc>
          <w:tcPr>
            <w:tcW w:w="569" w:type="dxa"/>
            <w:shd w:val="clear" w:color="auto" w:fill="auto"/>
            <w:noWrap/>
            <w:vAlign w:val="bottom"/>
            <w:hideMark/>
          </w:tcPr>
          <w:p w14:paraId="30FB82BC" w14:textId="77777777" w:rsidR="00EB4E3C" w:rsidRPr="006B2FD0" w:rsidRDefault="00EB4E3C" w:rsidP="00310A77">
            <w:pPr>
              <w:jc w:val="center"/>
              <w:rPr>
                <w:rFonts w:ascii="Arial" w:eastAsia="Times New Roman" w:hAnsi="Arial" w:cs="Arial"/>
                <w:sz w:val="22"/>
                <w:szCs w:val="22"/>
              </w:rPr>
            </w:pPr>
          </w:p>
        </w:tc>
        <w:tc>
          <w:tcPr>
            <w:tcW w:w="990" w:type="dxa"/>
            <w:shd w:val="clear" w:color="auto" w:fill="auto"/>
            <w:noWrap/>
            <w:vAlign w:val="bottom"/>
            <w:hideMark/>
          </w:tcPr>
          <w:p w14:paraId="3BD333D9" w14:textId="77777777" w:rsidR="00EB4E3C" w:rsidRPr="006B2FD0" w:rsidRDefault="00EB4E3C" w:rsidP="00310A77">
            <w:pPr>
              <w:jc w:val="center"/>
              <w:rPr>
                <w:rFonts w:ascii="Arial" w:eastAsia="Times New Roman" w:hAnsi="Arial" w:cs="Arial"/>
                <w:sz w:val="22"/>
                <w:szCs w:val="22"/>
              </w:rPr>
            </w:pPr>
          </w:p>
        </w:tc>
        <w:tc>
          <w:tcPr>
            <w:tcW w:w="336" w:type="dxa"/>
          </w:tcPr>
          <w:p w14:paraId="3078E599"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290CE94A" w14:textId="77777777" w:rsidR="00EB4E3C" w:rsidRPr="006B2FD0" w:rsidRDefault="00EB4E3C" w:rsidP="00310A77">
            <w:pPr>
              <w:jc w:val="center"/>
              <w:rPr>
                <w:rFonts w:ascii="Arial" w:eastAsia="Times New Roman" w:hAnsi="Arial" w:cs="Arial"/>
                <w:sz w:val="22"/>
                <w:szCs w:val="22"/>
              </w:rPr>
            </w:pPr>
          </w:p>
        </w:tc>
        <w:tc>
          <w:tcPr>
            <w:tcW w:w="508" w:type="dxa"/>
            <w:shd w:val="clear" w:color="auto" w:fill="auto"/>
            <w:noWrap/>
            <w:vAlign w:val="bottom"/>
            <w:hideMark/>
          </w:tcPr>
          <w:p w14:paraId="6F5E7307" w14:textId="77777777" w:rsidR="00EB4E3C" w:rsidRPr="006B2FD0" w:rsidRDefault="00EB4E3C" w:rsidP="00310A77">
            <w:pPr>
              <w:jc w:val="center"/>
              <w:rPr>
                <w:rFonts w:ascii="Arial" w:eastAsia="Times New Roman" w:hAnsi="Arial" w:cs="Arial"/>
                <w:sz w:val="22"/>
                <w:szCs w:val="22"/>
              </w:rPr>
            </w:pPr>
          </w:p>
        </w:tc>
        <w:tc>
          <w:tcPr>
            <w:tcW w:w="763" w:type="dxa"/>
            <w:shd w:val="clear" w:color="auto" w:fill="auto"/>
            <w:noWrap/>
            <w:vAlign w:val="bottom"/>
            <w:hideMark/>
          </w:tcPr>
          <w:p w14:paraId="156FC7C2" w14:textId="77777777" w:rsidR="00EB4E3C" w:rsidRPr="006B2FD0" w:rsidRDefault="00EB4E3C" w:rsidP="00310A77">
            <w:pPr>
              <w:jc w:val="center"/>
              <w:rPr>
                <w:rFonts w:ascii="Arial" w:eastAsia="Times New Roman" w:hAnsi="Arial" w:cs="Arial"/>
                <w:sz w:val="22"/>
                <w:szCs w:val="22"/>
              </w:rPr>
            </w:pPr>
          </w:p>
        </w:tc>
        <w:tc>
          <w:tcPr>
            <w:tcW w:w="336" w:type="dxa"/>
          </w:tcPr>
          <w:p w14:paraId="7C4F2CD3"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04778235" w14:textId="77777777" w:rsidR="00EB4E3C" w:rsidRPr="006B2FD0" w:rsidRDefault="00EB4E3C" w:rsidP="00310A77">
            <w:pPr>
              <w:jc w:val="center"/>
              <w:rPr>
                <w:rFonts w:ascii="Arial" w:eastAsia="Times New Roman" w:hAnsi="Arial" w:cs="Arial"/>
                <w:sz w:val="22"/>
                <w:szCs w:val="22"/>
              </w:rPr>
            </w:pPr>
          </w:p>
        </w:tc>
        <w:tc>
          <w:tcPr>
            <w:tcW w:w="360" w:type="dxa"/>
            <w:shd w:val="clear" w:color="auto" w:fill="auto"/>
            <w:noWrap/>
            <w:vAlign w:val="bottom"/>
            <w:hideMark/>
          </w:tcPr>
          <w:p w14:paraId="77CADFED" w14:textId="77777777" w:rsidR="00EB4E3C" w:rsidRPr="006B2FD0" w:rsidRDefault="00EB4E3C" w:rsidP="00310A77">
            <w:pPr>
              <w:jc w:val="center"/>
              <w:rPr>
                <w:rFonts w:ascii="Arial" w:eastAsia="Times New Roman" w:hAnsi="Arial" w:cs="Arial"/>
                <w:sz w:val="22"/>
                <w:szCs w:val="22"/>
              </w:rPr>
            </w:pPr>
          </w:p>
        </w:tc>
        <w:tc>
          <w:tcPr>
            <w:tcW w:w="763" w:type="dxa"/>
            <w:shd w:val="clear" w:color="auto" w:fill="auto"/>
            <w:noWrap/>
            <w:vAlign w:val="bottom"/>
            <w:hideMark/>
          </w:tcPr>
          <w:p w14:paraId="3CFD7B89" w14:textId="77777777" w:rsidR="00EB4E3C" w:rsidRPr="006B2FD0" w:rsidRDefault="00EB4E3C" w:rsidP="00310A77">
            <w:pPr>
              <w:jc w:val="center"/>
              <w:rPr>
                <w:rFonts w:ascii="Arial" w:eastAsia="Times New Roman" w:hAnsi="Arial" w:cs="Arial"/>
                <w:sz w:val="22"/>
                <w:szCs w:val="22"/>
              </w:rPr>
            </w:pPr>
          </w:p>
        </w:tc>
        <w:tc>
          <w:tcPr>
            <w:tcW w:w="336" w:type="dxa"/>
          </w:tcPr>
          <w:p w14:paraId="63791B19"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3811703D" w14:textId="77777777" w:rsidR="00EB4E3C" w:rsidRPr="006B2FD0" w:rsidRDefault="00EB4E3C" w:rsidP="00310A77">
            <w:pPr>
              <w:jc w:val="center"/>
              <w:rPr>
                <w:rFonts w:ascii="Arial" w:eastAsia="Times New Roman" w:hAnsi="Arial" w:cs="Arial"/>
                <w:sz w:val="22"/>
                <w:szCs w:val="22"/>
              </w:rPr>
            </w:pPr>
          </w:p>
        </w:tc>
      </w:tr>
      <w:tr w:rsidR="00EB4E3C" w:rsidRPr="006B2FD0" w14:paraId="75CEB586" w14:textId="77777777" w:rsidTr="00310A77">
        <w:trPr>
          <w:trHeight w:val="300"/>
        </w:trPr>
        <w:tc>
          <w:tcPr>
            <w:tcW w:w="270" w:type="dxa"/>
            <w:shd w:val="clear" w:color="auto" w:fill="auto"/>
            <w:noWrap/>
            <w:vAlign w:val="bottom"/>
            <w:hideMark/>
          </w:tcPr>
          <w:p w14:paraId="2AD44B09"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cases</w:t>
            </w:r>
          </w:p>
        </w:tc>
        <w:tc>
          <w:tcPr>
            <w:tcW w:w="1296" w:type="dxa"/>
            <w:shd w:val="clear" w:color="auto" w:fill="auto"/>
            <w:noWrap/>
            <w:vAlign w:val="bottom"/>
            <w:hideMark/>
          </w:tcPr>
          <w:p w14:paraId="2D4F69B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5A977C54"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00897D1C"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35913F70"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203B823C"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0.1</w:t>
            </w:r>
          </w:p>
        </w:tc>
        <w:tc>
          <w:tcPr>
            <w:tcW w:w="508" w:type="dxa"/>
            <w:shd w:val="clear" w:color="auto" w:fill="auto"/>
            <w:noWrap/>
            <w:vAlign w:val="bottom"/>
            <w:hideMark/>
          </w:tcPr>
          <w:p w14:paraId="25FFEEDF"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667BA7E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30E4CF96"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54FC8DB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6</w:t>
            </w:r>
          </w:p>
        </w:tc>
        <w:tc>
          <w:tcPr>
            <w:tcW w:w="360" w:type="dxa"/>
            <w:shd w:val="clear" w:color="auto" w:fill="auto"/>
            <w:noWrap/>
            <w:vAlign w:val="bottom"/>
            <w:hideMark/>
          </w:tcPr>
          <w:p w14:paraId="77D4EE8E"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3ED0B852"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683BE9A5"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5D7F4032"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2.95</w:t>
            </w:r>
          </w:p>
        </w:tc>
      </w:tr>
      <w:tr w:rsidR="00EB4E3C" w:rsidRPr="006B2FD0" w14:paraId="3C71445D" w14:textId="77777777" w:rsidTr="00310A77">
        <w:trPr>
          <w:trHeight w:val="300"/>
        </w:trPr>
        <w:tc>
          <w:tcPr>
            <w:tcW w:w="270" w:type="dxa"/>
            <w:shd w:val="clear" w:color="auto" w:fill="auto"/>
            <w:noWrap/>
            <w:vAlign w:val="bottom"/>
            <w:hideMark/>
          </w:tcPr>
          <w:p w14:paraId="1616BD15"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01609B96"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723D6B82"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395245E7"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24506EAF"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3CB2F92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0.1</w:t>
            </w:r>
          </w:p>
        </w:tc>
        <w:tc>
          <w:tcPr>
            <w:tcW w:w="508" w:type="dxa"/>
            <w:shd w:val="clear" w:color="auto" w:fill="auto"/>
            <w:noWrap/>
            <w:vAlign w:val="bottom"/>
            <w:hideMark/>
          </w:tcPr>
          <w:p w14:paraId="390D353E"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4AC070D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53B53EAB"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6B32152A"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6</w:t>
            </w:r>
          </w:p>
        </w:tc>
        <w:tc>
          <w:tcPr>
            <w:tcW w:w="360" w:type="dxa"/>
            <w:shd w:val="clear" w:color="auto" w:fill="auto"/>
            <w:noWrap/>
            <w:vAlign w:val="bottom"/>
            <w:hideMark/>
          </w:tcPr>
          <w:p w14:paraId="7B62CD70"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1870322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2340F4BC"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0DF99FB9"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2.95</w:t>
            </w:r>
          </w:p>
        </w:tc>
      </w:tr>
      <w:tr w:rsidR="00EB4E3C" w:rsidRPr="006B2FD0" w14:paraId="43028C1B" w14:textId="77777777" w:rsidTr="00310A77">
        <w:trPr>
          <w:trHeight w:val="300"/>
        </w:trPr>
        <w:tc>
          <w:tcPr>
            <w:tcW w:w="270" w:type="dxa"/>
            <w:shd w:val="clear" w:color="auto" w:fill="auto"/>
            <w:noWrap/>
            <w:vAlign w:val="bottom"/>
            <w:hideMark/>
          </w:tcPr>
          <w:p w14:paraId="60587A8D"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3D625A1A"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012759FC"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5DB3D769"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575BC032"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75E9166D"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0.1</w:t>
            </w:r>
          </w:p>
        </w:tc>
        <w:tc>
          <w:tcPr>
            <w:tcW w:w="508" w:type="dxa"/>
            <w:shd w:val="clear" w:color="auto" w:fill="auto"/>
            <w:noWrap/>
            <w:vAlign w:val="bottom"/>
            <w:hideMark/>
          </w:tcPr>
          <w:p w14:paraId="0A0E52C1"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62897307"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4E0EC73B"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27FE0DA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6</w:t>
            </w:r>
          </w:p>
        </w:tc>
        <w:tc>
          <w:tcPr>
            <w:tcW w:w="360" w:type="dxa"/>
            <w:shd w:val="clear" w:color="auto" w:fill="auto"/>
            <w:noWrap/>
            <w:vAlign w:val="bottom"/>
            <w:hideMark/>
          </w:tcPr>
          <w:p w14:paraId="585EBD19"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4589447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3E148802"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34B29B7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2.95</w:t>
            </w:r>
          </w:p>
        </w:tc>
      </w:tr>
      <w:tr w:rsidR="00EB4E3C" w:rsidRPr="006B2FD0" w14:paraId="6ECB1AB0" w14:textId="77777777" w:rsidTr="00310A77">
        <w:trPr>
          <w:trHeight w:val="300"/>
        </w:trPr>
        <w:tc>
          <w:tcPr>
            <w:tcW w:w="270" w:type="dxa"/>
            <w:shd w:val="clear" w:color="auto" w:fill="auto"/>
            <w:noWrap/>
            <w:vAlign w:val="bottom"/>
            <w:hideMark/>
          </w:tcPr>
          <w:p w14:paraId="53C5AEEA"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61D42F4E"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2427BD8C"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239F6127"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345EDEF9"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369CCD1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0.1</w:t>
            </w:r>
          </w:p>
        </w:tc>
        <w:tc>
          <w:tcPr>
            <w:tcW w:w="508" w:type="dxa"/>
            <w:shd w:val="clear" w:color="auto" w:fill="auto"/>
            <w:noWrap/>
            <w:vAlign w:val="bottom"/>
            <w:hideMark/>
          </w:tcPr>
          <w:p w14:paraId="38742AD8"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5B9C6B3F"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1ACB345E"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00A4C3E2"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6</w:t>
            </w:r>
          </w:p>
        </w:tc>
        <w:tc>
          <w:tcPr>
            <w:tcW w:w="360" w:type="dxa"/>
            <w:shd w:val="clear" w:color="auto" w:fill="auto"/>
            <w:noWrap/>
            <w:vAlign w:val="bottom"/>
            <w:hideMark/>
          </w:tcPr>
          <w:p w14:paraId="4BFB5E63"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0560D90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6F72B769"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1EF31721"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2.95</w:t>
            </w:r>
          </w:p>
        </w:tc>
      </w:tr>
      <w:tr w:rsidR="00EB4E3C" w:rsidRPr="006B2FD0" w14:paraId="00C7CCE3" w14:textId="77777777" w:rsidTr="00310A77">
        <w:trPr>
          <w:trHeight w:val="300"/>
        </w:trPr>
        <w:tc>
          <w:tcPr>
            <w:tcW w:w="270" w:type="dxa"/>
            <w:shd w:val="clear" w:color="auto" w:fill="auto"/>
            <w:noWrap/>
            <w:vAlign w:val="bottom"/>
            <w:hideMark/>
          </w:tcPr>
          <w:p w14:paraId="00CBB9A4"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229D8B0B"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569" w:type="dxa"/>
            <w:shd w:val="clear" w:color="auto" w:fill="auto"/>
            <w:noWrap/>
            <w:vAlign w:val="bottom"/>
            <w:hideMark/>
          </w:tcPr>
          <w:p w14:paraId="10EBDCE6"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990" w:type="dxa"/>
            <w:shd w:val="clear" w:color="auto" w:fill="auto"/>
            <w:noWrap/>
            <w:vAlign w:val="bottom"/>
            <w:hideMark/>
          </w:tcPr>
          <w:p w14:paraId="43860F80"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0.2</w:t>
            </w:r>
          </w:p>
        </w:tc>
        <w:tc>
          <w:tcPr>
            <w:tcW w:w="336" w:type="dxa"/>
          </w:tcPr>
          <w:p w14:paraId="090D7C9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6570F81B"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0.1</w:t>
            </w:r>
          </w:p>
        </w:tc>
        <w:tc>
          <w:tcPr>
            <w:tcW w:w="508" w:type="dxa"/>
            <w:shd w:val="clear" w:color="auto" w:fill="auto"/>
            <w:noWrap/>
            <w:vAlign w:val="bottom"/>
            <w:hideMark/>
          </w:tcPr>
          <w:p w14:paraId="39EB0272"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07C992B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0.3</w:t>
            </w:r>
          </w:p>
        </w:tc>
        <w:tc>
          <w:tcPr>
            <w:tcW w:w="336" w:type="dxa"/>
          </w:tcPr>
          <w:p w14:paraId="5B0DBB36"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38D3ECD2"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6</w:t>
            </w:r>
          </w:p>
        </w:tc>
        <w:tc>
          <w:tcPr>
            <w:tcW w:w="360" w:type="dxa"/>
            <w:shd w:val="clear" w:color="auto" w:fill="auto"/>
            <w:noWrap/>
            <w:vAlign w:val="bottom"/>
            <w:hideMark/>
          </w:tcPr>
          <w:p w14:paraId="353104D7" w14:textId="77777777" w:rsidR="00EB4E3C" w:rsidRPr="006B2FD0" w:rsidRDefault="00EB4E3C" w:rsidP="00310A77">
            <w:pPr>
              <w:jc w:val="center"/>
              <w:rPr>
                <w:rFonts w:ascii="Arial" w:eastAsia="Times New Roman" w:hAnsi="Arial" w:cs="Arial"/>
                <w:color w:val="000000"/>
                <w:sz w:val="22"/>
                <w:szCs w:val="22"/>
              </w:rPr>
            </w:pPr>
            <w:r w:rsidRPr="006B2FD0">
              <w:rPr>
                <w:rFonts w:ascii="Arial" w:eastAsia="Times New Roman" w:hAnsi="Arial" w:cs="Arial"/>
                <w:color w:val="000000"/>
                <w:sz w:val="22"/>
                <w:szCs w:val="22"/>
              </w:rPr>
              <w:t>+</w:t>
            </w:r>
          </w:p>
        </w:tc>
        <w:tc>
          <w:tcPr>
            <w:tcW w:w="763" w:type="dxa"/>
            <w:shd w:val="clear" w:color="auto" w:fill="auto"/>
            <w:noWrap/>
            <w:vAlign w:val="bottom"/>
            <w:hideMark/>
          </w:tcPr>
          <w:p w14:paraId="349369B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0.4</w:t>
            </w:r>
          </w:p>
        </w:tc>
        <w:tc>
          <w:tcPr>
            <w:tcW w:w="336" w:type="dxa"/>
          </w:tcPr>
          <w:p w14:paraId="164AB75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Cs/>
                <w:color w:val="000000"/>
                <w:sz w:val="22"/>
                <w:szCs w:val="22"/>
              </w:rPr>
              <w:t>x</w:t>
            </w:r>
          </w:p>
        </w:tc>
        <w:tc>
          <w:tcPr>
            <w:tcW w:w="1243" w:type="dxa"/>
            <w:shd w:val="clear" w:color="auto" w:fill="auto"/>
            <w:noWrap/>
            <w:vAlign w:val="bottom"/>
            <w:hideMark/>
          </w:tcPr>
          <w:p w14:paraId="4B68711A"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2.95</w:t>
            </w:r>
          </w:p>
        </w:tc>
      </w:tr>
      <w:tr w:rsidR="00EB4E3C" w:rsidRPr="006B2FD0" w14:paraId="51C48BE0" w14:textId="77777777" w:rsidTr="00310A77">
        <w:trPr>
          <w:trHeight w:val="255"/>
        </w:trPr>
        <w:tc>
          <w:tcPr>
            <w:tcW w:w="270" w:type="dxa"/>
            <w:shd w:val="clear" w:color="auto" w:fill="auto"/>
            <w:noWrap/>
            <w:vAlign w:val="bottom"/>
            <w:hideMark/>
          </w:tcPr>
          <w:p w14:paraId="0C0BDD29"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3E302651" w14:textId="77777777" w:rsidR="00EB4E3C" w:rsidRPr="006B2FD0" w:rsidRDefault="00EB4E3C" w:rsidP="00310A77">
            <w:pPr>
              <w:jc w:val="center"/>
              <w:rPr>
                <w:rFonts w:ascii="Arial" w:eastAsia="Times New Roman" w:hAnsi="Arial" w:cs="Arial"/>
                <w:sz w:val="22"/>
                <w:szCs w:val="22"/>
              </w:rPr>
            </w:pPr>
          </w:p>
        </w:tc>
        <w:tc>
          <w:tcPr>
            <w:tcW w:w="569" w:type="dxa"/>
            <w:shd w:val="clear" w:color="auto" w:fill="auto"/>
            <w:noWrap/>
            <w:vAlign w:val="bottom"/>
            <w:hideMark/>
          </w:tcPr>
          <w:p w14:paraId="583ACE26" w14:textId="77777777" w:rsidR="00EB4E3C" w:rsidRPr="006B2FD0" w:rsidRDefault="00EB4E3C" w:rsidP="00310A77">
            <w:pPr>
              <w:jc w:val="center"/>
              <w:rPr>
                <w:rFonts w:ascii="Arial" w:eastAsia="Times New Roman" w:hAnsi="Arial" w:cs="Arial"/>
                <w:sz w:val="22"/>
                <w:szCs w:val="22"/>
              </w:rPr>
            </w:pPr>
          </w:p>
        </w:tc>
        <w:tc>
          <w:tcPr>
            <w:tcW w:w="990" w:type="dxa"/>
            <w:shd w:val="clear" w:color="auto" w:fill="auto"/>
            <w:noWrap/>
            <w:vAlign w:val="bottom"/>
            <w:hideMark/>
          </w:tcPr>
          <w:p w14:paraId="63036C5B" w14:textId="77777777" w:rsidR="00EB4E3C" w:rsidRPr="006B2FD0" w:rsidRDefault="00EB4E3C" w:rsidP="00310A77">
            <w:pPr>
              <w:jc w:val="center"/>
              <w:rPr>
                <w:rFonts w:ascii="Arial" w:eastAsia="Times New Roman" w:hAnsi="Arial" w:cs="Arial"/>
                <w:sz w:val="22"/>
                <w:szCs w:val="22"/>
              </w:rPr>
            </w:pPr>
          </w:p>
        </w:tc>
        <w:tc>
          <w:tcPr>
            <w:tcW w:w="336" w:type="dxa"/>
          </w:tcPr>
          <w:p w14:paraId="1560D61F"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3F032ECA" w14:textId="77777777" w:rsidR="00EB4E3C" w:rsidRPr="006B2FD0" w:rsidRDefault="00EB4E3C" w:rsidP="00310A77">
            <w:pPr>
              <w:jc w:val="center"/>
              <w:rPr>
                <w:rFonts w:ascii="Arial" w:eastAsia="Times New Roman" w:hAnsi="Arial" w:cs="Arial"/>
                <w:sz w:val="22"/>
                <w:szCs w:val="22"/>
              </w:rPr>
            </w:pPr>
          </w:p>
        </w:tc>
        <w:tc>
          <w:tcPr>
            <w:tcW w:w="508" w:type="dxa"/>
            <w:shd w:val="clear" w:color="auto" w:fill="auto"/>
            <w:noWrap/>
            <w:vAlign w:val="bottom"/>
            <w:hideMark/>
          </w:tcPr>
          <w:p w14:paraId="7826D8D1" w14:textId="77777777" w:rsidR="00EB4E3C" w:rsidRPr="006B2FD0" w:rsidRDefault="00EB4E3C" w:rsidP="00310A77">
            <w:pPr>
              <w:jc w:val="center"/>
              <w:rPr>
                <w:rFonts w:ascii="Arial" w:eastAsia="Times New Roman" w:hAnsi="Arial" w:cs="Arial"/>
                <w:sz w:val="22"/>
                <w:szCs w:val="22"/>
              </w:rPr>
            </w:pPr>
          </w:p>
        </w:tc>
        <w:tc>
          <w:tcPr>
            <w:tcW w:w="763" w:type="dxa"/>
            <w:shd w:val="clear" w:color="auto" w:fill="auto"/>
            <w:noWrap/>
            <w:vAlign w:val="bottom"/>
            <w:hideMark/>
          </w:tcPr>
          <w:p w14:paraId="0558B72D" w14:textId="77777777" w:rsidR="00EB4E3C" w:rsidRPr="006B2FD0" w:rsidRDefault="00EB4E3C" w:rsidP="00310A77">
            <w:pPr>
              <w:jc w:val="center"/>
              <w:rPr>
                <w:rFonts w:ascii="Arial" w:eastAsia="Times New Roman" w:hAnsi="Arial" w:cs="Arial"/>
                <w:sz w:val="22"/>
                <w:szCs w:val="22"/>
              </w:rPr>
            </w:pPr>
          </w:p>
        </w:tc>
        <w:tc>
          <w:tcPr>
            <w:tcW w:w="336" w:type="dxa"/>
          </w:tcPr>
          <w:p w14:paraId="3777E688"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0DD3B731" w14:textId="77777777" w:rsidR="00EB4E3C" w:rsidRPr="006B2FD0" w:rsidRDefault="00EB4E3C" w:rsidP="00310A77">
            <w:pPr>
              <w:jc w:val="center"/>
              <w:rPr>
                <w:rFonts w:ascii="Arial" w:eastAsia="Times New Roman" w:hAnsi="Arial" w:cs="Arial"/>
                <w:sz w:val="22"/>
                <w:szCs w:val="22"/>
              </w:rPr>
            </w:pPr>
          </w:p>
        </w:tc>
        <w:tc>
          <w:tcPr>
            <w:tcW w:w="360" w:type="dxa"/>
            <w:shd w:val="clear" w:color="auto" w:fill="auto"/>
            <w:noWrap/>
            <w:vAlign w:val="bottom"/>
            <w:hideMark/>
          </w:tcPr>
          <w:p w14:paraId="0E2786BB" w14:textId="77777777" w:rsidR="00EB4E3C" w:rsidRPr="006B2FD0" w:rsidRDefault="00EB4E3C" w:rsidP="00310A77">
            <w:pPr>
              <w:jc w:val="center"/>
              <w:rPr>
                <w:rFonts w:ascii="Arial" w:eastAsia="Times New Roman" w:hAnsi="Arial" w:cs="Arial"/>
                <w:sz w:val="22"/>
                <w:szCs w:val="22"/>
              </w:rPr>
            </w:pPr>
          </w:p>
        </w:tc>
        <w:tc>
          <w:tcPr>
            <w:tcW w:w="763" w:type="dxa"/>
            <w:shd w:val="clear" w:color="auto" w:fill="auto"/>
            <w:noWrap/>
            <w:vAlign w:val="bottom"/>
            <w:hideMark/>
          </w:tcPr>
          <w:p w14:paraId="1D6862B1" w14:textId="77777777" w:rsidR="00EB4E3C" w:rsidRPr="006B2FD0" w:rsidRDefault="00EB4E3C" w:rsidP="00310A77">
            <w:pPr>
              <w:jc w:val="center"/>
              <w:rPr>
                <w:rFonts w:ascii="Arial" w:eastAsia="Times New Roman" w:hAnsi="Arial" w:cs="Arial"/>
                <w:sz w:val="22"/>
                <w:szCs w:val="22"/>
              </w:rPr>
            </w:pPr>
          </w:p>
        </w:tc>
        <w:tc>
          <w:tcPr>
            <w:tcW w:w="336" w:type="dxa"/>
          </w:tcPr>
          <w:p w14:paraId="489EE0F7" w14:textId="77777777" w:rsidR="00EB4E3C" w:rsidRPr="006B2FD0" w:rsidRDefault="00EB4E3C" w:rsidP="00310A77">
            <w:pPr>
              <w:jc w:val="center"/>
              <w:rPr>
                <w:rFonts w:ascii="Arial" w:eastAsia="Times New Roman" w:hAnsi="Arial" w:cs="Arial"/>
                <w:sz w:val="22"/>
                <w:szCs w:val="22"/>
              </w:rPr>
            </w:pPr>
          </w:p>
        </w:tc>
        <w:tc>
          <w:tcPr>
            <w:tcW w:w="1243" w:type="dxa"/>
            <w:shd w:val="clear" w:color="auto" w:fill="auto"/>
            <w:noWrap/>
            <w:vAlign w:val="bottom"/>
            <w:hideMark/>
          </w:tcPr>
          <w:p w14:paraId="12293435" w14:textId="77777777" w:rsidR="00EB4E3C" w:rsidRPr="006B2FD0" w:rsidRDefault="00EB4E3C" w:rsidP="00310A77">
            <w:pPr>
              <w:jc w:val="center"/>
              <w:rPr>
                <w:rFonts w:ascii="Arial" w:eastAsia="Times New Roman" w:hAnsi="Arial" w:cs="Arial"/>
                <w:sz w:val="22"/>
                <w:szCs w:val="22"/>
              </w:rPr>
            </w:pPr>
          </w:p>
        </w:tc>
      </w:tr>
      <w:tr w:rsidR="00EB4E3C" w:rsidRPr="006B2FD0" w14:paraId="154FE11F" w14:textId="77777777" w:rsidTr="00310A77">
        <w:trPr>
          <w:trHeight w:val="300"/>
        </w:trPr>
        <w:tc>
          <w:tcPr>
            <w:tcW w:w="270" w:type="dxa"/>
            <w:shd w:val="clear" w:color="auto" w:fill="auto"/>
            <w:noWrap/>
            <w:vAlign w:val="bottom"/>
            <w:hideMark/>
          </w:tcPr>
          <w:p w14:paraId="7C36FA2C" w14:textId="77777777" w:rsidR="00EB4E3C" w:rsidRPr="006B2FD0" w:rsidRDefault="00EB4E3C" w:rsidP="00310A77">
            <w:pPr>
              <w:jc w:val="center"/>
              <w:rPr>
                <w:rFonts w:ascii="Arial" w:eastAsia="Times New Roman" w:hAnsi="Arial" w:cs="Arial"/>
                <w:sz w:val="22"/>
                <w:szCs w:val="22"/>
              </w:rPr>
            </w:pPr>
          </w:p>
        </w:tc>
        <w:tc>
          <w:tcPr>
            <w:tcW w:w="1296" w:type="dxa"/>
            <w:shd w:val="clear" w:color="auto" w:fill="auto"/>
            <w:noWrap/>
            <w:vAlign w:val="bottom"/>
            <w:hideMark/>
          </w:tcPr>
          <w:p w14:paraId="6428561B" w14:textId="77777777" w:rsidR="00EB4E3C" w:rsidRPr="006B2FD0" w:rsidRDefault="00EB4E3C" w:rsidP="00310A77">
            <w:pPr>
              <w:jc w:val="center"/>
              <w:rPr>
                <w:rFonts w:ascii="Arial" w:eastAsia="Times New Roman" w:hAnsi="Arial" w:cs="Arial"/>
                <w:sz w:val="22"/>
                <w:szCs w:val="22"/>
              </w:rPr>
            </w:pPr>
          </w:p>
        </w:tc>
        <w:tc>
          <w:tcPr>
            <w:tcW w:w="569" w:type="dxa"/>
            <w:shd w:val="clear" w:color="auto" w:fill="auto"/>
            <w:noWrap/>
            <w:vAlign w:val="bottom"/>
            <w:hideMark/>
          </w:tcPr>
          <w:p w14:paraId="7A7C27D7" w14:textId="77777777" w:rsidR="00EB4E3C" w:rsidRPr="006B2FD0" w:rsidRDefault="00EB4E3C" w:rsidP="00310A77">
            <w:pPr>
              <w:jc w:val="center"/>
              <w:rPr>
                <w:rFonts w:ascii="Arial" w:eastAsia="Times New Roman" w:hAnsi="Arial" w:cs="Arial"/>
                <w:sz w:val="22"/>
                <w:szCs w:val="22"/>
              </w:rPr>
            </w:pPr>
          </w:p>
        </w:tc>
        <w:tc>
          <w:tcPr>
            <w:tcW w:w="990" w:type="dxa"/>
            <w:shd w:val="clear" w:color="auto" w:fill="auto"/>
            <w:noWrap/>
            <w:vAlign w:val="bottom"/>
            <w:hideMark/>
          </w:tcPr>
          <w:p w14:paraId="081161BD"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Fold:</w:t>
            </w:r>
          </w:p>
        </w:tc>
        <w:tc>
          <w:tcPr>
            <w:tcW w:w="336" w:type="dxa"/>
          </w:tcPr>
          <w:p w14:paraId="1DDF423D" w14:textId="77777777" w:rsidR="00EB4E3C" w:rsidRPr="006B2FD0" w:rsidRDefault="00EB4E3C" w:rsidP="00310A77">
            <w:pPr>
              <w:jc w:val="center"/>
              <w:rPr>
                <w:rFonts w:ascii="Arial" w:eastAsia="Times New Roman" w:hAnsi="Arial" w:cs="Arial"/>
                <w:b/>
                <w:bCs/>
                <w:color w:val="000000"/>
                <w:sz w:val="22"/>
                <w:szCs w:val="22"/>
              </w:rPr>
            </w:pPr>
          </w:p>
        </w:tc>
        <w:tc>
          <w:tcPr>
            <w:tcW w:w="1243" w:type="dxa"/>
            <w:shd w:val="clear" w:color="auto" w:fill="auto"/>
            <w:noWrap/>
            <w:vAlign w:val="bottom"/>
            <w:hideMark/>
          </w:tcPr>
          <w:p w14:paraId="18FCE8F1"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0.04</w:t>
            </w:r>
          </w:p>
        </w:tc>
        <w:tc>
          <w:tcPr>
            <w:tcW w:w="508" w:type="dxa"/>
            <w:shd w:val="clear" w:color="auto" w:fill="auto"/>
            <w:noWrap/>
            <w:vAlign w:val="bottom"/>
            <w:hideMark/>
          </w:tcPr>
          <w:p w14:paraId="398123AB" w14:textId="77777777" w:rsidR="00EB4E3C" w:rsidRPr="006B2FD0" w:rsidRDefault="00EB4E3C" w:rsidP="00310A77">
            <w:pPr>
              <w:jc w:val="center"/>
              <w:rPr>
                <w:rFonts w:ascii="Arial" w:eastAsia="Times New Roman" w:hAnsi="Arial" w:cs="Arial"/>
                <w:b/>
                <w:bCs/>
                <w:color w:val="000000"/>
                <w:sz w:val="22"/>
                <w:szCs w:val="22"/>
              </w:rPr>
            </w:pPr>
          </w:p>
        </w:tc>
        <w:tc>
          <w:tcPr>
            <w:tcW w:w="763" w:type="dxa"/>
            <w:shd w:val="clear" w:color="auto" w:fill="auto"/>
            <w:noWrap/>
            <w:vAlign w:val="bottom"/>
            <w:hideMark/>
          </w:tcPr>
          <w:p w14:paraId="2A4220DA"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Fold:</w:t>
            </w:r>
          </w:p>
        </w:tc>
        <w:tc>
          <w:tcPr>
            <w:tcW w:w="336" w:type="dxa"/>
          </w:tcPr>
          <w:p w14:paraId="45F31AD8" w14:textId="77777777" w:rsidR="00EB4E3C" w:rsidRPr="006B2FD0" w:rsidRDefault="00EB4E3C" w:rsidP="00310A77">
            <w:pPr>
              <w:jc w:val="center"/>
              <w:rPr>
                <w:rFonts w:ascii="Arial" w:eastAsia="Times New Roman" w:hAnsi="Arial" w:cs="Arial"/>
                <w:b/>
                <w:bCs/>
                <w:color w:val="000000"/>
                <w:sz w:val="22"/>
                <w:szCs w:val="22"/>
              </w:rPr>
            </w:pPr>
          </w:p>
        </w:tc>
        <w:tc>
          <w:tcPr>
            <w:tcW w:w="1243" w:type="dxa"/>
            <w:shd w:val="clear" w:color="auto" w:fill="auto"/>
            <w:noWrap/>
            <w:vAlign w:val="bottom"/>
            <w:hideMark/>
          </w:tcPr>
          <w:p w14:paraId="1A59AD88"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w:t>
            </w:r>
          </w:p>
        </w:tc>
        <w:tc>
          <w:tcPr>
            <w:tcW w:w="360" w:type="dxa"/>
            <w:shd w:val="clear" w:color="auto" w:fill="auto"/>
            <w:noWrap/>
            <w:vAlign w:val="bottom"/>
            <w:hideMark/>
          </w:tcPr>
          <w:p w14:paraId="7D6304CE" w14:textId="77777777" w:rsidR="00EB4E3C" w:rsidRPr="006B2FD0" w:rsidRDefault="00EB4E3C" w:rsidP="00310A77">
            <w:pPr>
              <w:jc w:val="center"/>
              <w:rPr>
                <w:rFonts w:ascii="Arial" w:eastAsia="Times New Roman" w:hAnsi="Arial" w:cs="Arial"/>
                <w:b/>
                <w:bCs/>
                <w:color w:val="000000"/>
                <w:sz w:val="22"/>
                <w:szCs w:val="22"/>
              </w:rPr>
            </w:pPr>
          </w:p>
        </w:tc>
        <w:tc>
          <w:tcPr>
            <w:tcW w:w="763" w:type="dxa"/>
            <w:shd w:val="clear" w:color="auto" w:fill="auto"/>
            <w:noWrap/>
            <w:vAlign w:val="bottom"/>
            <w:hideMark/>
          </w:tcPr>
          <w:p w14:paraId="5ABC6133"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Fold:</w:t>
            </w:r>
          </w:p>
        </w:tc>
        <w:tc>
          <w:tcPr>
            <w:tcW w:w="336" w:type="dxa"/>
          </w:tcPr>
          <w:p w14:paraId="07E9BFDE" w14:textId="77777777" w:rsidR="00EB4E3C" w:rsidRPr="006B2FD0" w:rsidRDefault="00EB4E3C" w:rsidP="00310A77">
            <w:pPr>
              <w:jc w:val="center"/>
              <w:rPr>
                <w:rFonts w:ascii="Arial" w:eastAsia="Times New Roman" w:hAnsi="Arial" w:cs="Arial"/>
                <w:b/>
                <w:bCs/>
                <w:color w:val="000000"/>
                <w:sz w:val="22"/>
                <w:szCs w:val="22"/>
              </w:rPr>
            </w:pPr>
          </w:p>
        </w:tc>
        <w:tc>
          <w:tcPr>
            <w:tcW w:w="1243" w:type="dxa"/>
            <w:shd w:val="clear" w:color="auto" w:fill="auto"/>
            <w:noWrap/>
            <w:vAlign w:val="bottom"/>
            <w:hideMark/>
          </w:tcPr>
          <w:p w14:paraId="2D724F10"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0.7375</w:t>
            </w:r>
          </w:p>
        </w:tc>
      </w:tr>
      <w:tr w:rsidR="00EB4E3C" w:rsidRPr="006B2FD0" w14:paraId="48BC7A6A" w14:textId="77777777" w:rsidTr="00310A77">
        <w:trPr>
          <w:trHeight w:val="300"/>
        </w:trPr>
        <w:tc>
          <w:tcPr>
            <w:tcW w:w="270" w:type="dxa"/>
            <w:shd w:val="clear" w:color="auto" w:fill="auto"/>
            <w:noWrap/>
            <w:vAlign w:val="bottom"/>
            <w:hideMark/>
          </w:tcPr>
          <w:p w14:paraId="347C209A" w14:textId="77777777" w:rsidR="00EB4E3C" w:rsidRPr="006B2FD0" w:rsidRDefault="00EB4E3C" w:rsidP="00310A77">
            <w:pPr>
              <w:jc w:val="center"/>
              <w:rPr>
                <w:rFonts w:ascii="Arial" w:eastAsia="Times New Roman" w:hAnsi="Arial" w:cs="Arial"/>
                <w:b/>
                <w:bCs/>
                <w:color w:val="000000"/>
                <w:sz w:val="22"/>
                <w:szCs w:val="22"/>
              </w:rPr>
            </w:pPr>
          </w:p>
        </w:tc>
        <w:tc>
          <w:tcPr>
            <w:tcW w:w="1296" w:type="dxa"/>
            <w:shd w:val="clear" w:color="auto" w:fill="auto"/>
            <w:noWrap/>
            <w:vAlign w:val="bottom"/>
            <w:hideMark/>
          </w:tcPr>
          <w:p w14:paraId="18FB9295" w14:textId="77777777" w:rsidR="00EB4E3C" w:rsidRPr="006B2FD0" w:rsidRDefault="00EB4E3C" w:rsidP="00310A77">
            <w:pPr>
              <w:jc w:val="center"/>
              <w:rPr>
                <w:rFonts w:ascii="Arial" w:eastAsia="Times New Roman" w:hAnsi="Arial" w:cs="Arial"/>
                <w:sz w:val="22"/>
                <w:szCs w:val="22"/>
              </w:rPr>
            </w:pPr>
          </w:p>
        </w:tc>
        <w:tc>
          <w:tcPr>
            <w:tcW w:w="569" w:type="dxa"/>
            <w:shd w:val="clear" w:color="auto" w:fill="auto"/>
            <w:noWrap/>
            <w:vAlign w:val="bottom"/>
            <w:hideMark/>
          </w:tcPr>
          <w:p w14:paraId="0633216B" w14:textId="77777777" w:rsidR="00EB4E3C" w:rsidRPr="006B2FD0" w:rsidRDefault="00EB4E3C" w:rsidP="00310A77">
            <w:pPr>
              <w:jc w:val="center"/>
              <w:rPr>
                <w:rFonts w:ascii="Arial" w:eastAsia="Times New Roman" w:hAnsi="Arial" w:cs="Arial"/>
                <w:sz w:val="22"/>
                <w:szCs w:val="22"/>
              </w:rPr>
            </w:pPr>
          </w:p>
        </w:tc>
        <w:tc>
          <w:tcPr>
            <w:tcW w:w="990" w:type="dxa"/>
            <w:shd w:val="clear" w:color="auto" w:fill="auto"/>
            <w:noWrap/>
            <w:vAlign w:val="bottom"/>
            <w:hideMark/>
          </w:tcPr>
          <w:p w14:paraId="7295BDB1"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diff:</w:t>
            </w:r>
          </w:p>
        </w:tc>
        <w:tc>
          <w:tcPr>
            <w:tcW w:w="336" w:type="dxa"/>
          </w:tcPr>
          <w:p w14:paraId="759B1580" w14:textId="77777777" w:rsidR="00EB4E3C" w:rsidRPr="006B2FD0" w:rsidRDefault="00EB4E3C" w:rsidP="00310A77">
            <w:pPr>
              <w:jc w:val="center"/>
              <w:rPr>
                <w:rFonts w:ascii="Arial" w:eastAsia="Times New Roman" w:hAnsi="Arial" w:cs="Arial"/>
                <w:b/>
                <w:bCs/>
                <w:color w:val="000000"/>
                <w:sz w:val="22"/>
                <w:szCs w:val="22"/>
              </w:rPr>
            </w:pPr>
          </w:p>
        </w:tc>
        <w:tc>
          <w:tcPr>
            <w:tcW w:w="1243" w:type="dxa"/>
            <w:shd w:val="clear" w:color="auto" w:fill="auto"/>
            <w:noWrap/>
            <w:vAlign w:val="bottom"/>
            <w:hideMark/>
          </w:tcPr>
          <w:p w14:paraId="5994C669"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-2.4</w:t>
            </w:r>
          </w:p>
        </w:tc>
        <w:tc>
          <w:tcPr>
            <w:tcW w:w="508" w:type="dxa"/>
            <w:shd w:val="clear" w:color="auto" w:fill="auto"/>
            <w:noWrap/>
            <w:vAlign w:val="bottom"/>
            <w:hideMark/>
          </w:tcPr>
          <w:p w14:paraId="3B8C8E2D" w14:textId="77777777" w:rsidR="00EB4E3C" w:rsidRPr="006B2FD0" w:rsidRDefault="00EB4E3C" w:rsidP="00310A77">
            <w:pPr>
              <w:jc w:val="center"/>
              <w:rPr>
                <w:rFonts w:ascii="Arial" w:eastAsia="Times New Roman" w:hAnsi="Arial" w:cs="Arial"/>
                <w:b/>
                <w:bCs/>
                <w:color w:val="000000"/>
                <w:sz w:val="22"/>
                <w:szCs w:val="22"/>
              </w:rPr>
            </w:pPr>
          </w:p>
        </w:tc>
        <w:tc>
          <w:tcPr>
            <w:tcW w:w="763" w:type="dxa"/>
            <w:shd w:val="clear" w:color="auto" w:fill="auto"/>
            <w:noWrap/>
            <w:vAlign w:val="bottom"/>
            <w:hideMark/>
          </w:tcPr>
          <w:p w14:paraId="1A371AA2"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diff:</w:t>
            </w:r>
          </w:p>
        </w:tc>
        <w:tc>
          <w:tcPr>
            <w:tcW w:w="336" w:type="dxa"/>
          </w:tcPr>
          <w:p w14:paraId="4F057ADD" w14:textId="77777777" w:rsidR="00EB4E3C" w:rsidRPr="006B2FD0" w:rsidRDefault="00EB4E3C" w:rsidP="00310A77">
            <w:pPr>
              <w:jc w:val="center"/>
              <w:rPr>
                <w:rFonts w:ascii="Arial" w:eastAsia="Times New Roman" w:hAnsi="Arial" w:cs="Arial"/>
                <w:b/>
                <w:bCs/>
                <w:color w:val="000000"/>
                <w:sz w:val="22"/>
                <w:szCs w:val="22"/>
              </w:rPr>
            </w:pPr>
          </w:p>
        </w:tc>
        <w:tc>
          <w:tcPr>
            <w:tcW w:w="1243" w:type="dxa"/>
            <w:shd w:val="clear" w:color="auto" w:fill="auto"/>
            <w:noWrap/>
            <w:vAlign w:val="bottom"/>
            <w:hideMark/>
          </w:tcPr>
          <w:p w14:paraId="20474B1A"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3</w:t>
            </w:r>
          </w:p>
        </w:tc>
        <w:tc>
          <w:tcPr>
            <w:tcW w:w="360" w:type="dxa"/>
            <w:shd w:val="clear" w:color="auto" w:fill="auto"/>
            <w:noWrap/>
            <w:vAlign w:val="bottom"/>
            <w:hideMark/>
          </w:tcPr>
          <w:p w14:paraId="6A18DD9D" w14:textId="77777777" w:rsidR="00EB4E3C" w:rsidRPr="006B2FD0" w:rsidRDefault="00EB4E3C" w:rsidP="00310A77">
            <w:pPr>
              <w:jc w:val="center"/>
              <w:rPr>
                <w:rFonts w:ascii="Arial" w:eastAsia="Times New Roman" w:hAnsi="Arial" w:cs="Arial"/>
                <w:b/>
                <w:bCs/>
                <w:color w:val="000000"/>
                <w:sz w:val="22"/>
                <w:szCs w:val="22"/>
              </w:rPr>
            </w:pPr>
          </w:p>
        </w:tc>
        <w:tc>
          <w:tcPr>
            <w:tcW w:w="763" w:type="dxa"/>
            <w:shd w:val="clear" w:color="auto" w:fill="auto"/>
            <w:noWrap/>
            <w:vAlign w:val="bottom"/>
            <w:hideMark/>
          </w:tcPr>
          <w:p w14:paraId="56FAC094"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diff:</w:t>
            </w:r>
          </w:p>
        </w:tc>
        <w:tc>
          <w:tcPr>
            <w:tcW w:w="336" w:type="dxa"/>
          </w:tcPr>
          <w:p w14:paraId="6CBAC0DC" w14:textId="77777777" w:rsidR="00EB4E3C" w:rsidRPr="006B2FD0" w:rsidRDefault="00EB4E3C" w:rsidP="00310A77">
            <w:pPr>
              <w:jc w:val="center"/>
              <w:rPr>
                <w:rFonts w:ascii="Arial" w:eastAsia="Times New Roman" w:hAnsi="Arial" w:cs="Arial"/>
                <w:b/>
                <w:bCs/>
                <w:color w:val="000000"/>
                <w:sz w:val="22"/>
                <w:szCs w:val="22"/>
              </w:rPr>
            </w:pPr>
          </w:p>
        </w:tc>
        <w:tc>
          <w:tcPr>
            <w:tcW w:w="1243" w:type="dxa"/>
            <w:shd w:val="clear" w:color="auto" w:fill="auto"/>
            <w:noWrap/>
            <w:vAlign w:val="bottom"/>
            <w:hideMark/>
          </w:tcPr>
          <w:p w14:paraId="5385A29E" w14:textId="77777777" w:rsidR="00EB4E3C" w:rsidRPr="006B2FD0" w:rsidRDefault="00EB4E3C" w:rsidP="00310A77">
            <w:pPr>
              <w:jc w:val="center"/>
              <w:rPr>
                <w:rFonts w:ascii="Arial" w:eastAsia="Times New Roman" w:hAnsi="Arial" w:cs="Arial"/>
                <w:b/>
                <w:bCs/>
                <w:color w:val="000000"/>
                <w:sz w:val="22"/>
                <w:szCs w:val="22"/>
              </w:rPr>
            </w:pPr>
            <w:r w:rsidRPr="006B2FD0">
              <w:rPr>
                <w:rFonts w:ascii="Arial" w:eastAsia="Times New Roman" w:hAnsi="Arial" w:cs="Arial"/>
                <w:b/>
                <w:bCs/>
                <w:color w:val="000000"/>
                <w:sz w:val="22"/>
                <w:szCs w:val="22"/>
              </w:rPr>
              <w:t>-1.05</w:t>
            </w:r>
          </w:p>
        </w:tc>
      </w:tr>
    </w:tbl>
    <w:p w14:paraId="01B10762" w14:textId="77777777" w:rsidR="00EB4E3C" w:rsidRPr="006B2FD0" w:rsidRDefault="00EB4E3C" w:rsidP="00EB4E3C">
      <w:pPr>
        <w:spacing w:line="480" w:lineRule="auto"/>
        <w:contextualSpacing/>
        <w:outlineLvl w:val="0"/>
        <w:rPr>
          <w:rFonts w:ascii="Arial" w:hAnsi="Arial" w:cs="Arial"/>
          <w:b/>
          <w:sz w:val="22"/>
          <w:szCs w:val="22"/>
        </w:rPr>
      </w:pPr>
      <w:r w:rsidRPr="00AC69BB">
        <w:rPr>
          <w:rFonts w:ascii="Arial" w:hAnsi="Arial" w:cs="Arial"/>
          <w:b/>
          <w:sz w:val="22"/>
          <w:szCs w:val="22"/>
        </w:rPr>
        <w:t xml:space="preserve">1.2 </w:t>
      </w:r>
      <w:r w:rsidRPr="006B2FD0">
        <w:rPr>
          <w:rFonts w:ascii="Arial" w:hAnsi="Arial" w:cs="Arial"/>
          <w:b/>
          <w:sz w:val="22"/>
          <w:szCs w:val="22"/>
        </w:rPr>
        <w:t>Definition of the parameters affecting cell type-specific expression estimate variability</w:t>
      </w:r>
    </w:p>
    <w:p w14:paraId="7F74EA07" w14:textId="77777777" w:rsidR="00EB4E3C" w:rsidRPr="00874CE6" w:rsidRDefault="00EB4E3C" w:rsidP="00EB4E3C">
      <w:pPr>
        <w:spacing w:line="480" w:lineRule="auto"/>
        <w:rPr>
          <w:rFonts w:ascii="Arial" w:hAnsi="Arial" w:cs="Arial"/>
          <w:sz w:val="22"/>
          <w:szCs w:val="22"/>
        </w:rPr>
      </w:pPr>
      <w:r w:rsidRPr="006B2FD0">
        <w:rPr>
          <w:rFonts w:ascii="Arial" w:hAnsi="Arial" w:cs="Arial"/>
          <w:sz w:val="22"/>
          <w:szCs w:val="22"/>
        </w:rPr>
        <w:t xml:space="preserve">The following describes the parameters affecting the </w:t>
      </w:r>
      <w:r w:rsidRPr="00152540">
        <w:rPr>
          <w:rFonts w:ascii="Arial" w:hAnsi="Arial" w:cs="Arial"/>
          <w:sz w:val="22"/>
          <w:szCs w:val="22"/>
        </w:rPr>
        <w:t>estimated variance</w:t>
      </w:r>
      <w:r w:rsidRPr="00025113">
        <w:rPr>
          <w:rFonts w:ascii="Arial" w:hAnsi="Arial" w:cs="Arial"/>
          <w:sz w:val="22"/>
          <w:szCs w:val="22"/>
        </w:rPr>
        <w:t xml:space="preserve"> in case of </w:t>
      </w:r>
      <w:r w:rsidRPr="00152540">
        <w:rPr>
          <w:rFonts w:ascii="Arial" w:hAnsi="Arial" w:cs="Arial"/>
          <w:sz w:val="22"/>
          <w:szCs w:val="22"/>
        </w:rPr>
        <w:t>simple linear regression</w:t>
      </w:r>
      <w:r w:rsidRPr="00025113">
        <w:rPr>
          <w:rFonts w:ascii="Arial" w:hAnsi="Arial" w:cs="Arial"/>
          <w:sz w:val="22"/>
          <w:szCs w:val="22"/>
        </w:rPr>
        <w:t xml:space="preserve">. The formula for the variance of the linear regression coefficient (single predictor variable </w:t>
      </w:r>
      <w:r w:rsidRPr="00025113">
        <w:rPr>
          <w:rFonts w:ascii="Arial" w:hAnsi="Arial" w:cs="Arial"/>
          <w:i/>
          <w:sz w:val="22"/>
          <w:szCs w:val="22"/>
        </w:rPr>
        <w:t>X</w:t>
      </w:r>
      <w:r w:rsidRPr="002438B0">
        <w:rPr>
          <w:rFonts w:ascii="Arial" w:hAnsi="Arial" w:cs="Arial"/>
          <w:sz w:val="22"/>
          <w:szCs w:val="22"/>
        </w:rPr>
        <w:t>) provides an intuitive illustration of how various parameters affect the varianc</w:t>
      </w:r>
      <w:r w:rsidRPr="00874CE6">
        <w:rPr>
          <w:rFonts w:ascii="Arial" w:hAnsi="Arial" w:cs="Arial"/>
          <w:sz w:val="22"/>
          <w:szCs w:val="22"/>
        </w:rPr>
        <w:t>e:</w:t>
      </w:r>
    </w:p>
    <w:p w14:paraId="43430DEC" w14:textId="77777777" w:rsidR="00EB4E3C" w:rsidRPr="00AC69BB" w:rsidRDefault="00EB4E3C" w:rsidP="00EB4E3C">
      <w:pPr>
        <w:pStyle w:val="Standard"/>
        <w:spacing w:line="480" w:lineRule="auto"/>
        <w:ind w:left="1440" w:firstLine="720"/>
        <w:rPr>
          <w:rFonts w:ascii="Arial" w:hAnsi="Arial" w:cs="Arial"/>
          <w:sz w:val="22"/>
          <w:szCs w:val="22"/>
        </w:rPr>
      </w:pPr>
      <w:r w:rsidRPr="00AC69BB">
        <w:rPr>
          <w:rFonts w:ascii="Arial" w:hAnsi="Arial" w:cs="Arial"/>
          <w:position w:val="-38"/>
          <w:sz w:val="22"/>
          <w:szCs w:val="22"/>
        </w:rPr>
        <w:object w:dxaOrig="2360" w:dyaOrig="800" w14:anchorId="47658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8.25pt;height:39.95pt" o:ole="">
            <v:imagedata r:id="rId5" o:title=""/>
          </v:shape>
          <o:OLEObject Type="Embed" ProgID="Equation.DSMT4" ShapeID="_x0000_i1030" DrawAspect="Content" ObjectID="_1531656602" r:id="rId6"/>
        </w:object>
      </w:r>
      <w:r w:rsidRPr="00AC69BB">
        <w:rPr>
          <w:rFonts w:ascii="Arial" w:hAnsi="Arial" w:cs="Arial"/>
          <w:sz w:val="22"/>
          <w:szCs w:val="22"/>
        </w:rPr>
        <w:tab/>
      </w:r>
      <w:r w:rsidRPr="00AC69BB">
        <w:rPr>
          <w:rFonts w:ascii="Arial" w:hAnsi="Arial" w:cs="Arial"/>
          <w:sz w:val="22"/>
          <w:szCs w:val="22"/>
        </w:rPr>
        <w:tab/>
      </w:r>
      <w:r w:rsidRPr="00AC69BB">
        <w:rPr>
          <w:rFonts w:ascii="Arial" w:hAnsi="Arial" w:cs="Arial"/>
          <w:sz w:val="22"/>
          <w:szCs w:val="22"/>
        </w:rPr>
        <w:tab/>
      </w:r>
      <w:r w:rsidRPr="00AC69BB">
        <w:rPr>
          <w:rFonts w:ascii="Arial" w:hAnsi="Arial" w:cs="Arial"/>
          <w:sz w:val="22"/>
          <w:szCs w:val="22"/>
        </w:rPr>
        <w:tab/>
        <w:t>(S1.1).</w:t>
      </w:r>
    </w:p>
    <w:p w14:paraId="7E79FF8E" w14:textId="77777777" w:rsidR="00EB4E3C" w:rsidRPr="00152540" w:rsidRDefault="00EB4E3C" w:rsidP="00EB4E3C">
      <w:pPr>
        <w:pStyle w:val="Standard"/>
        <w:spacing w:line="480" w:lineRule="auto"/>
        <w:rPr>
          <w:rFonts w:ascii="Arial" w:hAnsi="Arial" w:cs="Arial"/>
          <w:sz w:val="22"/>
          <w:szCs w:val="22"/>
        </w:rPr>
      </w:pPr>
      <w:r w:rsidRPr="00AC69BB">
        <w:rPr>
          <w:rFonts w:ascii="Arial" w:hAnsi="Arial" w:cs="Arial"/>
          <w:sz w:val="22"/>
          <w:szCs w:val="22"/>
        </w:rPr>
        <w:t xml:space="preserve">In practice, </w:t>
      </w:r>
      <w:r w:rsidRPr="00152540">
        <w:rPr>
          <w:rFonts w:ascii="Arial" w:hAnsi="Arial" w:cs="Arial"/>
          <w:sz w:val="22"/>
          <w:szCs w:val="22"/>
        </w:rPr>
        <w:t>the estimated variance of</w:t>
      </w:r>
      <w:r w:rsidRPr="00152540">
        <w:rPr>
          <w:rFonts w:ascii="Arial" w:hAnsi="Arial" w:cs="Arial"/>
          <w:noProof/>
          <w:position w:val="-12"/>
          <w:sz w:val="22"/>
          <w:szCs w:val="22"/>
          <w:lang w:eastAsia="en-US" w:bidi="ar-SA"/>
        </w:rPr>
        <w:object w:dxaOrig="260" w:dyaOrig="400" w14:anchorId="1D60B647">
          <v:shape id="_x0000_i1031" type="#_x0000_t75" style="width:13.15pt;height:19.95pt" o:ole="">
            <v:imagedata r:id="rId7" o:title=""/>
          </v:shape>
          <o:OLEObject Type="Embed" ProgID="Equation.DSMT4" ShapeID="_x0000_i1031" DrawAspect="Content" ObjectID="_1531656603" r:id="rId8"/>
        </w:object>
      </w:r>
      <w:r w:rsidRPr="00152540">
        <w:rPr>
          <w:rFonts w:ascii="Arial" w:hAnsi="Arial" w:cs="Arial"/>
          <w:sz w:val="22"/>
          <w:szCs w:val="22"/>
        </w:rPr>
        <w:t xml:space="preserve"> uses the mean squared error (MSE) as an estimate of </w:t>
      </w:r>
      <w:r w:rsidRPr="00152540">
        <w:rPr>
          <w:rFonts w:ascii="Arial" w:hAnsi="Arial" w:cs="Arial"/>
          <w:position w:val="-6"/>
          <w:sz w:val="22"/>
          <w:szCs w:val="22"/>
        </w:rPr>
        <w:object w:dxaOrig="320" w:dyaOrig="320" w14:anchorId="223D8D3F">
          <v:shape id="_x0000_i1032" type="#_x0000_t75" style="width:15.75pt;height:15.75pt" o:ole="">
            <v:imagedata r:id="rId9" o:title=""/>
          </v:shape>
          <o:OLEObject Type="Embed" ProgID="Equation.DSMT4" ShapeID="_x0000_i1032" DrawAspect="Content" ObjectID="_1531656604" r:id="rId10"/>
        </w:object>
      </w:r>
      <w:r w:rsidRPr="00152540">
        <w:rPr>
          <w:rFonts w:ascii="Arial" w:hAnsi="Arial" w:cs="Arial"/>
          <w:sz w:val="22"/>
          <w:szCs w:val="22"/>
        </w:rPr>
        <w:t xml:space="preserve">, represented as </w:t>
      </w:r>
      <w:r w:rsidRPr="00152540">
        <w:rPr>
          <w:rFonts w:ascii="Arial" w:hAnsi="Arial" w:cs="Arial"/>
          <w:position w:val="-6"/>
          <w:sz w:val="22"/>
          <w:szCs w:val="22"/>
        </w:rPr>
        <w:object w:dxaOrig="260" w:dyaOrig="320" w14:anchorId="2E60805B">
          <v:shape id="_x0000_i1033" type="#_x0000_t75" style="width:13.15pt;height:15.75pt" o:ole="">
            <v:imagedata r:id="rId11" o:title=""/>
          </v:shape>
          <o:OLEObject Type="Embed" ProgID="Equation.DSMT4" ShapeID="_x0000_i1033" DrawAspect="Content" ObjectID="_1531656605" r:id="rId12"/>
        </w:object>
      </w:r>
      <w:r w:rsidRPr="00152540">
        <w:rPr>
          <w:rFonts w:ascii="Arial" w:hAnsi="Arial" w:cs="Arial"/>
          <w:sz w:val="22"/>
          <w:szCs w:val="22"/>
        </w:rPr>
        <w:t xml:space="preserve"> :</w:t>
      </w:r>
    </w:p>
    <w:p w14:paraId="294DEF36" w14:textId="77777777" w:rsidR="00EB4E3C" w:rsidRPr="00025113" w:rsidRDefault="00EB4E3C" w:rsidP="00EB4E3C">
      <w:pPr>
        <w:pStyle w:val="Standard"/>
        <w:spacing w:line="480" w:lineRule="auto"/>
        <w:rPr>
          <w:rFonts w:ascii="Arial" w:hAnsi="Arial" w:cs="Arial"/>
          <w:sz w:val="22"/>
          <w:szCs w:val="22"/>
        </w:rPr>
      </w:pPr>
      <w:r w:rsidRPr="00152540">
        <w:rPr>
          <w:rFonts w:ascii="Arial" w:hAnsi="Arial" w:cs="Arial"/>
          <w:sz w:val="22"/>
          <w:szCs w:val="22"/>
        </w:rPr>
        <w:tab/>
      </w:r>
      <w:r w:rsidRPr="00152540">
        <w:rPr>
          <w:rFonts w:ascii="Arial" w:hAnsi="Arial" w:cs="Arial"/>
          <w:sz w:val="22"/>
          <w:szCs w:val="22"/>
        </w:rPr>
        <w:tab/>
      </w:r>
      <w:r w:rsidRPr="00152540">
        <w:rPr>
          <w:rFonts w:ascii="Arial" w:hAnsi="Arial" w:cs="Arial"/>
          <w:sz w:val="22"/>
          <w:szCs w:val="22"/>
        </w:rPr>
        <w:tab/>
      </w:r>
      <w:r w:rsidRPr="00152540">
        <w:rPr>
          <w:rFonts w:ascii="Arial" w:hAnsi="Arial" w:cs="Arial"/>
          <w:position w:val="-28"/>
          <w:sz w:val="22"/>
          <w:szCs w:val="22"/>
        </w:rPr>
        <w:object w:dxaOrig="2600" w:dyaOrig="780" w14:anchorId="4728EE10">
          <v:shape id="_x0000_i1034" type="#_x0000_t75" style="width:129.8pt;height:38.9pt" o:ole="">
            <v:imagedata r:id="rId13" o:title=""/>
          </v:shape>
          <o:OLEObject Type="Embed" ProgID="Equation.DSMT4" ShapeID="_x0000_i1034" DrawAspect="Content" ObjectID="_1531656606" r:id="rId14"/>
        </w:object>
      </w:r>
      <w:r w:rsidRPr="00152540">
        <w:rPr>
          <w:rFonts w:ascii="Arial" w:hAnsi="Arial" w:cs="Arial"/>
          <w:sz w:val="22"/>
          <w:szCs w:val="22"/>
        </w:rPr>
        <w:tab/>
      </w:r>
      <w:r w:rsidRPr="00152540">
        <w:rPr>
          <w:rFonts w:ascii="Arial" w:hAnsi="Arial" w:cs="Arial"/>
          <w:sz w:val="22"/>
          <w:szCs w:val="22"/>
        </w:rPr>
        <w:tab/>
      </w:r>
      <w:r w:rsidRPr="00152540">
        <w:rPr>
          <w:rFonts w:ascii="Arial" w:hAnsi="Arial" w:cs="Arial"/>
          <w:sz w:val="22"/>
          <w:szCs w:val="22"/>
        </w:rPr>
        <w:tab/>
      </w:r>
      <w:r w:rsidRPr="00152540">
        <w:rPr>
          <w:rFonts w:ascii="Arial" w:hAnsi="Arial" w:cs="Arial"/>
          <w:sz w:val="22"/>
          <w:szCs w:val="22"/>
        </w:rPr>
        <w:tab/>
        <w:t>(S1.2).</w:t>
      </w:r>
    </w:p>
    <w:p w14:paraId="2DDEB193" w14:textId="77777777" w:rsidR="00EB4E3C" w:rsidRPr="00025113" w:rsidRDefault="00EB4E3C" w:rsidP="00EB4E3C">
      <w:pPr>
        <w:pStyle w:val="Standard"/>
        <w:spacing w:line="480" w:lineRule="auto"/>
        <w:rPr>
          <w:rFonts w:ascii="Arial" w:hAnsi="Arial" w:cs="Arial"/>
          <w:sz w:val="22"/>
          <w:szCs w:val="22"/>
        </w:rPr>
      </w:pPr>
      <w:r w:rsidRPr="00025113">
        <w:rPr>
          <w:rFonts w:ascii="Arial" w:hAnsi="Arial" w:cs="Arial"/>
          <w:sz w:val="22"/>
          <w:szCs w:val="22"/>
        </w:rPr>
        <w:t xml:space="preserve">In this </w:t>
      </w:r>
      <w:r w:rsidRPr="00152540">
        <w:rPr>
          <w:rFonts w:ascii="Arial" w:hAnsi="Arial" w:cs="Arial"/>
          <w:sz w:val="22"/>
          <w:szCs w:val="22"/>
        </w:rPr>
        <w:t>simple linear regression</w:t>
      </w:r>
      <w:r w:rsidRPr="00025113">
        <w:rPr>
          <w:rFonts w:ascii="Arial" w:hAnsi="Arial" w:cs="Arial"/>
          <w:sz w:val="22"/>
          <w:szCs w:val="22"/>
        </w:rPr>
        <w:t xml:space="preserve"> context, </w:t>
      </w:r>
      <w:r w:rsidRPr="00025113">
        <w:rPr>
          <w:rFonts w:ascii="Arial" w:hAnsi="Arial" w:cs="Arial"/>
          <w:i/>
          <w:sz w:val="22"/>
          <w:szCs w:val="22"/>
        </w:rPr>
        <w:t>M</w:t>
      </w:r>
      <w:r w:rsidRPr="00025113">
        <w:rPr>
          <w:rFonts w:ascii="Arial" w:hAnsi="Arial" w:cs="Arial"/>
          <w:sz w:val="22"/>
          <w:szCs w:val="22"/>
        </w:rPr>
        <w:t xml:space="preserve"> is the sample size and </w:t>
      </w:r>
      <w:r w:rsidRPr="002438B0">
        <w:rPr>
          <w:rFonts w:ascii="Arial" w:hAnsi="Arial" w:cs="Arial"/>
          <w:i/>
          <w:sz w:val="22"/>
          <w:szCs w:val="22"/>
        </w:rPr>
        <w:t>P</w:t>
      </w:r>
      <w:r w:rsidRPr="002438B0">
        <w:rPr>
          <w:rFonts w:ascii="Arial" w:hAnsi="Arial" w:cs="Arial"/>
          <w:sz w:val="22"/>
          <w:szCs w:val="22"/>
        </w:rPr>
        <w:t xml:space="preserve"> is typically equal to 2, since there are two parameters being estimated; an intercept term</w:t>
      </w:r>
      <w:r w:rsidRPr="00AC69BB">
        <w:rPr>
          <w:rFonts w:ascii="Arial" w:hAnsi="Arial" w:cs="Arial"/>
          <w:noProof/>
          <w:position w:val="-12"/>
          <w:sz w:val="22"/>
          <w:szCs w:val="22"/>
          <w:lang w:eastAsia="en-US" w:bidi="ar-SA"/>
        </w:rPr>
        <w:object w:dxaOrig="300" w:dyaOrig="400" w14:anchorId="0841AED6">
          <v:shape id="_x0000_i1035" type="#_x0000_t75" style="width:15.25pt;height:19.95pt" o:ole="">
            <v:imagedata r:id="rId15" o:title=""/>
          </v:shape>
          <o:OLEObject Type="Embed" ProgID="Equation.DSMT4" ShapeID="_x0000_i1035" DrawAspect="Content" ObjectID="_1531656607" r:id="rId16"/>
        </w:object>
      </w:r>
      <w:r w:rsidRPr="00AC69BB">
        <w:rPr>
          <w:rFonts w:ascii="Arial" w:hAnsi="Arial" w:cs="Arial"/>
          <w:sz w:val="22"/>
          <w:szCs w:val="22"/>
        </w:rPr>
        <w:t xml:space="preserve">and </w:t>
      </w:r>
      <w:r w:rsidRPr="00AC69BB">
        <w:rPr>
          <w:rFonts w:ascii="Arial" w:hAnsi="Arial" w:cs="Arial"/>
          <w:noProof/>
          <w:position w:val="-12"/>
          <w:sz w:val="22"/>
          <w:szCs w:val="22"/>
          <w:lang w:eastAsia="en-US" w:bidi="ar-SA"/>
        </w:rPr>
        <w:object w:dxaOrig="260" w:dyaOrig="400" w14:anchorId="5ADD051B">
          <v:shape id="_x0000_i1036" type="#_x0000_t75" style="width:13.15pt;height:19.95pt" o:ole="">
            <v:imagedata r:id="rId7" o:title=""/>
          </v:shape>
          <o:OLEObject Type="Embed" ProgID="Equation.DSMT4" ShapeID="_x0000_i1036" DrawAspect="Content" ObjectID="_1531656608" r:id="rId17"/>
        </w:object>
      </w:r>
      <w:r w:rsidRPr="00AC69BB">
        <w:rPr>
          <w:rFonts w:ascii="Arial" w:hAnsi="Arial" w:cs="Arial"/>
          <w:sz w:val="22"/>
          <w:szCs w:val="22"/>
        </w:rPr>
        <w:t xml:space="preserve">. Thus, the </w:t>
      </w:r>
      <w:r w:rsidRPr="00152540">
        <w:rPr>
          <w:rFonts w:ascii="Arial" w:hAnsi="Arial" w:cs="Arial"/>
          <w:sz w:val="22"/>
          <w:szCs w:val="22"/>
        </w:rPr>
        <w:t>estimated variance of</w:t>
      </w:r>
      <w:r w:rsidRPr="00152540">
        <w:rPr>
          <w:rFonts w:ascii="Arial" w:hAnsi="Arial" w:cs="Arial"/>
          <w:noProof/>
          <w:position w:val="-12"/>
          <w:sz w:val="22"/>
          <w:szCs w:val="22"/>
          <w:lang w:eastAsia="en-US" w:bidi="ar-SA"/>
        </w:rPr>
        <w:object w:dxaOrig="260" w:dyaOrig="400" w14:anchorId="6C19D3F1">
          <v:shape id="_x0000_i1037" type="#_x0000_t75" style="width:13.15pt;height:19.95pt" o:ole="">
            <v:imagedata r:id="rId7" o:title=""/>
          </v:shape>
          <o:OLEObject Type="Embed" ProgID="Equation.DSMT4" ShapeID="_x0000_i1037" DrawAspect="Content" ObjectID="_1531656609" r:id="rId18"/>
        </w:object>
      </w:r>
      <w:r w:rsidRPr="00025113">
        <w:rPr>
          <w:rFonts w:ascii="Arial" w:hAnsi="Arial" w:cs="Arial"/>
          <w:noProof/>
          <w:position w:val="-12"/>
          <w:sz w:val="22"/>
          <w:szCs w:val="22"/>
          <w:lang w:eastAsia="en-US" w:bidi="ar-SA"/>
        </w:rPr>
        <w:t xml:space="preserve"> </w:t>
      </w:r>
      <w:r w:rsidRPr="00025113">
        <w:rPr>
          <w:rFonts w:ascii="Arial" w:hAnsi="Arial" w:cs="Arial"/>
          <w:sz w:val="22"/>
          <w:szCs w:val="22"/>
        </w:rPr>
        <w:t>in simple linear regression is represented as:</w:t>
      </w:r>
    </w:p>
    <w:p w14:paraId="534F2EC4" w14:textId="77777777" w:rsidR="00EB4E3C" w:rsidRPr="00025113" w:rsidRDefault="00EB4E3C" w:rsidP="00EB4E3C">
      <w:pPr>
        <w:pStyle w:val="Standard"/>
        <w:spacing w:line="480" w:lineRule="auto"/>
        <w:rPr>
          <w:rFonts w:ascii="Arial" w:hAnsi="Arial" w:cs="Arial"/>
          <w:sz w:val="22"/>
          <w:szCs w:val="22"/>
        </w:rPr>
      </w:pPr>
      <w:r w:rsidRPr="00025113">
        <w:rPr>
          <w:rFonts w:ascii="Arial" w:hAnsi="Arial" w:cs="Arial"/>
          <w:sz w:val="22"/>
          <w:szCs w:val="22"/>
        </w:rPr>
        <w:tab/>
      </w:r>
      <w:r w:rsidRPr="00025113">
        <w:rPr>
          <w:rFonts w:ascii="Arial" w:hAnsi="Arial" w:cs="Arial"/>
          <w:sz w:val="22"/>
          <w:szCs w:val="22"/>
        </w:rPr>
        <w:tab/>
      </w:r>
      <w:r w:rsidRPr="00025113">
        <w:rPr>
          <w:rFonts w:ascii="Arial" w:hAnsi="Arial" w:cs="Arial"/>
          <w:sz w:val="22"/>
          <w:szCs w:val="22"/>
        </w:rPr>
        <w:tab/>
      </w:r>
      <w:r w:rsidRPr="00152540">
        <w:rPr>
          <w:rFonts w:ascii="Arial" w:hAnsi="Arial" w:cs="Arial"/>
          <w:position w:val="-38"/>
          <w:sz w:val="22"/>
          <w:szCs w:val="22"/>
        </w:rPr>
        <w:object w:dxaOrig="3080" w:dyaOrig="880" w14:anchorId="35E4BD69">
          <v:shape id="_x0000_i1038" type="#_x0000_t75" style="width:154pt;height:44.15pt" o:ole="">
            <v:imagedata r:id="rId19" o:title=""/>
          </v:shape>
          <o:OLEObject Type="Embed" ProgID="Equation.DSMT4" ShapeID="_x0000_i1038" DrawAspect="Content" ObjectID="_1531656610" r:id="rId20"/>
        </w:object>
      </w:r>
      <w:r w:rsidRPr="00152540">
        <w:rPr>
          <w:rFonts w:ascii="Arial" w:hAnsi="Arial" w:cs="Arial"/>
          <w:sz w:val="22"/>
          <w:szCs w:val="22"/>
        </w:rPr>
        <w:tab/>
      </w:r>
      <w:r w:rsidRPr="00152540">
        <w:rPr>
          <w:rFonts w:ascii="Arial" w:hAnsi="Arial" w:cs="Arial"/>
          <w:sz w:val="22"/>
          <w:szCs w:val="22"/>
        </w:rPr>
        <w:tab/>
      </w:r>
      <w:r w:rsidRPr="00152540">
        <w:rPr>
          <w:rFonts w:ascii="Arial" w:hAnsi="Arial" w:cs="Arial"/>
          <w:sz w:val="22"/>
          <w:szCs w:val="22"/>
        </w:rPr>
        <w:tab/>
        <w:t>(S1.3)</w:t>
      </w:r>
    </w:p>
    <w:p w14:paraId="1FC1F14B" w14:textId="77777777" w:rsidR="00EB4E3C" w:rsidRPr="00025113" w:rsidRDefault="00EB4E3C" w:rsidP="00EB4E3C">
      <w:pPr>
        <w:spacing w:line="480" w:lineRule="auto"/>
        <w:rPr>
          <w:rFonts w:ascii="Arial" w:hAnsi="Arial" w:cs="Arial"/>
          <w:sz w:val="22"/>
          <w:szCs w:val="22"/>
        </w:rPr>
      </w:pPr>
      <w:r w:rsidRPr="00025113">
        <w:rPr>
          <w:rFonts w:ascii="Arial" w:hAnsi="Arial" w:cs="Arial"/>
          <w:sz w:val="22"/>
          <w:szCs w:val="22"/>
        </w:rPr>
        <w:t>where</w:t>
      </w:r>
      <w:r w:rsidRPr="00025113">
        <w:rPr>
          <w:rFonts w:ascii="Arial" w:hAnsi="Arial" w:cs="Arial"/>
          <w:position w:val="-12"/>
          <w:sz w:val="22"/>
          <w:szCs w:val="22"/>
        </w:rPr>
        <w:object w:dxaOrig="660" w:dyaOrig="360" w14:anchorId="23433E89">
          <v:shape id="_x0000_i1039" type="#_x0000_t75" style="width:33.1pt;height:17.85pt" o:ole="">
            <v:imagedata r:id="rId21" o:title=""/>
          </v:shape>
          <o:OLEObject Type="Embed" ProgID="Equation.DSMT4" ShapeID="_x0000_i1039" DrawAspect="Content" ObjectID="_1531656611" r:id="rId22"/>
        </w:object>
      </w:r>
      <w:r w:rsidRPr="00025113">
        <w:rPr>
          <w:rFonts w:ascii="Arial" w:hAnsi="Arial" w:cs="Arial"/>
          <w:sz w:val="22"/>
          <w:szCs w:val="22"/>
        </w:rPr>
        <w:t xml:space="preserve">is the residual for sample </w:t>
      </w:r>
      <w:r w:rsidRPr="00025113">
        <w:rPr>
          <w:rFonts w:ascii="Arial" w:hAnsi="Arial" w:cs="Arial"/>
          <w:i/>
          <w:sz w:val="22"/>
          <w:szCs w:val="22"/>
        </w:rPr>
        <w:t>i</w:t>
      </w:r>
      <w:r w:rsidRPr="002438B0">
        <w:rPr>
          <w:rFonts w:ascii="Arial" w:hAnsi="Arial" w:cs="Arial"/>
          <w:sz w:val="22"/>
          <w:szCs w:val="22"/>
        </w:rPr>
        <w:t>, and</w:t>
      </w:r>
      <w:r w:rsidRPr="00025113">
        <w:rPr>
          <w:rFonts w:ascii="Arial" w:hAnsi="Arial" w:cs="Arial"/>
          <w:position w:val="-12"/>
          <w:sz w:val="22"/>
          <w:szCs w:val="22"/>
        </w:rPr>
        <w:object w:dxaOrig="600" w:dyaOrig="360" w14:anchorId="65C2DBFE">
          <v:shape id="_x0000_i1040" type="#_x0000_t75" style="width:29.95pt;height:17.85pt" o:ole="">
            <v:imagedata r:id="rId23" o:title=""/>
          </v:shape>
          <o:OLEObject Type="Embed" ProgID="Equation.DSMT4" ShapeID="_x0000_i1040" DrawAspect="Content" ObjectID="_1531656612" r:id="rId24"/>
        </w:object>
      </w:r>
      <w:r w:rsidRPr="00025113">
        <w:rPr>
          <w:rFonts w:ascii="Arial" w:hAnsi="Arial" w:cs="Arial"/>
          <w:sz w:val="22"/>
          <w:szCs w:val="22"/>
        </w:rPr>
        <w:t xml:space="preserve"> is the difference between the pred</w:t>
      </w:r>
      <w:r w:rsidRPr="002438B0">
        <w:rPr>
          <w:rFonts w:ascii="Arial" w:hAnsi="Arial" w:cs="Arial"/>
          <w:sz w:val="22"/>
          <w:szCs w:val="22"/>
        </w:rPr>
        <w:t>ictor for sample</w:t>
      </w:r>
      <w:r w:rsidRPr="00874CE6">
        <w:rPr>
          <w:rFonts w:ascii="Arial" w:hAnsi="Arial" w:cs="Arial"/>
          <w:sz w:val="22"/>
          <w:szCs w:val="22"/>
        </w:rPr>
        <w:t xml:space="preserve"> </w:t>
      </w:r>
      <w:r w:rsidRPr="00874CE6">
        <w:rPr>
          <w:rFonts w:ascii="Arial" w:hAnsi="Arial" w:cs="Arial"/>
          <w:i/>
          <w:sz w:val="22"/>
          <w:szCs w:val="22"/>
        </w:rPr>
        <w:t>i</w:t>
      </w:r>
      <w:r w:rsidRPr="00A2288F">
        <w:rPr>
          <w:rFonts w:ascii="Arial" w:hAnsi="Arial" w:cs="Arial"/>
          <w:sz w:val="22"/>
          <w:szCs w:val="22"/>
        </w:rPr>
        <w:t xml:space="preserve"> and the mean of </w:t>
      </w:r>
      <w:r w:rsidRPr="00A2288F">
        <w:rPr>
          <w:rFonts w:ascii="Arial" w:hAnsi="Arial" w:cs="Arial"/>
          <w:i/>
          <w:sz w:val="22"/>
          <w:szCs w:val="22"/>
        </w:rPr>
        <w:t>x</w:t>
      </w:r>
      <w:r w:rsidRPr="00A2288F">
        <w:rPr>
          <w:rFonts w:ascii="Arial" w:hAnsi="Arial" w:cs="Arial"/>
          <w:sz w:val="22"/>
          <w:szCs w:val="22"/>
        </w:rPr>
        <w:t xml:space="preserve"> across all </w:t>
      </w:r>
      <w:r w:rsidRPr="00A2288F">
        <w:rPr>
          <w:rFonts w:ascii="Arial" w:hAnsi="Arial" w:cs="Arial"/>
          <w:i/>
          <w:sz w:val="22"/>
          <w:szCs w:val="22"/>
        </w:rPr>
        <w:t>M</w:t>
      </w:r>
      <w:r w:rsidRPr="00A2288F">
        <w:rPr>
          <w:rFonts w:ascii="Arial" w:hAnsi="Arial" w:cs="Arial"/>
          <w:sz w:val="22"/>
          <w:szCs w:val="22"/>
        </w:rPr>
        <w:t xml:space="preserve"> samples.  In this way, predictor variability is captured in the denominator of eq. 7, as is sample size M.  Residual variability is captured in the numerator of eq. 7.</w:t>
      </w:r>
      <w:r w:rsidRPr="00162421">
        <w:rPr>
          <w:rFonts w:ascii="Arial" w:hAnsi="Arial" w:cs="Arial"/>
          <w:sz w:val="22"/>
          <w:szCs w:val="22"/>
        </w:rPr>
        <w:t xml:space="preserve">  Each component of eq</w:t>
      </w:r>
      <w:r w:rsidRPr="00655046">
        <w:rPr>
          <w:rFonts w:ascii="Arial" w:hAnsi="Arial" w:cs="Arial"/>
          <w:sz w:val="22"/>
          <w:szCs w:val="22"/>
        </w:rPr>
        <w:t xml:space="preserve">. 7 affects the estimated variance of </w:t>
      </w:r>
      <w:r w:rsidRPr="00025113">
        <w:rPr>
          <w:rFonts w:ascii="Arial" w:hAnsi="Arial" w:cs="Arial"/>
          <w:noProof/>
          <w:position w:val="-12"/>
          <w:sz w:val="22"/>
          <w:szCs w:val="22"/>
        </w:rPr>
        <w:object w:dxaOrig="260" w:dyaOrig="400" w14:anchorId="7F7E9163">
          <v:shape id="_x0000_i1041" type="#_x0000_t75" style="width:13.15pt;height:19.95pt" o:ole="">
            <v:imagedata r:id="rId7" o:title=""/>
          </v:shape>
          <o:OLEObject Type="Embed" ProgID="Equation.DSMT4" ShapeID="_x0000_i1041" DrawAspect="Content" ObjectID="_1531656613" r:id="rId25"/>
        </w:object>
      </w:r>
      <w:r w:rsidRPr="00025113">
        <w:rPr>
          <w:rFonts w:ascii="Arial" w:hAnsi="Arial" w:cs="Arial"/>
          <w:sz w:val="22"/>
          <w:szCs w:val="22"/>
        </w:rPr>
        <w:t xml:space="preserve">. </w:t>
      </w:r>
      <w:r w:rsidRPr="00152540">
        <w:rPr>
          <w:rFonts w:ascii="Arial" w:hAnsi="Arial" w:cs="Arial"/>
          <w:sz w:val="22"/>
          <w:szCs w:val="22"/>
        </w:rPr>
        <w:t>These principles are extendable for the case of multivariate linear regression (Methods section).</w:t>
      </w:r>
    </w:p>
    <w:p w14:paraId="6E5286C9" w14:textId="77777777" w:rsidR="00EB4E3C" w:rsidRPr="00025113" w:rsidRDefault="00EB4E3C" w:rsidP="00EB4E3C">
      <w:pPr>
        <w:spacing w:line="480" w:lineRule="auto"/>
        <w:rPr>
          <w:rFonts w:ascii="Arial" w:hAnsi="Arial" w:cs="Arial"/>
          <w:sz w:val="22"/>
          <w:szCs w:val="22"/>
        </w:rPr>
      </w:pPr>
    </w:p>
    <w:p w14:paraId="6F09C43A" w14:textId="77777777" w:rsidR="00EB4E3C" w:rsidRPr="00A2288F" w:rsidRDefault="00EB4E3C" w:rsidP="00EB4E3C">
      <w:pPr>
        <w:spacing w:line="480" w:lineRule="auto"/>
        <w:ind w:firstLine="720"/>
        <w:outlineLvl w:val="0"/>
        <w:rPr>
          <w:rFonts w:ascii="Arial" w:hAnsi="Arial" w:cs="Arial"/>
          <w:b/>
          <w:sz w:val="22"/>
          <w:szCs w:val="22"/>
        </w:rPr>
      </w:pPr>
      <w:r w:rsidRPr="00874CE6">
        <w:rPr>
          <w:rFonts w:ascii="Arial" w:hAnsi="Arial" w:cs="Arial"/>
          <w:b/>
          <w:sz w:val="22"/>
          <w:szCs w:val="22"/>
        </w:rPr>
        <w:t>1.</w:t>
      </w:r>
      <w:r w:rsidRPr="00A2288F">
        <w:rPr>
          <w:rFonts w:ascii="Arial" w:hAnsi="Arial" w:cs="Arial"/>
          <w:b/>
          <w:sz w:val="22"/>
          <w:szCs w:val="22"/>
        </w:rPr>
        <w:t>3 Details of two-sample t-test used in LRCDE</w:t>
      </w:r>
    </w:p>
    <w:p w14:paraId="64B9E4F9" w14:textId="77777777" w:rsidR="00EB4E3C" w:rsidRPr="006B2FD0" w:rsidRDefault="00EB4E3C" w:rsidP="00EB4E3C">
      <w:pPr>
        <w:spacing w:line="480" w:lineRule="auto"/>
        <w:rPr>
          <w:rFonts w:ascii="Arial" w:hAnsi="Arial" w:cs="Arial"/>
          <w:sz w:val="22"/>
          <w:szCs w:val="22"/>
        </w:rPr>
      </w:pPr>
      <w:r w:rsidRPr="00162421">
        <w:rPr>
          <w:rFonts w:ascii="Arial" w:hAnsi="Arial" w:cs="Arial"/>
          <w:sz w:val="22"/>
          <w:szCs w:val="22"/>
        </w:rPr>
        <w:t>Any detected differential expression will have variability attached to it as a resu</w:t>
      </w:r>
      <w:r w:rsidRPr="00655046">
        <w:rPr>
          <w:rFonts w:ascii="Arial" w:hAnsi="Arial" w:cs="Arial"/>
          <w:sz w:val="22"/>
          <w:szCs w:val="22"/>
        </w:rPr>
        <w:t>lt of variability around the group-wise cell expression (linear regression coefficient) estimates.  In order to t</w:t>
      </w:r>
      <w:r w:rsidRPr="006B2FD0">
        <w:rPr>
          <w:rFonts w:ascii="Arial" w:hAnsi="Arial" w:cs="Arial"/>
          <w:sz w:val="22"/>
          <w:szCs w:val="22"/>
        </w:rPr>
        <w:t>est whether an observed difference is statistically significant we apply the Welch-Satterthwaite two-sample t-test, in which we compute the two-sample t-statistic</w:t>
      </w:r>
    </w:p>
    <w:p w14:paraId="4A9200B2" w14:textId="77777777" w:rsidR="00EB4E3C" w:rsidRPr="00025113" w:rsidRDefault="00EB4E3C" w:rsidP="00EB4E3C">
      <w:pPr>
        <w:spacing w:line="480" w:lineRule="auto"/>
        <w:rPr>
          <w:rFonts w:ascii="Arial" w:hAnsi="Arial" w:cs="Arial"/>
          <w:sz w:val="22"/>
          <w:szCs w:val="22"/>
        </w:rPr>
      </w:pPr>
      <w:r w:rsidRPr="006B2FD0">
        <w:rPr>
          <w:rFonts w:ascii="Arial" w:hAnsi="Arial" w:cs="Arial"/>
          <w:sz w:val="22"/>
          <w:szCs w:val="22"/>
        </w:rPr>
        <w:tab/>
      </w:r>
      <w:r w:rsidRPr="006B2FD0">
        <w:rPr>
          <w:rFonts w:ascii="Arial" w:hAnsi="Arial" w:cs="Arial"/>
          <w:sz w:val="22"/>
          <w:szCs w:val="22"/>
        </w:rPr>
        <w:tab/>
      </w:r>
      <w:r w:rsidRPr="006B2FD0">
        <w:rPr>
          <w:rFonts w:ascii="Arial" w:hAnsi="Arial" w:cs="Arial"/>
          <w:sz w:val="22"/>
          <w:szCs w:val="22"/>
        </w:rPr>
        <w:tab/>
      </w:r>
      <w:r w:rsidRPr="00025113">
        <w:rPr>
          <w:rFonts w:ascii="Arial" w:hAnsi="Arial" w:cs="Arial"/>
          <w:position w:val="-30"/>
          <w:sz w:val="22"/>
          <w:szCs w:val="22"/>
        </w:rPr>
        <w:object w:dxaOrig="1920" w:dyaOrig="740" w14:anchorId="359C754E">
          <v:shape id="_x0000_i1025" type="#_x0000_t75" style="width:96.2pt;height:36.8pt" o:ole="">
            <v:imagedata r:id="rId26" o:title=""/>
          </v:shape>
          <o:OLEObject Type="Embed" ProgID="Equation.DSMT4" ShapeID="_x0000_i1025" DrawAspect="Content" ObjectID="_1531656614" r:id="rId27"/>
        </w:object>
      </w:r>
      <w:r w:rsidRPr="00025113">
        <w:rPr>
          <w:rFonts w:ascii="Arial" w:hAnsi="Arial" w:cs="Arial"/>
          <w:sz w:val="22"/>
          <w:szCs w:val="22"/>
        </w:rPr>
        <w:t xml:space="preserve"> </w:t>
      </w:r>
      <w:r w:rsidRPr="00025113">
        <w:rPr>
          <w:rFonts w:ascii="Arial" w:hAnsi="Arial" w:cs="Arial"/>
          <w:sz w:val="22"/>
          <w:szCs w:val="22"/>
        </w:rPr>
        <w:tab/>
      </w:r>
      <w:r w:rsidRPr="00025113">
        <w:rPr>
          <w:rFonts w:ascii="Arial" w:hAnsi="Arial" w:cs="Arial"/>
          <w:sz w:val="22"/>
          <w:szCs w:val="22"/>
        </w:rPr>
        <w:tab/>
      </w:r>
      <w:r w:rsidRPr="00025113">
        <w:rPr>
          <w:rFonts w:ascii="Arial" w:hAnsi="Arial" w:cs="Arial"/>
          <w:sz w:val="22"/>
          <w:szCs w:val="22"/>
        </w:rPr>
        <w:tab/>
      </w:r>
      <w:r w:rsidRPr="00025113">
        <w:rPr>
          <w:rFonts w:ascii="Arial" w:hAnsi="Arial" w:cs="Arial"/>
          <w:sz w:val="22"/>
          <w:szCs w:val="22"/>
        </w:rPr>
        <w:tab/>
      </w:r>
      <w:r w:rsidRPr="00025113">
        <w:rPr>
          <w:rFonts w:ascii="Arial" w:hAnsi="Arial" w:cs="Arial"/>
          <w:sz w:val="22"/>
          <w:szCs w:val="22"/>
        </w:rPr>
        <w:tab/>
        <w:t>(S8.1)</w:t>
      </w:r>
    </w:p>
    <w:p w14:paraId="5E317724" w14:textId="77777777" w:rsidR="00EB4E3C" w:rsidRPr="00025113" w:rsidRDefault="00EB4E3C" w:rsidP="00EB4E3C">
      <w:pPr>
        <w:spacing w:line="480" w:lineRule="auto"/>
        <w:rPr>
          <w:rFonts w:ascii="Arial" w:hAnsi="Arial" w:cs="Arial"/>
          <w:sz w:val="22"/>
          <w:szCs w:val="22"/>
        </w:rPr>
      </w:pPr>
      <w:r w:rsidRPr="00025113">
        <w:rPr>
          <w:rFonts w:ascii="Arial" w:hAnsi="Arial" w:cs="Arial"/>
          <w:sz w:val="22"/>
          <w:szCs w:val="22"/>
        </w:rPr>
        <w:t>for the observed difference and compare it against a t-critical value, where</w:t>
      </w:r>
    </w:p>
    <w:p w14:paraId="2AB48F0C" w14:textId="77777777" w:rsidR="00EB4E3C" w:rsidRPr="00025113" w:rsidRDefault="00EB4E3C" w:rsidP="00EB4E3C">
      <w:pPr>
        <w:spacing w:line="480" w:lineRule="auto"/>
        <w:ind w:left="1440" w:firstLine="720"/>
        <w:rPr>
          <w:rFonts w:ascii="Arial" w:hAnsi="Arial" w:cs="Arial"/>
          <w:sz w:val="22"/>
          <w:szCs w:val="22"/>
        </w:rPr>
      </w:pPr>
      <w:r w:rsidRPr="00025113">
        <w:rPr>
          <w:rFonts w:ascii="Arial" w:hAnsi="Arial" w:cs="Arial"/>
          <w:position w:val="-32"/>
          <w:sz w:val="22"/>
          <w:szCs w:val="22"/>
        </w:rPr>
        <w:object w:dxaOrig="1960" w:dyaOrig="780" w14:anchorId="4E4D125E">
          <v:shape id="_x0000_i1026" type="#_x0000_t75" style="width:97.75pt;height:38.9pt" o:ole="">
            <v:imagedata r:id="rId28" o:title=""/>
          </v:shape>
          <o:OLEObject Type="Embed" ProgID="Equation.DSMT4" ShapeID="_x0000_i1026" DrawAspect="Content" ObjectID="_1531656615" r:id="rId29"/>
        </w:object>
      </w:r>
      <w:r w:rsidRPr="00025113">
        <w:rPr>
          <w:rFonts w:ascii="Arial" w:hAnsi="Arial" w:cs="Arial"/>
          <w:sz w:val="22"/>
          <w:szCs w:val="22"/>
        </w:rPr>
        <w:t xml:space="preserve"> </w:t>
      </w:r>
      <w:r w:rsidRPr="00025113">
        <w:rPr>
          <w:rFonts w:ascii="Arial" w:hAnsi="Arial" w:cs="Arial"/>
          <w:sz w:val="22"/>
          <w:szCs w:val="22"/>
        </w:rPr>
        <w:tab/>
      </w:r>
      <w:r w:rsidRPr="00025113">
        <w:rPr>
          <w:rFonts w:ascii="Arial" w:hAnsi="Arial" w:cs="Arial"/>
          <w:sz w:val="22"/>
          <w:szCs w:val="22"/>
        </w:rPr>
        <w:tab/>
      </w:r>
      <w:r w:rsidRPr="00025113">
        <w:rPr>
          <w:rFonts w:ascii="Arial" w:hAnsi="Arial" w:cs="Arial"/>
          <w:sz w:val="22"/>
          <w:szCs w:val="22"/>
        </w:rPr>
        <w:tab/>
      </w:r>
      <w:r w:rsidRPr="00025113">
        <w:rPr>
          <w:rFonts w:ascii="Arial" w:hAnsi="Arial" w:cs="Arial"/>
          <w:sz w:val="22"/>
          <w:szCs w:val="22"/>
        </w:rPr>
        <w:tab/>
      </w:r>
      <w:r w:rsidRPr="00025113">
        <w:rPr>
          <w:rFonts w:ascii="Arial" w:hAnsi="Arial" w:cs="Arial"/>
          <w:sz w:val="22"/>
          <w:szCs w:val="22"/>
        </w:rPr>
        <w:tab/>
        <w:t>(S8.2)</w:t>
      </w:r>
    </w:p>
    <w:p w14:paraId="6BE09992" w14:textId="77777777" w:rsidR="00EB4E3C" w:rsidRPr="00025113" w:rsidRDefault="00EB4E3C" w:rsidP="00EB4E3C">
      <w:pPr>
        <w:spacing w:line="480" w:lineRule="auto"/>
        <w:rPr>
          <w:rFonts w:ascii="Arial" w:hAnsi="Arial" w:cs="Arial"/>
          <w:sz w:val="22"/>
          <w:szCs w:val="22"/>
        </w:rPr>
      </w:pPr>
      <w:r w:rsidRPr="00025113">
        <w:rPr>
          <w:rFonts w:ascii="Arial" w:hAnsi="Arial" w:cs="Arial"/>
          <w:sz w:val="22"/>
          <w:szCs w:val="22"/>
        </w:rPr>
        <w:t xml:space="preserve">and </w:t>
      </w:r>
      <w:r w:rsidRPr="00025113">
        <w:rPr>
          <w:rFonts w:ascii="Arial" w:hAnsi="Arial" w:cs="Arial"/>
          <w:position w:val="-12"/>
          <w:sz w:val="22"/>
          <w:szCs w:val="22"/>
        </w:rPr>
        <w:object w:dxaOrig="639" w:dyaOrig="360" w14:anchorId="7DC6829A">
          <v:shape id="_x0000_i1027" type="#_x0000_t75" style="width:32.05pt;height:17.85pt" o:ole="">
            <v:imagedata r:id="rId30" o:title=""/>
          </v:shape>
          <o:OLEObject Type="Embed" ProgID="Equation.DSMT4" ShapeID="_x0000_i1027" DrawAspect="Content" ObjectID="_1531656616" r:id="rId31"/>
        </w:object>
      </w:r>
      <w:r w:rsidRPr="00025113">
        <w:rPr>
          <w:rFonts w:ascii="Arial" w:hAnsi="Arial" w:cs="Arial"/>
          <w:sz w:val="22"/>
          <w:szCs w:val="22"/>
        </w:rPr>
        <w:t xml:space="preserve"> in order to test the null hypothesis of zero difference.</w:t>
      </w:r>
    </w:p>
    <w:p w14:paraId="22706A8E" w14:textId="77777777" w:rsidR="00EB4E3C" w:rsidRPr="00025113" w:rsidRDefault="00EB4E3C" w:rsidP="00EB4E3C">
      <w:pPr>
        <w:spacing w:line="480" w:lineRule="auto"/>
        <w:rPr>
          <w:rFonts w:ascii="Arial" w:hAnsi="Arial" w:cs="Arial"/>
          <w:sz w:val="22"/>
          <w:szCs w:val="22"/>
        </w:rPr>
      </w:pPr>
      <w:r w:rsidRPr="00025113">
        <w:rPr>
          <w:rFonts w:ascii="Arial" w:hAnsi="Arial" w:cs="Arial"/>
          <w:sz w:val="22"/>
          <w:szCs w:val="22"/>
        </w:rPr>
        <w:t>Degrees of freedom used to determine the t-critical value are calculated using Satterthwaite’s equation:</w:t>
      </w:r>
    </w:p>
    <w:p w14:paraId="4DB48E72" w14:textId="77777777" w:rsidR="00EB4E3C" w:rsidRPr="00025113" w:rsidRDefault="00EB4E3C" w:rsidP="00EB4E3C">
      <w:pPr>
        <w:spacing w:line="480" w:lineRule="auto"/>
        <w:rPr>
          <w:rFonts w:ascii="Arial" w:hAnsi="Arial" w:cs="Arial"/>
          <w:sz w:val="22"/>
          <w:szCs w:val="22"/>
        </w:rPr>
      </w:pPr>
      <w:r w:rsidRPr="002438B0">
        <w:rPr>
          <w:rFonts w:ascii="Arial" w:hAnsi="Arial" w:cs="Arial"/>
          <w:sz w:val="22"/>
          <w:szCs w:val="22"/>
        </w:rPr>
        <w:tab/>
      </w:r>
      <w:r w:rsidRPr="002438B0">
        <w:rPr>
          <w:rFonts w:ascii="Arial" w:hAnsi="Arial" w:cs="Arial"/>
          <w:sz w:val="22"/>
          <w:szCs w:val="22"/>
        </w:rPr>
        <w:tab/>
      </w:r>
      <w:r w:rsidRPr="002438B0">
        <w:rPr>
          <w:rFonts w:ascii="Arial" w:hAnsi="Arial" w:cs="Arial"/>
          <w:sz w:val="22"/>
          <w:szCs w:val="22"/>
        </w:rPr>
        <w:tab/>
      </w:r>
      <w:r w:rsidRPr="00025113">
        <w:rPr>
          <w:rFonts w:ascii="Arial" w:hAnsi="Arial" w:cs="Arial"/>
          <w:position w:val="-90"/>
          <w:sz w:val="22"/>
          <w:szCs w:val="22"/>
        </w:rPr>
        <w:object w:dxaOrig="3159" w:dyaOrig="1380" w14:anchorId="438D41B6">
          <v:shape id="_x0000_i1028" type="#_x0000_t75" style="width:158.2pt;height:68.85pt" o:ole="">
            <v:imagedata r:id="rId32" o:title=""/>
          </v:shape>
          <o:OLEObject Type="Embed" ProgID="Equation.DSMT4" ShapeID="_x0000_i1028" DrawAspect="Content" ObjectID="_1531656617" r:id="rId33"/>
        </w:object>
      </w:r>
      <w:r w:rsidRPr="00025113">
        <w:rPr>
          <w:rFonts w:ascii="Arial" w:hAnsi="Arial" w:cs="Arial"/>
          <w:sz w:val="22"/>
          <w:szCs w:val="22"/>
        </w:rPr>
        <w:t xml:space="preserve"> </w:t>
      </w:r>
      <w:r w:rsidRPr="00025113">
        <w:rPr>
          <w:rFonts w:ascii="Arial" w:hAnsi="Arial" w:cs="Arial"/>
          <w:sz w:val="22"/>
          <w:szCs w:val="22"/>
        </w:rPr>
        <w:tab/>
      </w:r>
      <w:r w:rsidRPr="00025113">
        <w:rPr>
          <w:rFonts w:ascii="Arial" w:hAnsi="Arial" w:cs="Arial"/>
          <w:sz w:val="22"/>
          <w:szCs w:val="22"/>
        </w:rPr>
        <w:tab/>
      </w:r>
      <w:r w:rsidRPr="00025113">
        <w:rPr>
          <w:rFonts w:ascii="Arial" w:hAnsi="Arial" w:cs="Arial"/>
          <w:sz w:val="22"/>
          <w:szCs w:val="22"/>
        </w:rPr>
        <w:tab/>
        <w:t>(S8.3)</w:t>
      </w:r>
    </w:p>
    <w:p w14:paraId="22C9827C" w14:textId="77777777" w:rsidR="00EB4E3C" w:rsidRPr="00874CE6" w:rsidRDefault="00EB4E3C" w:rsidP="00EB4E3C">
      <w:pPr>
        <w:spacing w:line="480" w:lineRule="auto"/>
        <w:rPr>
          <w:rFonts w:ascii="Arial" w:hAnsi="Arial" w:cs="Arial"/>
          <w:sz w:val="22"/>
          <w:szCs w:val="22"/>
        </w:rPr>
      </w:pPr>
      <w:r w:rsidRPr="00025113">
        <w:rPr>
          <w:rFonts w:ascii="Arial" w:hAnsi="Arial" w:cs="Arial"/>
          <w:sz w:val="22"/>
          <w:szCs w:val="22"/>
        </w:rPr>
        <w:t>This results in a non-integer degrees of freedom value.  Whenever there is a balanced design and both</w:t>
      </w:r>
      <w:r w:rsidRPr="00874CE6">
        <w:rPr>
          <w:rFonts w:ascii="Arial" w:hAnsi="Arial" w:cs="Arial"/>
          <w:sz w:val="22"/>
          <w:szCs w:val="22"/>
        </w:rPr>
        <w:t xml:space="preserve"> groups have identical standard errors, then the Satterthwaite degrees of freedom will agree with the pooled degrees of freedom:</w:t>
      </w:r>
    </w:p>
    <w:p w14:paraId="279F8512" w14:textId="77777777" w:rsidR="00EB4E3C" w:rsidRPr="002438B0" w:rsidRDefault="00EB4E3C" w:rsidP="00EB4E3C">
      <w:pPr>
        <w:spacing w:line="480" w:lineRule="auto"/>
        <w:rPr>
          <w:rFonts w:ascii="Arial" w:hAnsi="Arial" w:cs="Arial"/>
          <w:sz w:val="22"/>
          <w:szCs w:val="22"/>
        </w:rPr>
      </w:pPr>
      <w:r w:rsidRPr="00A2288F">
        <w:rPr>
          <w:rFonts w:ascii="Arial" w:hAnsi="Arial" w:cs="Arial"/>
          <w:sz w:val="22"/>
          <w:szCs w:val="22"/>
        </w:rPr>
        <w:tab/>
      </w:r>
      <w:r w:rsidRPr="00A2288F">
        <w:rPr>
          <w:rFonts w:ascii="Arial" w:hAnsi="Arial" w:cs="Arial"/>
          <w:sz w:val="22"/>
          <w:szCs w:val="22"/>
        </w:rPr>
        <w:tab/>
      </w:r>
      <w:r w:rsidRPr="00A2288F">
        <w:rPr>
          <w:rFonts w:ascii="Arial" w:hAnsi="Arial" w:cs="Arial"/>
          <w:sz w:val="22"/>
          <w:szCs w:val="22"/>
        </w:rPr>
        <w:tab/>
      </w:r>
      <w:r w:rsidRPr="00874CE6">
        <w:rPr>
          <w:rFonts w:ascii="Arial" w:hAnsi="Arial" w:cs="Arial"/>
          <w:position w:val="-14"/>
          <w:sz w:val="22"/>
          <w:szCs w:val="22"/>
        </w:rPr>
        <w:object w:dxaOrig="2260" w:dyaOrig="380" w14:anchorId="1D1EAF06">
          <v:shape id="_x0000_i1029" type="#_x0000_t75" style="width:113pt;height:18.9pt" o:ole="">
            <v:imagedata r:id="rId34" o:title=""/>
          </v:shape>
          <o:OLEObject Type="Embed" ProgID="Equation.DSMT4" ShapeID="_x0000_i1029" DrawAspect="Content" ObjectID="_1531656618" r:id="rId35"/>
        </w:object>
      </w:r>
      <w:r w:rsidRPr="002438B0">
        <w:rPr>
          <w:rFonts w:ascii="Arial" w:hAnsi="Arial" w:cs="Arial"/>
          <w:sz w:val="22"/>
          <w:szCs w:val="22"/>
        </w:rPr>
        <w:t xml:space="preserve"> </w:t>
      </w:r>
      <w:r w:rsidRPr="002438B0">
        <w:rPr>
          <w:rFonts w:ascii="Arial" w:hAnsi="Arial" w:cs="Arial"/>
          <w:sz w:val="22"/>
          <w:szCs w:val="22"/>
        </w:rPr>
        <w:tab/>
      </w:r>
      <w:r w:rsidRPr="002438B0">
        <w:rPr>
          <w:rFonts w:ascii="Arial" w:hAnsi="Arial" w:cs="Arial"/>
          <w:sz w:val="22"/>
          <w:szCs w:val="22"/>
        </w:rPr>
        <w:tab/>
      </w:r>
      <w:r w:rsidRPr="002438B0">
        <w:rPr>
          <w:rFonts w:ascii="Arial" w:hAnsi="Arial" w:cs="Arial"/>
          <w:sz w:val="22"/>
          <w:szCs w:val="22"/>
        </w:rPr>
        <w:tab/>
      </w:r>
      <w:r w:rsidRPr="002438B0">
        <w:rPr>
          <w:rFonts w:ascii="Arial" w:hAnsi="Arial" w:cs="Arial"/>
          <w:sz w:val="22"/>
          <w:szCs w:val="22"/>
        </w:rPr>
        <w:tab/>
        <w:t>(S8.4)</w:t>
      </w:r>
    </w:p>
    <w:p w14:paraId="2DC0DBF5" w14:textId="77777777" w:rsidR="00EB4E3C" w:rsidRPr="00874CE6" w:rsidRDefault="00EB4E3C" w:rsidP="00EB4E3C">
      <w:pPr>
        <w:spacing w:line="480" w:lineRule="auto"/>
        <w:rPr>
          <w:rFonts w:ascii="Arial" w:hAnsi="Arial" w:cs="Arial"/>
          <w:sz w:val="22"/>
          <w:szCs w:val="22"/>
        </w:rPr>
      </w:pPr>
      <w:r w:rsidRPr="002438B0">
        <w:rPr>
          <w:rFonts w:ascii="Arial" w:hAnsi="Arial" w:cs="Arial"/>
          <w:sz w:val="22"/>
          <w:szCs w:val="22"/>
        </w:rPr>
        <w:t>Any difference between group standard errors will result in reduced degrees of freedom</w:t>
      </w:r>
      <w:r w:rsidRPr="00874CE6">
        <w:rPr>
          <w:rFonts w:ascii="Arial" w:hAnsi="Arial" w:cs="Arial"/>
          <w:sz w:val="22"/>
          <w:szCs w:val="22"/>
        </w:rPr>
        <w:t xml:space="preserve"> in the Satterthwaite equation.  In the case that the t-statistic (S8.1) exceeds the t-critical value, then we reject the null hypothesis of no difference and conclude that there is significant evidence indicating that a true difference exists.</w:t>
      </w:r>
    </w:p>
    <w:p w14:paraId="5AC3065E" w14:textId="77777777" w:rsidR="00EB4E3C" w:rsidRPr="00655046" w:rsidRDefault="00EB4E3C" w:rsidP="00EB4E3C">
      <w:pPr>
        <w:spacing w:line="480" w:lineRule="auto"/>
        <w:rPr>
          <w:rFonts w:ascii="Arial" w:hAnsi="Arial" w:cs="Arial"/>
          <w:sz w:val="22"/>
          <w:szCs w:val="22"/>
        </w:rPr>
      </w:pPr>
      <w:r w:rsidRPr="00A2288F">
        <w:rPr>
          <w:rFonts w:ascii="Arial" w:hAnsi="Arial" w:cs="Arial"/>
          <w:sz w:val="22"/>
          <w:szCs w:val="22"/>
        </w:rPr>
        <w:t>In the case of a significant difference, sensitivity is then calculated as the upper tail of the probability distribution based on the distance between the t-statistic (S8.1) and the t-critical value; a negative distance in the case of up-regulation</w:t>
      </w:r>
      <w:r w:rsidRPr="00162421">
        <w:rPr>
          <w:rFonts w:ascii="Arial" w:hAnsi="Arial" w:cs="Arial"/>
          <w:sz w:val="22"/>
          <w:szCs w:val="22"/>
        </w:rPr>
        <w:t xml:space="preserve"> (Figure 1)</w:t>
      </w:r>
      <w:r w:rsidRPr="00655046">
        <w:rPr>
          <w:rFonts w:ascii="Arial" w:hAnsi="Arial" w:cs="Arial"/>
          <w:sz w:val="22"/>
          <w:szCs w:val="22"/>
        </w:rPr>
        <w:t>.</w:t>
      </w:r>
    </w:p>
    <w:p w14:paraId="06D81F1D" w14:textId="77777777" w:rsidR="00EB4E3C" w:rsidRPr="006B2FD0" w:rsidRDefault="00EB4E3C" w:rsidP="00EB4E3C">
      <w:pPr>
        <w:spacing w:line="480" w:lineRule="auto"/>
        <w:rPr>
          <w:rFonts w:ascii="Arial" w:hAnsi="Arial" w:cs="Arial"/>
          <w:sz w:val="22"/>
          <w:szCs w:val="22"/>
        </w:rPr>
      </w:pPr>
    </w:p>
    <w:p w14:paraId="2C2E62A5" w14:textId="77777777" w:rsidR="00EB4E3C" w:rsidRPr="006B2FD0" w:rsidRDefault="00EB4E3C" w:rsidP="00EB4E3C">
      <w:pPr>
        <w:pStyle w:val="Standard"/>
        <w:spacing w:line="480" w:lineRule="auto"/>
        <w:ind w:left="360"/>
        <w:outlineLvl w:val="0"/>
        <w:rPr>
          <w:rFonts w:ascii="Arial" w:hAnsi="Arial" w:cs="Arial"/>
          <w:b/>
          <w:sz w:val="22"/>
          <w:szCs w:val="22"/>
        </w:rPr>
      </w:pPr>
      <w:r w:rsidRPr="006B2FD0">
        <w:rPr>
          <w:rFonts w:ascii="Arial" w:hAnsi="Arial" w:cs="Arial"/>
          <w:b/>
          <w:sz w:val="22"/>
          <w:szCs w:val="22"/>
        </w:rPr>
        <w:t>1.4 Simulating cell proportions</w:t>
      </w:r>
    </w:p>
    <w:p w14:paraId="0A8B15E2" w14:textId="77777777" w:rsidR="00EB4E3C" w:rsidRPr="00162421" w:rsidRDefault="00EB4E3C" w:rsidP="00EB4E3C">
      <w:pPr>
        <w:pStyle w:val="Standard"/>
        <w:spacing w:line="480" w:lineRule="auto"/>
        <w:rPr>
          <w:rFonts w:ascii="Arial" w:hAnsi="Arial" w:cs="Arial"/>
          <w:sz w:val="22"/>
          <w:szCs w:val="22"/>
        </w:rPr>
      </w:pPr>
      <w:r w:rsidRPr="006B2FD0">
        <w:rPr>
          <w:rFonts w:ascii="Arial" w:hAnsi="Arial" w:cs="Arial"/>
          <w:sz w:val="22"/>
          <w:szCs w:val="22"/>
        </w:rPr>
        <w:t xml:space="preserve">Cell proportions are simulated by creating a per-group </w:t>
      </w:r>
      <w:r w:rsidRPr="006B2FD0">
        <w:rPr>
          <w:rFonts w:ascii="Arial" w:hAnsi="Arial" w:cs="Arial"/>
          <w:i/>
          <w:sz w:val="22"/>
          <w:szCs w:val="22"/>
        </w:rPr>
        <w:t>M</w:t>
      </w:r>
      <w:r w:rsidRPr="006B2FD0">
        <w:rPr>
          <w:rFonts w:ascii="Arial" w:hAnsi="Arial" w:cs="Arial"/>
          <w:sz w:val="22"/>
          <w:szCs w:val="22"/>
        </w:rPr>
        <w:t xml:space="preserve"> by </w:t>
      </w:r>
      <w:r w:rsidRPr="006B2FD0">
        <w:rPr>
          <w:rFonts w:ascii="Arial" w:hAnsi="Arial" w:cs="Arial"/>
          <w:i/>
          <w:sz w:val="22"/>
          <w:szCs w:val="22"/>
        </w:rPr>
        <w:t>P</w:t>
      </w:r>
      <w:r w:rsidRPr="006B2FD0">
        <w:rPr>
          <w:rFonts w:ascii="Arial" w:hAnsi="Arial" w:cs="Arial"/>
          <w:sz w:val="22"/>
          <w:szCs w:val="22"/>
        </w:rPr>
        <w:t xml:space="preserve"> matrix of random uniform values, which must sum to 1 across a row of any given sample </w:t>
      </w:r>
      <w:r w:rsidRPr="00025113">
        <w:rPr>
          <w:rFonts w:ascii="Arial" w:hAnsi="Arial" w:cs="Arial"/>
          <w:sz w:val="22"/>
          <w:szCs w:val="22"/>
        </w:rPr>
        <w:fldChar w:fldCharType="begin" w:fldLock="1"/>
      </w:r>
      <w:r w:rsidRPr="006B2FD0">
        <w:rPr>
          <w:rFonts w:ascii="Arial" w:hAnsi="Arial" w:cs="Arial"/>
          <w:sz w:val="22"/>
          <w:szCs w:val="22"/>
        </w:rPr>
        <w:instrText>ADDIN CSL_CITATION { "citationItems" : [ { "id" : "ITEM-1", "itemData" : { "DOI" : "10.1038/nmeth.1439", "ISSN" : "1548-7105", "PMID" : "20208531", "abstract" : "We describe cell type-specific significance analysis of microarrays (csSAM) for analyzing differential gene expression for each cell type in a biological sample from microarray data and relative cell-type frequencies. First, we validated csSAM with predesigned mixtures and then applied it to whole-blood gene expression datasets from stable post-transplant kidney transplant recipients and those experiencing acute transplant rejection, which revealed hundreds of differentially expressed genes that were otherwise undetectable.", "author" : [ { "dropping-particle" : "", "family" : "Shen-Orr", "given" : "Shai S", "non-dropping-particle" : "", "parse-names" : false, "suffix" : "" }, { "dropping-particle" : "", "family" : "Tibshirani", "given" : "Robert", "non-dropping-particle" : "", "parse-names" : false, "suffix" : "" }, { "dropping-particle" : "", "family" : "Khatri", "given" : "Purvesh", "non-dropping-particle" : "", "parse-names" : false, "suffix" : "" }, { "dropping-particle" : "", "family" : "Bodian", "given" : "Dale L", "non-dropping-particle" : "", "parse-names" : false, "suffix" : "" }, { "dropping-particle" : "", "family" : "Staedtler", "given" : "Frank", "non-dropping-particle" : "", "parse-names" : false, "suffix" : "" }, { "dropping-particle" : "", "family" : "Perry", "given" : "Nicholas M", "non-dropping-particle" : "", "parse-names" : false, "suffix" : "" }, { "dropping-particle" : "", "family" : "Hastie", "given" : "Trevor", "non-dropping-particle" : "", "parse-names" : false, "suffix" : "" }, { "dropping-particle" : "", "family" : "Sarwal", "given" : "Minnie M", "non-dropping-particle" : "", "parse-names" : false, "suffix" : "" }, { "dropping-particle" : "", "family" : "Davis", "given" : "Mark M", "non-dropping-particle" : "", "parse-names" : false, "suffix" : "" }, { "dropping-particle" : "", "family" : "Butte", "given" : "Atul J", "non-dropping-particle" : "", "parse-names" : false, "suffix" : "" } ], "container-title" : "Nature methods", "id" : "ITEM-1", "issue" : "4", "issued" : { "date-parts" : [ [ "2010", "4" ] ] }, "page" : "287-9", "publisher" : "Nature Publishing Group", "title" : "Cell type-specific gene expression differences in complex tissues.", "type" : "article-journal", "volume" : "7" }, "uris" : [ "http://www.mendeley.com/documents/?uuid=4047f941-21e4-4bff-930f-f8d44cf91b79" ] } ], "mendeley" : { "formattedCitation" : "[5]", "plainTextFormattedCitation" : "[5]", "previouslyFormattedCitation" : "[5]" }, "properties" : { "noteIndex" : 0 }, "schema" : "https://github.com/citation-style-language/schema/raw/master/csl-citation.json" }</w:instrText>
      </w:r>
      <w:r w:rsidRPr="006B2FD0">
        <w:rPr>
          <w:rFonts w:ascii="Arial" w:hAnsi="Arial" w:cs="Arial"/>
          <w:sz w:val="22"/>
          <w:szCs w:val="22"/>
        </w:rPr>
        <w:fldChar w:fldCharType="separate"/>
      </w:r>
      <w:r w:rsidRPr="00025113">
        <w:rPr>
          <w:rFonts w:ascii="Arial" w:hAnsi="Arial" w:cs="Arial"/>
          <w:noProof/>
          <w:sz w:val="22"/>
          <w:szCs w:val="22"/>
        </w:rPr>
        <w:t>[5]</w:t>
      </w:r>
      <w:r w:rsidRPr="00025113">
        <w:rPr>
          <w:rFonts w:ascii="Arial" w:hAnsi="Arial" w:cs="Arial"/>
          <w:sz w:val="22"/>
          <w:szCs w:val="22"/>
        </w:rPr>
        <w:fldChar w:fldCharType="end"/>
      </w:r>
      <w:r w:rsidRPr="00025113">
        <w:rPr>
          <w:rFonts w:ascii="Arial" w:hAnsi="Arial" w:cs="Arial"/>
          <w:sz w:val="22"/>
          <w:szCs w:val="22"/>
        </w:rPr>
        <w:t xml:space="preserve">.  Thus, we have two identical </w:t>
      </w:r>
      <w:r w:rsidRPr="00874CE6">
        <w:rPr>
          <w:rFonts w:ascii="Arial" w:hAnsi="Arial" w:cs="Arial"/>
          <w:i/>
          <w:sz w:val="22"/>
          <w:szCs w:val="22"/>
        </w:rPr>
        <w:t>M</w:t>
      </w:r>
      <w:r w:rsidRPr="00A2288F">
        <w:rPr>
          <w:rFonts w:ascii="Arial" w:hAnsi="Arial" w:cs="Arial"/>
          <w:sz w:val="22"/>
          <w:szCs w:val="22"/>
        </w:rPr>
        <w:t xml:space="preserve"> by </w:t>
      </w:r>
      <w:r w:rsidRPr="00A2288F">
        <w:rPr>
          <w:rFonts w:ascii="Arial" w:hAnsi="Arial" w:cs="Arial"/>
          <w:i/>
          <w:sz w:val="22"/>
          <w:szCs w:val="22"/>
        </w:rPr>
        <w:t>P</w:t>
      </w:r>
      <w:r w:rsidRPr="00A2288F">
        <w:rPr>
          <w:rFonts w:ascii="Arial" w:hAnsi="Arial" w:cs="Arial"/>
          <w:sz w:val="22"/>
          <w:szCs w:val="22"/>
        </w:rPr>
        <w:t xml:space="preserve"> matrices, one per study group, so that both control group and case group linear regressions are performed with identical cell proportions as predictors.</w:t>
      </w:r>
    </w:p>
    <w:p w14:paraId="14D32C96" w14:textId="77777777" w:rsidR="00EB4E3C" w:rsidRPr="006B2FD0" w:rsidRDefault="00EB4E3C" w:rsidP="00EB4E3C">
      <w:pPr>
        <w:pStyle w:val="Standard"/>
        <w:spacing w:line="480" w:lineRule="auto"/>
        <w:rPr>
          <w:rFonts w:ascii="Arial" w:hAnsi="Arial" w:cs="Arial"/>
          <w:sz w:val="22"/>
          <w:szCs w:val="22"/>
        </w:rPr>
      </w:pPr>
      <w:r w:rsidRPr="00655046">
        <w:rPr>
          <w:rFonts w:ascii="Arial" w:hAnsi="Arial" w:cs="Arial"/>
          <w:sz w:val="22"/>
          <w:szCs w:val="22"/>
        </w:rPr>
        <w:t>We chose a target cell standard deviation (SD) to simulate.  The target cell is the cell type in the simulation which has a cell type-specific differential expression applied to it in the synthetic cases cell type-specific expression matrix.  We then create a single vector of cell proportions for samp</w:t>
      </w:r>
      <w:r w:rsidRPr="006B2FD0">
        <w:rPr>
          <w:rFonts w:ascii="Arial" w:hAnsi="Arial" w:cs="Arial"/>
          <w:sz w:val="22"/>
          <w:szCs w:val="22"/>
        </w:rPr>
        <w:t xml:space="preserve">le size </w:t>
      </w:r>
      <w:r w:rsidRPr="006B2FD0">
        <w:rPr>
          <w:rFonts w:ascii="Arial" w:hAnsi="Arial" w:cs="Arial"/>
          <w:i/>
          <w:sz w:val="22"/>
          <w:szCs w:val="22"/>
        </w:rPr>
        <w:t>m</w:t>
      </w:r>
      <w:r w:rsidRPr="006B2FD0">
        <w:rPr>
          <w:rFonts w:ascii="Arial" w:hAnsi="Arial" w:cs="Arial"/>
          <w:sz w:val="22"/>
          <w:szCs w:val="22"/>
        </w:rPr>
        <w:t xml:space="preserve">.  This begins with a small proportion for sample 1 and creates evenly spaced proportions until a chosen “high” proportion is reached for sample </w:t>
      </w:r>
      <w:r w:rsidRPr="006B2FD0">
        <w:rPr>
          <w:rFonts w:ascii="Arial" w:hAnsi="Arial" w:cs="Arial"/>
          <w:i/>
          <w:sz w:val="22"/>
          <w:szCs w:val="22"/>
        </w:rPr>
        <w:t>m</w:t>
      </w:r>
      <w:r w:rsidRPr="006B2FD0">
        <w:rPr>
          <w:rFonts w:ascii="Arial" w:hAnsi="Arial" w:cs="Arial"/>
          <w:sz w:val="22"/>
          <w:szCs w:val="22"/>
        </w:rPr>
        <w:t>.  The SD of this vector is taken and compared to our target SD.  If our target SD is too low, we increase the “high” target proportion and recreate the matrix.  This iterative brute force process is repeated until we arrive to within a desired tolerance of our target SD.</w:t>
      </w:r>
    </w:p>
    <w:p w14:paraId="046233CA" w14:textId="77777777" w:rsidR="00EB4E3C" w:rsidRPr="006B2FD0" w:rsidRDefault="00EB4E3C" w:rsidP="00EB4E3C">
      <w:pPr>
        <w:spacing w:line="480" w:lineRule="auto"/>
        <w:rPr>
          <w:rFonts w:ascii="Arial" w:hAnsi="Arial" w:cs="Arial"/>
          <w:sz w:val="22"/>
          <w:szCs w:val="22"/>
        </w:rPr>
      </w:pPr>
    </w:p>
    <w:p w14:paraId="46696FD3" w14:textId="77777777" w:rsidR="00EB4E3C" w:rsidRPr="006B2FD0" w:rsidRDefault="00EB4E3C" w:rsidP="00EB4E3C">
      <w:pPr>
        <w:pStyle w:val="Standard"/>
        <w:spacing w:line="480" w:lineRule="auto"/>
        <w:ind w:left="360"/>
        <w:outlineLvl w:val="0"/>
        <w:rPr>
          <w:rFonts w:ascii="Arial" w:hAnsi="Arial" w:cs="Arial"/>
          <w:b/>
          <w:sz w:val="22"/>
          <w:szCs w:val="22"/>
        </w:rPr>
      </w:pPr>
      <w:r w:rsidRPr="006B2FD0">
        <w:rPr>
          <w:rFonts w:ascii="Arial" w:hAnsi="Arial" w:cs="Arial"/>
          <w:b/>
          <w:sz w:val="22"/>
          <w:szCs w:val="22"/>
        </w:rPr>
        <w:t>1.5 Simulating cell type-specific expression</w:t>
      </w:r>
    </w:p>
    <w:p w14:paraId="55F3C845" w14:textId="77777777" w:rsidR="00EB4E3C" w:rsidRPr="006B2FD0" w:rsidRDefault="00EB4E3C" w:rsidP="00EB4E3C">
      <w:pPr>
        <w:pStyle w:val="Standard"/>
        <w:numPr>
          <w:ilvl w:val="0"/>
          <w:numId w:val="1"/>
        </w:numPr>
        <w:spacing w:line="480" w:lineRule="auto"/>
        <w:rPr>
          <w:rFonts w:ascii="Arial" w:hAnsi="Arial" w:cs="Arial"/>
          <w:sz w:val="22"/>
          <w:szCs w:val="22"/>
        </w:rPr>
      </w:pPr>
      <w:r w:rsidRPr="006B2FD0">
        <w:rPr>
          <w:rFonts w:ascii="Arial" w:hAnsi="Arial" w:cs="Arial"/>
          <w:sz w:val="22"/>
          <w:szCs w:val="22"/>
        </w:rPr>
        <w:t>Choose a constant base level of expression and create a vector of length J of for cell 1</w:t>
      </w:r>
    </w:p>
    <w:p w14:paraId="0456D803" w14:textId="77777777" w:rsidR="00EB4E3C" w:rsidRPr="006B2FD0" w:rsidRDefault="00EB4E3C" w:rsidP="00EB4E3C">
      <w:pPr>
        <w:pStyle w:val="Standard"/>
        <w:numPr>
          <w:ilvl w:val="0"/>
          <w:numId w:val="1"/>
        </w:numPr>
        <w:spacing w:line="480" w:lineRule="auto"/>
        <w:rPr>
          <w:rFonts w:ascii="Arial" w:hAnsi="Arial" w:cs="Arial"/>
          <w:sz w:val="22"/>
          <w:szCs w:val="22"/>
        </w:rPr>
      </w:pPr>
      <w:r w:rsidRPr="006B2FD0">
        <w:rPr>
          <w:rFonts w:ascii="Arial" w:hAnsi="Arial" w:cs="Arial"/>
          <w:sz w:val="22"/>
          <w:szCs w:val="22"/>
        </w:rPr>
        <w:t>Create p-1 remaining cell type expression vectors.</w:t>
      </w:r>
    </w:p>
    <w:p w14:paraId="12A98F82" w14:textId="77777777" w:rsidR="00EB4E3C" w:rsidRPr="006B2FD0" w:rsidRDefault="00EB4E3C" w:rsidP="00EB4E3C">
      <w:pPr>
        <w:pStyle w:val="Standard"/>
        <w:numPr>
          <w:ilvl w:val="0"/>
          <w:numId w:val="1"/>
        </w:numPr>
        <w:spacing w:line="480" w:lineRule="auto"/>
        <w:rPr>
          <w:rFonts w:ascii="Arial" w:hAnsi="Arial" w:cs="Arial"/>
          <w:sz w:val="22"/>
          <w:szCs w:val="22"/>
        </w:rPr>
      </w:pPr>
      <w:r w:rsidRPr="006B2FD0">
        <w:rPr>
          <w:rFonts w:ascii="Arial" w:hAnsi="Arial" w:cs="Arial"/>
          <w:sz w:val="22"/>
          <w:szCs w:val="22"/>
        </w:rPr>
        <w:t>Combine cell expression vectors in ‘Cases’ group matrix</w:t>
      </w:r>
    </w:p>
    <w:p w14:paraId="0DF32C58" w14:textId="77777777" w:rsidR="00EB4E3C" w:rsidRPr="006B2FD0" w:rsidRDefault="00EB4E3C" w:rsidP="00EB4E3C">
      <w:pPr>
        <w:pStyle w:val="Standard"/>
        <w:numPr>
          <w:ilvl w:val="0"/>
          <w:numId w:val="1"/>
        </w:numPr>
        <w:spacing w:line="480" w:lineRule="auto"/>
        <w:rPr>
          <w:rFonts w:ascii="Arial" w:hAnsi="Arial" w:cs="Arial"/>
          <w:sz w:val="22"/>
          <w:szCs w:val="22"/>
        </w:rPr>
      </w:pPr>
      <w:r w:rsidRPr="006B2FD0">
        <w:rPr>
          <w:rFonts w:ascii="Arial" w:hAnsi="Arial" w:cs="Arial"/>
          <w:sz w:val="22"/>
          <w:szCs w:val="22"/>
        </w:rPr>
        <w:t>Copy ‘Cases’ group matrix to create ‘Controls’ group matrix.</w:t>
      </w:r>
    </w:p>
    <w:p w14:paraId="44F8F5B3" w14:textId="77777777" w:rsidR="00EB4E3C" w:rsidRPr="006B2FD0" w:rsidRDefault="00EB4E3C" w:rsidP="00EB4E3C">
      <w:pPr>
        <w:pStyle w:val="Standard"/>
        <w:numPr>
          <w:ilvl w:val="0"/>
          <w:numId w:val="1"/>
        </w:numPr>
        <w:spacing w:line="480" w:lineRule="auto"/>
        <w:rPr>
          <w:rFonts w:ascii="Arial" w:hAnsi="Arial" w:cs="Arial"/>
          <w:sz w:val="22"/>
          <w:szCs w:val="22"/>
        </w:rPr>
      </w:pPr>
      <w:r w:rsidRPr="006B2FD0">
        <w:rPr>
          <w:rFonts w:ascii="Arial" w:hAnsi="Arial" w:cs="Arial"/>
          <w:sz w:val="22"/>
          <w:szCs w:val="22"/>
        </w:rPr>
        <w:t>Alter some percentage (we use 50%) of the “genes” in cell 1 of ‘Cases’ group by applying a fold-change.</w:t>
      </w:r>
    </w:p>
    <w:p w14:paraId="1DF6A3AE" w14:textId="77777777" w:rsidR="00EB4E3C" w:rsidRPr="006B2FD0" w:rsidRDefault="00EB4E3C" w:rsidP="00EB4E3C">
      <w:pPr>
        <w:pStyle w:val="Standard"/>
        <w:numPr>
          <w:ilvl w:val="0"/>
          <w:numId w:val="1"/>
        </w:numPr>
        <w:spacing w:line="480" w:lineRule="auto"/>
        <w:rPr>
          <w:rFonts w:ascii="Arial" w:hAnsi="Arial" w:cs="Arial"/>
          <w:sz w:val="22"/>
          <w:szCs w:val="22"/>
        </w:rPr>
      </w:pPr>
      <w:r w:rsidRPr="006B2FD0">
        <w:rPr>
          <w:rFonts w:ascii="Arial" w:hAnsi="Arial" w:cs="Arial"/>
          <w:sz w:val="22"/>
          <w:szCs w:val="22"/>
        </w:rPr>
        <w:t>Make a note of actual known ‘gold-standard’ difference between expression levels of altered genes in cell 1 between ‘Cases’ and ‘Controls’.  This is ‘diff’.</w:t>
      </w:r>
    </w:p>
    <w:p w14:paraId="19F200E9" w14:textId="77777777" w:rsidR="00EB4E3C" w:rsidRPr="006B2FD0" w:rsidRDefault="00EB4E3C" w:rsidP="00EB4E3C">
      <w:pPr>
        <w:pStyle w:val="Standard"/>
        <w:spacing w:line="480" w:lineRule="auto"/>
        <w:rPr>
          <w:rFonts w:ascii="Arial" w:hAnsi="Arial" w:cs="Arial"/>
          <w:sz w:val="22"/>
          <w:szCs w:val="22"/>
        </w:rPr>
      </w:pPr>
    </w:p>
    <w:p w14:paraId="7419B50C" w14:textId="77777777" w:rsidR="00EB4E3C" w:rsidRPr="006B2FD0" w:rsidRDefault="00EB4E3C" w:rsidP="00EB4E3C">
      <w:pPr>
        <w:pStyle w:val="Standard"/>
        <w:spacing w:line="480" w:lineRule="auto"/>
        <w:ind w:left="360"/>
        <w:rPr>
          <w:rFonts w:ascii="Arial" w:hAnsi="Arial" w:cs="Arial"/>
          <w:b/>
          <w:sz w:val="22"/>
          <w:szCs w:val="22"/>
        </w:rPr>
      </w:pPr>
      <w:r w:rsidRPr="006B2FD0">
        <w:rPr>
          <w:rFonts w:ascii="Arial" w:hAnsi="Arial" w:cs="Arial"/>
          <w:b/>
          <w:sz w:val="22"/>
          <w:szCs w:val="22"/>
        </w:rPr>
        <w:t>1.6 Simulating heterogeneous observations</w:t>
      </w:r>
    </w:p>
    <w:p w14:paraId="1943755D" w14:textId="77777777" w:rsidR="00EB4E3C" w:rsidRPr="006B2FD0" w:rsidRDefault="00EB4E3C" w:rsidP="00EB4E3C">
      <w:pPr>
        <w:pStyle w:val="Standard"/>
        <w:numPr>
          <w:ilvl w:val="0"/>
          <w:numId w:val="2"/>
        </w:numPr>
        <w:spacing w:line="480" w:lineRule="auto"/>
        <w:rPr>
          <w:rFonts w:ascii="Arial" w:hAnsi="Arial" w:cs="Arial"/>
          <w:sz w:val="22"/>
          <w:szCs w:val="22"/>
        </w:rPr>
      </w:pPr>
      <w:r w:rsidRPr="006B2FD0">
        <w:rPr>
          <w:rFonts w:ascii="Arial" w:hAnsi="Arial" w:cs="Arial"/>
          <w:sz w:val="22"/>
          <w:szCs w:val="22"/>
        </w:rPr>
        <w:t>Multiply cell proportions matrix by cell type-specific expression matrix: the resulting cross-product equals to the heterogeneous “fitted” values (In real-life these would be the fitted values gotten after performing a linear regression: the “y-hats”).</w:t>
      </w:r>
    </w:p>
    <w:p w14:paraId="4BFA28C2" w14:textId="77777777" w:rsidR="00EB4E3C" w:rsidRPr="006B2FD0" w:rsidRDefault="00EB4E3C" w:rsidP="00EB4E3C">
      <w:pPr>
        <w:pStyle w:val="Standard"/>
        <w:numPr>
          <w:ilvl w:val="0"/>
          <w:numId w:val="2"/>
        </w:numPr>
        <w:spacing w:line="480" w:lineRule="auto"/>
        <w:rPr>
          <w:rFonts w:ascii="Arial" w:hAnsi="Arial" w:cs="Arial"/>
          <w:sz w:val="22"/>
          <w:szCs w:val="22"/>
        </w:rPr>
      </w:pPr>
      <w:r w:rsidRPr="006B2FD0">
        <w:rPr>
          <w:rFonts w:ascii="Arial" w:hAnsi="Arial" w:cs="Arial"/>
          <w:sz w:val="22"/>
          <w:szCs w:val="22"/>
        </w:rPr>
        <w:t>Simulate residuals: either random normal process or empirical residuals.</w:t>
      </w:r>
    </w:p>
    <w:p w14:paraId="56FA6840" w14:textId="77777777" w:rsidR="00EB4E3C" w:rsidRPr="006B2FD0" w:rsidRDefault="00EB4E3C" w:rsidP="00EB4E3C">
      <w:pPr>
        <w:pStyle w:val="Standard"/>
        <w:numPr>
          <w:ilvl w:val="0"/>
          <w:numId w:val="2"/>
        </w:numPr>
        <w:spacing w:line="480" w:lineRule="auto"/>
        <w:rPr>
          <w:rFonts w:ascii="Arial" w:hAnsi="Arial" w:cs="Arial"/>
          <w:sz w:val="22"/>
          <w:szCs w:val="22"/>
        </w:rPr>
      </w:pPr>
      <w:r w:rsidRPr="006B2FD0">
        <w:rPr>
          <w:rFonts w:ascii="Arial" w:hAnsi="Arial" w:cs="Arial"/>
          <w:sz w:val="22"/>
          <w:szCs w:val="22"/>
        </w:rPr>
        <w:t>Add simulated residuals to the “fitted” values obtained from step 1.</w:t>
      </w:r>
    </w:p>
    <w:p w14:paraId="5F7E4DEB" w14:textId="77777777" w:rsidR="00EB4E3C" w:rsidRPr="006B2FD0" w:rsidRDefault="00EB4E3C" w:rsidP="00EB4E3C">
      <w:pPr>
        <w:pStyle w:val="Standard"/>
        <w:spacing w:line="480" w:lineRule="auto"/>
        <w:rPr>
          <w:rFonts w:ascii="Arial" w:hAnsi="Arial" w:cs="Arial"/>
          <w:sz w:val="22"/>
          <w:szCs w:val="22"/>
        </w:rPr>
      </w:pPr>
    </w:p>
    <w:p w14:paraId="0B801514" w14:textId="77777777" w:rsidR="00EB4E3C" w:rsidRPr="006B2FD0" w:rsidRDefault="00EB4E3C" w:rsidP="00EB4E3C">
      <w:pPr>
        <w:ind w:firstLine="720"/>
        <w:rPr>
          <w:rFonts w:ascii="Arial" w:hAnsi="Arial" w:cs="Arial"/>
          <w:b/>
          <w:bCs/>
          <w:sz w:val="22"/>
          <w:szCs w:val="22"/>
        </w:rPr>
      </w:pPr>
      <w:r w:rsidRPr="00AC69BB">
        <w:rPr>
          <w:rFonts w:ascii="Arial" w:hAnsi="Arial" w:cs="Arial"/>
          <w:b/>
          <w:bCs/>
          <w:sz w:val="22"/>
          <w:szCs w:val="22"/>
        </w:rPr>
        <w:t>1.7</w:t>
      </w:r>
      <w:r w:rsidRPr="006B2FD0">
        <w:rPr>
          <w:rFonts w:ascii="Arial" w:hAnsi="Arial" w:cs="Arial"/>
          <w:b/>
          <w:bCs/>
          <w:sz w:val="22"/>
          <w:szCs w:val="22"/>
        </w:rPr>
        <w:t xml:space="preserve"> Why zero FPR in FDR and t-statistic differential expression detection</w:t>
      </w:r>
    </w:p>
    <w:p w14:paraId="4BB55889" w14:textId="77777777" w:rsidR="00EB4E3C" w:rsidRPr="006B2FD0" w:rsidRDefault="00EB4E3C" w:rsidP="00EB4E3C">
      <w:pPr>
        <w:ind w:firstLine="720"/>
        <w:rPr>
          <w:rFonts w:ascii="Arial" w:hAnsi="Arial" w:cs="Arial"/>
          <w:sz w:val="22"/>
          <w:szCs w:val="22"/>
        </w:rPr>
      </w:pPr>
    </w:p>
    <w:p w14:paraId="0712696C" w14:textId="77777777" w:rsidR="00EB4E3C" w:rsidRPr="006B2FD0" w:rsidRDefault="00EB4E3C" w:rsidP="00EB4E3C">
      <w:pPr>
        <w:spacing w:line="480" w:lineRule="auto"/>
        <w:rPr>
          <w:rFonts w:ascii="Arial" w:hAnsi="Arial" w:cs="Arial"/>
          <w:sz w:val="22"/>
          <w:szCs w:val="22"/>
        </w:rPr>
      </w:pPr>
      <w:r w:rsidRPr="006B2FD0">
        <w:rPr>
          <w:rFonts w:ascii="Arial" w:hAnsi="Arial" w:cs="Arial"/>
          <w:sz w:val="22"/>
          <w:szCs w:val="22"/>
        </w:rPr>
        <w:t>The Gauss-Markov theorem shows that least squares linear regression provides the best linear unbiased estimator (BLUE) of regression coefficients.  LRCDE (t-test) and csSAM (FDR) linear regression coefficient estimates models the average cell type-specific expression levels per group.  Increasing or decreasing the variability of coefficient estimates does nothing to alter the unbiasedness of the estimates.  Given that the errors have a mean of zero, which we exactly model during simulations, then linear regression will exactly target the true coefficients, which we also exactly model.</w:t>
      </w:r>
    </w:p>
    <w:p w14:paraId="68630C0E" w14:textId="77777777" w:rsidR="00EB4E3C" w:rsidRPr="006B2FD0" w:rsidRDefault="00EB4E3C" w:rsidP="00EB4E3C">
      <w:pPr>
        <w:spacing w:line="480" w:lineRule="auto"/>
        <w:rPr>
          <w:rFonts w:ascii="Arial" w:hAnsi="Arial" w:cs="Arial"/>
          <w:sz w:val="22"/>
          <w:szCs w:val="22"/>
        </w:rPr>
      </w:pPr>
    </w:p>
    <w:p w14:paraId="3AD25B4A" w14:textId="77777777" w:rsidR="00EB4E3C" w:rsidRPr="006B2FD0" w:rsidRDefault="00EB4E3C" w:rsidP="00EB4E3C">
      <w:pPr>
        <w:spacing w:line="480" w:lineRule="auto"/>
        <w:rPr>
          <w:rFonts w:ascii="Arial" w:hAnsi="Arial" w:cs="Arial"/>
          <w:sz w:val="22"/>
          <w:szCs w:val="22"/>
        </w:rPr>
      </w:pPr>
      <w:r w:rsidRPr="006B2FD0">
        <w:rPr>
          <w:rFonts w:ascii="Arial" w:hAnsi="Arial" w:cs="Arial"/>
          <w:sz w:val="22"/>
          <w:szCs w:val="22"/>
        </w:rPr>
        <w:t xml:space="preserve">Since linear regression coefficient estimates are BLUE, </w:t>
      </w:r>
      <w:r w:rsidRPr="006B2FD0">
        <w:rPr>
          <w:rFonts w:ascii="Arial" w:hAnsi="Arial" w:cs="Arial"/>
          <w:i/>
          <w:sz w:val="22"/>
          <w:szCs w:val="22"/>
        </w:rPr>
        <w:t>any</w:t>
      </w:r>
      <w:r w:rsidRPr="006B2FD0">
        <w:rPr>
          <w:rFonts w:ascii="Arial" w:hAnsi="Arial" w:cs="Arial"/>
          <w:sz w:val="22"/>
          <w:szCs w:val="22"/>
        </w:rPr>
        <w:t xml:space="preserve"> known group-wise differential expression (differences between the two groups coefficient estimates) will result in some noticeable level of detection using FDR threshold or t-statistic.  The level of variability of the coefficient estimates will determine the sensitivity of the FDRs or the t-statistics.  Given 500 differentially expressed (simulated) genes and 500 unchanged genes in a single cell type, both FDRs and t-statistics will detect a noticeable level of difference in the 500 differentially expressed genes.  Neither of them will detect differential expression in the 500 undifferentiated genes.</w:t>
      </w:r>
    </w:p>
    <w:p w14:paraId="3304F66F" w14:textId="77777777" w:rsidR="00EB4E3C" w:rsidRPr="006B2FD0" w:rsidRDefault="00EB4E3C" w:rsidP="00EB4E3C">
      <w:pPr>
        <w:spacing w:line="480" w:lineRule="auto"/>
        <w:rPr>
          <w:rFonts w:ascii="Arial" w:hAnsi="Arial" w:cs="Arial"/>
          <w:sz w:val="22"/>
          <w:szCs w:val="22"/>
        </w:rPr>
      </w:pPr>
    </w:p>
    <w:p w14:paraId="606EBDEA" w14:textId="77777777" w:rsidR="00EB4E3C" w:rsidRPr="006B2FD0" w:rsidRDefault="00EB4E3C" w:rsidP="00EB4E3C">
      <w:pPr>
        <w:spacing w:line="480" w:lineRule="auto"/>
        <w:rPr>
          <w:rFonts w:ascii="Arial" w:hAnsi="Arial" w:cs="Arial"/>
          <w:sz w:val="22"/>
          <w:szCs w:val="22"/>
        </w:rPr>
      </w:pPr>
      <w:r w:rsidRPr="006B2FD0">
        <w:rPr>
          <w:rFonts w:ascii="Arial" w:hAnsi="Arial" w:cs="Arial"/>
          <w:sz w:val="22"/>
          <w:szCs w:val="22"/>
        </w:rPr>
        <w:t>The csSAM package provides a vector of FDRs for difference estimates for each gene in each cell type.  The LRCDE package provides a t-statistic, t-statistic p-value, and sensitivity for each gene in each cell type.  Given that each cell type-specific expression (coefficient) estimate is BLUE, then known differential expression will always provide a more significant signal than known lack of differential expression.  Using either the FDR vector or a vector from the LRCDE results in order to calculate false positive rates (FPR) will invariably result in a zero FPR for either method.</w:t>
      </w:r>
    </w:p>
    <w:p w14:paraId="13789FB0" w14:textId="77777777" w:rsidR="00EB4E3C" w:rsidRPr="006B2FD0" w:rsidRDefault="00EB4E3C" w:rsidP="00EB4E3C">
      <w:pPr>
        <w:spacing w:line="480" w:lineRule="auto"/>
        <w:rPr>
          <w:rFonts w:ascii="Arial" w:hAnsi="Arial" w:cs="Arial"/>
          <w:sz w:val="22"/>
          <w:szCs w:val="22"/>
        </w:rPr>
      </w:pPr>
    </w:p>
    <w:p w14:paraId="1592E913" w14:textId="77777777" w:rsidR="00EB4E3C" w:rsidRPr="006B2FD0" w:rsidRDefault="00EB4E3C" w:rsidP="00EB4E3C">
      <w:pPr>
        <w:spacing w:line="480" w:lineRule="auto"/>
        <w:rPr>
          <w:rFonts w:ascii="Arial" w:hAnsi="Arial" w:cs="Arial"/>
          <w:sz w:val="22"/>
          <w:szCs w:val="22"/>
        </w:rPr>
      </w:pPr>
      <w:r w:rsidRPr="006B2FD0">
        <w:rPr>
          <w:rFonts w:ascii="Arial" w:hAnsi="Arial" w:cs="Arial"/>
          <w:sz w:val="22"/>
          <w:szCs w:val="22"/>
        </w:rPr>
        <w:t>A hypothetical example will illustrate how both methods produce zero FDRs.  It may be that for the 500 known differentiated genes there will be FDRs in the range of 0.9 to 0.95.  If we also have FDRs in the range of 0.96 to 0.99 for the known undifferentiated genes, then we have the situation described of having a zero FPR since none of the undifferentiated genes have lower FDRs than the differentiated genes.  This applies to t-statistic p-values as well.  We may have a vector of t-statistic p-values for the differentiated genes in the range of 0.4 to 0.45 and a range for the undifferentiated genes of 0.46 to 0.49.  Such a range of p-values will also produce a zero FPR.  Simulation results confirm our reasoning about zero FPRs for both FDRs and t-statistic p-values.</w:t>
      </w:r>
    </w:p>
    <w:p w14:paraId="400431FA" w14:textId="77777777" w:rsidR="00EB4E3C" w:rsidRPr="006B2FD0" w:rsidRDefault="00EB4E3C" w:rsidP="00EB4E3C">
      <w:pPr>
        <w:spacing w:line="480" w:lineRule="auto"/>
        <w:rPr>
          <w:rFonts w:ascii="Arial" w:hAnsi="Arial" w:cs="Arial"/>
          <w:sz w:val="22"/>
          <w:szCs w:val="22"/>
        </w:rPr>
      </w:pPr>
    </w:p>
    <w:p w14:paraId="7BFE26DF" w14:textId="77777777" w:rsidR="00EB4E3C" w:rsidRPr="006B2FD0" w:rsidRDefault="00EB4E3C" w:rsidP="00EB4E3C">
      <w:pPr>
        <w:spacing w:line="480" w:lineRule="auto"/>
        <w:rPr>
          <w:rFonts w:ascii="Arial" w:hAnsi="Arial" w:cs="Arial"/>
          <w:sz w:val="22"/>
          <w:szCs w:val="22"/>
        </w:rPr>
      </w:pPr>
      <w:r w:rsidRPr="006B2FD0">
        <w:rPr>
          <w:rFonts w:ascii="Arial" w:hAnsi="Arial" w:cs="Arial"/>
          <w:sz w:val="22"/>
          <w:szCs w:val="22"/>
        </w:rPr>
        <w:t xml:space="preserve">Choosing an acceptable significance threshold for either FDR or LRCDE results will result in less than perfect detection of known differential expression given a range parameter differences: either across a range of known effect sizes, different MSEs, or different cell type-specific standard deviations of cell proportions.  Choosing an FDR cutoff threshold of 0.2 and a two-sided t-statistic p-value threshold of 0.025 shows that LRCDE will provide a higher true positive rate (TPR) of discovery than FDR. </w:t>
      </w:r>
    </w:p>
    <w:p w14:paraId="60263E28" w14:textId="77777777" w:rsidR="00EB4E3C" w:rsidRPr="006B2FD0" w:rsidRDefault="00EB4E3C" w:rsidP="00EB4E3C">
      <w:pPr>
        <w:spacing w:line="480" w:lineRule="auto"/>
        <w:rPr>
          <w:rFonts w:ascii="Arial" w:hAnsi="Arial" w:cs="Arial"/>
          <w:sz w:val="22"/>
          <w:szCs w:val="22"/>
        </w:rPr>
      </w:pPr>
    </w:p>
    <w:p w14:paraId="362B7C31" w14:textId="77777777" w:rsidR="00EB4E3C" w:rsidRPr="006B2FD0" w:rsidRDefault="00EB4E3C" w:rsidP="00EB4E3C">
      <w:pPr>
        <w:spacing w:line="480" w:lineRule="auto"/>
        <w:rPr>
          <w:rFonts w:ascii="Arial" w:hAnsi="Arial" w:cs="Arial"/>
          <w:sz w:val="22"/>
          <w:szCs w:val="22"/>
        </w:rPr>
      </w:pPr>
      <w:r w:rsidRPr="006B2FD0">
        <w:rPr>
          <w:rFonts w:ascii="Arial" w:hAnsi="Arial" w:cs="Arial"/>
          <w:sz w:val="22"/>
          <w:szCs w:val="22"/>
        </w:rPr>
        <w:t xml:space="preserve">The csSAM algorithm computes FDRs by a wholesale comparison of the range of cell type-specific differential expression estimates across all genes in the input data set.  FDRs are computed by linearly designated 100 thresholds (cutpoints) across the range of detected effect sizes from lowest to highest.  The number of </w:t>
      </w:r>
      <w:r>
        <w:rPr>
          <w:rFonts w:ascii="Arial" w:hAnsi="Arial" w:cs="Arial"/>
          <w:sz w:val="22"/>
          <w:szCs w:val="22"/>
        </w:rPr>
        <w:t xml:space="preserve">the </w:t>
      </w:r>
      <w:r w:rsidRPr="006B2FD0">
        <w:rPr>
          <w:rFonts w:ascii="Arial" w:hAnsi="Arial" w:cs="Arial"/>
          <w:sz w:val="22"/>
          <w:szCs w:val="22"/>
        </w:rPr>
        <w:t xml:space="preserve">observed effect sizes greater than each of the cutpoints </w:t>
      </w:r>
      <w:r>
        <w:rPr>
          <w:rFonts w:ascii="Arial" w:hAnsi="Arial" w:cs="Arial"/>
          <w:sz w:val="22"/>
          <w:szCs w:val="22"/>
        </w:rPr>
        <w:t>is</w:t>
      </w:r>
      <w:r w:rsidRPr="006B2FD0">
        <w:rPr>
          <w:rFonts w:ascii="Arial" w:hAnsi="Arial" w:cs="Arial"/>
          <w:sz w:val="22"/>
          <w:szCs w:val="22"/>
        </w:rPr>
        <w:t xml:space="preserve"> stored as a vector of 100 “call” totals.  100 false discovery rates are then computed as the sum of times that the absolute values (for a two-sided test) of permutation based effect sizes are greater than observed (non-permuted) effect sizes divided by the number of permutations divided by the number of calls per cutpoint.  Each gene is then assigned one of the 100 FDRs corresponding to the highest of the 100 cutpoints that the effect size is greater than.  In this way, FDRs per gene are computed and assigned relative to all genes in the cell.</w:t>
      </w:r>
    </w:p>
    <w:p w14:paraId="3D4840B6" w14:textId="77777777" w:rsidR="00EB4E3C" w:rsidRPr="006B2FD0" w:rsidRDefault="00EB4E3C" w:rsidP="00EB4E3C">
      <w:pPr>
        <w:spacing w:line="480" w:lineRule="auto"/>
        <w:rPr>
          <w:rFonts w:ascii="Arial" w:hAnsi="Arial" w:cs="Arial"/>
          <w:sz w:val="22"/>
          <w:szCs w:val="22"/>
        </w:rPr>
      </w:pPr>
    </w:p>
    <w:p w14:paraId="17E768F3" w14:textId="77777777" w:rsidR="00EB4E3C" w:rsidRPr="006B2FD0" w:rsidRDefault="00EB4E3C" w:rsidP="00EB4E3C">
      <w:pPr>
        <w:spacing w:line="480" w:lineRule="auto"/>
        <w:rPr>
          <w:rFonts w:ascii="Arial" w:hAnsi="Arial" w:cs="Arial"/>
          <w:b/>
          <w:sz w:val="22"/>
          <w:szCs w:val="22"/>
        </w:rPr>
      </w:pPr>
      <w:r w:rsidRPr="006B2FD0">
        <w:rPr>
          <w:rFonts w:ascii="Arial" w:hAnsi="Arial" w:cs="Arial"/>
          <w:sz w:val="22"/>
          <w:szCs w:val="22"/>
        </w:rPr>
        <w:t>LRCDE computes a t-statistic, t-statistic p-value, and t-statistic based sensitivity calculation based upon the per gene variability of the group-wise coefficient estimates.  The LRCDE approach thus accounts for gene-by-gene differences in the coefficient estimate variability, as well as cell type-specific proportion variability across samples.  The more granular approach of LRCDE is thus more sensitive.</w:t>
      </w:r>
    </w:p>
    <w:p w14:paraId="23B1FC29" w14:textId="77777777" w:rsidR="00EB4E3C" w:rsidRPr="00874CE6" w:rsidRDefault="00EB4E3C" w:rsidP="00EB4E3C">
      <w:pPr>
        <w:pStyle w:val="Standard"/>
        <w:spacing w:line="480" w:lineRule="auto"/>
        <w:ind w:firstLine="720"/>
        <w:rPr>
          <w:rFonts w:ascii="Arial" w:hAnsi="Arial" w:cs="Arial"/>
          <w:b/>
          <w:sz w:val="22"/>
          <w:szCs w:val="22"/>
        </w:rPr>
      </w:pPr>
      <w:r w:rsidRPr="00874CE6">
        <w:rPr>
          <w:rFonts w:ascii="Arial" w:hAnsi="Arial" w:cs="Arial"/>
          <w:b/>
          <w:sz w:val="22"/>
          <w:szCs w:val="22"/>
        </w:rPr>
        <w:t>1.8 Comparing analysis of log2 transformed heterogeneous observations versus “as-is” observations in LRCDE analysis</w:t>
      </w:r>
    </w:p>
    <w:p w14:paraId="7E23681D" w14:textId="77777777" w:rsidR="00EB4E3C" w:rsidRPr="00874CE6" w:rsidRDefault="00EB4E3C" w:rsidP="00EB4E3C">
      <w:pPr>
        <w:spacing w:line="480" w:lineRule="auto"/>
        <w:rPr>
          <w:rFonts w:ascii="Arial" w:hAnsi="Arial" w:cs="Arial"/>
          <w:sz w:val="22"/>
          <w:szCs w:val="22"/>
        </w:rPr>
      </w:pPr>
      <w:r w:rsidRPr="00874CE6">
        <w:rPr>
          <w:rFonts w:ascii="Arial" w:hAnsi="Arial" w:cs="Arial"/>
          <w:sz w:val="22"/>
          <w:szCs w:val="22"/>
        </w:rPr>
        <w:t xml:space="preserve">We compared the TPR of LRCDE analysis of log2 transformed versus “as-is” data, questioned in </w:t>
      </w:r>
      <w:r w:rsidRPr="00025113">
        <w:rPr>
          <w:rFonts w:ascii="Arial" w:hAnsi="Arial" w:cs="Arial"/>
          <w:sz w:val="22"/>
          <w:szCs w:val="22"/>
        </w:rPr>
        <w:fldChar w:fldCharType="begin" w:fldLock="1"/>
      </w:r>
      <w:r>
        <w:rPr>
          <w:rFonts w:ascii="Arial" w:hAnsi="Arial" w:cs="Arial"/>
          <w:sz w:val="22"/>
          <w:szCs w:val="22"/>
        </w:rPr>
        <w:instrText>ADDIN CSL_CITATION { "citationItems" : [ { "id" : "ITEM-1", "itemData" : { "DOI" : "10.1038/nmeth.1830", "ISSN" : "1548-7105", "PMID" : "22205510", "author" : [ { "dropping-particle" : "", "family" : "Zhong", "given" : "Yi", "non-dropping-particle" : "", "parse-names" : false, "suffix" : "" }, { "dropping-particle" : "", "family" : "Liu", "given" : "Zhandong", "non-dropping-particle" : "", "parse-names" : false, "suffix" : "" } ], "container-title" : "Nature methods", "id" : "ITEM-1", "issue" : "1", "issued" : { "date-parts" : [ [ "2012", "1" ] ] }, "page" : "8-9; author reply 9", "publisher" : "Nature Publishing Group", "title" : "Gene expression deconvolution in linear space.", "type" : "article-journal", "volume" : "9" }, "uris" : [ "http://www.mendeley.com/documents/?uuid=3e15ce03-baec-406d-80a7-fb4545401bf7" ] } ], "mendeley" : { "formattedCitation" : "[23]", "plainTextFormattedCitation" : "[23]", "previouslyFormattedCitation" : "[23]" }, "properties" : { "noteIndex" : 0 }, "schema" : "https://github.com/citation-style-language/schema/raw/master/csl-citation.json" }</w:instrText>
      </w:r>
      <w:r w:rsidRPr="00874CE6">
        <w:rPr>
          <w:rFonts w:ascii="Arial" w:hAnsi="Arial" w:cs="Arial"/>
          <w:sz w:val="22"/>
          <w:szCs w:val="22"/>
        </w:rPr>
        <w:fldChar w:fldCharType="separate"/>
      </w:r>
      <w:r w:rsidRPr="00D60FF4">
        <w:rPr>
          <w:rFonts w:ascii="Arial" w:hAnsi="Arial" w:cs="Arial"/>
          <w:noProof/>
          <w:sz w:val="22"/>
          <w:szCs w:val="22"/>
        </w:rPr>
        <w:t>[23]</w:t>
      </w:r>
      <w:r w:rsidRPr="00025113">
        <w:rPr>
          <w:rFonts w:ascii="Arial" w:hAnsi="Arial" w:cs="Arial"/>
          <w:sz w:val="22"/>
          <w:szCs w:val="22"/>
        </w:rPr>
        <w:fldChar w:fldCharType="end"/>
      </w:r>
      <w:r>
        <w:rPr>
          <w:rFonts w:ascii="Arial" w:hAnsi="Arial" w:cs="Arial"/>
          <w:sz w:val="22"/>
          <w:szCs w:val="22"/>
        </w:rPr>
        <w:t xml:space="preserve"> (Figure 2D)</w:t>
      </w:r>
      <w:r w:rsidRPr="00025113">
        <w:rPr>
          <w:rFonts w:ascii="Arial" w:hAnsi="Arial" w:cs="Arial"/>
          <w:sz w:val="22"/>
          <w:szCs w:val="22"/>
        </w:rPr>
        <w:t>.  The main argument for using log</w:t>
      </w:r>
      <w:r w:rsidRPr="002438B0">
        <w:rPr>
          <w:rFonts w:ascii="Arial" w:hAnsi="Arial" w:cs="Arial"/>
          <w:sz w:val="22"/>
          <w:szCs w:val="22"/>
        </w:rPr>
        <w:t xml:space="preserve">2 transformed heterogeneous observations in linear regression deconvolution is that </w:t>
      </w:r>
      <w:r w:rsidRPr="00874CE6">
        <w:rPr>
          <w:rFonts w:ascii="Arial" w:hAnsi="Arial" w:cs="Arial"/>
          <w:sz w:val="22"/>
          <w:szCs w:val="22"/>
        </w:rPr>
        <w:t>log2 transformed observations closely follow a symmetric normal distribution. As the distribution of residuals from linear regression closely follow the distribution of the outcome variable, log2 transformed data satisfies this expectation of linear regression: the normality of residuals.</w:t>
      </w:r>
    </w:p>
    <w:p w14:paraId="2F5E1BB8" w14:textId="77777777" w:rsidR="00EB4E3C" w:rsidRPr="00874CE6" w:rsidRDefault="00EB4E3C" w:rsidP="00EB4E3C">
      <w:pPr>
        <w:pStyle w:val="Standard"/>
        <w:spacing w:line="480" w:lineRule="auto"/>
        <w:rPr>
          <w:rFonts w:ascii="Arial" w:hAnsi="Arial" w:cs="Arial"/>
          <w:sz w:val="22"/>
          <w:szCs w:val="22"/>
        </w:rPr>
      </w:pPr>
    </w:p>
    <w:p w14:paraId="485A2CFF" w14:textId="77777777" w:rsidR="00EB4E3C" w:rsidRDefault="00EB4E3C" w:rsidP="00EB4E3C">
      <w:pPr>
        <w:spacing w:line="480" w:lineRule="auto"/>
        <w:rPr>
          <w:rFonts w:ascii="Arial" w:hAnsi="Arial" w:cs="Arial"/>
          <w:sz w:val="22"/>
          <w:szCs w:val="22"/>
        </w:rPr>
      </w:pPr>
      <w:r w:rsidRPr="00874CE6">
        <w:rPr>
          <w:rFonts w:ascii="Arial" w:hAnsi="Arial" w:cs="Arial"/>
          <w:sz w:val="22"/>
          <w:szCs w:val="22"/>
        </w:rPr>
        <w:t>We performed simulations to address the question of whether analysis of the log2 transformed data provides any advantage over using “as-is” observations.  Random normal residuals were applied to the fitted heterogeneous matrix to create heterogeneous observations.  These were considered to be the normally distributed log2 transformed heterogeneous observations.  These log2 transformed observations were then de-logged to create “as-is” distribution of heterogeneous observations.  LRCDE analysis was applied to both log2 transformed and “as-is” heterogeneous matrices using identical simulated cell proportions, and the sensitivity (TPR) of cell type-specific differential expression detection was compared.  No substantive difference in TPR was observed between analysis of log2 (normal) versus “delogged” (exponentiated) log2 heterogeneous observations.  This is probably a result of the fact that the Gaus-Markov equation demonstrates that linear regression coefficient estimates are the Best Linear Unbiased Estimators (BLUE) of the true unknown coefficients and that there is no strict requirement of a normal distribution of residuals to hold in order for this to be the case.</w:t>
      </w:r>
    </w:p>
    <w:p w14:paraId="467D1398" w14:textId="77777777" w:rsidR="007A7CB4" w:rsidRDefault="00EB4E3C">
      <w:bookmarkStart w:id="0" w:name="_GoBack"/>
      <w:bookmarkEnd w:id="0"/>
    </w:p>
    <w:sectPr w:rsidR="007A7CB4" w:rsidSect="007D4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FC19D0"/>
    <w:multiLevelType w:val="multilevel"/>
    <w:tmpl w:val="77D8086E"/>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4C54039B"/>
    <w:multiLevelType w:val="multilevel"/>
    <w:tmpl w:val="615A3C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E3C"/>
    <w:rsid w:val="007C4121"/>
    <w:rsid w:val="007D4884"/>
    <w:rsid w:val="00EB4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DDEF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B4E3C"/>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qFormat/>
    <w:rsid w:val="00EB4E3C"/>
    <w:pPr>
      <w:widowControl w:val="0"/>
      <w:suppressAutoHyphens/>
      <w:textAlignment w:val="baseline"/>
    </w:pPr>
    <w:rPr>
      <w:rFonts w:ascii="Liberation Serif" w:eastAsia="Droid Sans Fallback" w:hAnsi="Liberation Serif" w:cs="FreeSans"/>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oleObject" Target="embeddings/oleObject9.bin"/><Relationship Id="rId21" Type="http://schemas.openxmlformats.org/officeDocument/2006/relationships/image" Target="media/image8.wmf"/><Relationship Id="rId22" Type="http://schemas.openxmlformats.org/officeDocument/2006/relationships/oleObject" Target="embeddings/oleObject10.bin"/><Relationship Id="rId23" Type="http://schemas.openxmlformats.org/officeDocument/2006/relationships/image" Target="media/image9.wmf"/><Relationship Id="rId24" Type="http://schemas.openxmlformats.org/officeDocument/2006/relationships/oleObject" Target="embeddings/oleObject11.bin"/><Relationship Id="rId25" Type="http://schemas.openxmlformats.org/officeDocument/2006/relationships/oleObject" Target="embeddings/oleObject12.bin"/><Relationship Id="rId26" Type="http://schemas.openxmlformats.org/officeDocument/2006/relationships/image" Target="media/image10.wmf"/><Relationship Id="rId27" Type="http://schemas.openxmlformats.org/officeDocument/2006/relationships/oleObject" Target="embeddings/oleObject13.bin"/><Relationship Id="rId28" Type="http://schemas.openxmlformats.org/officeDocument/2006/relationships/image" Target="media/image11.wmf"/><Relationship Id="rId29" Type="http://schemas.openxmlformats.org/officeDocument/2006/relationships/oleObject" Target="embeddings/oleObject14.bin"/><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wmf"/><Relationship Id="rId30" Type="http://schemas.openxmlformats.org/officeDocument/2006/relationships/image" Target="media/image12.wmf"/><Relationship Id="rId31" Type="http://schemas.openxmlformats.org/officeDocument/2006/relationships/oleObject" Target="embeddings/oleObject15.bin"/><Relationship Id="rId32" Type="http://schemas.openxmlformats.org/officeDocument/2006/relationships/image" Target="media/image13.wmf"/><Relationship Id="rId9" Type="http://schemas.openxmlformats.org/officeDocument/2006/relationships/image" Target="media/image3.wmf"/><Relationship Id="rId6" Type="http://schemas.openxmlformats.org/officeDocument/2006/relationships/oleObject" Target="embeddings/oleObject1.bin"/><Relationship Id="rId7" Type="http://schemas.openxmlformats.org/officeDocument/2006/relationships/image" Target="media/image2.wmf"/><Relationship Id="rId8" Type="http://schemas.openxmlformats.org/officeDocument/2006/relationships/oleObject" Target="embeddings/oleObject2.bin"/><Relationship Id="rId33" Type="http://schemas.openxmlformats.org/officeDocument/2006/relationships/oleObject" Target="embeddings/oleObject16.bin"/><Relationship Id="rId34" Type="http://schemas.openxmlformats.org/officeDocument/2006/relationships/image" Target="media/image14.wmf"/><Relationship Id="rId35" Type="http://schemas.openxmlformats.org/officeDocument/2006/relationships/oleObject" Target="embeddings/oleObject17.bin"/><Relationship Id="rId36" Type="http://schemas.openxmlformats.org/officeDocument/2006/relationships/fontTable" Target="fontTable.xml"/><Relationship Id="rId10" Type="http://schemas.openxmlformats.org/officeDocument/2006/relationships/oleObject" Target="embeddings/oleObject3.bin"/><Relationship Id="rId11" Type="http://schemas.openxmlformats.org/officeDocument/2006/relationships/image" Target="media/image4.wmf"/><Relationship Id="rId12" Type="http://schemas.openxmlformats.org/officeDocument/2006/relationships/oleObject" Target="embeddings/oleObject4.bin"/><Relationship Id="rId13" Type="http://schemas.openxmlformats.org/officeDocument/2006/relationships/image" Target="media/image5.wmf"/><Relationship Id="rId14" Type="http://schemas.openxmlformats.org/officeDocument/2006/relationships/oleObject" Target="embeddings/oleObject5.bin"/><Relationship Id="rId15" Type="http://schemas.openxmlformats.org/officeDocument/2006/relationships/image" Target="media/image6.wmf"/><Relationship Id="rId16" Type="http://schemas.openxmlformats.org/officeDocument/2006/relationships/oleObject" Target="embeddings/oleObject6.bin"/><Relationship Id="rId17" Type="http://schemas.openxmlformats.org/officeDocument/2006/relationships/oleObject" Target="embeddings/oleObject7.bin"/><Relationship Id="rId18" Type="http://schemas.openxmlformats.org/officeDocument/2006/relationships/oleObject" Target="embeddings/oleObject8.bin"/><Relationship Id="rId19" Type="http://schemas.openxmlformats.org/officeDocument/2006/relationships/image" Target="media/image7.wmf"/><Relationship Id="rId3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3008</Words>
  <Characters>17147</Characters>
  <Application>Microsoft Macintosh Word</Application>
  <DocSecurity>0</DocSecurity>
  <Lines>142</Lines>
  <Paragraphs>40</Paragraphs>
  <ScaleCrop>false</ScaleCrop>
  <LinksUpToDate>false</LinksUpToDate>
  <CharactersWithSpaces>20115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Dozmorov</dc:creator>
  <cp:keywords/>
  <dc:description/>
  <cp:lastModifiedBy>Mikhail Dozmorov</cp:lastModifiedBy>
  <cp:revision>1</cp:revision>
  <dcterms:created xsi:type="dcterms:W3CDTF">2016-08-02T19:22:00Z</dcterms:created>
  <dcterms:modified xsi:type="dcterms:W3CDTF">2016-08-02T19:23:00Z</dcterms:modified>
</cp:coreProperties>
</file>