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85AED" w14:textId="77777777" w:rsidR="00EB6DBC" w:rsidRPr="00D02BD7" w:rsidRDefault="00B02C40">
      <w:pPr>
        <w:rPr>
          <w:b/>
          <w:sz w:val="28"/>
          <w:szCs w:val="28"/>
          <w:u w:val="single"/>
        </w:rPr>
      </w:pPr>
      <w:r w:rsidRPr="00D02BD7">
        <w:rPr>
          <w:b/>
          <w:sz w:val="28"/>
          <w:szCs w:val="28"/>
          <w:u w:val="single"/>
        </w:rPr>
        <w:t>Supplementary Information</w:t>
      </w:r>
    </w:p>
    <w:p w14:paraId="641CBE8B" w14:textId="405473C8" w:rsidR="00D02BD7" w:rsidRDefault="00A53B07" w:rsidP="00D02BD7">
      <w:pPr>
        <w:spacing w:after="0" w:line="240" w:lineRule="auto"/>
      </w:pPr>
      <w:r w:rsidRPr="00083854">
        <w:rPr>
          <w:rFonts w:eastAsiaTheme="minorEastAsia"/>
        </w:rPr>
        <w:t xml:space="preserve">We model time to event data within a Weibull regression framework. </w:t>
      </w:r>
      <w:r w:rsidRPr="00801B54">
        <w:t xml:space="preserve">We denote the time to event for the </w:t>
      </w:r>
      <m:oMath>
        <m:r>
          <w:rPr>
            <w:rFonts w:ascii="Cambria Math" w:hAnsi="Cambria Math"/>
          </w:rPr>
          <m:t>i</m:t>
        </m:r>
      </m:oMath>
      <w:r w:rsidRPr="00801B54">
        <w:t>th patient by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801B54">
        <w:t>, and their treatment by covariate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801B54">
        <w:t>. We also denote their genotype at a SNP of interest by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S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801B54">
        <w:t xml:space="preserve">, coded under an additive dosage model (directly typed or imputed) for the minor allele. Within this framework, the time to event </w:t>
      </w:r>
      <w:r w:rsidR="00801B54">
        <w:t xml:space="preserve">for the </w:t>
      </w:r>
      <m:oMath>
        <m:r>
          <w:rPr>
            <w:rFonts w:ascii="Cambria Math" w:hAnsi="Cambria Math"/>
          </w:rPr>
          <m:t>i</m:t>
        </m:r>
      </m:oMath>
      <w:r w:rsidRPr="00801B54">
        <w:t>th patient is modelled by a Weibull dist</w:t>
      </w:r>
      <w:r w:rsidR="00801B54">
        <w:t xml:space="preserve">ribution with shape parameter, </w:t>
      </w:r>
      <m:oMath>
        <m:r>
          <w:rPr>
            <w:rFonts w:ascii="Cambria Math" w:hAnsi="Cambria Math"/>
          </w:rPr>
          <m:t>a</m:t>
        </m:r>
      </m:oMath>
      <w:r w:rsidRPr="00801B54">
        <w:t xml:space="preserve">, and scale parameter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kern w:val="24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/>
                    <w:i/>
                    <w:kern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kern w:val="24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kern w:val="24"/>
                  </w:rPr>
                  <m:t>i</m:t>
                </m:r>
              </m:sub>
            </m:sSub>
            <m:r>
              <w:rPr>
                <w:rFonts w:ascii="Cambria Math" w:hAnsi="Cambria Math"/>
                <w:kern w:val="24"/>
              </w:rPr>
              <m:t>=d</m:t>
            </m:r>
          </m:e>
          <m:sub>
            <m:r>
              <w:rPr>
                <w:rFonts w:ascii="Cambria Math" w:hAnsi="Cambria Math"/>
                <w:kern w:val="24"/>
              </w:rPr>
              <m:t>0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iCs/>
                <w:kern w:val="24"/>
              </w:rPr>
            </m:ctrlPr>
          </m:sSupPr>
          <m:e>
            <m:r>
              <w:rPr>
                <w:rFonts w:ascii="Cambria Math" w:hAnsi="Cambria Math"/>
                <w:kern w:val="24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kern w:val="24"/>
                  </w:rPr>
                </m:ctrlPr>
              </m:sSubPr>
              <m:e>
                <m:r>
                  <w:rPr>
                    <w:rFonts w:ascii="Cambria Math" w:hAnsi="Cambria Math"/>
                    <w:kern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kern w:val="24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kern w:val="24"/>
                  </w:rPr>
                </m:ctrlPr>
              </m:sSubPr>
              <m:e>
                <m:r>
                  <w:rPr>
                    <w:rFonts w:ascii="Cambria Math" w:hAnsi="Cambria Math"/>
                    <w:kern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kern w:val="24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kern w:val="24"/>
                  </w:rPr>
                </m:ctrlPr>
              </m:sSubPr>
              <m:e>
                <m:r>
                  <w:rPr>
                    <w:rFonts w:ascii="Cambria Math" w:hAnsi="Cambria Math"/>
                    <w:kern w:val="24"/>
                  </w:rPr>
                  <m:t>+β</m:t>
                </m:r>
              </m:e>
              <m:sub>
                <m:r>
                  <w:rPr>
                    <w:rFonts w:ascii="Cambria Math" w:hAnsi="Cambria Math"/>
                    <w:kern w:val="24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kern w:val="24"/>
                  </w:rPr>
                </m:ctrlPr>
              </m:sSubPr>
              <m:e>
                <m:r>
                  <w:rPr>
                    <w:rFonts w:ascii="Cambria Math" w:hAnsi="Cambria Math"/>
                    <w:kern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kern w:val="24"/>
                  </w:rPr>
                  <m:t>i</m:t>
                </m:r>
              </m:sub>
            </m:sSub>
            <m:r>
              <w:rPr>
                <w:rFonts w:ascii="Cambria Math" w:hAnsi="Cambria Math"/>
                <w:kern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kern w:val="24"/>
                  </w:rPr>
                </m:ctrlPr>
              </m:sSubPr>
              <m:e>
                <m:r>
                  <w:rPr>
                    <w:rFonts w:ascii="Cambria Math" w:hAnsi="Cambria Math"/>
                    <w:kern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kern w:val="24"/>
                  </w:rPr>
                  <m:t>γ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kern w:val="24"/>
                  </w:rPr>
                </m:ctrlPr>
              </m:sSubPr>
              <m:e>
                <m:r>
                  <w:rPr>
                    <w:rFonts w:ascii="Cambria Math" w:hAnsi="Cambria Math"/>
                    <w:kern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kern w:val="24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kern w:val="24"/>
                  </w:rPr>
                </m:ctrlPr>
              </m:sSubPr>
              <m:e>
                <m:r>
                  <w:rPr>
                    <w:rFonts w:ascii="Cambria Math" w:hAnsi="Cambria Math"/>
                    <w:kern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kern w:val="24"/>
                  </w:rPr>
                  <m:t>i</m:t>
                </m:r>
              </m:sub>
            </m:sSub>
          </m:sup>
        </m:sSup>
      </m:oMath>
      <w:r w:rsidRPr="00801B54">
        <w:t>.</w:t>
      </w:r>
      <w:r w:rsidR="00D90816" w:rsidRPr="00801B54">
        <w:rPr>
          <w:rFonts w:cs="Minion-Regular"/>
        </w:rPr>
        <w:t xml:space="preserve"> </w:t>
      </w:r>
      <w:r w:rsidR="00FF673D" w:rsidRPr="00801B54">
        <w:rPr>
          <w:rFonts w:cs="Minion-Regular"/>
        </w:rPr>
        <w:t xml:space="preserve">The parameters </w:t>
      </w:r>
      <m:oMath>
        <m:sSub>
          <m:sSubPr>
            <m:ctrlPr>
              <w:rPr>
                <w:rFonts w:ascii="Cambria Math" w:hAnsi="Cambria Math" w:cs="Minion-Regular"/>
                <w:i/>
                <w:iCs/>
              </w:rPr>
            </m:ctrlPr>
          </m:sSubPr>
          <m:e>
            <m:r>
              <w:rPr>
                <w:rFonts w:ascii="Cambria Math" w:hAnsi="Cambria Math" w:cs="Minion-Regular"/>
              </w:rPr>
              <m:t>β</m:t>
            </m:r>
          </m:e>
          <m:sub>
            <m:r>
              <w:rPr>
                <w:rFonts w:ascii="Cambria Math" w:hAnsi="Cambria Math" w:cs="Minion-Regular"/>
              </w:rPr>
              <m:t>s</m:t>
            </m:r>
          </m:sub>
        </m:sSub>
        <m:r>
          <w:rPr>
            <w:rFonts w:ascii="Cambria Math" w:hAnsi="Cambria Math" w:cs="Minion-Regular"/>
          </w:rPr>
          <m:t> </m:t>
        </m:r>
      </m:oMath>
      <w:r w:rsidR="00FF673D" w:rsidRPr="00801B54">
        <w:rPr>
          <w:rFonts w:cs="Minion-Regular"/>
        </w:rPr>
        <w:t xml:space="preserve">and </w:t>
      </w:r>
      <m:oMath>
        <m:sSub>
          <m:sSubPr>
            <m:ctrlPr>
              <w:rPr>
                <w:rFonts w:ascii="Cambria Math" w:hAnsi="Cambria Math" w:cs="Minion-Regular"/>
                <w:i/>
                <w:iCs/>
              </w:rPr>
            </m:ctrlPr>
          </m:sSubPr>
          <m:e>
            <m:r>
              <w:rPr>
                <w:rFonts w:ascii="Cambria Math" w:hAnsi="Cambria Math" w:cs="Minion-Regular"/>
              </w:rPr>
              <m:t>β</m:t>
            </m:r>
          </m:e>
          <m:sub>
            <m:r>
              <w:rPr>
                <w:rFonts w:ascii="Cambria Math" w:hAnsi="Cambria Math" w:cs="Minion-Regular"/>
              </w:rPr>
              <m:t>x</m:t>
            </m:r>
          </m:sub>
        </m:sSub>
      </m:oMath>
      <w:r w:rsidR="00FF673D" w:rsidRPr="00801B54">
        <w:rPr>
          <w:rFonts w:cs="Minion-Regular"/>
        </w:rPr>
        <w:t xml:space="preserve"> are the effect on hazard of the minor allele at the SNP, and the treatment effect, respectively, </w:t>
      </w:r>
      <w:r w:rsidR="00425888" w:rsidRPr="00801B54">
        <w:rPr>
          <w:rFonts w:cs="Minion-Regular"/>
        </w:rPr>
        <w:t>and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kern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kern w:val="24"/>
              </w:rPr>
              <m:t>β</m:t>
            </m:r>
          </m:e>
          <m:sub>
            <m:r>
              <w:rPr>
                <w:rFonts w:ascii="Cambria Math" w:hAnsi="Cambria Math"/>
                <w:color w:val="000000" w:themeColor="text1"/>
                <w:kern w:val="24"/>
              </w:rPr>
              <m:t>γ</m:t>
            </m:r>
          </m:sub>
        </m:sSub>
      </m:oMath>
      <w:r w:rsidR="00FF673D" w:rsidRPr="00801B54">
        <w:rPr>
          <w:rFonts w:eastAsiaTheme="minorEastAsia" w:cs="Minion-Regular"/>
          <w:iCs/>
          <w:color w:val="000000" w:themeColor="text1"/>
          <w:kern w:val="24"/>
        </w:rPr>
        <w:t xml:space="preserve"> is the interaction effect between the SNP and treatment</w:t>
      </w:r>
      <w:r w:rsidR="00425888" w:rsidRPr="00801B54">
        <w:rPr>
          <w:rFonts w:eastAsiaTheme="minorEastAsia" w:cs="Minion-Regular"/>
          <w:iCs/>
          <w:color w:val="000000" w:themeColor="text1"/>
          <w:kern w:val="24"/>
        </w:rPr>
        <w:t xml:space="preserve">, whilst </w:t>
      </w:r>
      <m:oMath>
        <m:sSub>
          <m:sSubPr>
            <m:ctrlPr>
              <w:rPr>
                <w:rFonts w:ascii="Cambria Math" w:hAnsi="Cambria Math" w:cs="Minion-Regular"/>
                <w:i/>
                <w:iCs/>
              </w:rPr>
            </m:ctrlPr>
          </m:sSubPr>
          <m:e>
            <m:r>
              <w:rPr>
                <w:rFonts w:ascii="Cambria Math" w:hAnsi="Cambria Math" w:cs="Minion-Regular"/>
              </w:rPr>
              <m:t>d</m:t>
            </m:r>
          </m:e>
          <m:sub>
            <m:r>
              <w:rPr>
                <w:rFonts w:ascii="Cambria Math" w:hAnsi="Cambria Math" w:cs="Minion-Regular"/>
              </w:rPr>
              <m:t>0</m:t>
            </m:r>
          </m:sub>
        </m:sSub>
      </m:oMath>
      <w:r w:rsidR="00425888" w:rsidRPr="00801B54">
        <w:rPr>
          <w:rFonts w:eastAsiaTheme="minorEastAsia" w:cs="Minion-Regular"/>
          <w:iCs/>
        </w:rPr>
        <w:t xml:space="preserve"> is the “baseline” scale parameter</w:t>
      </w:r>
      <w:r w:rsidR="00FF673D" w:rsidRPr="00801B54">
        <w:rPr>
          <w:rFonts w:eastAsiaTheme="minorEastAsia" w:cs="Minion-Regular"/>
          <w:iCs/>
          <w:color w:val="000000" w:themeColor="text1"/>
          <w:kern w:val="24"/>
        </w:rPr>
        <w:t xml:space="preserve">. </w:t>
      </w:r>
    </w:p>
    <w:p w14:paraId="3DC6D6A7" w14:textId="77777777" w:rsidR="00FF673D" w:rsidRDefault="00FF673D" w:rsidP="00D02BD7">
      <w:pPr>
        <w:spacing w:after="0" w:line="240" w:lineRule="auto"/>
      </w:pPr>
    </w:p>
    <w:p w14:paraId="10259DB0" w14:textId="77777777" w:rsidR="00425888" w:rsidRDefault="00425888" w:rsidP="00D02BD7">
      <w:pPr>
        <w:spacing w:after="0" w:line="240" w:lineRule="auto"/>
      </w:pPr>
      <w:r>
        <w:t>The likelihood of the observed time to event data under the Weibull model is then given by</w:t>
      </w:r>
    </w:p>
    <w:p w14:paraId="0E1F1453" w14:textId="77777777" w:rsidR="00425888" w:rsidRDefault="00425888" w:rsidP="00D02BD7">
      <w:pPr>
        <w:spacing w:after="0" w:line="240" w:lineRule="auto"/>
      </w:pPr>
    </w:p>
    <w:p w14:paraId="595B6E25" w14:textId="77777777" w:rsidR="00425888" w:rsidRDefault="00D90816" w:rsidP="00083854">
      <w:pPr>
        <w:spacing w:after="0" w:line="240" w:lineRule="auto"/>
        <w:jc w:val="center"/>
      </w:pPr>
      <m:oMath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</w:rPr>
              <m:t>t</m:t>
            </m:r>
            <m:r>
              <w:rPr>
                <w:rFonts w:ascii="Cambria Math" w:hAnsi="Cambria Math"/>
              </w:rPr>
              <m:t>,</m:t>
            </m:r>
            <m:r>
              <m:rPr>
                <m:sty m:val="b"/>
              </m:rPr>
              <w:rPr>
                <w:rFonts w:ascii="Cambria Math" w:hAnsi="Cambria Math"/>
              </w:rPr>
              <m:t>c</m:t>
            </m:r>
          </m:e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a,d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γ</m:t>
                </m:r>
              </m:sub>
            </m:sSub>
          </m:e>
        </m:d>
        <m:r>
          <w:rPr>
            <w:rFonts w:ascii="Cambria Math" w:hAnsi="Cambria Math"/>
          </w:rPr>
          <m:t>=</m:t>
        </m:r>
        <m:nary>
          <m:naryPr>
            <m:chr m:val="∏"/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</m:t>
            </m:r>
          </m:sub>
          <m:sup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|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a,d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γ</m:t>
                    </m:r>
                  </m:sub>
                </m:sSub>
                <m:r>
                  <w:rPr>
                    <w:rFonts w:ascii="Cambria Math" w:hAnsi="Cambria Math"/>
                  </w:rPr>
                  <m:t>)</m:t>
                </m:r>
              </m:e>
              <m:sup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sup>
            </m:sSup>
          </m:e>
        </m:nary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a,d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γ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1-c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p>
        </m:sSup>
      </m:oMath>
      <w:r>
        <w:rPr>
          <w:rFonts w:eastAsiaTheme="minorEastAsia"/>
        </w:rPr>
        <w:t>,</w:t>
      </w:r>
    </w:p>
    <w:p w14:paraId="6A27C3C5" w14:textId="77777777" w:rsidR="00D02BD7" w:rsidRDefault="00D02BD7" w:rsidP="00D02BD7">
      <w:pPr>
        <w:spacing w:after="0" w:line="240" w:lineRule="auto"/>
      </w:pPr>
    </w:p>
    <w:p w14:paraId="128E4B63" w14:textId="77777777" w:rsidR="00425888" w:rsidRDefault="00425888" w:rsidP="00D02BD7">
      <w:pPr>
        <w:spacing w:after="0" w:line="240" w:lineRule="auto"/>
      </w:pPr>
    </w:p>
    <w:p w14:paraId="2243DDEB" w14:textId="313589D2" w:rsidR="00D02BD7" w:rsidRDefault="008D7854" w:rsidP="00D02BD7">
      <w:pPr>
        <w:spacing w:after="0" w:line="240" w:lineRule="auto"/>
        <w:rPr>
          <w:rFonts w:eastAsiaTheme="minorEastAsia"/>
        </w:rPr>
      </w:pPr>
      <w:r>
        <w:t>Where</w:t>
      </w:r>
      <w:r w:rsidR="00D9081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=0</m:t>
        </m:r>
      </m:oMath>
      <w:r w:rsidR="00801B54">
        <w:rPr>
          <w:rFonts w:eastAsiaTheme="minorEastAsia"/>
        </w:rPr>
        <w:t xml:space="preserve"> if the </w:t>
      </w:r>
      <m:oMath>
        <m:r>
          <w:rPr>
            <w:rFonts w:ascii="Cambria Math" w:eastAsiaTheme="minorEastAsia" w:hAnsi="Cambria Math"/>
          </w:rPr>
          <m:t>i</m:t>
        </m:r>
      </m:oMath>
      <w:r w:rsidR="00D90816">
        <w:rPr>
          <w:rFonts w:eastAsiaTheme="minorEastAsia"/>
        </w:rPr>
        <w:t>th patie</w:t>
      </w:r>
      <w:r w:rsidR="0098723C">
        <w:rPr>
          <w:rFonts w:eastAsiaTheme="minorEastAsia"/>
        </w:rPr>
        <w:t>nt is censored, and 1 otherwise, and</w:t>
      </w:r>
    </w:p>
    <w:p w14:paraId="20A5447C" w14:textId="77777777" w:rsidR="0098723C" w:rsidRDefault="0098723C" w:rsidP="00D02BD7">
      <w:pPr>
        <w:spacing w:after="0" w:line="240" w:lineRule="auto"/>
        <w:rPr>
          <w:rFonts w:eastAsiaTheme="minorEastAsia"/>
        </w:rPr>
      </w:pPr>
    </w:p>
    <w:p w14:paraId="7F4100CA" w14:textId="77777777" w:rsidR="0098723C" w:rsidRPr="00083854" w:rsidRDefault="0098723C" w:rsidP="00D02BD7">
      <w:pPr>
        <w:spacing w:after="0" w:line="240" w:lineRule="auto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a,d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γ</m:t>
                  </m: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e>
          </m:d>
          <m:r>
            <w:rPr>
              <w:rFonts w:ascii="Cambria Math" w:eastAsiaTheme="minorEastAsia" w:hAnsi="Cambria Math"/>
            </w:rPr>
            <m:t>=a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sSubSup>
            <m:sSubSupPr>
              <m:ctrlPr>
                <w:rPr>
                  <w:rFonts w:ascii="Cambria Math" w:eastAsiaTheme="minorEastAsia" w:hAnsi="Cambria Math"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  <m:sup>
              <m:r>
                <w:rPr>
                  <w:rFonts w:ascii="Cambria Math" w:eastAsiaTheme="minorEastAsia" w:hAnsi="Cambria Math"/>
                </w:rPr>
                <m:t>a-1</m:t>
              </m:r>
            </m:sup>
          </m:sSubSup>
          <m:func>
            <m:funcPr>
              <m:ctrlPr>
                <w:rPr>
                  <w:rFonts w:ascii="Cambria Math" w:eastAsiaTheme="minorEastAsia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sup>
                  </m:sSubSup>
                </m:e>
              </m:d>
            </m:e>
          </m:func>
        </m:oMath>
      </m:oMathPara>
    </w:p>
    <w:p w14:paraId="7BC84AFA" w14:textId="469105DD" w:rsidR="0098723C" w:rsidRPr="00083854" w:rsidRDefault="0098723C" w:rsidP="00D02BD7">
      <w:pPr>
        <w:spacing w:after="0" w:line="240" w:lineRule="auto"/>
        <w:rPr>
          <w:rFonts w:eastAsiaTheme="minorEastAsia"/>
        </w:rPr>
      </w:pPr>
    </w:p>
    <w:p w14:paraId="4DF153ED" w14:textId="77777777" w:rsidR="00D90816" w:rsidRDefault="0098723C" w:rsidP="00083854">
      <w:pPr>
        <w:spacing w:after="0" w:line="240" w:lineRule="auto"/>
        <w:jc w:val="center"/>
      </w:pPr>
      <m:oMath>
        <m:r>
          <w:rPr>
            <w:rFonts w:ascii="Cambria Math" w:hAnsi="Cambria Math"/>
          </w:rPr>
          <m:t>S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a,d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γ</m:t>
                </m:r>
              </m:sub>
            </m:sSub>
            <m:ctrlPr>
              <w:rPr>
                <w:rFonts w:ascii="Cambria Math" w:eastAsiaTheme="minorEastAsia" w:hAnsi="Cambria Math"/>
                <w:i/>
              </w:rPr>
            </m:ctrlP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exp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  <m:sSubSup>
                  <m:sSubSupPr>
                    <m:ctrlPr>
                      <w:rPr>
                        <w:rFonts w:ascii="Cambria Math" w:eastAsiaTheme="minorEastAsia" w:hAnsi="Cambria Math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sup>
                </m:sSubSup>
              </m:e>
            </m:d>
          </m:e>
        </m:func>
      </m:oMath>
      <w:r>
        <w:rPr>
          <w:rFonts w:eastAsiaTheme="minorEastAsia"/>
        </w:rPr>
        <w:t>.</w:t>
      </w:r>
    </w:p>
    <w:p w14:paraId="3E2D95B9" w14:textId="1537B9EF" w:rsidR="00D02BD7" w:rsidRPr="00801B54" w:rsidRDefault="00D02BD7" w:rsidP="00D02BD7">
      <w:pPr>
        <w:spacing w:after="0" w:line="240" w:lineRule="auto"/>
        <w:rPr>
          <w:i/>
        </w:rPr>
      </w:pPr>
    </w:p>
    <w:p w14:paraId="75D59FE3" w14:textId="77777777" w:rsidR="00D02BD7" w:rsidRDefault="00D02BD7" w:rsidP="00D02BD7">
      <w:pPr>
        <w:spacing w:after="0" w:line="240" w:lineRule="auto"/>
      </w:pPr>
    </w:p>
    <w:p w14:paraId="1F63C4D2" w14:textId="7E1CDADC" w:rsidR="00D02BD7" w:rsidRDefault="0098723C" w:rsidP="00D02BD7">
      <w:pPr>
        <w:spacing w:after="0" w:line="240" w:lineRule="auto"/>
      </w:pPr>
      <w:r>
        <w:t xml:space="preserve">We obtain maximum likelihood estimates </w:t>
      </w:r>
      <w:r w:rsidR="003D4A32">
        <w:t>for the set of</w:t>
      </w:r>
      <w:r>
        <w:t xml:space="preserve"> model parameters </w:t>
      </w:r>
      <m:oMath>
        <m:r>
          <m:rPr>
            <m:sty m:val="b"/>
          </m:rPr>
          <w:rPr>
            <w:rFonts w:ascii="Cambria Math" w:hAnsi="Cambria Math"/>
          </w:rPr>
          <m:t>θ</m:t>
        </m:r>
        <m:r>
          <w:rPr>
            <w:rFonts w:ascii="Cambria Math" w:hAnsi="Cambria Math"/>
          </w:rPr>
          <m:t>={a,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r>
          <m:rPr>
            <m:sty m:val="b"/>
          </m:rPr>
          <w:rPr>
            <w:rFonts w:ascii="Cambria Math" w:hAnsi="Cambria Math"/>
          </w:rPr>
          <m:t>β</m:t>
        </m:r>
        <m:r>
          <w:rPr>
            <w:rFonts w:ascii="Cambria Math" w:hAnsi="Cambria Math"/>
          </w:rPr>
          <m:t>}</m:t>
        </m:r>
      </m:oMath>
      <w:r>
        <w:rPr>
          <w:rFonts w:eastAsiaTheme="minorEastAsia"/>
        </w:rPr>
        <w:t xml:space="preserve"> using a Newton-Raphson method, such that</w:t>
      </w:r>
    </w:p>
    <w:p w14:paraId="518281C8" w14:textId="3D13CE22" w:rsidR="00D02BD7" w:rsidRPr="00801B54" w:rsidRDefault="00B132DE" w:rsidP="00D02BD7">
      <w:pPr>
        <w:spacing w:after="0" w:line="240" w:lineRule="auto"/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m:rPr>
            <m:sty m:val="b"/>
          </m:rPr>
          <w:rPr>
            <w:rFonts w:ascii="Cambria Math" w:hAnsi="Cambria Math"/>
          </w:rPr>
          <m:t>∇</m:t>
        </m:r>
      </m:oMath>
      <w:r w:rsidR="00801B54">
        <w:rPr>
          <w:rFonts w:eastAsiaTheme="minorEastAsia"/>
        </w:rPr>
        <w:t>,</w:t>
      </w:r>
    </w:p>
    <w:p w14:paraId="16B9B92A" w14:textId="77777777" w:rsidR="00D02BD7" w:rsidRDefault="00D02BD7" w:rsidP="00D02BD7">
      <w:pPr>
        <w:spacing w:after="0" w:line="240" w:lineRule="auto"/>
      </w:pPr>
    </w:p>
    <w:p w14:paraId="6E013C1F" w14:textId="54EC7CBB" w:rsidR="00D02BD7" w:rsidRDefault="00801B54" w:rsidP="00D02BD7">
      <w:pPr>
        <w:spacing w:after="0" w:line="240" w:lineRule="auto"/>
      </w:pPr>
      <w:r>
        <w:t>w</w:t>
      </w:r>
      <w:r w:rsidR="00D02BD7">
        <w:t xml:space="preserve">here, </w:t>
      </w:r>
      <m:oMath>
        <m:r>
          <m:rPr>
            <m:sty m:val="b"/>
          </m:rPr>
          <w:rPr>
            <w:rFonts w:ascii="Cambria Math" w:hAnsi="Cambria Math"/>
          </w:rPr>
          <m:t>H</m:t>
        </m:r>
      </m:oMath>
      <w:r w:rsidR="00D02BD7">
        <w:t xml:space="preserve"> is the hessian matrix, </w:t>
      </w:r>
      <m:oMath>
        <m:r>
          <m:rPr>
            <m:sty m:val="b"/>
          </m:rPr>
          <w:rPr>
            <w:rFonts w:ascii="Cambria Math" w:hAnsi="Cambria Math"/>
          </w:rPr>
          <m:t>∇</m:t>
        </m:r>
      </m:oMath>
      <w:r w:rsidR="00D02BD7">
        <w:t xml:space="preserve"> is the first order derivative vector</w:t>
      </w:r>
      <w:r>
        <w:t>,</w:t>
      </w:r>
      <w:r w:rsidR="00D02BD7">
        <w:t xml:space="preserve"> and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D02BD7">
        <w:t xml:space="preserve"> are</w:t>
      </w:r>
      <w:r>
        <w:t xml:space="preserve"> parameter estimates in the </w:t>
      </w:r>
      <m:oMath>
        <m:r>
          <w:rPr>
            <w:rFonts w:ascii="Cambria Math" w:hAnsi="Cambria Math"/>
          </w:rPr>
          <m:t>n</m:t>
        </m:r>
      </m:oMath>
      <w:r>
        <w:t>th iteration</w:t>
      </w:r>
      <w:r w:rsidR="00D02BD7">
        <w:t xml:space="preserve">. </w:t>
      </w:r>
      <w:r>
        <w:t>From the maximum-likelihood parameter estimates, we</w:t>
      </w:r>
      <w:r w:rsidR="00D02BD7">
        <w:t xml:space="preserve"> calculate a z</w:t>
      </w:r>
      <w:r>
        <w:t>-</w:t>
      </w:r>
      <w:r w:rsidR="00D02BD7">
        <w:t xml:space="preserve">statistic for each </w:t>
      </w:r>
      <w:r>
        <w:t xml:space="preserve">regression </w:t>
      </w:r>
      <w:r w:rsidR="00D02BD7">
        <w:t>co-efficient</w:t>
      </w:r>
      <w:r>
        <w:t>, given by</w:t>
      </w:r>
    </w:p>
    <w:p w14:paraId="406C767C" w14:textId="4644B2C1" w:rsidR="00D02BD7" w:rsidRPr="00742072" w:rsidRDefault="00D02BD7" w:rsidP="00D02BD7">
      <w:pPr>
        <w:spacing w:after="0" w:line="240" w:lineRule="auto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z=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trlPr>
                    <w:rPr>
                      <w:rFonts w:ascii="Cambria Math" w:hAnsi="Cambria Math"/>
                      <w:b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β</m:t>
                  </m:r>
                </m:e>
              </m:acc>
            </m:num>
            <m:den>
              <m:r>
                <w:rPr>
                  <w:rFonts w:ascii="Cambria Math" w:hAnsi="Cambria Math"/>
                </w:rPr>
                <m:t>SE(</m:t>
              </m:r>
              <m:acc>
                <m:accPr>
                  <m:ctrlPr>
                    <w:rPr>
                      <w:rFonts w:ascii="Cambria Math" w:hAnsi="Cambria Math"/>
                      <w:b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β</m:t>
                  </m:r>
                </m:e>
              </m:acc>
              <m:r>
                <w:rPr>
                  <w:rFonts w:ascii="Cambria Math" w:hAnsi="Cambria Math"/>
                </w:rPr>
                <m:t>)</m:t>
              </m:r>
            </m:den>
          </m:f>
        </m:oMath>
      </m:oMathPara>
    </w:p>
    <w:p w14:paraId="1C0A4B64" w14:textId="77777777" w:rsidR="00742072" w:rsidRPr="004A62DC" w:rsidRDefault="00742072" w:rsidP="00D02BD7">
      <w:pPr>
        <w:spacing w:after="0" w:line="240" w:lineRule="auto"/>
        <w:rPr>
          <w:rFonts w:eastAsiaTheme="minorEastAsia"/>
        </w:rPr>
      </w:pPr>
    </w:p>
    <w:p w14:paraId="51FAF4B9" w14:textId="586E440D" w:rsidR="00D02BD7" w:rsidRDefault="00801B54" w:rsidP="00D02BD7">
      <w:pPr>
        <w:spacing w:after="0" w:line="240" w:lineRule="auto"/>
      </w:pPr>
      <w:r>
        <w:t xml:space="preserve">We then obtain a </w:t>
      </w:r>
      <w:r w:rsidR="00D02BD7">
        <w:t xml:space="preserve">p-value for each </w:t>
      </w:r>
      <w:r>
        <w:t>regression parameter using</w:t>
      </w:r>
    </w:p>
    <w:p w14:paraId="238B3C4B" w14:textId="77777777" w:rsidR="002B435F" w:rsidRDefault="002B435F" w:rsidP="00D02BD7">
      <w:pPr>
        <w:spacing w:after="0" w:line="240" w:lineRule="auto"/>
      </w:pPr>
    </w:p>
    <w:p w14:paraId="2F94CFFB" w14:textId="538ED95D" w:rsidR="00D02BD7" w:rsidRPr="00853901" w:rsidRDefault="00D02BD7" w:rsidP="00D02BD7">
      <w:pPr>
        <w:spacing w:after="0" w:line="240" w:lineRule="auto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p=2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-∞</m:t>
                  </m:r>
                </m:sub>
                <m:sup>
                  <m:r>
                    <w:rPr>
                      <w:rFonts w:ascii="Cambria Math" w:hAnsi="Cambria Math"/>
                    </w:rPr>
                    <m:t>|z|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r>
                            <w:rPr>
                              <w:rFonts w:ascii="Cambria Math" w:hAnsi="Cambria Math"/>
                            </w:rPr>
                            <m:t>π</m:t>
                          </m:r>
                        </m:e>
                      </m:rad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sup>
                  </m:sSup>
                </m:e>
              </m:nary>
              <m:r>
                <w:rPr>
                  <w:rFonts w:ascii="Cambria Math" w:hAnsi="Cambria Math"/>
                </w:rPr>
                <m:t>dy</m:t>
              </m:r>
            </m:e>
          </m:d>
        </m:oMath>
      </m:oMathPara>
      <w:bookmarkStart w:id="0" w:name="_GoBack"/>
      <w:bookmarkEnd w:id="0"/>
    </w:p>
    <w:p w14:paraId="7AFB95A4" w14:textId="77777777" w:rsidR="00D02BD7" w:rsidRPr="00853901" w:rsidRDefault="00D02BD7" w:rsidP="00D02BD7">
      <w:pPr>
        <w:spacing w:after="0" w:line="240" w:lineRule="auto"/>
        <w:rPr>
          <w:rFonts w:eastAsiaTheme="minorEastAsia"/>
        </w:rPr>
      </w:pPr>
    </w:p>
    <w:p w14:paraId="7F9CF778" w14:textId="77777777" w:rsidR="00D02BD7" w:rsidRPr="00B02C40" w:rsidRDefault="00D02BD7">
      <w:pPr>
        <w:rPr>
          <w:u w:val="single"/>
        </w:rPr>
      </w:pPr>
    </w:p>
    <w:sectPr w:rsidR="00D02BD7" w:rsidRPr="00B02C40" w:rsidSect="002B435F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io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40"/>
    <w:rsid w:val="00052B39"/>
    <w:rsid w:val="00083854"/>
    <w:rsid w:val="002B435F"/>
    <w:rsid w:val="002E3E83"/>
    <w:rsid w:val="003D4A32"/>
    <w:rsid w:val="00412FDD"/>
    <w:rsid w:val="00425888"/>
    <w:rsid w:val="00472C91"/>
    <w:rsid w:val="00742072"/>
    <w:rsid w:val="00801B54"/>
    <w:rsid w:val="008054B9"/>
    <w:rsid w:val="008D7854"/>
    <w:rsid w:val="0098723C"/>
    <w:rsid w:val="00A53B07"/>
    <w:rsid w:val="00B02C40"/>
    <w:rsid w:val="00B132DE"/>
    <w:rsid w:val="00D02BD7"/>
    <w:rsid w:val="00D90816"/>
    <w:rsid w:val="00EB6DBC"/>
    <w:rsid w:val="00F507E9"/>
    <w:rsid w:val="00F7124A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EE142"/>
  <w15:docId w15:val="{F6D04DAC-F52F-4CDF-9305-26313AD5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BD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53B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B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B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B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B0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25888"/>
    <w:rPr>
      <w:color w:val="808080"/>
    </w:rPr>
  </w:style>
  <w:style w:type="paragraph" w:styleId="Revision">
    <w:name w:val="Revision"/>
    <w:hidden/>
    <w:uiPriority w:val="99"/>
    <w:semiHidden/>
    <w:rsid w:val="00801B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Syed, Hamzah</dc:creator>
  <cp:lastModifiedBy>Andrew Morris</cp:lastModifiedBy>
  <cp:revision>3</cp:revision>
  <dcterms:created xsi:type="dcterms:W3CDTF">2016-10-10T12:15:00Z</dcterms:created>
  <dcterms:modified xsi:type="dcterms:W3CDTF">2016-11-24T16:44:00Z</dcterms:modified>
</cp:coreProperties>
</file>