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9D575" w14:textId="77777777" w:rsidR="00343DD8" w:rsidRDefault="00343DD8" w:rsidP="00343DD8">
      <w:pPr>
        <w:spacing w:line="480" w:lineRule="auto"/>
        <w:rPr>
          <w:rFonts w:ascii="Arial" w:hAnsi="Arial" w:cs="Times"/>
          <w:sz w:val="22"/>
          <w:szCs w:val="22"/>
        </w:rPr>
      </w:pPr>
      <w:bookmarkStart w:id="0" w:name="_GoBack"/>
      <w:bookmarkEnd w:id="0"/>
    </w:p>
    <w:p w14:paraId="2FEE94BE" w14:textId="28D93437" w:rsidR="00343DD8" w:rsidRPr="00A166AC" w:rsidRDefault="00343DD8" w:rsidP="00343DD8">
      <w:pPr>
        <w:spacing w:line="480" w:lineRule="auto"/>
        <w:rPr>
          <w:rFonts w:ascii="Arial" w:hAnsi="Arial" w:cs="Times"/>
          <w:b/>
          <w:sz w:val="22"/>
          <w:szCs w:val="22"/>
        </w:rPr>
      </w:pPr>
      <w:r w:rsidRPr="00A166AC">
        <w:rPr>
          <w:rFonts w:ascii="Arial" w:hAnsi="Arial" w:cs="Times"/>
          <w:b/>
          <w:sz w:val="22"/>
          <w:szCs w:val="22"/>
        </w:rPr>
        <w:t xml:space="preserve">Robustness of </w:t>
      </w:r>
      <w:r>
        <w:rPr>
          <w:rFonts w:ascii="Arial" w:hAnsi="Arial" w:cs="Times"/>
          <w:b/>
          <w:sz w:val="22"/>
          <w:szCs w:val="22"/>
        </w:rPr>
        <w:t>Diversity</w:t>
      </w:r>
      <w:r w:rsidR="005C760D">
        <w:rPr>
          <w:rFonts w:ascii="Arial" w:hAnsi="Arial" w:cs="Times"/>
          <w:b/>
          <w:sz w:val="22"/>
          <w:szCs w:val="22"/>
        </w:rPr>
        <w:t>/Dynamics</w:t>
      </w:r>
      <w:r>
        <w:rPr>
          <w:rFonts w:ascii="Arial" w:hAnsi="Arial" w:cs="Times"/>
          <w:b/>
          <w:sz w:val="22"/>
          <w:szCs w:val="22"/>
        </w:rPr>
        <w:t xml:space="preserve"> Measures</w:t>
      </w:r>
    </w:p>
    <w:p w14:paraId="6ECD0015" w14:textId="1FC37070" w:rsidR="00343DD8" w:rsidRDefault="00343DD8" w:rsidP="00343DD8">
      <w:pPr>
        <w:spacing w:line="480" w:lineRule="auto"/>
        <w:rPr>
          <w:rFonts w:ascii="Arial" w:eastAsia="Times New Roman" w:hAnsi="Arial" w:cs="Times New Roman"/>
          <w:color w:val="000000"/>
          <w:sz w:val="22"/>
          <w:szCs w:val="22"/>
          <w:shd w:val="clear" w:color="auto" w:fill="FFFFFF"/>
        </w:rPr>
      </w:pPr>
      <w:r>
        <w:rPr>
          <w:rFonts w:ascii="Arial" w:eastAsia="Times New Roman" w:hAnsi="Arial" w:cs="Times New Roman"/>
          <w:color w:val="000000"/>
          <w:sz w:val="22"/>
          <w:szCs w:val="22"/>
          <w:shd w:val="clear" w:color="auto" w:fill="FFFFFF"/>
        </w:rPr>
        <w:t xml:space="preserve">To explore the robustness of the diversity index, we calculated the correlation coefficient of each diversity index with </w:t>
      </w:r>
      <w:proofErr w:type="gramStart"/>
      <w:r>
        <w:rPr>
          <w:rFonts w:ascii="Arial" w:eastAsia="Times New Roman" w:hAnsi="Arial" w:cs="Times New Roman"/>
          <w:color w:val="000000"/>
          <w:sz w:val="22"/>
          <w:szCs w:val="22"/>
          <w:shd w:val="clear" w:color="auto" w:fill="FFFFFF"/>
        </w:rPr>
        <w:t>log</w:t>
      </w:r>
      <w:r w:rsidRPr="00C405F0">
        <w:rPr>
          <w:rFonts w:ascii="Arial" w:eastAsia="Times New Roman" w:hAnsi="Arial" w:cs="Times New Roman"/>
          <w:color w:val="000000"/>
          <w:sz w:val="22"/>
          <w:szCs w:val="22"/>
          <w:shd w:val="clear" w:color="auto" w:fill="FFFFFF"/>
          <w:vertAlign w:val="subscript"/>
        </w:rPr>
        <w:t>10</w:t>
      </w:r>
      <w:r>
        <w:rPr>
          <w:rFonts w:ascii="Arial" w:eastAsia="Times New Roman" w:hAnsi="Arial" w:cs="Times New Roman"/>
          <w:color w:val="000000"/>
          <w:sz w:val="22"/>
          <w:szCs w:val="22"/>
          <w:shd w:val="clear" w:color="auto" w:fill="FFFFFF"/>
        </w:rPr>
        <w:t>(</w:t>
      </w:r>
      <w:proofErr w:type="gramEnd"/>
      <w:r>
        <w:rPr>
          <w:rFonts w:ascii="Arial" w:eastAsia="Times New Roman" w:hAnsi="Arial" w:cs="Times New Roman"/>
          <w:color w:val="000000"/>
          <w:sz w:val="22"/>
          <w:szCs w:val="22"/>
          <w:shd w:val="clear" w:color="auto" w:fill="FFFFFF"/>
        </w:rPr>
        <w:t xml:space="preserve">number of unique clones) by using TCR sequencing data from PBMC at all time points of the 5 treated subjects </w:t>
      </w:r>
      <w:r w:rsidR="005C760D">
        <w:rPr>
          <w:rFonts w:ascii="Arial" w:eastAsia="Times New Roman" w:hAnsi="Arial" w:cs="Times New Roman"/>
          <w:color w:val="000000"/>
          <w:sz w:val="22"/>
          <w:szCs w:val="22"/>
          <w:shd w:val="clear" w:color="auto" w:fill="FFFFFF"/>
        </w:rPr>
        <w:t xml:space="preserve"> of </w:t>
      </w:r>
      <w:proofErr w:type="spellStart"/>
      <w:r w:rsidR="005C760D">
        <w:rPr>
          <w:rFonts w:ascii="Arial" w:eastAsia="Times New Roman" w:hAnsi="Arial" w:cs="Times New Roman"/>
          <w:color w:val="000000"/>
          <w:sz w:val="22"/>
          <w:szCs w:val="22"/>
          <w:shd w:val="clear" w:color="auto" w:fill="FFFFFF"/>
        </w:rPr>
        <w:t>NeoACT</w:t>
      </w:r>
      <w:proofErr w:type="spellEnd"/>
      <w:r w:rsidR="005C760D">
        <w:rPr>
          <w:rFonts w:ascii="Arial" w:eastAsia="Times New Roman" w:hAnsi="Arial" w:cs="Times New Roman"/>
          <w:color w:val="000000"/>
          <w:sz w:val="22"/>
          <w:szCs w:val="22"/>
          <w:shd w:val="clear" w:color="auto" w:fill="FFFFFF"/>
        </w:rPr>
        <w:t xml:space="preserve"> study </w:t>
      </w:r>
      <w:r>
        <w:rPr>
          <w:rFonts w:ascii="Arial" w:eastAsia="Times New Roman" w:hAnsi="Arial" w:cs="Times New Roman"/>
          <w:color w:val="000000"/>
          <w:sz w:val="22"/>
          <w:szCs w:val="22"/>
          <w:shd w:val="clear" w:color="auto" w:fill="FFFFFF"/>
        </w:rPr>
        <w:t>(Supplementary Fig 3). We found that both the Shannon index and GCV were significantly correlated with the number of unique clones (p=0.001 and p&lt;0.001, respectively) with large correlations (r=0.77 and -0.95, respectively)</w:t>
      </w:r>
      <w:proofErr w:type="gramStart"/>
      <w:r>
        <w:rPr>
          <w:rFonts w:ascii="Arial" w:eastAsia="Times New Roman" w:hAnsi="Arial" w:cs="Times New Roman"/>
          <w:color w:val="000000"/>
          <w:sz w:val="22"/>
          <w:szCs w:val="22"/>
          <w:shd w:val="clear" w:color="auto" w:fill="FFFFFF"/>
        </w:rPr>
        <w:t>,</w:t>
      </w:r>
      <w:proofErr w:type="gramEnd"/>
      <w:r>
        <w:rPr>
          <w:rFonts w:ascii="Arial" w:eastAsia="Times New Roman" w:hAnsi="Arial" w:cs="Times New Roman"/>
          <w:color w:val="000000"/>
          <w:sz w:val="22"/>
          <w:szCs w:val="22"/>
          <w:shd w:val="clear" w:color="auto" w:fill="FFFFFF"/>
        </w:rPr>
        <w:t xml:space="preserve"> however, the clonality was not significantly correlated to the number of unique clones (p=0.38, r=-0.25).  </w:t>
      </w:r>
      <w:r w:rsidR="008E179A">
        <w:rPr>
          <w:rFonts w:ascii="Arial" w:eastAsia="Times New Roman" w:hAnsi="Arial" w:cs="Times New Roman"/>
          <w:color w:val="000000"/>
          <w:sz w:val="22"/>
          <w:szCs w:val="22"/>
          <w:shd w:val="clear" w:color="auto" w:fill="FFFFFF"/>
        </w:rPr>
        <w:t>Similar results were observed</w:t>
      </w:r>
      <w:r w:rsidR="005C760D">
        <w:rPr>
          <w:rFonts w:ascii="Arial" w:eastAsia="Times New Roman" w:hAnsi="Arial" w:cs="Times New Roman"/>
          <w:color w:val="000000"/>
          <w:sz w:val="22"/>
          <w:szCs w:val="22"/>
          <w:shd w:val="clear" w:color="auto" w:fill="FFFFFF"/>
        </w:rPr>
        <w:t xml:space="preserve"> for the prostate cancer patients treated by </w:t>
      </w:r>
      <w:proofErr w:type="spellStart"/>
      <w:r w:rsidR="005C760D" w:rsidRPr="00AB541E">
        <w:rPr>
          <w:rFonts w:ascii="Arial" w:eastAsia="Times New Roman" w:hAnsi="Arial" w:cs="Times New Roman"/>
          <w:color w:val="000000"/>
          <w:sz w:val="22"/>
          <w:szCs w:val="22"/>
          <w:shd w:val="clear" w:color="auto" w:fill="FFFFFF"/>
        </w:rPr>
        <w:t>ipilimumab</w:t>
      </w:r>
      <w:proofErr w:type="spellEnd"/>
      <w:r w:rsidR="005C760D">
        <w:rPr>
          <w:rFonts w:ascii="Arial" w:eastAsia="Times New Roman" w:hAnsi="Arial" w:cs="Times New Roman"/>
          <w:color w:val="000000"/>
          <w:sz w:val="22"/>
          <w:szCs w:val="22"/>
          <w:shd w:val="clear" w:color="auto" w:fill="FFFFFF"/>
        </w:rPr>
        <w:t xml:space="preserve"> combined GM-CSF (Supplementary Fig 6).</w:t>
      </w:r>
    </w:p>
    <w:p w14:paraId="49891546" w14:textId="2804F4B2" w:rsidR="00343DD8" w:rsidRPr="005E3717" w:rsidRDefault="00343DD8" w:rsidP="00343DD8">
      <w:pPr>
        <w:spacing w:line="480" w:lineRule="auto"/>
        <w:ind w:firstLine="720"/>
        <w:rPr>
          <w:rFonts w:ascii="Arial" w:eastAsia="Times New Roman" w:hAnsi="Arial" w:cs="Times New Roman"/>
          <w:color w:val="000000"/>
          <w:sz w:val="22"/>
          <w:szCs w:val="22"/>
          <w:shd w:val="clear" w:color="auto" w:fill="FFFFFF"/>
        </w:rPr>
      </w:pPr>
      <w:r>
        <w:rPr>
          <w:rFonts w:ascii="Arial" w:eastAsia="Times New Roman" w:hAnsi="Arial" w:cs="Times New Roman"/>
          <w:color w:val="000000"/>
          <w:sz w:val="22"/>
          <w:szCs w:val="22"/>
          <w:shd w:val="clear" w:color="auto" w:fill="FFFFFF"/>
        </w:rPr>
        <w:t xml:space="preserve">The </w:t>
      </w:r>
      <w:r w:rsidR="00536A44">
        <w:rPr>
          <w:rFonts w:ascii="Arial" w:eastAsia="Times New Roman" w:hAnsi="Arial" w:cs="Times New Roman"/>
          <w:color w:val="000000"/>
          <w:sz w:val="22"/>
          <w:szCs w:val="22"/>
          <w:shd w:val="clear" w:color="auto" w:fill="FFFFFF"/>
        </w:rPr>
        <w:t xml:space="preserve">original </w:t>
      </w:r>
      <w:r>
        <w:rPr>
          <w:rFonts w:ascii="Arial" w:eastAsia="Times New Roman" w:hAnsi="Arial" w:cs="Times New Roman"/>
          <w:color w:val="000000"/>
          <w:sz w:val="22"/>
          <w:szCs w:val="22"/>
          <w:shd w:val="clear" w:color="auto" w:fill="FFFFFF"/>
        </w:rPr>
        <w:t>TCR data was filtered by count</w:t>
      </w:r>
      <m:oMath>
        <m:r>
          <w:rPr>
            <w:rFonts w:ascii="Cambria Math" w:eastAsia="Times New Roman" w:hAnsi="Cambria Math" w:cs="Times New Roman"/>
            <w:color w:val="000000"/>
            <w:sz w:val="22"/>
            <w:szCs w:val="22"/>
            <w:shd w:val="clear" w:color="auto" w:fill="FFFFFF"/>
          </w:rPr>
          <m:t xml:space="preserve"> ≥ </m:t>
        </m:r>
      </m:oMath>
      <w:r>
        <w:rPr>
          <w:rFonts w:ascii="Arial" w:eastAsia="Times New Roman" w:hAnsi="Arial" w:cs="Times New Roman"/>
          <w:color w:val="000000"/>
          <w:sz w:val="22"/>
          <w:szCs w:val="22"/>
          <w:shd w:val="clear" w:color="auto" w:fill="FFFFFF"/>
        </w:rPr>
        <w:t>2, i.e., any clones that have count &lt;2 were excluded. As mentioned earlier a frequency count of 10 to 30 might be a pivot point (Fig 1C), and clones with a very low frequency count (e.g., &lt;5) might not be biologically important. We thus applied different filtering thresholds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5,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10,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15,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20,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25 and </w:t>
      </w:r>
      <m:oMath>
        <m:r>
          <w:rPr>
            <w:rFonts w:ascii="Cambria Math" w:eastAsia="Times New Roman" w:hAnsi="Cambria Math" w:cs="Times New Roman"/>
            <w:color w:val="000000"/>
            <w:sz w:val="22"/>
            <w:szCs w:val="22"/>
            <w:shd w:val="clear" w:color="auto" w:fill="FFFFFF"/>
          </w:rPr>
          <m:t>≥</m:t>
        </m:r>
      </m:oMath>
      <w:r>
        <w:rPr>
          <w:rFonts w:ascii="Arial" w:eastAsia="Times New Roman" w:hAnsi="Arial" w:cs="Times New Roman"/>
          <w:color w:val="000000"/>
          <w:sz w:val="22"/>
          <w:szCs w:val="22"/>
          <w:shd w:val="clear" w:color="auto" w:fill="FFFFFF"/>
        </w:rPr>
        <w:t xml:space="preserve">30) when exploring stability of the diversity index by normalizing the frequency of each clone.  As shown in Fig 5A, Clonality was the only diversity index that displayed a stable profile across the time points for each of the thresholds, while the patterns of the Shannon index changed from a decreasing to increasing profile as the threshold was increased. </w:t>
      </w:r>
      <w:r w:rsidR="00F203D8">
        <w:rPr>
          <w:rFonts w:ascii="Arial" w:eastAsia="Times New Roman" w:hAnsi="Arial" w:cs="Times New Roman"/>
          <w:color w:val="000000"/>
          <w:sz w:val="22"/>
          <w:szCs w:val="22"/>
          <w:shd w:val="clear" w:color="auto" w:fill="FFFFFF"/>
        </w:rPr>
        <w:t xml:space="preserve">Since the values of </w:t>
      </w:r>
      <w:proofErr w:type="spellStart"/>
      <w:r w:rsidR="00F203D8">
        <w:rPr>
          <w:rFonts w:ascii="Arial" w:eastAsia="Times New Roman" w:hAnsi="Arial" w:cs="Times New Roman"/>
          <w:color w:val="000000"/>
          <w:sz w:val="22"/>
          <w:szCs w:val="22"/>
          <w:shd w:val="clear" w:color="auto" w:fill="FFFFFF"/>
        </w:rPr>
        <w:t>Gini</w:t>
      </w:r>
      <w:proofErr w:type="spellEnd"/>
      <w:r w:rsidR="00F203D8">
        <w:rPr>
          <w:rFonts w:ascii="Arial" w:eastAsia="Times New Roman" w:hAnsi="Arial" w:cs="Times New Roman"/>
          <w:color w:val="000000"/>
          <w:sz w:val="22"/>
          <w:szCs w:val="22"/>
          <w:shd w:val="clear" w:color="auto" w:fill="FFFFFF"/>
        </w:rPr>
        <w:t xml:space="preserve"> Simpson index shrink to 0.995-1 for smaller threshold and the range of inverse Simpson is extremely wide, it’s difficult to draw s stable and meaningful inference based on either index.  </w:t>
      </w:r>
      <w:r>
        <w:rPr>
          <w:rFonts w:ascii="Arial" w:eastAsia="Times New Roman" w:hAnsi="Arial" w:cs="Times New Roman"/>
          <w:color w:val="000000"/>
          <w:sz w:val="22"/>
          <w:szCs w:val="22"/>
          <w:shd w:val="clear" w:color="auto" w:fill="FFFFFF"/>
        </w:rPr>
        <w:t xml:space="preserve">In comparison, the decreasing GCV pattern became invisible with an increased threshold value.  In addition, pairwise relative clonality (Fig 5B) were calculated as Clonality of PBMC at the later time point divided by that of the earlier time point, e.g., PBMC.2/0 = Clonality of week 2 PBMC divided by week 0 PBMC. Across different thresholds, the relative clonality of </w:t>
      </w:r>
      <w:r>
        <w:rPr>
          <w:rFonts w:ascii="Arial" w:eastAsia="Times New Roman" w:hAnsi="Arial" w:cs="Times New Roman"/>
          <w:color w:val="000000"/>
          <w:sz w:val="22"/>
          <w:szCs w:val="22"/>
          <w:shd w:val="clear" w:color="auto" w:fill="FFFFFF"/>
        </w:rPr>
        <w:lastRenderedPageBreak/>
        <w:t>week 4 vs. week 2 (PBMC.4/2) was constantly close to 1, while the relative clonality of week 2 vs. week 0 (PBMC.2/0) and week 4 vs. week 0 (PBMC.4/0) was always smaller than 1. Therefore, Clonality was suggested to be</w:t>
      </w:r>
      <w:r>
        <w:rPr>
          <w:rFonts w:ascii="Arial" w:eastAsia="Times New Roman" w:hAnsi="Arial" w:cs="Times New Roman"/>
          <w:color w:val="000000"/>
          <w:sz w:val="22"/>
          <w:szCs w:val="22"/>
          <w:shd w:val="clear" w:color="auto" w:fill="FFFFFF"/>
          <w:lang w:eastAsia="zh-CN"/>
        </w:rPr>
        <w:t xml:space="preserve"> the first choice to measure the TCR repertoire diversity. </w:t>
      </w:r>
      <w:r>
        <w:rPr>
          <w:rFonts w:ascii="Arial" w:eastAsia="Times New Roman" w:hAnsi="Arial" w:cs="Times New Roman"/>
          <w:color w:val="000000"/>
          <w:sz w:val="22"/>
          <w:szCs w:val="22"/>
          <w:shd w:val="clear" w:color="auto" w:fill="FFFFFF"/>
        </w:rPr>
        <w:t xml:space="preserve"> </w:t>
      </w:r>
    </w:p>
    <w:p w14:paraId="2B01EAC9" w14:textId="77777777" w:rsidR="00A1309B" w:rsidRDefault="00A1309B"/>
    <w:p w14:paraId="002FC5DC" w14:textId="337875BC" w:rsidR="0099087A" w:rsidRPr="007A48F8" w:rsidRDefault="002163F6" w:rsidP="002163F6">
      <w:pPr>
        <w:spacing w:line="480" w:lineRule="auto"/>
        <w:rPr>
          <w:rFonts w:ascii="Arial" w:eastAsia="Times New Roman" w:hAnsi="Arial" w:cs="Times New Roman"/>
          <w:color w:val="000000"/>
          <w:sz w:val="22"/>
          <w:szCs w:val="22"/>
          <w:shd w:val="clear" w:color="auto" w:fill="FFFFFF"/>
        </w:rPr>
      </w:pPr>
      <w:r w:rsidRPr="007A48F8">
        <w:rPr>
          <w:rFonts w:ascii="Arial" w:eastAsia="Times New Roman" w:hAnsi="Arial" w:cs="Times New Roman"/>
          <w:color w:val="000000"/>
          <w:sz w:val="22"/>
          <w:szCs w:val="22"/>
          <w:shd w:val="clear" w:color="auto" w:fill="FFFFFF"/>
        </w:rPr>
        <w:t xml:space="preserve">Supplementary Fig 4 shows the influence of thresholds on the binary similarity measures. Overall all the binary similarity measures have less distinguish with the increase of the threshold and the direction of the difference starts to change after threshold of 20. This implies </w:t>
      </w:r>
      <w:proofErr w:type="gramStart"/>
      <w:r w:rsidRPr="007A48F8">
        <w:rPr>
          <w:rFonts w:ascii="Arial" w:eastAsia="Times New Roman" w:hAnsi="Arial" w:cs="Times New Roman"/>
          <w:color w:val="000000"/>
          <w:sz w:val="22"/>
          <w:szCs w:val="22"/>
          <w:shd w:val="clear" w:color="auto" w:fill="FFFFFF"/>
        </w:rPr>
        <w:t>that the relative low overlap between week 2 (4) and week 0 is caused by the big proport</w:t>
      </w:r>
      <w:r w:rsidR="00536A44">
        <w:rPr>
          <w:rFonts w:ascii="Arial" w:eastAsia="Times New Roman" w:hAnsi="Arial" w:cs="Times New Roman"/>
          <w:color w:val="000000"/>
          <w:sz w:val="22"/>
          <w:szCs w:val="22"/>
          <w:shd w:val="clear" w:color="auto" w:fill="FFFFFF"/>
        </w:rPr>
        <w:t xml:space="preserve">ion of low count clones (&lt;20) of </w:t>
      </w:r>
      <w:r w:rsidR="00536A44" w:rsidRPr="007A48F8">
        <w:rPr>
          <w:rFonts w:ascii="Arial" w:eastAsia="Times New Roman" w:hAnsi="Arial" w:cs="Times New Roman"/>
          <w:color w:val="000000"/>
          <w:sz w:val="22"/>
          <w:szCs w:val="22"/>
          <w:shd w:val="clear" w:color="auto" w:fill="FFFFFF"/>
        </w:rPr>
        <w:t>the TCR repertoire</w:t>
      </w:r>
      <w:proofErr w:type="gramEnd"/>
      <w:r w:rsidR="00536A44">
        <w:rPr>
          <w:rFonts w:ascii="Arial" w:eastAsia="Times New Roman" w:hAnsi="Arial" w:cs="Times New Roman"/>
          <w:color w:val="000000"/>
          <w:sz w:val="22"/>
          <w:szCs w:val="22"/>
          <w:shd w:val="clear" w:color="auto" w:fill="FFFFFF"/>
        </w:rPr>
        <w:t xml:space="preserve"> at</w:t>
      </w:r>
      <w:r w:rsidRPr="007A48F8">
        <w:rPr>
          <w:rFonts w:ascii="Arial" w:eastAsia="Times New Roman" w:hAnsi="Arial" w:cs="Times New Roman"/>
          <w:color w:val="000000"/>
          <w:sz w:val="22"/>
          <w:szCs w:val="22"/>
          <w:shd w:val="clear" w:color="auto" w:fill="FFFFFF"/>
        </w:rPr>
        <w:t xml:space="preserve"> week 0. Therefore, the Sip-T treatment effect in TCR repertoire might mainly pre</w:t>
      </w:r>
      <w:r w:rsidR="00536A44">
        <w:rPr>
          <w:rFonts w:ascii="Arial" w:eastAsia="Times New Roman" w:hAnsi="Arial" w:cs="Times New Roman"/>
          <w:color w:val="000000"/>
          <w:sz w:val="22"/>
          <w:szCs w:val="22"/>
          <w:shd w:val="clear" w:color="auto" w:fill="FFFFFF"/>
        </w:rPr>
        <w:t>sent in those low-count clones and s</w:t>
      </w:r>
      <w:r w:rsidRPr="007A48F8">
        <w:rPr>
          <w:rFonts w:ascii="Arial" w:eastAsia="Times New Roman" w:hAnsi="Arial" w:cs="Times New Roman"/>
          <w:color w:val="000000"/>
          <w:sz w:val="22"/>
          <w:szCs w:val="22"/>
          <w:shd w:val="clear" w:color="auto" w:fill="FFFFFF"/>
        </w:rPr>
        <w:t xml:space="preserve">imply </w:t>
      </w:r>
      <w:r w:rsidR="00536A44">
        <w:rPr>
          <w:rFonts w:ascii="Arial" w:eastAsia="Times New Roman" w:hAnsi="Arial" w:cs="Times New Roman"/>
          <w:color w:val="000000"/>
          <w:sz w:val="22"/>
          <w:szCs w:val="22"/>
          <w:shd w:val="clear" w:color="auto" w:fill="FFFFFF"/>
        </w:rPr>
        <w:t>focusing the analysis</w:t>
      </w:r>
      <w:r w:rsidRPr="007A48F8">
        <w:rPr>
          <w:rFonts w:ascii="Arial" w:eastAsia="Times New Roman" w:hAnsi="Arial" w:cs="Times New Roman"/>
          <w:color w:val="000000"/>
          <w:sz w:val="22"/>
          <w:szCs w:val="22"/>
          <w:shd w:val="clear" w:color="auto" w:fill="FFFFFF"/>
        </w:rPr>
        <w:t xml:space="preserve"> on the top rank clones might not be appropriate. </w:t>
      </w:r>
      <w:r w:rsidR="00C9710F" w:rsidRPr="007A48F8">
        <w:rPr>
          <w:rFonts w:ascii="Arial" w:eastAsia="Times New Roman" w:hAnsi="Arial" w:cs="Times New Roman"/>
          <w:color w:val="000000"/>
          <w:sz w:val="22"/>
          <w:szCs w:val="22"/>
          <w:shd w:val="clear" w:color="auto" w:fill="FFFFFF"/>
        </w:rPr>
        <w:t xml:space="preserve"> Similarly, the si</w:t>
      </w:r>
      <w:r w:rsidR="00536A44">
        <w:rPr>
          <w:rFonts w:ascii="Arial" w:eastAsia="Times New Roman" w:hAnsi="Arial" w:cs="Times New Roman"/>
          <w:color w:val="000000"/>
          <w:sz w:val="22"/>
          <w:szCs w:val="22"/>
          <w:shd w:val="clear" w:color="auto" w:fill="FFFFFF"/>
        </w:rPr>
        <w:t>milar phenomena were observed when characterizing</w:t>
      </w:r>
      <w:r w:rsidR="00C9710F" w:rsidRPr="007A48F8">
        <w:rPr>
          <w:rFonts w:ascii="Arial" w:eastAsia="Times New Roman" w:hAnsi="Arial" w:cs="Times New Roman"/>
          <w:color w:val="000000"/>
          <w:sz w:val="22"/>
          <w:szCs w:val="22"/>
          <w:shd w:val="clear" w:color="auto" w:fill="FFFFFF"/>
        </w:rPr>
        <w:t xml:space="preserve"> the clones into increase/unchanged/decrease groups (Supplementary Fig 4). However, </w:t>
      </w:r>
      <w:proofErr w:type="spellStart"/>
      <w:r w:rsidR="00A35E31" w:rsidRPr="007A48F8">
        <w:rPr>
          <w:rFonts w:ascii="Arial" w:eastAsia="Times New Roman" w:hAnsi="Arial" w:cs="Times New Roman"/>
          <w:color w:val="000000"/>
          <w:sz w:val="22"/>
          <w:szCs w:val="22"/>
          <w:shd w:val="clear" w:color="auto" w:fill="FFFFFF"/>
        </w:rPr>
        <w:t>Morisita’s</w:t>
      </w:r>
      <w:proofErr w:type="spellEnd"/>
      <w:r w:rsidR="00A35E31" w:rsidRPr="007A48F8">
        <w:rPr>
          <w:rFonts w:ascii="Arial" w:eastAsia="Times New Roman" w:hAnsi="Arial" w:cs="Times New Roman"/>
          <w:color w:val="000000"/>
          <w:sz w:val="22"/>
          <w:szCs w:val="22"/>
          <w:shd w:val="clear" w:color="auto" w:fill="FFFFFF"/>
        </w:rPr>
        <w:t xml:space="preserve"> distance seems more distinguished with the increased threshold.</w:t>
      </w:r>
      <w:r w:rsidR="00CA7A53" w:rsidRPr="007A48F8">
        <w:rPr>
          <w:rFonts w:ascii="Arial" w:eastAsia="Times New Roman" w:hAnsi="Arial" w:cs="Times New Roman"/>
          <w:color w:val="000000"/>
          <w:sz w:val="22"/>
          <w:szCs w:val="22"/>
          <w:shd w:val="clear" w:color="auto" w:fill="FFFFFF"/>
        </w:rPr>
        <w:t xml:space="preserve"> Though </w:t>
      </w:r>
      <w:proofErr w:type="spellStart"/>
      <w:r w:rsidR="00A35E31" w:rsidRPr="007A48F8">
        <w:rPr>
          <w:rFonts w:ascii="Arial" w:eastAsia="Times New Roman" w:hAnsi="Arial" w:cs="Times New Roman"/>
          <w:color w:val="000000"/>
          <w:sz w:val="22"/>
          <w:szCs w:val="22"/>
          <w:shd w:val="clear" w:color="auto" w:fill="FFFFFF"/>
        </w:rPr>
        <w:t>Morisita’s</w:t>
      </w:r>
      <w:proofErr w:type="spellEnd"/>
      <w:r w:rsidR="00A35E31" w:rsidRPr="007A48F8">
        <w:rPr>
          <w:rFonts w:ascii="Arial" w:eastAsia="Times New Roman" w:hAnsi="Arial" w:cs="Times New Roman"/>
          <w:color w:val="000000"/>
          <w:sz w:val="22"/>
          <w:szCs w:val="22"/>
          <w:shd w:val="clear" w:color="auto" w:fill="FFFFFF"/>
        </w:rPr>
        <w:t xml:space="preserve"> distance is based on the assumption that increasing the size of the samples will increase the diversity because it would include more different clonotypes, </w:t>
      </w:r>
      <w:r w:rsidR="00CA7A53" w:rsidRPr="007A48F8">
        <w:rPr>
          <w:rFonts w:ascii="Arial" w:eastAsia="Times New Roman" w:hAnsi="Arial" w:cs="Times New Roman"/>
          <w:color w:val="000000"/>
          <w:sz w:val="22"/>
          <w:szCs w:val="22"/>
          <w:shd w:val="clear" w:color="auto" w:fill="FFFFFF"/>
        </w:rPr>
        <w:t xml:space="preserve">if the low-count clones occupy a big proportion of the TCR repertoire, then they might shade the light of the major real diversity of the TCR repertoire. </w:t>
      </w:r>
    </w:p>
    <w:sectPr w:rsidR="0099087A" w:rsidRPr="007A48F8" w:rsidSect="00A130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DD8"/>
    <w:rsid w:val="002163F6"/>
    <w:rsid w:val="00343DD8"/>
    <w:rsid w:val="00536A44"/>
    <w:rsid w:val="005C760D"/>
    <w:rsid w:val="007A48F8"/>
    <w:rsid w:val="007C01BE"/>
    <w:rsid w:val="008E179A"/>
    <w:rsid w:val="0099087A"/>
    <w:rsid w:val="00A1309B"/>
    <w:rsid w:val="00A35E31"/>
    <w:rsid w:val="00B87D0D"/>
    <w:rsid w:val="00BE02C6"/>
    <w:rsid w:val="00C9710F"/>
    <w:rsid w:val="00CA004F"/>
    <w:rsid w:val="00CA7A53"/>
    <w:rsid w:val="00F20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A3F7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3D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3DD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3D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3DD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521</Words>
  <Characters>2971</Characters>
  <Application>Microsoft Macintosh Word</Application>
  <DocSecurity>0</DocSecurity>
  <Lines>24</Lines>
  <Paragraphs>6</Paragraphs>
  <ScaleCrop>false</ScaleCrop>
  <Company>UCSF</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Zhang</dc:creator>
  <cp:keywords/>
  <dc:description/>
  <cp:lastModifiedBy>Li Zhang</cp:lastModifiedBy>
  <cp:revision>13</cp:revision>
  <dcterms:created xsi:type="dcterms:W3CDTF">2016-10-12T04:16:00Z</dcterms:created>
  <dcterms:modified xsi:type="dcterms:W3CDTF">2017-02-04T03:08:00Z</dcterms:modified>
</cp:coreProperties>
</file>