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AAE" w:rsidRPr="00586FD5" w:rsidRDefault="00F54AAE" w:rsidP="00F54AAE">
      <w:pPr>
        <w:spacing w:after="200" w:line="360" w:lineRule="auto"/>
        <w:contextualSpacing/>
        <w:rPr>
          <w:rStyle w:val="Teletype"/>
          <w:rFonts w:ascii="Times New Roman" w:hAnsi="Times New Roman" w:cs="Times New Roman"/>
          <w:b/>
          <w:lang w:val="en-US"/>
        </w:rPr>
      </w:pPr>
      <w:r w:rsidRPr="00586FD5">
        <w:rPr>
          <w:rStyle w:val="Teletype"/>
          <w:rFonts w:ascii="Times New Roman" w:hAnsi="Times New Roman" w:cs="Times New Roman"/>
          <w:b/>
          <w:lang w:val="en-US"/>
        </w:rPr>
        <w:t xml:space="preserve">Supplementary material </w:t>
      </w:r>
      <w:r w:rsidR="005517FA">
        <w:rPr>
          <w:rStyle w:val="Teletype"/>
          <w:rFonts w:ascii="Times New Roman" w:hAnsi="Times New Roman" w:cs="Times New Roman"/>
          <w:b/>
          <w:lang w:val="en-US"/>
        </w:rPr>
        <w:t>1</w:t>
      </w:r>
      <w:bookmarkStart w:id="0" w:name="_GoBack"/>
      <w:bookmarkEnd w:id="0"/>
      <w:r w:rsidRPr="00586FD5">
        <w:rPr>
          <w:rStyle w:val="Teletype"/>
          <w:rFonts w:ascii="Times New Roman" w:hAnsi="Times New Roman" w:cs="Times New Roman"/>
          <w:b/>
          <w:lang w:val="en-US"/>
        </w:rPr>
        <w:t xml:space="preserve">: </w:t>
      </w:r>
      <w:r w:rsidR="00763679" w:rsidRPr="00586FD5">
        <w:rPr>
          <w:rStyle w:val="Teletype"/>
          <w:rFonts w:ascii="Times New Roman" w:hAnsi="Times New Roman" w:cs="Times New Roman"/>
          <w:b/>
          <w:lang w:val="en-US"/>
        </w:rPr>
        <w:t>F</w:t>
      </w:r>
      <w:r w:rsidRPr="00586FD5">
        <w:rPr>
          <w:rStyle w:val="Teletype"/>
          <w:rFonts w:ascii="Times New Roman" w:hAnsi="Times New Roman" w:cs="Times New Roman"/>
          <w:b/>
          <w:lang w:val="en-US"/>
        </w:rPr>
        <w:t xml:space="preserve">ilter for the results of NGS </w:t>
      </w:r>
      <w:r w:rsidR="005F2A2A" w:rsidRPr="00586FD5">
        <w:rPr>
          <w:rStyle w:val="Teletype"/>
          <w:rFonts w:ascii="Times New Roman" w:hAnsi="Times New Roman" w:cs="Times New Roman"/>
          <w:b/>
          <w:lang w:val="en-US"/>
        </w:rPr>
        <w:t>gene expression</w:t>
      </w:r>
      <w:r w:rsidRPr="00586FD5">
        <w:rPr>
          <w:rStyle w:val="Teletype"/>
          <w:rFonts w:ascii="Times New Roman" w:hAnsi="Times New Roman" w:cs="Times New Roman"/>
          <w:b/>
          <w:lang w:val="en-US"/>
        </w:rPr>
        <w:t xml:space="preserve"> profiling </w:t>
      </w:r>
    </w:p>
    <w:p w:rsidR="000145AC" w:rsidRPr="00586FD5" w:rsidRDefault="000145AC" w:rsidP="00F54AAE">
      <w:pPr>
        <w:spacing w:after="200" w:line="360" w:lineRule="auto"/>
        <w:contextualSpacing/>
        <w:rPr>
          <w:rStyle w:val="Teletype"/>
          <w:rFonts w:ascii="Times New Roman" w:hAnsi="Times New Roman" w:cs="Times New Roman"/>
          <w:lang w:val="en-US"/>
        </w:rPr>
      </w:pPr>
    </w:p>
    <w:p w:rsidR="00F54AAE" w:rsidRPr="00586FD5" w:rsidRDefault="00763679" w:rsidP="00F54AAE">
      <w:pPr>
        <w:spacing w:after="200" w:line="360" w:lineRule="auto"/>
        <w:contextualSpacing/>
        <w:rPr>
          <w:rStyle w:val="Teletype"/>
          <w:rFonts w:ascii="Times New Roman" w:hAnsi="Times New Roman" w:cs="Times New Roman"/>
          <w:b/>
          <w:i/>
          <w:lang w:val="en-US"/>
        </w:rPr>
      </w:pPr>
      <w:r w:rsidRPr="00586FD5">
        <w:rPr>
          <w:rStyle w:val="Teletype"/>
          <w:rFonts w:ascii="Times New Roman" w:hAnsi="Times New Roman" w:cs="Times New Roman"/>
          <w:b/>
          <w:i/>
          <w:lang w:val="en-US"/>
        </w:rPr>
        <w:t>Background</w:t>
      </w:r>
      <w:r w:rsidR="003D394C" w:rsidRPr="00586FD5">
        <w:rPr>
          <w:rStyle w:val="Teletype"/>
          <w:rFonts w:ascii="Times New Roman" w:hAnsi="Times New Roman" w:cs="Times New Roman"/>
          <w:b/>
          <w:i/>
          <w:lang w:val="en-US"/>
        </w:rPr>
        <w:t xml:space="preserve">: filtering genes with low numbers of </w:t>
      </w:r>
      <w:r w:rsidR="00753C46" w:rsidRPr="00586FD5">
        <w:rPr>
          <w:rStyle w:val="Teletype"/>
          <w:rFonts w:ascii="Times New Roman" w:hAnsi="Times New Roman" w:cs="Times New Roman"/>
          <w:b/>
          <w:i/>
          <w:lang w:val="en-US"/>
        </w:rPr>
        <w:t xml:space="preserve">aligned </w:t>
      </w:r>
      <w:r w:rsidR="003D394C" w:rsidRPr="00586FD5">
        <w:rPr>
          <w:rStyle w:val="Teletype"/>
          <w:rFonts w:ascii="Times New Roman" w:hAnsi="Times New Roman" w:cs="Times New Roman"/>
          <w:b/>
          <w:i/>
          <w:lang w:val="en-US"/>
        </w:rPr>
        <w:t>reads</w:t>
      </w:r>
    </w:p>
    <w:p w:rsidR="000145AC" w:rsidRPr="00586FD5" w:rsidRDefault="000145AC" w:rsidP="00F54AAE">
      <w:pPr>
        <w:spacing w:after="200" w:line="360" w:lineRule="auto"/>
        <w:contextualSpacing/>
        <w:rPr>
          <w:color w:val="000000"/>
          <w:shd w:val="clear" w:color="auto" w:fill="FFFFFF"/>
          <w:lang w:val="en-US"/>
        </w:rPr>
      </w:pPr>
    </w:p>
    <w:p w:rsidR="00F54AAE" w:rsidRPr="00586FD5" w:rsidRDefault="00F54AAE" w:rsidP="00F54AAE">
      <w:pPr>
        <w:spacing w:after="200" w:line="360" w:lineRule="auto"/>
        <w:contextualSpacing/>
        <w:rPr>
          <w:rFonts w:ascii="Times New Roman" w:hAnsi="Times New Roman"/>
          <w:lang w:val="en-US"/>
        </w:rPr>
      </w:pPr>
      <w:r w:rsidRPr="00586FD5">
        <w:rPr>
          <w:rFonts w:ascii="Times New Roman" w:hAnsi="Times New Roman"/>
          <w:color w:val="000000"/>
          <w:shd w:val="clear" w:color="auto" w:fill="FFFFFF"/>
          <w:lang w:val="en-US"/>
        </w:rPr>
        <w:t xml:space="preserve">It seems obvious that the accuracy of </w:t>
      </w:r>
      <w:r w:rsidR="00660345" w:rsidRPr="00586FD5">
        <w:rPr>
          <w:rFonts w:ascii="Times New Roman" w:hAnsi="Times New Roman"/>
          <w:color w:val="000000"/>
          <w:shd w:val="clear" w:color="auto" w:fill="FFFFFF"/>
          <w:lang w:val="en-US"/>
        </w:rPr>
        <w:t xml:space="preserve">measuring </w:t>
      </w:r>
      <w:r w:rsidRPr="00586FD5">
        <w:rPr>
          <w:rFonts w:ascii="Times New Roman" w:hAnsi="Times New Roman"/>
          <w:color w:val="000000"/>
          <w:shd w:val="clear" w:color="auto" w:fill="FFFFFF"/>
          <w:lang w:val="en-US"/>
        </w:rPr>
        <w:t>low-</w:t>
      </w:r>
      <w:r w:rsidR="00BC3E02" w:rsidRPr="00586FD5">
        <w:rPr>
          <w:rFonts w:ascii="Times New Roman" w:hAnsi="Times New Roman"/>
          <w:color w:val="000000"/>
          <w:shd w:val="clear" w:color="auto" w:fill="FFFFFF"/>
          <w:lang w:val="en-US"/>
        </w:rPr>
        <w:t>abundant</w:t>
      </w:r>
      <w:r w:rsidRPr="00586FD5">
        <w:rPr>
          <w:rFonts w:ascii="Times New Roman" w:hAnsi="Times New Roman"/>
          <w:color w:val="000000"/>
          <w:shd w:val="clear" w:color="auto" w:fill="FFFFFF"/>
          <w:lang w:val="en-US"/>
        </w:rPr>
        <w:t xml:space="preserve"> transcripts significantly depends on the sequencing depth.  </w:t>
      </w:r>
      <w:r w:rsidRPr="00586FD5">
        <w:rPr>
          <w:rStyle w:val="Teletype"/>
          <w:rFonts w:ascii="Times New Roman" w:hAnsi="Times New Roman" w:cs="Times New Roman"/>
          <w:lang w:val="en-US"/>
        </w:rPr>
        <w:t xml:space="preserve">To improve reliability of NGS results, we applied filtering </w:t>
      </w:r>
      <w:r w:rsidR="00605B39" w:rsidRPr="00586FD5">
        <w:rPr>
          <w:rStyle w:val="Teletype"/>
          <w:rFonts w:ascii="Times New Roman" w:hAnsi="Times New Roman" w:cs="Times New Roman"/>
          <w:lang w:val="en-US"/>
        </w:rPr>
        <w:t xml:space="preserve">of </w:t>
      </w:r>
      <w:r w:rsidRPr="00586FD5">
        <w:rPr>
          <w:rStyle w:val="Teletype"/>
          <w:rFonts w:ascii="Times New Roman" w:hAnsi="Times New Roman" w:cs="Times New Roman"/>
          <w:lang w:val="en-US"/>
        </w:rPr>
        <w:t>genes with insufficiently</w:t>
      </w:r>
      <w:r w:rsidR="00660345" w:rsidRPr="00586FD5">
        <w:rPr>
          <w:rStyle w:val="Teletype"/>
          <w:rFonts w:ascii="Times New Roman" w:hAnsi="Times New Roman" w:cs="Times New Roman"/>
          <w:lang w:val="en-US"/>
        </w:rPr>
        <w:t xml:space="preserve"> low</w:t>
      </w:r>
      <w:r w:rsidRPr="00586FD5">
        <w:rPr>
          <w:rStyle w:val="Teletype"/>
          <w:rFonts w:ascii="Times New Roman" w:hAnsi="Times New Roman" w:cs="Times New Roman"/>
          <w:lang w:val="en-US"/>
        </w:rPr>
        <w:t xml:space="preserve"> numbers of reads before harmonization procedures.  </w:t>
      </w:r>
      <w:r w:rsidR="00FD414E" w:rsidRPr="00586FD5">
        <w:rPr>
          <w:rStyle w:val="Teletype"/>
          <w:rFonts w:ascii="Times New Roman" w:hAnsi="Times New Roman" w:cs="Times New Roman"/>
          <w:lang w:val="en-US"/>
        </w:rPr>
        <w:t xml:space="preserve">The rationale for design of a filter is as follows. </w:t>
      </w:r>
      <w:r w:rsidR="00392A1E" w:rsidRPr="00586FD5">
        <w:rPr>
          <w:rStyle w:val="Teletype"/>
          <w:rFonts w:ascii="Times New Roman" w:hAnsi="Times New Roman" w:cs="Times New Roman"/>
          <w:lang w:val="en-US"/>
        </w:rPr>
        <w:t xml:space="preserve">At the first iteration, </w:t>
      </w:r>
      <w:r w:rsidR="00784423" w:rsidRPr="00586FD5">
        <w:rPr>
          <w:rStyle w:val="Teletype"/>
          <w:rFonts w:ascii="Times New Roman" w:hAnsi="Times New Roman" w:cs="Times New Roman"/>
          <w:lang w:val="en-US"/>
        </w:rPr>
        <w:t>we</w:t>
      </w:r>
      <w:r w:rsidRPr="00586FD5">
        <w:rPr>
          <w:rStyle w:val="Teletype"/>
          <w:rFonts w:ascii="Times New Roman" w:hAnsi="Times New Roman" w:cs="Times New Roman"/>
          <w:lang w:val="en-US"/>
        </w:rPr>
        <w:t xml:space="preserve"> admit that the chance to register a</w:t>
      </w:r>
      <w:r w:rsidR="00392A1E" w:rsidRPr="00586FD5">
        <w:rPr>
          <w:rStyle w:val="Teletype"/>
          <w:rFonts w:ascii="Times New Roman" w:hAnsi="Times New Roman" w:cs="Times New Roman"/>
          <w:lang w:val="en-US"/>
        </w:rPr>
        <w:t>n individual type of</w:t>
      </w:r>
      <w:r w:rsidRPr="00586FD5">
        <w:rPr>
          <w:rStyle w:val="Teletype"/>
          <w:rFonts w:ascii="Times New Roman" w:hAnsi="Times New Roman" w:cs="Times New Roman"/>
          <w:lang w:val="en-US"/>
        </w:rPr>
        <w:t xml:space="preserve"> mRNA molecule does not depend on </w:t>
      </w:r>
      <w:r w:rsidR="00392A1E" w:rsidRPr="00586FD5">
        <w:rPr>
          <w:rStyle w:val="Teletype"/>
          <w:rFonts w:ascii="Times New Roman" w:hAnsi="Times New Roman" w:cs="Times New Roman"/>
          <w:lang w:val="en-US"/>
        </w:rPr>
        <w:t>its length</w:t>
      </w:r>
      <w:r w:rsidRPr="00586FD5">
        <w:rPr>
          <w:rStyle w:val="Teletype"/>
          <w:rFonts w:ascii="Times New Roman" w:hAnsi="Times New Roman" w:cs="Times New Roman"/>
          <w:lang w:val="en-US"/>
        </w:rPr>
        <w:t xml:space="preserve">. Let also </w:t>
      </w:r>
      <w:r w:rsidRPr="00586FD5">
        <w:rPr>
          <w:rStyle w:val="Teletype"/>
          <w:rFonts w:ascii="Times New Roman" w:hAnsi="Times New Roman" w:cs="Times New Roman"/>
          <w:i/>
          <w:lang w:val="en-US"/>
        </w:rPr>
        <w:t xml:space="preserve">N </w:t>
      </w:r>
      <w:r w:rsidRPr="00586FD5">
        <w:rPr>
          <w:rStyle w:val="Teletype"/>
          <w:rFonts w:ascii="Times New Roman" w:hAnsi="Times New Roman" w:cs="Times New Roman"/>
          <w:lang w:val="en-US"/>
        </w:rPr>
        <w:t xml:space="preserve">be the number of copies for a given </w:t>
      </w:r>
      <w:r w:rsidR="00392A1E" w:rsidRPr="00586FD5">
        <w:rPr>
          <w:rStyle w:val="Teletype"/>
          <w:rFonts w:ascii="Times New Roman" w:hAnsi="Times New Roman" w:cs="Times New Roman"/>
          <w:lang w:val="en-US"/>
        </w:rPr>
        <w:t xml:space="preserve">type of </w:t>
      </w:r>
      <w:r w:rsidRPr="00586FD5">
        <w:rPr>
          <w:rStyle w:val="Teletype"/>
          <w:rFonts w:ascii="Times New Roman" w:hAnsi="Times New Roman" w:cs="Times New Roman"/>
          <w:lang w:val="en-US"/>
        </w:rPr>
        <w:t>mRNA molecule</w:t>
      </w:r>
      <w:r w:rsidR="00392A1E" w:rsidRPr="00586FD5">
        <w:rPr>
          <w:rStyle w:val="Teletype"/>
          <w:rFonts w:ascii="Times New Roman" w:hAnsi="Times New Roman" w:cs="Times New Roman"/>
          <w:lang w:val="en-US"/>
        </w:rPr>
        <w:t>s</w:t>
      </w:r>
      <w:r w:rsidRPr="00586FD5">
        <w:rPr>
          <w:rStyle w:val="Teletype"/>
          <w:rFonts w:ascii="Times New Roman" w:hAnsi="Times New Roman" w:cs="Times New Roman"/>
          <w:lang w:val="en-US"/>
        </w:rPr>
        <w:t xml:space="preserve"> in the cell. </w:t>
      </w:r>
      <w:r w:rsidR="00D53156" w:rsidRPr="00586FD5">
        <w:rPr>
          <w:rStyle w:val="Teletype"/>
          <w:rFonts w:ascii="Times New Roman" w:hAnsi="Times New Roman" w:cs="Times New Roman"/>
          <w:lang w:val="en-US"/>
        </w:rPr>
        <w:t>Considering</w:t>
      </w:r>
      <w:r w:rsidRPr="00586FD5">
        <w:rPr>
          <w:rStyle w:val="Teletype"/>
          <w:rFonts w:ascii="Times New Roman" w:hAnsi="Times New Roman" w:cs="Times New Roman"/>
          <w:lang w:val="en-US"/>
        </w:rPr>
        <w:t xml:space="preserve"> the number of protein-coding genes is </w:t>
      </w:r>
      <w:r w:rsidR="00BF1959" w:rsidRPr="00586FD5">
        <w:rPr>
          <w:rStyle w:val="Teletype"/>
          <w:rFonts w:ascii="Times New Roman" w:hAnsi="Times New Roman" w:cs="Times New Roman"/>
          <w:lang w:val="en-US"/>
        </w:rPr>
        <w:t>~</w:t>
      </w:r>
      <w:r w:rsidRPr="00586FD5">
        <w:rPr>
          <w:rStyle w:val="Teletype"/>
          <w:rFonts w:ascii="Times New Roman" w:hAnsi="Times New Roman" w:cs="Times New Roman"/>
          <w:lang w:val="en-US"/>
        </w:rPr>
        <w:t xml:space="preserve">20 </w:t>
      </w:r>
      <w:r w:rsidR="00BF1959" w:rsidRPr="00586FD5">
        <w:rPr>
          <w:rStyle w:val="Teletype"/>
          <w:rFonts w:ascii="Times New Roman" w:hAnsi="Times New Roman" w:cs="Times New Roman"/>
          <w:lang w:val="en-US"/>
        </w:rPr>
        <w:t>000</w:t>
      </w:r>
      <w:r w:rsidRPr="00586FD5">
        <w:rPr>
          <w:rStyle w:val="Teletype"/>
          <w:rFonts w:ascii="Times New Roman" w:hAnsi="Times New Roman" w:cs="Times New Roman"/>
          <w:lang w:val="en-US"/>
        </w:rPr>
        <w:t>, the cell contains 2·10</w:t>
      </w:r>
      <w:r w:rsidRPr="00586FD5">
        <w:rPr>
          <w:rStyle w:val="Teletype"/>
          <w:rFonts w:ascii="Times New Roman" w:hAnsi="Times New Roman" w:cs="Times New Roman"/>
          <w:vertAlign w:val="superscript"/>
          <w:lang w:val="en-US"/>
        </w:rPr>
        <w:t>4</w:t>
      </w:r>
      <w:r w:rsidRPr="00586FD5">
        <w:rPr>
          <w:rStyle w:val="Teletype"/>
          <w:rFonts w:ascii="Times New Roman" w:hAnsi="Times New Roman" w:cs="Times New Roman"/>
          <w:lang w:val="en-US"/>
        </w:rPr>
        <w:t>·</w:t>
      </w:r>
      <w:r w:rsidRPr="00586FD5">
        <w:rPr>
          <w:rStyle w:val="Teletype"/>
          <w:rFonts w:ascii="Times New Roman" w:hAnsi="Times New Roman" w:cs="Times New Roman"/>
          <w:i/>
          <w:lang w:val="en-US"/>
        </w:rPr>
        <w:t>µ</w:t>
      </w:r>
      <w:r w:rsidRPr="00586FD5">
        <w:rPr>
          <w:rStyle w:val="Teletype"/>
          <w:rFonts w:ascii="Times New Roman" w:hAnsi="Times New Roman" w:cs="Times New Roman"/>
          <w:lang w:val="en-US"/>
        </w:rPr>
        <w:t>(</w:t>
      </w:r>
      <w:r w:rsidRPr="00586FD5">
        <w:rPr>
          <w:rStyle w:val="Teletype"/>
          <w:rFonts w:ascii="Times New Roman" w:hAnsi="Times New Roman" w:cs="Times New Roman"/>
          <w:i/>
          <w:lang w:val="en-US"/>
        </w:rPr>
        <w:t>N</w:t>
      </w:r>
      <w:r w:rsidRPr="00586FD5">
        <w:rPr>
          <w:rStyle w:val="Teletype"/>
          <w:rFonts w:ascii="Times New Roman" w:hAnsi="Times New Roman" w:cs="Times New Roman"/>
          <w:lang w:val="en-US"/>
        </w:rPr>
        <w:t xml:space="preserve">) copies of different genes, where </w:t>
      </w:r>
      <w:r w:rsidRPr="00586FD5">
        <w:rPr>
          <w:rStyle w:val="Teletype"/>
          <w:rFonts w:ascii="Times New Roman" w:hAnsi="Times New Roman" w:cs="Times New Roman"/>
          <w:i/>
          <w:lang w:val="en-US"/>
        </w:rPr>
        <w:t>µ</w:t>
      </w:r>
      <w:r w:rsidRPr="00586FD5">
        <w:rPr>
          <w:rStyle w:val="Teletype"/>
          <w:rFonts w:ascii="Times New Roman" w:hAnsi="Times New Roman" w:cs="Times New Roman"/>
          <w:lang w:val="en-US"/>
        </w:rPr>
        <w:t>(</w:t>
      </w:r>
      <w:r w:rsidRPr="00586FD5">
        <w:rPr>
          <w:rStyle w:val="Teletype"/>
          <w:rFonts w:ascii="Times New Roman" w:hAnsi="Times New Roman" w:cs="Times New Roman"/>
          <w:i/>
          <w:lang w:val="en-US"/>
        </w:rPr>
        <w:t>N</w:t>
      </w:r>
      <w:r w:rsidRPr="00586FD5">
        <w:rPr>
          <w:rStyle w:val="Teletype"/>
          <w:rFonts w:ascii="Times New Roman" w:hAnsi="Times New Roman" w:cs="Times New Roman"/>
          <w:lang w:val="en-US"/>
        </w:rPr>
        <w:t xml:space="preserve">) is the mean number of mRNA copies over the whole ensemble of protein-coding genes. Under such circumstances, the probability to register in one (elementary) gene reading act a given </w:t>
      </w:r>
      <w:r w:rsidR="00BD64F5" w:rsidRPr="00586FD5">
        <w:rPr>
          <w:rStyle w:val="Teletype"/>
          <w:rFonts w:ascii="Times New Roman" w:hAnsi="Times New Roman" w:cs="Times New Roman"/>
          <w:lang w:val="en-US"/>
        </w:rPr>
        <w:t>type of transcripts</w:t>
      </w:r>
      <w:r w:rsidRPr="00586FD5">
        <w:rPr>
          <w:rStyle w:val="Teletype"/>
          <w:rFonts w:ascii="Times New Roman" w:hAnsi="Times New Roman" w:cs="Times New Roman"/>
          <w:lang w:val="en-US"/>
        </w:rPr>
        <w:t xml:space="preserve">, which exists in a cell in </w:t>
      </w:r>
      <w:r w:rsidRPr="00586FD5">
        <w:rPr>
          <w:rStyle w:val="Teletype"/>
          <w:rFonts w:ascii="Times New Roman" w:hAnsi="Times New Roman" w:cs="Times New Roman"/>
          <w:i/>
          <w:lang w:val="en-US"/>
        </w:rPr>
        <w:t>N</w:t>
      </w:r>
      <w:r w:rsidRPr="00586FD5">
        <w:rPr>
          <w:rStyle w:val="Teletype"/>
          <w:rFonts w:ascii="Times New Roman" w:hAnsi="Times New Roman" w:cs="Times New Roman"/>
          <w:lang w:val="en-US"/>
        </w:rPr>
        <w:t xml:space="preserve"> copies, equals to</w:t>
      </w:r>
      <w:r w:rsidRPr="00586FD5">
        <w:rPr>
          <w:rFonts w:ascii="Times New Roman" w:hAnsi="Times New Roman"/>
          <w:position w:val="-28"/>
          <w:lang w:val="en-US"/>
        </w:rPr>
        <w:object w:dxaOrig="18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7pt;height:28.4pt" o:ole="" filled="t">
            <v:fill color2="black"/>
            <v:imagedata r:id="rId7" o:title=""/>
          </v:shape>
          <o:OLEObject Type="Embed" ProgID="Equation.3" ShapeID="_x0000_i1025" DrawAspect="Content" ObjectID="_1609747537" r:id="rId8"/>
        </w:object>
      </w:r>
      <w:r w:rsidRPr="00586FD5">
        <w:rPr>
          <w:rFonts w:ascii="Times New Roman" w:hAnsi="Times New Roman"/>
          <w:lang w:val="en-US"/>
        </w:rPr>
        <w:t>.</w:t>
      </w:r>
    </w:p>
    <w:p w:rsidR="00F54AAE" w:rsidRPr="00586FD5" w:rsidRDefault="00F54AAE" w:rsidP="00F54AAE">
      <w:pPr>
        <w:spacing w:after="200" w:line="360" w:lineRule="auto"/>
        <w:contextualSpacing/>
        <w:rPr>
          <w:rFonts w:ascii="Times New Roman" w:hAnsi="Times New Roman"/>
          <w:lang w:val="en-US"/>
        </w:rPr>
      </w:pPr>
    </w:p>
    <w:p w:rsidR="00F54AAE" w:rsidRPr="00586FD5" w:rsidRDefault="00167CF2" w:rsidP="00F54AAE">
      <w:pPr>
        <w:spacing w:after="200" w:line="360" w:lineRule="auto"/>
        <w:contextualSpacing/>
        <w:rPr>
          <w:rFonts w:ascii="Times New Roman" w:hAnsi="Times New Roman"/>
          <w:position w:val="-30"/>
          <w:lang w:val="en-US"/>
        </w:rPr>
      </w:pPr>
      <w:r w:rsidRPr="00586FD5">
        <w:rPr>
          <w:rFonts w:ascii="Times New Roman" w:hAnsi="Times New Roman"/>
          <w:lang w:val="en-US"/>
        </w:rPr>
        <w:t>Assum</w:t>
      </w:r>
      <w:r w:rsidR="00634403" w:rsidRPr="00586FD5">
        <w:rPr>
          <w:rFonts w:ascii="Times New Roman" w:hAnsi="Times New Roman"/>
          <w:lang w:val="en-US"/>
        </w:rPr>
        <w:t>ing</w:t>
      </w:r>
      <w:r w:rsidRPr="00586FD5">
        <w:rPr>
          <w:rFonts w:ascii="Times New Roman" w:hAnsi="Times New Roman"/>
          <w:lang w:val="en-US"/>
        </w:rPr>
        <w:t xml:space="preserve"> there are</w:t>
      </w:r>
      <w:r w:rsidR="00F54AAE" w:rsidRPr="00586FD5">
        <w:rPr>
          <w:rFonts w:ascii="Times New Roman" w:hAnsi="Times New Roman"/>
          <w:lang w:val="en-US"/>
        </w:rPr>
        <w:t xml:space="preserve"> </w:t>
      </w:r>
      <w:r w:rsidR="00F54AAE" w:rsidRPr="00586FD5">
        <w:rPr>
          <w:rFonts w:ascii="Times New Roman" w:hAnsi="Times New Roman"/>
          <w:i/>
          <w:lang w:val="en-US"/>
        </w:rPr>
        <w:t>K</w:t>
      </w:r>
      <w:r w:rsidR="00F54AAE" w:rsidRPr="00586FD5">
        <w:rPr>
          <w:rFonts w:ascii="Times New Roman" w:hAnsi="Times New Roman"/>
          <w:lang w:val="en-US"/>
        </w:rPr>
        <w:t xml:space="preserve"> total </w:t>
      </w:r>
      <w:r w:rsidR="0091130A" w:rsidRPr="00586FD5">
        <w:rPr>
          <w:rFonts w:ascii="Times New Roman" w:hAnsi="Times New Roman"/>
          <w:lang w:val="en-US"/>
        </w:rPr>
        <w:t xml:space="preserve">aligned </w:t>
      </w:r>
      <w:r w:rsidR="002772E3" w:rsidRPr="00586FD5">
        <w:rPr>
          <w:rFonts w:ascii="Times New Roman" w:hAnsi="Times New Roman"/>
          <w:lang w:val="en-US"/>
        </w:rPr>
        <w:t>NGS reads</w:t>
      </w:r>
      <w:r w:rsidR="00634403" w:rsidRPr="00586FD5">
        <w:rPr>
          <w:rFonts w:ascii="Times New Roman" w:hAnsi="Times New Roman"/>
          <w:lang w:val="en-US"/>
        </w:rPr>
        <w:t>, t</w:t>
      </w:r>
      <w:r w:rsidR="00F54AAE" w:rsidRPr="00586FD5">
        <w:rPr>
          <w:rFonts w:ascii="Times New Roman" w:hAnsi="Times New Roman"/>
          <w:lang w:val="en-US"/>
        </w:rPr>
        <w:t>he overall probability</w:t>
      </w:r>
      <w:r w:rsidR="00634403" w:rsidRPr="00586FD5">
        <w:rPr>
          <w:rFonts w:ascii="Times New Roman" w:hAnsi="Times New Roman"/>
          <w:lang w:val="en-US"/>
        </w:rPr>
        <w:t xml:space="preserve"> </w:t>
      </w:r>
      <w:r w:rsidR="00F51360" w:rsidRPr="00586FD5">
        <w:rPr>
          <w:rFonts w:ascii="Times New Roman" w:hAnsi="Times New Roman"/>
          <w:lang w:val="en-US"/>
        </w:rPr>
        <w:t>(</w:t>
      </w:r>
      <w:r w:rsidR="00F51360" w:rsidRPr="00586FD5">
        <w:rPr>
          <w:rFonts w:ascii="Times New Roman" w:hAnsi="Times New Roman"/>
          <w:i/>
          <w:lang w:val="en-US"/>
        </w:rPr>
        <w:t xml:space="preserve">P) </w:t>
      </w:r>
      <w:r w:rsidR="00634403" w:rsidRPr="00586FD5">
        <w:rPr>
          <w:rFonts w:ascii="Times New Roman" w:hAnsi="Times New Roman"/>
          <w:i/>
          <w:lang w:val="en-US"/>
        </w:rPr>
        <w:t>not</w:t>
      </w:r>
      <w:r w:rsidR="00634403" w:rsidRPr="00586FD5">
        <w:rPr>
          <w:rFonts w:ascii="Times New Roman" w:hAnsi="Times New Roman"/>
          <w:lang w:val="en-US"/>
        </w:rPr>
        <w:t xml:space="preserve"> to encounter a given type of gene transcript</w:t>
      </w:r>
      <w:r w:rsidR="00F54AAE" w:rsidRPr="00586FD5">
        <w:rPr>
          <w:rFonts w:ascii="Times New Roman" w:hAnsi="Times New Roman"/>
          <w:lang w:val="en-US"/>
        </w:rPr>
        <w:t xml:space="preserve">, which </w:t>
      </w:r>
      <w:r w:rsidR="002B7DBC" w:rsidRPr="00586FD5">
        <w:rPr>
          <w:rFonts w:ascii="Times New Roman" w:hAnsi="Times New Roman"/>
          <w:lang w:val="en-US"/>
        </w:rPr>
        <w:t>is present</w:t>
      </w:r>
      <w:r w:rsidR="0087331C" w:rsidRPr="00586FD5">
        <w:rPr>
          <w:rFonts w:ascii="Times New Roman" w:hAnsi="Times New Roman"/>
          <w:lang w:val="en-US"/>
        </w:rPr>
        <w:t>ed</w:t>
      </w:r>
      <w:r w:rsidR="002B7DBC" w:rsidRPr="00586FD5">
        <w:rPr>
          <w:rFonts w:ascii="Times New Roman" w:hAnsi="Times New Roman"/>
          <w:lang w:val="en-US"/>
        </w:rPr>
        <w:t xml:space="preserve"> in the </w:t>
      </w:r>
      <w:r w:rsidR="007A08E5" w:rsidRPr="00586FD5">
        <w:rPr>
          <w:rFonts w:ascii="Times New Roman" w:hAnsi="Times New Roman"/>
          <w:lang w:val="en-US"/>
        </w:rPr>
        <w:t>sample by</w:t>
      </w:r>
      <w:r w:rsidR="00F54AAE" w:rsidRPr="00586FD5">
        <w:rPr>
          <w:rFonts w:ascii="Times New Roman" w:hAnsi="Times New Roman"/>
          <w:lang w:val="en-US"/>
        </w:rPr>
        <w:t xml:space="preserve"> </w:t>
      </w:r>
      <w:r w:rsidR="00F54AAE" w:rsidRPr="00586FD5">
        <w:rPr>
          <w:rFonts w:ascii="Times New Roman" w:hAnsi="Times New Roman"/>
          <w:i/>
          <w:lang w:val="en-US"/>
        </w:rPr>
        <w:t>N</w:t>
      </w:r>
      <w:r w:rsidR="00F54AAE" w:rsidRPr="00586FD5">
        <w:rPr>
          <w:rFonts w:ascii="Times New Roman" w:hAnsi="Times New Roman"/>
          <w:lang w:val="en-US"/>
        </w:rPr>
        <w:t xml:space="preserve"> copies </w:t>
      </w:r>
      <w:r w:rsidR="00791AC9" w:rsidRPr="00586FD5">
        <w:rPr>
          <w:rFonts w:ascii="Times New Roman" w:hAnsi="Times New Roman"/>
          <w:lang w:val="en-US"/>
        </w:rPr>
        <w:t>is expressed by the formula:</w:t>
      </w:r>
      <w:r w:rsidR="00F54AAE" w:rsidRPr="00586FD5">
        <w:rPr>
          <w:rFonts w:ascii="Times New Roman" w:hAnsi="Times New Roman"/>
          <w:position w:val="-12"/>
          <w:lang w:val="en-US"/>
        </w:rPr>
        <w:object w:dxaOrig="1340" w:dyaOrig="400">
          <v:shape id="_x0000_i1026" type="#_x0000_t75" style="width:65.4pt;height:21.3pt" o:ole="" filled="t">
            <v:fill color2="black"/>
            <v:imagedata r:id="rId9" o:title=""/>
          </v:shape>
          <o:OLEObject Type="Embed" ProgID="Equation.3" ShapeID="_x0000_i1026" DrawAspect="Content" ObjectID="_1609747538" r:id="rId10"/>
        </w:object>
      </w:r>
      <w:r w:rsidR="00F54AAE" w:rsidRPr="00586FD5">
        <w:rPr>
          <w:rFonts w:ascii="Times New Roman" w:hAnsi="Times New Roman"/>
          <w:lang w:val="en-US"/>
        </w:rPr>
        <w:t xml:space="preserve">Thus, </w:t>
      </w:r>
      <w:r w:rsidR="00617750" w:rsidRPr="00586FD5">
        <w:rPr>
          <w:rFonts w:ascii="Times New Roman" w:hAnsi="Times New Roman"/>
          <w:lang w:val="en-US"/>
        </w:rPr>
        <w:t xml:space="preserve">taking into account that the value of </w:t>
      </w:r>
      <w:r w:rsidR="00617750" w:rsidRPr="00586FD5">
        <w:rPr>
          <w:rFonts w:ascii="Times New Roman" w:hAnsi="Times New Roman"/>
          <w:i/>
          <w:lang w:val="en-US"/>
        </w:rPr>
        <w:t>p</w:t>
      </w:r>
      <w:r w:rsidR="00617750" w:rsidRPr="00586FD5">
        <w:rPr>
          <w:rFonts w:ascii="Times New Roman" w:hAnsi="Times New Roman"/>
          <w:vertAlign w:val="subscript"/>
          <w:lang w:val="en-US"/>
        </w:rPr>
        <w:t>0</w:t>
      </w:r>
      <w:r w:rsidR="00617750" w:rsidRPr="00586FD5">
        <w:rPr>
          <w:rFonts w:ascii="Times New Roman" w:hAnsi="Times New Roman"/>
          <w:lang w:val="en-US"/>
        </w:rPr>
        <w:t xml:space="preserve"> is </w:t>
      </w:r>
      <w:r w:rsidR="008D5815" w:rsidRPr="00586FD5">
        <w:rPr>
          <w:rFonts w:ascii="Times New Roman" w:hAnsi="Times New Roman"/>
          <w:lang w:val="en-US"/>
        </w:rPr>
        <w:t>extremely low compared to 1,</w:t>
      </w:r>
      <w:r w:rsidR="00617750" w:rsidRPr="00586FD5">
        <w:rPr>
          <w:rFonts w:ascii="Times New Roman" w:hAnsi="Times New Roman"/>
          <w:lang w:val="en-US"/>
        </w:rPr>
        <w:t xml:space="preserve"> </w:t>
      </w:r>
      <w:r w:rsidR="00F54AAE" w:rsidRPr="00586FD5">
        <w:rPr>
          <w:rFonts w:ascii="Times New Roman" w:hAnsi="Times New Roman"/>
          <w:lang w:val="en-US"/>
        </w:rPr>
        <w:t xml:space="preserve">the required </w:t>
      </w:r>
      <w:r w:rsidR="00DB0890" w:rsidRPr="00586FD5">
        <w:rPr>
          <w:rFonts w:ascii="Times New Roman" w:hAnsi="Times New Roman"/>
          <w:lang w:val="en-US"/>
        </w:rPr>
        <w:t>number of mapped sequencing reads</w:t>
      </w:r>
      <w:r w:rsidR="00F54AAE" w:rsidRPr="00586FD5">
        <w:rPr>
          <w:rFonts w:ascii="Times New Roman" w:hAnsi="Times New Roman"/>
          <w:lang w:val="en-US"/>
        </w:rPr>
        <w:t xml:space="preserve"> sufficient for registration of </w:t>
      </w:r>
      <w:r w:rsidR="005C5B93" w:rsidRPr="00586FD5">
        <w:rPr>
          <w:rFonts w:ascii="Times New Roman" w:hAnsi="Times New Roman"/>
          <w:lang w:val="en-US"/>
        </w:rPr>
        <w:t>this transcript</w:t>
      </w:r>
      <w:r w:rsidR="00F54AAE" w:rsidRPr="00586FD5">
        <w:rPr>
          <w:rFonts w:ascii="Times New Roman" w:hAnsi="Times New Roman"/>
          <w:lang w:val="en-US"/>
        </w:rPr>
        <w:t xml:space="preserve"> with the probability (1 – </w:t>
      </w:r>
      <w:r w:rsidR="00F54AAE" w:rsidRPr="00586FD5">
        <w:rPr>
          <w:rFonts w:ascii="Times New Roman" w:hAnsi="Times New Roman"/>
          <w:i/>
          <w:lang w:val="en-US"/>
        </w:rPr>
        <w:t>P</w:t>
      </w:r>
      <w:r w:rsidR="00F54AAE" w:rsidRPr="00586FD5">
        <w:rPr>
          <w:rFonts w:ascii="Times New Roman" w:hAnsi="Times New Roman"/>
          <w:lang w:val="en-US"/>
        </w:rPr>
        <w:t xml:space="preserve">) will be </w:t>
      </w:r>
      <w:r w:rsidR="00B67DA7" w:rsidRPr="00586FD5">
        <w:rPr>
          <w:rFonts w:ascii="Times New Roman" w:hAnsi="Times New Roman"/>
          <w:lang w:val="en-US"/>
        </w:rPr>
        <w:t>as follows:</w:t>
      </w:r>
      <w:r w:rsidR="00F54AAE" w:rsidRPr="00586FD5">
        <w:rPr>
          <w:rFonts w:ascii="Times New Roman" w:hAnsi="Times New Roman"/>
          <w:lang w:val="en-US"/>
        </w:rPr>
        <w:t xml:space="preserve"> </w:t>
      </w:r>
      <w:r w:rsidR="00F54AAE" w:rsidRPr="00586FD5">
        <w:rPr>
          <w:rFonts w:ascii="Times New Roman" w:hAnsi="Times New Roman"/>
          <w:position w:val="-30"/>
          <w:lang w:val="en-US"/>
        </w:rPr>
        <w:object w:dxaOrig="3879" w:dyaOrig="720">
          <v:shape id="_x0000_i1027" type="#_x0000_t75" style="width:180pt;height:36pt" o:ole="" filled="t">
            <v:fill color2="black"/>
            <v:imagedata r:id="rId11" o:title=""/>
          </v:shape>
          <o:OLEObject Type="Embed" ProgID="Equation.3" ShapeID="_x0000_i1027" DrawAspect="Content" ObjectID="_1609747539" r:id="rId12"/>
        </w:object>
      </w:r>
      <w:r w:rsidR="00F54AAE" w:rsidRPr="00586FD5">
        <w:rPr>
          <w:rFonts w:ascii="Times New Roman" w:hAnsi="Times New Roman"/>
          <w:position w:val="-30"/>
          <w:lang w:val="en-US"/>
        </w:rPr>
        <w:t xml:space="preserve">  (1)</w:t>
      </w:r>
    </w:p>
    <w:p w:rsidR="00F54AAE" w:rsidRPr="00586FD5" w:rsidRDefault="00F54AAE" w:rsidP="00F54AAE">
      <w:pPr>
        <w:spacing w:after="200" w:line="360" w:lineRule="auto"/>
        <w:contextualSpacing/>
        <w:rPr>
          <w:rFonts w:ascii="Times New Roman" w:hAnsi="Times New Roman"/>
          <w:lang w:val="en-US"/>
        </w:rPr>
      </w:pPr>
      <w:r w:rsidRPr="00586FD5">
        <w:rPr>
          <w:rFonts w:ascii="Times New Roman" w:hAnsi="Times New Roman"/>
          <w:lang w:val="en-US"/>
        </w:rPr>
        <w:t xml:space="preserve">For </w:t>
      </w:r>
      <w:r w:rsidR="00A83E94" w:rsidRPr="00586FD5">
        <w:rPr>
          <w:rFonts w:ascii="Times New Roman" w:hAnsi="Times New Roman"/>
          <w:lang w:val="en-US"/>
        </w:rPr>
        <w:t xml:space="preserve">the </w:t>
      </w:r>
      <w:r w:rsidRPr="00586FD5">
        <w:rPr>
          <w:rFonts w:ascii="Times New Roman" w:hAnsi="Times New Roman"/>
          <w:lang w:val="en-US"/>
        </w:rPr>
        <w:t xml:space="preserve">biological experiments, </w:t>
      </w:r>
      <w:r w:rsidRPr="00586FD5">
        <w:rPr>
          <w:rFonts w:ascii="Times New Roman" w:hAnsi="Times New Roman"/>
          <w:i/>
          <w:lang w:val="en-US"/>
        </w:rPr>
        <w:t xml:space="preserve">P </w:t>
      </w:r>
      <w:r w:rsidRPr="00586FD5">
        <w:rPr>
          <w:rFonts w:ascii="Times New Roman" w:hAnsi="Times New Roman"/>
          <w:lang w:val="en-US"/>
        </w:rPr>
        <w:t xml:space="preserve">is often set to 0.05, which corresponds to registering </w:t>
      </w:r>
      <w:r w:rsidR="00E2631A" w:rsidRPr="00586FD5">
        <w:rPr>
          <w:rFonts w:ascii="Times New Roman" w:hAnsi="Times New Roman"/>
          <w:i/>
          <w:lang w:val="en-US"/>
        </w:rPr>
        <w:t>at least one transcript</w:t>
      </w:r>
      <w:r w:rsidR="00E2631A" w:rsidRPr="00586FD5">
        <w:rPr>
          <w:rFonts w:ascii="Times New Roman" w:hAnsi="Times New Roman"/>
          <w:lang w:val="en-US"/>
        </w:rPr>
        <w:t xml:space="preserve"> </w:t>
      </w:r>
      <w:r w:rsidRPr="00586FD5">
        <w:rPr>
          <w:rFonts w:ascii="Times New Roman" w:hAnsi="Times New Roman"/>
          <w:lang w:val="en-US"/>
        </w:rPr>
        <w:t xml:space="preserve">with 95% probability that </w:t>
      </w:r>
      <w:r w:rsidR="00855401" w:rsidRPr="00586FD5">
        <w:rPr>
          <w:rFonts w:ascii="Times New Roman" w:hAnsi="Times New Roman"/>
          <w:lang w:val="en-US"/>
        </w:rPr>
        <w:t>is presented by</w:t>
      </w:r>
      <w:r w:rsidRPr="00586FD5">
        <w:rPr>
          <w:rFonts w:ascii="Times New Roman" w:hAnsi="Times New Roman"/>
          <w:lang w:val="en-US"/>
        </w:rPr>
        <w:t xml:space="preserve"> </w:t>
      </w:r>
      <w:r w:rsidRPr="00586FD5">
        <w:rPr>
          <w:rFonts w:ascii="Times New Roman" w:hAnsi="Times New Roman"/>
          <w:i/>
          <w:lang w:val="en-US"/>
        </w:rPr>
        <w:t>N</w:t>
      </w:r>
      <w:r w:rsidRPr="00586FD5">
        <w:rPr>
          <w:rFonts w:ascii="Times New Roman" w:hAnsi="Times New Roman"/>
          <w:lang w:val="en-US"/>
        </w:rPr>
        <w:t xml:space="preserve"> copies </w:t>
      </w:r>
      <w:r w:rsidR="0070528B" w:rsidRPr="00586FD5">
        <w:rPr>
          <w:rFonts w:ascii="Times New Roman" w:hAnsi="Times New Roman"/>
          <w:lang w:val="en-US"/>
        </w:rPr>
        <w:t>in</w:t>
      </w:r>
      <w:r w:rsidRPr="00586FD5">
        <w:rPr>
          <w:rFonts w:ascii="Times New Roman" w:hAnsi="Times New Roman"/>
          <w:lang w:val="en-US"/>
        </w:rPr>
        <w:t xml:space="preserve"> </w:t>
      </w:r>
      <w:r w:rsidRPr="00586FD5">
        <w:rPr>
          <w:rFonts w:ascii="Times New Roman" w:hAnsi="Times New Roman"/>
          <w:i/>
          <w:lang w:val="en-US"/>
        </w:rPr>
        <w:t>K</w:t>
      </w:r>
      <w:r w:rsidRPr="00586FD5">
        <w:rPr>
          <w:rFonts w:ascii="Times New Roman" w:hAnsi="Times New Roman"/>
          <w:lang w:val="en-US"/>
        </w:rPr>
        <w:t xml:space="preserve"> </w:t>
      </w:r>
      <w:r w:rsidR="0070528B" w:rsidRPr="00586FD5">
        <w:rPr>
          <w:rFonts w:ascii="Times New Roman" w:hAnsi="Times New Roman"/>
          <w:lang w:val="en-US"/>
        </w:rPr>
        <w:t>mapped sequencing</w:t>
      </w:r>
      <w:r w:rsidR="00E2631A" w:rsidRPr="00586FD5">
        <w:rPr>
          <w:rFonts w:ascii="Times New Roman" w:hAnsi="Times New Roman"/>
          <w:lang w:val="en-US"/>
        </w:rPr>
        <w:t xml:space="preserve"> reads</w:t>
      </w:r>
      <w:r w:rsidRPr="00586FD5">
        <w:rPr>
          <w:rFonts w:ascii="Times New Roman" w:hAnsi="Times New Roman"/>
          <w:lang w:val="en-US"/>
        </w:rPr>
        <w:t>.</w:t>
      </w:r>
    </w:p>
    <w:p w:rsidR="00F54AAE" w:rsidRPr="00586FD5" w:rsidRDefault="00F54AAE" w:rsidP="00F54AAE">
      <w:pPr>
        <w:spacing w:after="200" w:line="360" w:lineRule="auto"/>
        <w:contextualSpacing/>
        <w:rPr>
          <w:rFonts w:ascii="Times New Roman" w:hAnsi="Times New Roman"/>
          <w:lang w:val="en-US"/>
        </w:rPr>
      </w:pPr>
    </w:p>
    <w:p w:rsidR="006C2838" w:rsidRPr="00586FD5" w:rsidRDefault="00F54AAE" w:rsidP="00F54AAE">
      <w:pPr>
        <w:spacing w:after="200" w:line="360" w:lineRule="auto"/>
        <w:contextualSpacing/>
        <w:rPr>
          <w:rFonts w:ascii="Times New Roman" w:hAnsi="Times New Roman"/>
          <w:lang w:val="en-US"/>
        </w:rPr>
      </w:pPr>
      <w:r w:rsidRPr="00586FD5">
        <w:rPr>
          <w:rFonts w:ascii="Times New Roman" w:hAnsi="Times New Roman"/>
          <w:lang w:val="en-US"/>
        </w:rPr>
        <w:t xml:space="preserve">However, </w:t>
      </w:r>
      <w:r w:rsidR="00C14754" w:rsidRPr="00586FD5">
        <w:rPr>
          <w:rFonts w:ascii="Times New Roman" w:hAnsi="Times New Roman"/>
          <w:lang w:val="en-US"/>
        </w:rPr>
        <w:t>most of commercially available</w:t>
      </w:r>
      <w:r w:rsidRPr="00586FD5">
        <w:rPr>
          <w:rFonts w:ascii="Times New Roman" w:hAnsi="Times New Roman"/>
          <w:lang w:val="en-US"/>
        </w:rPr>
        <w:t xml:space="preserve"> mRNA </w:t>
      </w:r>
      <w:r w:rsidR="00B10954" w:rsidRPr="00586FD5">
        <w:rPr>
          <w:rFonts w:ascii="Times New Roman" w:hAnsi="Times New Roman"/>
          <w:lang w:val="en-US"/>
        </w:rPr>
        <w:t>NGS</w:t>
      </w:r>
      <w:r w:rsidRPr="00586FD5">
        <w:rPr>
          <w:rFonts w:ascii="Times New Roman" w:hAnsi="Times New Roman"/>
          <w:lang w:val="en-US"/>
        </w:rPr>
        <w:t xml:space="preserve"> </w:t>
      </w:r>
      <w:r w:rsidR="00C14754" w:rsidRPr="00586FD5">
        <w:rPr>
          <w:rFonts w:ascii="Times New Roman" w:hAnsi="Times New Roman"/>
          <w:lang w:val="en-US"/>
        </w:rPr>
        <w:t xml:space="preserve">platforms </w:t>
      </w:r>
      <w:r w:rsidR="00806798" w:rsidRPr="00586FD5">
        <w:rPr>
          <w:rFonts w:ascii="Times New Roman" w:hAnsi="Times New Roman"/>
          <w:lang w:val="en-US"/>
        </w:rPr>
        <w:t>generate</w:t>
      </w:r>
      <w:r w:rsidRPr="00586FD5">
        <w:rPr>
          <w:rFonts w:ascii="Times New Roman" w:hAnsi="Times New Roman"/>
          <w:lang w:val="en-US"/>
        </w:rPr>
        <w:t xml:space="preserve"> </w:t>
      </w:r>
      <w:r w:rsidR="00806798" w:rsidRPr="00586FD5">
        <w:rPr>
          <w:rFonts w:ascii="Times New Roman" w:hAnsi="Times New Roman"/>
          <w:lang w:val="en-US"/>
        </w:rPr>
        <w:t>sequencing reads which are</w:t>
      </w:r>
      <w:r w:rsidRPr="00586FD5">
        <w:rPr>
          <w:rFonts w:ascii="Times New Roman" w:hAnsi="Times New Roman"/>
          <w:lang w:val="en-US"/>
        </w:rPr>
        <w:t xml:space="preserve"> than whole gene</w:t>
      </w:r>
      <w:r w:rsidR="00E35D69" w:rsidRPr="00586FD5">
        <w:rPr>
          <w:rFonts w:ascii="Times New Roman" w:hAnsi="Times New Roman"/>
          <w:lang w:val="en-US"/>
        </w:rPr>
        <w:t xml:space="preserve"> transcript</w:t>
      </w:r>
      <w:r w:rsidRPr="00586FD5">
        <w:rPr>
          <w:rFonts w:ascii="Times New Roman" w:hAnsi="Times New Roman"/>
          <w:lang w:val="en-US"/>
        </w:rPr>
        <w:t xml:space="preserve">s. </w:t>
      </w:r>
      <w:r w:rsidR="00DE144B" w:rsidRPr="00586FD5">
        <w:rPr>
          <w:rFonts w:ascii="Times New Roman" w:hAnsi="Times New Roman"/>
          <w:lang w:val="en-US"/>
        </w:rPr>
        <w:t>In</w:t>
      </w:r>
      <w:r w:rsidRPr="00586FD5">
        <w:rPr>
          <w:rFonts w:ascii="Times New Roman" w:hAnsi="Times New Roman"/>
          <w:lang w:val="en-US"/>
        </w:rPr>
        <w:t xml:space="preserve"> this case, the number of fragment</w:t>
      </w:r>
      <w:r w:rsidR="003212C1" w:rsidRPr="00586FD5">
        <w:rPr>
          <w:rFonts w:ascii="Times New Roman" w:hAnsi="Times New Roman"/>
          <w:lang w:val="en-US"/>
        </w:rPr>
        <w:t>s</w:t>
      </w:r>
      <w:r w:rsidRPr="00586FD5">
        <w:rPr>
          <w:rFonts w:ascii="Times New Roman" w:hAnsi="Times New Roman"/>
          <w:lang w:val="en-US"/>
        </w:rPr>
        <w:t xml:space="preserve"> </w:t>
      </w:r>
      <w:r w:rsidR="001A2402" w:rsidRPr="00586FD5">
        <w:rPr>
          <w:rFonts w:ascii="Times New Roman" w:hAnsi="Times New Roman"/>
          <w:lang w:val="en-US"/>
        </w:rPr>
        <w:t>that may present in the mixture for a transcript</w:t>
      </w:r>
      <w:r w:rsidRPr="00586FD5">
        <w:rPr>
          <w:rFonts w:ascii="Times New Roman" w:hAnsi="Times New Roman"/>
          <w:lang w:val="en-US"/>
        </w:rPr>
        <w:t xml:space="preserve"> with the length </w:t>
      </w:r>
      <w:r w:rsidRPr="00586FD5">
        <w:rPr>
          <w:rFonts w:ascii="Times New Roman" w:hAnsi="Times New Roman"/>
          <w:i/>
          <w:lang w:val="en-US"/>
        </w:rPr>
        <w:t>L</w:t>
      </w:r>
      <w:r w:rsidRPr="00586FD5">
        <w:rPr>
          <w:rFonts w:ascii="Times New Roman" w:hAnsi="Times New Roman"/>
          <w:lang w:val="en-US"/>
        </w:rPr>
        <w:t xml:space="preserve"> nucleotides, </w:t>
      </w:r>
      <w:r w:rsidR="00AE1F07" w:rsidRPr="00586FD5">
        <w:rPr>
          <w:rFonts w:ascii="Times New Roman" w:hAnsi="Times New Roman"/>
          <w:lang w:val="en-US"/>
        </w:rPr>
        <w:t>presented by</w:t>
      </w:r>
      <w:r w:rsidRPr="00586FD5">
        <w:rPr>
          <w:rFonts w:ascii="Times New Roman" w:hAnsi="Times New Roman"/>
          <w:lang w:val="en-US"/>
        </w:rPr>
        <w:t xml:space="preserve"> </w:t>
      </w:r>
      <w:r w:rsidRPr="00586FD5">
        <w:rPr>
          <w:rFonts w:ascii="Times New Roman" w:hAnsi="Times New Roman"/>
          <w:i/>
          <w:lang w:val="en-US"/>
        </w:rPr>
        <w:t xml:space="preserve">N </w:t>
      </w:r>
      <w:r w:rsidRPr="00586FD5">
        <w:rPr>
          <w:rFonts w:ascii="Times New Roman" w:hAnsi="Times New Roman"/>
          <w:lang w:val="en-US"/>
        </w:rPr>
        <w:t>copies, is</w:t>
      </w:r>
      <w:r w:rsidR="00F23900" w:rsidRPr="00586FD5">
        <w:rPr>
          <w:rFonts w:ascii="Times New Roman" w:hAnsi="Times New Roman"/>
          <w:lang w:val="en-US"/>
        </w:rPr>
        <w:t xml:space="preserve"> </w:t>
      </w:r>
      <w:r w:rsidRPr="00586FD5">
        <w:rPr>
          <w:rFonts w:ascii="Times New Roman" w:hAnsi="Times New Roman"/>
          <w:lang w:val="en-US"/>
        </w:rPr>
        <w:t xml:space="preserve"> </w:t>
      </w:r>
      <m:oMath>
        <m:r>
          <w:rPr>
            <w:rFonts w:ascii="Cambria Math" w:hAnsi="Cambria Math"/>
            <w:lang w:val="en-US"/>
          </w:rPr>
          <m:t>ν=N⋅L</m:t>
        </m:r>
      </m:oMath>
      <w:r w:rsidRPr="00586FD5">
        <w:rPr>
          <w:rFonts w:ascii="Times New Roman" w:hAnsi="Times New Roman"/>
          <w:lang w:val="en-US"/>
        </w:rPr>
        <w:t xml:space="preserve"> </w:t>
      </w:r>
      <w:r w:rsidR="006C2838" w:rsidRPr="00586FD5">
        <w:rPr>
          <w:rFonts w:ascii="Times New Roman" w:hAnsi="Times New Roman"/>
          <w:lang w:val="en-US"/>
        </w:rPr>
        <w:t>.</w:t>
      </w:r>
    </w:p>
    <w:p w:rsidR="00F54AAE" w:rsidRPr="00586FD5" w:rsidRDefault="006C2838" w:rsidP="00F54AAE">
      <w:pPr>
        <w:spacing w:after="200" w:line="360" w:lineRule="auto"/>
        <w:contextualSpacing/>
        <w:rPr>
          <w:lang w:val="en-US"/>
        </w:rPr>
      </w:pPr>
      <w:r w:rsidRPr="00586FD5">
        <w:rPr>
          <w:rFonts w:ascii="Times New Roman" w:hAnsi="Times New Roman"/>
          <w:lang w:val="en-US"/>
        </w:rPr>
        <w:t>T</w:t>
      </w:r>
      <w:r w:rsidR="00F54AAE" w:rsidRPr="00586FD5">
        <w:rPr>
          <w:rFonts w:ascii="Times New Roman" w:hAnsi="Times New Roman"/>
          <w:lang w:val="en-US"/>
        </w:rPr>
        <w:t>he probability of registering a fragment of this gene in one reading act</w:t>
      </w:r>
      <w:r w:rsidRPr="00586FD5">
        <w:rPr>
          <w:rFonts w:ascii="Times New Roman" w:hAnsi="Times New Roman"/>
          <w:lang w:val="en-US"/>
        </w:rPr>
        <w:t>, therefore,</w:t>
      </w:r>
      <w:r w:rsidR="00F54AAE" w:rsidRPr="00586FD5">
        <w:rPr>
          <w:rFonts w:ascii="Times New Roman" w:hAnsi="Times New Roman"/>
          <w:lang w:val="en-US"/>
        </w:rPr>
        <w:t xml:space="preserve"> equals to</w:t>
      </w:r>
      <w:r w:rsidR="00F54AAE" w:rsidRPr="00586FD5">
        <w:rPr>
          <w:rFonts w:ascii="Times New Roman" w:hAnsi="Times New Roman"/>
          <w:position w:val="-62"/>
          <w:lang w:val="en-US"/>
        </w:rPr>
        <w:object w:dxaOrig="1080" w:dyaOrig="999">
          <v:shape id="_x0000_i1028" type="#_x0000_t75" style="width:56.8pt;height:50.7pt" o:ole="" filled="t">
            <v:fill color2="black"/>
            <v:imagedata r:id="rId13" o:title=""/>
          </v:shape>
          <o:OLEObject Type="Embed" ProgID="Equation.3" ShapeID="_x0000_i1028" DrawAspect="Content" ObjectID="_1609747540" r:id="rId14"/>
        </w:object>
      </w:r>
      <w:r w:rsidR="00F54AAE" w:rsidRPr="00586FD5">
        <w:rPr>
          <w:rFonts w:ascii="Times New Roman" w:hAnsi="Times New Roman"/>
          <w:lang w:val="en-US"/>
        </w:rPr>
        <w:t xml:space="preserve">, where the index </w:t>
      </w:r>
      <w:r w:rsidR="00F54AAE" w:rsidRPr="00586FD5">
        <w:rPr>
          <w:rFonts w:ascii="Times New Roman" w:hAnsi="Times New Roman"/>
          <w:i/>
          <w:lang w:val="en-US"/>
        </w:rPr>
        <w:t>i</w:t>
      </w:r>
      <w:r w:rsidR="00F54AAE" w:rsidRPr="00586FD5">
        <w:rPr>
          <w:rFonts w:ascii="Times New Roman" w:hAnsi="Times New Roman"/>
          <w:lang w:val="en-US"/>
        </w:rPr>
        <w:t xml:space="preserve"> runs through all </w:t>
      </w:r>
      <w:r w:rsidR="00C710CA" w:rsidRPr="00586FD5">
        <w:rPr>
          <w:rFonts w:ascii="Times New Roman" w:hAnsi="Times New Roman"/>
          <w:lang w:val="en-US"/>
        </w:rPr>
        <w:t>unique types of transcripts</w:t>
      </w:r>
      <w:r w:rsidR="00F54AAE" w:rsidRPr="00586FD5">
        <w:rPr>
          <w:rFonts w:ascii="Times New Roman" w:hAnsi="Times New Roman"/>
          <w:lang w:val="en-US"/>
        </w:rPr>
        <w:t xml:space="preserve"> in the cell. Consequently, the </w:t>
      </w:r>
      <w:r w:rsidR="004B528C" w:rsidRPr="00586FD5">
        <w:rPr>
          <w:rFonts w:ascii="Times New Roman" w:hAnsi="Times New Roman"/>
          <w:lang w:val="en-US"/>
        </w:rPr>
        <w:t>number of mapped sequencing reads</w:t>
      </w:r>
      <w:r w:rsidR="00F54AAE" w:rsidRPr="00586FD5">
        <w:rPr>
          <w:rFonts w:ascii="Times New Roman" w:hAnsi="Times New Roman"/>
          <w:lang w:val="en-US"/>
        </w:rPr>
        <w:t xml:space="preserve"> required to find at least one fragment of </w:t>
      </w:r>
      <w:r w:rsidR="00F54AAE" w:rsidRPr="00586FD5">
        <w:rPr>
          <w:rFonts w:ascii="Times New Roman" w:hAnsi="Times New Roman"/>
          <w:lang w:val="en-US"/>
        </w:rPr>
        <w:lastRenderedPageBreak/>
        <w:t xml:space="preserve">a gene with the length </w:t>
      </w:r>
      <w:r w:rsidR="00F54AAE" w:rsidRPr="00586FD5">
        <w:rPr>
          <w:rFonts w:ascii="Times New Roman" w:hAnsi="Times New Roman"/>
          <w:i/>
          <w:lang w:val="en-US"/>
        </w:rPr>
        <w:t>L</w:t>
      </w:r>
      <w:r w:rsidR="00F54AAE" w:rsidRPr="00586FD5">
        <w:rPr>
          <w:rFonts w:ascii="Times New Roman" w:hAnsi="Times New Roman"/>
          <w:lang w:val="en-US"/>
        </w:rPr>
        <w:t xml:space="preserve"> and expression level of </w:t>
      </w:r>
      <w:r w:rsidR="00F54AAE" w:rsidRPr="00586FD5">
        <w:rPr>
          <w:rFonts w:ascii="Times New Roman" w:hAnsi="Times New Roman"/>
          <w:i/>
          <w:lang w:val="en-US"/>
        </w:rPr>
        <w:t>N</w:t>
      </w:r>
      <w:r w:rsidR="00F54AAE" w:rsidRPr="00586FD5">
        <w:rPr>
          <w:rFonts w:ascii="Times New Roman" w:hAnsi="Times New Roman"/>
          <w:lang w:val="en-US"/>
        </w:rPr>
        <w:t xml:space="preserve"> copies </w:t>
      </w:r>
      <w:r w:rsidR="00496C26" w:rsidRPr="00586FD5">
        <w:rPr>
          <w:rFonts w:ascii="Times New Roman" w:hAnsi="Times New Roman"/>
          <w:lang w:val="en-US"/>
        </w:rPr>
        <w:t xml:space="preserve">per sample </w:t>
      </w:r>
      <w:r w:rsidR="00F54AAE" w:rsidRPr="00586FD5">
        <w:rPr>
          <w:rFonts w:ascii="Times New Roman" w:hAnsi="Times New Roman"/>
          <w:lang w:val="en-US"/>
        </w:rPr>
        <w:t xml:space="preserve">is </w:t>
      </w:r>
      <m:oMath>
        <m:acc>
          <m:accPr>
            <m:ctrlPr>
              <w:rPr>
                <w:rFonts w:ascii="Cambria Math" w:hAnsi="Cambria Math"/>
                <w:i/>
                <w:lang w:val="en-US"/>
              </w:rPr>
            </m:ctrlPr>
          </m:accPr>
          <m:e>
            <m:r>
              <w:rPr>
                <w:rFonts w:ascii="Cambria Math" w:hAnsi="Cambria Math"/>
                <w:lang w:val="en-US"/>
              </w:rPr>
              <m:t>K</m:t>
            </m:r>
          </m:e>
        </m:acc>
        <m:r>
          <w:rPr>
            <w:rFonts w:ascii="Cambria Math" w:hAnsi="Cambria Math"/>
            <w:lang w:val="en-US"/>
          </w:rPr>
          <m:t>=</m:t>
        </m:r>
        <m:sSub>
          <m:sSubPr>
            <m:ctrlPr>
              <w:rPr>
                <w:rFonts w:ascii="Cambria Math" w:hAnsi="Cambria Math"/>
                <w:i/>
                <w:lang w:val="en-US"/>
              </w:rPr>
            </m:ctrlPr>
          </m:sSubPr>
          <m:e>
            <m:r>
              <m:rPr>
                <m:nor/>
              </m:rPr>
              <w:rPr>
                <w:rFonts w:ascii="Cambria Math" w:hAnsi="Cambria Math"/>
                <w:lang w:val="en-US"/>
              </w:rPr>
              <m:t>log</m:t>
            </m:r>
          </m:e>
          <m:sub>
            <m:r>
              <w:rPr>
                <w:rFonts w:ascii="Cambria Math" w:hAnsi="Cambria Math"/>
                <w:lang w:val="en-US"/>
              </w:rPr>
              <m:t>1-</m:t>
            </m:r>
            <m:sSub>
              <m:sSubPr>
                <m:ctrlPr>
                  <w:rPr>
                    <w:rFonts w:ascii="Cambria Math" w:hAnsi="Cambria Math"/>
                    <w:i/>
                    <w:lang w:val="en-US"/>
                  </w:rPr>
                </m:ctrlPr>
              </m:sSubPr>
              <m:e>
                <m:r>
                  <w:rPr>
                    <w:rFonts w:ascii="Cambria Math" w:hAnsi="Cambria Math"/>
                    <w:lang w:val="en-US"/>
                  </w:rPr>
                  <m:t>π</m:t>
                </m:r>
              </m:e>
              <m:sub>
                <m:r>
                  <w:rPr>
                    <w:rFonts w:ascii="Cambria Math" w:hAnsi="Cambria Math"/>
                    <w:lang w:val="en-US"/>
                  </w:rPr>
                  <m:t>0</m:t>
                </m:r>
              </m:sub>
            </m:sSub>
          </m:sub>
        </m:sSub>
        <m:r>
          <w:rPr>
            <w:rFonts w:ascii="Cambria Math" w:hAnsi="Cambria Math"/>
            <w:lang w:val="en-US"/>
          </w:rPr>
          <m:t>P=</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log</m:t>
                </m:r>
              </m:fName>
              <m:e>
                <m:r>
                  <w:rPr>
                    <w:rFonts w:ascii="Cambria Math" w:hAnsi="Cambria Math"/>
                    <w:lang w:val="en-US"/>
                  </w:rPr>
                  <m:t>P</m:t>
                </m:r>
              </m:e>
            </m:func>
          </m:num>
          <m:den>
            <m:r>
              <w:rPr>
                <w:rFonts w:ascii="Cambria Math" w:hAnsi="Cambria Math"/>
                <w:lang w:val="en-US"/>
              </w:rPr>
              <m:t>1-</m:t>
            </m:r>
            <m:sSub>
              <m:sSubPr>
                <m:ctrlPr>
                  <w:rPr>
                    <w:rFonts w:ascii="Cambria Math" w:hAnsi="Cambria Math"/>
                    <w:i/>
                    <w:lang w:val="en-US"/>
                  </w:rPr>
                </m:ctrlPr>
              </m:sSubPr>
              <m:e>
                <m:r>
                  <w:rPr>
                    <w:rFonts w:ascii="Cambria Math" w:hAnsi="Cambria Math"/>
                    <w:lang w:val="en-US"/>
                  </w:rPr>
                  <m:t>π</m:t>
                </m:r>
              </m:e>
              <m:sub>
                <m:r>
                  <w:rPr>
                    <w:rFonts w:ascii="Cambria Math" w:hAnsi="Cambria Math"/>
                    <w:lang w:val="en-US"/>
                  </w:rPr>
                  <m:t>0</m:t>
                </m:r>
              </m:sub>
            </m:sSub>
          </m:den>
        </m:f>
        <m:r>
          <w:rPr>
            <w:rFonts w:ascii="Cambria Math" w:hAnsi="Cambria Math"/>
            <w:lang w:val="en-US"/>
          </w:rPr>
          <m:t>≈</m:t>
        </m:r>
        <m:f>
          <m:fPr>
            <m:ctrlPr>
              <w:rPr>
                <w:rFonts w:ascii="Cambria Math" w:hAnsi="Cambria Math"/>
                <w:i/>
                <w:lang w:val="en-US"/>
              </w:rPr>
            </m:ctrlPr>
          </m:fPr>
          <m:num>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log</m:t>
                </m:r>
              </m:fName>
              <m:e>
                <m:r>
                  <w:rPr>
                    <w:rFonts w:ascii="Cambria Math" w:hAnsi="Cambria Math"/>
                    <w:lang w:val="en-US"/>
                  </w:rPr>
                  <m:t>P</m:t>
                </m:r>
              </m:e>
            </m:func>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2∙</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4</m:t>
                    </m:r>
                  </m:sup>
                </m:sSup>
              </m:sup>
              <m:e>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i</m:t>
                    </m:r>
                  </m:sub>
                </m:sSub>
              </m:e>
            </m:nary>
            <m:r>
              <w:rPr>
                <w:rFonts w:ascii="Cambria Math" w:hAnsi="Cambria Math"/>
                <w:lang w:val="en-US"/>
              </w:rPr>
              <m:t xml:space="preserve"> </m:t>
            </m:r>
          </m:num>
          <m:den>
            <m:r>
              <w:rPr>
                <w:rFonts w:ascii="Cambria Math" w:hAnsi="Cambria Math"/>
                <w:lang w:val="en-US"/>
              </w:rPr>
              <m:t>N∙L</m:t>
            </m:r>
          </m:den>
        </m:f>
      </m:oMath>
      <w:r w:rsidR="007C71BC">
        <w:rPr>
          <w:position w:val="-60"/>
          <w:lang w:val="en-US"/>
        </w:rPr>
        <w:t xml:space="preserve">   </w:t>
      </w:r>
      <w:r w:rsidR="007B34A3">
        <w:rPr>
          <w:position w:val="-60"/>
          <w:lang w:val="en-US"/>
        </w:rPr>
        <w:t>.</w:t>
      </w:r>
      <w:r w:rsidR="00F54AAE" w:rsidRPr="00586FD5">
        <w:rPr>
          <w:rFonts w:ascii="Times New Roman" w:hAnsi="Times New Roman"/>
          <w:position w:val="-60"/>
          <w:lang w:val="en-US"/>
        </w:rPr>
        <w:t>(2)</w:t>
      </w:r>
    </w:p>
    <w:p w:rsidR="00F54AAE" w:rsidRPr="002D286A" w:rsidRDefault="00F54AAE" w:rsidP="00F54AAE">
      <w:pPr>
        <w:spacing w:after="200" w:line="360" w:lineRule="auto"/>
        <w:contextualSpacing/>
        <w:rPr>
          <w:rStyle w:val="Teletype"/>
          <w:rFonts w:ascii="Times New Roman" w:hAnsi="Times New Roman" w:cs="Times New Roman"/>
          <w:lang w:val="en-US"/>
        </w:rPr>
      </w:pPr>
      <w:r w:rsidRPr="00586FD5">
        <w:rPr>
          <w:rStyle w:val="Teletype"/>
          <w:rFonts w:ascii="Times New Roman" w:hAnsi="Times New Roman" w:cs="Times New Roman"/>
          <w:lang w:val="en-US"/>
        </w:rPr>
        <w:t xml:space="preserve">The major problem, nevertheless, is related to assessment of typical distribution of </w:t>
      </w:r>
      <w:r w:rsidRPr="00586FD5">
        <w:rPr>
          <w:rStyle w:val="Teletype"/>
          <w:rFonts w:ascii="Times New Roman" w:hAnsi="Times New Roman" w:cs="Times New Roman"/>
          <w:i/>
          <w:lang w:val="en-US"/>
        </w:rPr>
        <w:t xml:space="preserve">N </w:t>
      </w:r>
      <w:r w:rsidRPr="00586FD5">
        <w:rPr>
          <w:rStyle w:val="Teletype"/>
          <w:rFonts w:ascii="Times New Roman" w:hAnsi="Times New Roman" w:cs="Times New Roman"/>
          <w:lang w:val="en-US"/>
        </w:rPr>
        <w:t xml:space="preserve">over all the </w:t>
      </w:r>
      <w:r w:rsidR="00BA65F1" w:rsidRPr="00586FD5">
        <w:rPr>
          <w:rStyle w:val="Teletype"/>
          <w:rFonts w:ascii="Times New Roman" w:hAnsi="Times New Roman" w:cs="Times New Roman"/>
          <w:lang w:val="en-US"/>
        </w:rPr>
        <w:t>specific transcript types</w:t>
      </w:r>
      <w:r w:rsidRPr="00586FD5">
        <w:rPr>
          <w:rStyle w:val="Teletype"/>
          <w:rFonts w:ascii="Times New Roman" w:hAnsi="Times New Roman" w:cs="Times New Roman"/>
          <w:lang w:val="en-US"/>
        </w:rPr>
        <w:t xml:space="preserve"> in the </w:t>
      </w:r>
      <w:r w:rsidR="00BA65F1" w:rsidRPr="002D286A">
        <w:rPr>
          <w:rStyle w:val="Teletype"/>
          <w:rFonts w:ascii="Times New Roman" w:hAnsi="Times New Roman" w:cs="Times New Roman"/>
          <w:lang w:val="en-US"/>
        </w:rPr>
        <w:t>sample</w:t>
      </w:r>
      <w:r w:rsidRPr="002D286A">
        <w:rPr>
          <w:rStyle w:val="Teletype"/>
          <w:rFonts w:ascii="Times New Roman" w:hAnsi="Times New Roman" w:cs="Times New Roman"/>
          <w:lang w:val="en-US"/>
        </w:rPr>
        <w:t xml:space="preserve">.  Although the </w:t>
      </w:r>
      <w:r w:rsidR="006B52BF" w:rsidRPr="002D286A">
        <w:rPr>
          <w:rStyle w:val="Teletype"/>
          <w:rFonts w:ascii="Times New Roman" w:hAnsi="Times New Roman" w:cs="Times New Roman"/>
          <w:lang w:val="en-US"/>
        </w:rPr>
        <w:t>range</w:t>
      </w:r>
      <w:r w:rsidRPr="002D286A">
        <w:rPr>
          <w:rStyle w:val="Teletype"/>
          <w:rFonts w:ascii="Times New Roman" w:hAnsi="Times New Roman" w:cs="Times New Roman"/>
          <w:lang w:val="en-US"/>
        </w:rPr>
        <w:t xml:space="preserve"> of expression levels for </w:t>
      </w:r>
      <w:r w:rsidR="006B52BF" w:rsidRPr="002D286A">
        <w:rPr>
          <w:rStyle w:val="Teletype"/>
          <w:rFonts w:ascii="Times New Roman" w:hAnsi="Times New Roman" w:cs="Times New Roman"/>
          <w:lang w:val="en-US"/>
        </w:rPr>
        <w:t xml:space="preserve">common high-throughput </w:t>
      </w:r>
      <w:r w:rsidRPr="002D286A">
        <w:rPr>
          <w:rStyle w:val="Teletype"/>
          <w:rFonts w:ascii="Times New Roman" w:hAnsi="Times New Roman" w:cs="Times New Roman"/>
          <w:lang w:val="en-US"/>
        </w:rPr>
        <w:t xml:space="preserve">mRNA profiling </w:t>
      </w:r>
      <w:r w:rsidR="006B52BF" w:rsidRPr="002D286A">
        <w:rPr>
          <w:rStyle w:val="Teletype"/>
          <w:rFonts w:ascii="Times New Roman" w:hAnsi="Times New Roman" w:cs="Times New Roman"/>
          <w:lang w:val="en-US"/>
        </w:rPr>
        <w:t>techniques,</w:t>
      </w:r>
      <w:r w:rsidRPr="002D286A">
        <w:rPr>
          <w:rStyle w:val="Teletype"/>
          <w:rFonts w:ascii="Times New Roman" w:hAnsi="Times New Roman" w:cs="Times New Roman"/>
          <w:lang w:val="en-US"/>
        </w:rPr>
        <w:t xml:space="preserve"> both microarray hybridization </w:t>
      </w:r>
      <w:r w:rsidRPr="002D286A">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{"citationID":"WENl8PQT","properties":{"formattedCitation":"{\\rtf [1\\uc0\\u8211{}4]}","plainCitation":"[1–4]"},"citationItems":[{"id":416,"uris":["http://zotero.org/users/local/YlgL0u7w/items/5W7HG75G"],"uri":["http://zotero.org/users/local/YlgL0u7w/items/5W7HG75G"],"itemData":{"id":416,"type":"article-journal","title":"The Genotype-Tissue Expression (GTEx) project","container-title":"Nature Genetics","page":"580-585","volume":"45","issue":"6","source":"PubMed","abstract":"Genome-wide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tissues.","DOI":"10.1038/ng.2653","ISSN":"1546-1718","note":"PMID: 23715323\nPMCID: PMC4010069","journalAbbreviation":"Nat. Genet.","language":"eng","author":[{"family":"GTEx Consortium","given":""}],"issued":{"date-parts":[["2013",6]]},"PMID":"23715323","PMCID":"PMC4010069"}},{"id":"I80eUAjo/RWoZeTEs","uris":["http://zotero.org/users/local/YlgL0u7w/items/J5IKQME4"],"uri":["http://zotero.org/users/local/YlgL0u7w/items/J5IKQME4"],"itemData":{"id":"I80eUAjo/RWoZeTEs","type":"article-journal","title":"Effect of exercise on gene expression profile in unfractionated peripheral blood leukocytes","container-title":"Biochemical and Biophysical Research Communications","page":"846-851","volume":"391","issue":"1","source":"PubMed","abstract":"A 4-h bout of exercise induces immunomodulatory effects. Peripheral blood was withdrawn before, and at 4, 8 and 24h after the start of exercise. RNA from the unfractionated white blood cells was analyzed using Agilent human 44K microarray. The expression profiles were sorted into seven clusters based on their unique time-dependent kinetics. In a separate experiment, cell-specific markers were collected and compared among the members in each cluster. Two clusters were assigned as representing neutrophils, one as NK cells, and another mostly as T cells. Three clusters seemed to be mixtures of several cell types. Extension of this approach to other systems is discussed.","DOI":"10.1016/j.bbrc.2009.11.150","ISSN":"1090-2104","note":"PMID: 19945435","journalAbbreviation":"Biochem. Biophys. Res. Commun.","language":"eng","author":[{"family":"Nakamura","given":"Seiji"},{"family":"Kobayashi","given":"Michie"},{"family":"Sugino","given":"Tomohiro"},{"family":"Kajimoto","given":"Osami"},{"family":"Matoba","given":"Ryo"},{"family":"Matsubara","given":"Kenichi"}],"issued":{"date-parts":[["2010",1,1]]},"PMID":"19945435"}},{"id":"I80eUAjo/osOxPKtB","uris":["http://zotero.org/users/local/YlgL0u7w/items/G2M9M52Z"],"uri":["http://zotero.org/users/local/YlgL0u7w/items/G2M9M52Z"],"itemData":{"id":"I80eUAjo/osOxPKtB","type":"article-journal","title":"Isotretinoin temporally regulates distinct sets of genes in patient skin","container-title":"The Journal of Investigative Dermatology","page":"1038-1042","volume":"129","issue":"4","source":"PubMed","DOI":"10.1038/jid.2008.338","ISSN":"1523-1747","note":"PMID: 18987667","journalAbbreviation":"J. Invest. Dermatol.","language":"eng","author":[{"family":"Nelson","given":"Amanda M."},{"family":"Zhao","given":"Wei"},{"family":"Gilliland","given":"Kathryn L."},{"family":"Zaenglein","given":"Andrea L."},{"family":"Liu","given":"Wenlei"},{"family":"Thiboutot","given":"Diane M."}],"issued":{"date-parts":[["2009",4]]},"PMID":"18987667"}},{"id":"I80eUAjo/wROto9Pc","uris":["http://zotero.org/users/local/YlgL0u7w/items/ES5BBJS9"],"uri":["http://zotero.org/users/local/YlgL0u7w/items/ES5BBJS9"],"itemData":{"id":"I80eUAjo/wROto9Pc","type":"article-journal","title":"A diverse range of gene products are effectors of the type I interferon antiviral response","container-title":"Nature","page":"481-485","volume":"472","issue":"7344","source":"PubMed","abstract":"The type I interferon response protects cells against invading viral pathogens. The cellular factors that mediate this defence are the products of interferon-stimulated genes (ISGs). Although hundreds of ISGs have been identified since their discovery more than 25 years ago, only a few have been characterized with respect to antiviral activity. For most ISG products, little is known about their antiviral potential, their target specificity and their mechanisms of action. Using an overexpression screening approach, here we show that different viruses are targeted by unique sets of ISGs. We find that each viral species is susceptible to multiple antiviral genes, which together encompass a range of inhibitory activities. To conduct the screen, more than 380 human ISGs were tested for their ability to inhibit the replication of several important human and animal viruses, including hepatitis C virus, yellow fever virus, West Nile virus, chikungunya virus, Venezuelan equine encephalitis virus and human immunodeficiency virus type-1. Broadly acting effectors included IRF1, C6orf150 (also known as MB21D1), HPSE, RIG-I (also known as DDX58), MDA5 (also known as IFIH1) and IFITM3, whereas more targeted antiviral specificity was observed with DDX60, IFI44L, IFI6, IFITM2, MAP3K14, MOV10, NAMPT (also known as PBEF1), OASL, RTP4, TREX1 and UNC84B (also known as SUN2). Combined expression of pairs of ISGs showed additive antiviral effects similar to those of moderate type I interferon doses. Mechanistic studies uncovered a common theme of translational inhibition for numerous effectors. Several ISGs, including ADAR, FAM46C, LY6E and MCOLN2, enhanced the replication of certain viruses, highlighting another layer of complexity in the highly pleiotropic type I interferon system.","DOI":"10.1038/nature09907","ISSN":"1476-4687","note":"PMID: 21478870\nPMCID: PMC3409588","journalAbbreviation":"Nature","language":"eng","author":[{"family":"Schoggins","given":"John W."},{"family":"Wilson","given":"Sam J."},{"family":"Panis","given":"Maryline"},{"family":"Murphy","given":"Mary Y."},{"family":"Jones","given":"Christopher T."},{"family":"Bieniasz","given":"Paul"},{"family":"Rice","given":"Charles M."}],"issued":{"date-parts":[["2011",4,28]]},"PMID":"21478870","PMCID":"PMC3409588"}}],"schema":"https://github.com/citation-style-language/schema/raw/master/csl-citation.json"} </w:instrText>
      </w:r>
      <w:r w:rsidRPr="002D286A">
        <w:rPr>
          <w:rStyle w:val="Teletype"/>
          <w:rFonts w:ascii="Times New Roman" w:hAnsi="Times New Roman" w:cs="Times New Roman"/>
          <w:lang w:val="en-US"/>
        </w:rPr>
        <w:fldChar w:fldCharType="separate"/>
      </w:r>
      <w:r w:rsidR="00A87E82" w:rsidRPr="00A87E82">
        <w:rPr>
          <w:rFonts w:ascii="Times New Roman" w:hAnsi="Times New Roman"/>
        </w:rPr>
        <w:t>[1–4]</w:t>
      </w:r>
      <w:r w:rsidRPr="002D286A">
        <w:rPr>
          <w:rStyle w:val="Teletype"/>
          <w:rFonts w:ascii="Times New Roman" w:hAnsi="Times New Roman" w:cs="Times New Roman"/>
          <w:lang w:val="en-US"/>
        </w:rPr>
        <w:fldChar w:fldCharType="end"/>
      </w:r>
      <w:r w:rsidRPr="002D286A">
        <w:rPr>
          <w:rStyle w:val="Teletype"/>
          <w:rFonts w:ascii="Times New Roman" w:hAnsi="Times New Roman" w:cs="Times New Roman"/>
          <w:lang w:val="en-US"/>
        </w:rPr>
        <w:t xml:space="preserve"> and NGS </w:t>
      </w:r>
      <w:r w:rsidRPr="002D286A">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{"citationID":"qfdgxNqN","properties":{"formattedCitation":"{\\rtf [1, 5\\uc0\\u8211{}7]}","plainCitation":"[1, 5–7]"},"citationItems":[{"id":"I80eUAjo/HVEN1jBp","uris":["http://zotero.org/users/local/YlgL0u7w/items/5W7HG75G"],"uri":["http://zotero.org/users/local/YlgL0u7w/items/5W7HG75G"],"itemData":{"id":"I80eUAjo/HVEN1jBp","type":"article-journal","title":"The Genotype-Tissue Expression (GTEx) project","container-title":"Nature Genetics","page":"580-585","volume":"45","issue":"6","source":"PubMed","abstract":"Genome-wide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tissues.","DOI":"10.1038/ng.2653","ISSN":"1546-1718","note":"PMID: 23715323\nPMCID: PMC4010069","journalAbbreviation":"Nat. Genet.","language":"eng","author":[{"family":"GTEx Consortium","given":""}],"issued":{"date-parts":[["2013",6]]},"PMID":"23715323","PMCID":"PMC4010069"}},{"id":420,"uris":["http://zotero.org/users/local/YlgL0u7w/items/SXJ7FQJQ"],"uri":["http://zotero.org/users/local/YlgL0u7w/items/SXJ7FQJQ"],"itemData":{"id":420,"type":"article-journal","title":"Evidence of a functional estrogen receptor in parathyroid adenomas","container-title":"The Journal of Clinical Endocrinology and Metabolism","page":"4631-4639","volume":"97","issue":"12","source":"PubMed","abstract":"CONTEXT: Primary hyperparathyroidism (PHPT) is most frequently present in postmenopausal women. Although the involvement of estrogen has been suggested, current literature indicates that parathyroid tumors are estrogen receptor (ER) α negative.\nOBJECTIVE: The aim of the study was to evaluate the expression of ERs and their putative function in parathyroid tumors.\nDESIGN: A panel of 37 parathyroid tumors was analyzed for expression and promoter methylation of the ESR1 and ESR2 genes as well as expression of the ERα and ERβ1/ERβ2 proteins. Transcriptome changes in primary cultures of parathyroid adenoma cells after treatment with the selective ERβ1 agonist diarylpropionitrile (DPN) and 4-hydroxytamoxifen were identified using next-generation RNA sequencing.\nRESULTS: Immunohistochemistry revealed very low expression of ERα, whereas all informative tumors expressed ERβ1 (n = 35) and ERβ2 (n = 34). Decreased nuclear staining intensity and mosaic pattern of positive and negative nuclei of ERβ1 were significantly associated with larger tumor size. Tumor ESR2 levels were significantly higher in female vs. male cases. In cultured cells, significantly increased numbers of genes with modified expression were detected after 48 h, compared to 24-h treatments with DPN or 4-hydroxytamoxifen, including the parathyroid-related genes CASR, VDR, JUN, CALR, and ORAI2. Bioinformatic analysis of transcriptome changes after DPN treatment revealed significant enrichment in gene sets coupled to ER activation, and a highly significant similarity to tumor cells undergoing apoptosis.\nCONCLUSIONS: Parathyroid tumors express ERβ1 and ERβ2. Transcriptional changes after ERβ1 activation and correlation to clinical features point to a role of estrogen signaling in parathyroid function and disease.","DOI":"10.1210/jc.2012-2484","ISSN":"1945-7197","note":"PMID: 23024189","journalAbbreviation":"J. Clin. Endocrinol. Metab.","language":"eng","author":[{"family":"Haglund","given":"Felix"},{"family":"Ma","given":"Ran"},{"family":"Huss","given":"Mikael"},{"family":"Sulaiman","given":"Luqman"},{"family":"Lu","given":"Ming"},{"family":"Nilsson","given":"Inga-Lena"},{"family":"Höög","given":"Anders"},{"family":"Juhlin","given":"C. Christofer"},{"family":"Hartman","given":"Johan"},{"family":"Larsson","given":"Catharina"}],"issued":{"date-parts":[["2012",12]]},"PMID":"23024189"}},{"id":"I80eUAjo/fUY7DjrA","uris":["http://zotero.org/users/local/YlgL0u7w/items/4ERXVN3I"],"uri":["http://zotero.org/users/local/YlgL0u7w/items/4ERXVN3I"],"itemData":{"id":"I80eUAjo/fUY7DjrA","type":"article-journal","title":"Identification of kinase fusion oncogenes in post-Chernobyl radiation-induced thyroid cancers","container-title":"The Journal of Clinical Investigation","page":"4935-4944","volume":"123","issue":"11","source":"PubMed","abstract":"Exposure to ionizing radiation during childhood markedly increases the risk of developing papillary thyroid cancer. We examined tissues from 26 Ukrainian patients with thyroid cancer who were younger than 10 years of age and living in contaminated areas during the time of the Chernobyl nuclear reactor accident. We identified nonoverlapping somatic driver mutations in all 26 cases through candidate gene assays and next-generation RNA sequencing. We found that 22 tumors harbored fusion oncogenes that arose primarily through intrachromosomal rearrangements. Altogether, 23 of the oncogenic drivers identified in this cohort aberrantly activate MAPK signaling, including the 2 somatic rearrangements resulting in fusion of transcription factor ETS variant 6 (ETV6) with neurotrophic tyrosine kinase receptor, type 3 (NTRK3) and fusion of acylglycerol kinase (AGK) with BRAF. Two other tumors harbored distinct fusions leading to overexpression of the nuclear receptor PPARγ. Fusion oncogenes were less prevalent in tumors from a cohort of children with pediatric thyroid cancers that had not been exposed to radiation but were from the same geographical regions. Radiation-induced thyroid cancers provide a paradigm of tumorigenesis driven by fusion oncogenes that activate MAPK signaling or, less frequently, a PPARγ-driven transcriptional program.","DOI":"10.1172/JCI69766","ISSN":"1558-8238","note":"PMID: 24135138\nPMCID: PMC3809792","journalAbbreviation":"J. Clin. Invest.","language":"eng","author":[{"family":"Ricarte-Filho","given":"Julio C."},{"family":"Li","given":"Sheng"},{"family":"Garcia-Rendueles","given":"Maria E. R."},{"family":"Montero-Conde","given":"Cristina"},{"family":"Voza","given":"Francesca"},{"family":"Knauf","given":"Jeffrey A."},{"family":"Heguy","given":"Adriana"},{"family":"Viale","given":"Agnes"},{"family":"Bogdanova","given":"Tetyana"},{"family":"Thomas","given":"Geraldine A."},{"family":"Mason","given":"Christopher E."},{"family":"Fagin","given":"James A."}],"issued":{"date-parts":[["2013",11]]},"PMID":"24135138","PMCID":"PMC3809792"}},{"id":"I80eUAjo/Uqp0g89A","uris":["http://zotero.org/users/local/YlgL0u7w/items/V9GXTDX7"],"uri":["http://zotero.org/users/local/YlgL0u7w/items/V9GXTDX7"],"itemData":{"id":"I80eUAjo/Uqp0g89A","type":"article-journal","title":"The transcriptional landscape and mutational profile of lung adenocarcinoma","container-title":"Genome Research","page":"2109-2119","volume":"22","issue":"11","source":"PubMed","abstract":"All cancers harbor molecular alterations in their genomes. The transcriptional consequences of these somatic mutations have not yet been comprehensively explored in lung cancer. Here we present the first large scale RNA sequencing study of lung adenocarcinoma, demonstrating its power to identify somatic point mutations as well as transcriptional variants such as gene fusions, alternative splicing events, and expression outliers. Our results reveal the genetic basis of 200 lung adenocarcinomas in Koreans including deep characterization of 87 surgical specimens by transcriptome sequencing. We identified driver somatic mutations in cancer genes including EGFR, KRAS, NRAS, BRAF, PIK3CA, MET, and CTNNB1. Candidates for novel driver mutations were also identified in genes newly implicated in lung adenocarcinoma such as LMTK2, ARID1A, NOTCH2, and SMARCA4. We found 45 fusion genes, eight of which were chimeric tyrosine kinases involving ALK, RET, ROS1, FGFR2, AXL, and PDGFRA. Among 17 recurrent alternative splicing events, we identified exon 14 skipping in the proto-oncogene MET as highly likely to be a cancer driver. The number of somatic mutations and expression outliers varied markedly between individual cancers and was strongly correlated with smoking history of patients. We identified genomic blocks within which gene expression levels were consistently increased or decreased that could be explained by copy number alterations in samples. We also found an association between lymph node metastasis and somatic mutations in TP53. These findings broaden our understanding of lung adenocarcinoma and may also lead to new diagnostic and therapeutic approaches.","DOI":"10.1101/gr.145144.112","ISSN":"1549-5469","note":"PMID: 22975805\nPMCID: PMC3483540","journalAbbreviation":"Genome Res.","language":"eng","author":[{"family":"Seo","given":"Jeong-Sun"},{"family":"Ju","given":"Young Seok"},{"family":"Lee","given":"Won-Chul"},{"family":"Shin","given":"Jong-Yeon"},{"family":"Lee","given":"June Koo"},{"family":"Bleazard","given":"Thomas"},{"family":"Lee","given":"Junho"},{"family":"Jung","given":"Yoo Jin"},{"family":"Kim","given":"Jung-Oh"},{"family":"Shin","given":"Jung-Young"},{"family":"Yu","given":"Saet-Byeol"},{"family":"Kim","given":"Jihye"},{"family":"Lee","given":"Eung-Ryoung"},{"family":"Kang","given":"Chang-Hyun"},{"family":"Park","given":"In-Kyu"},{"family":"Rhee","given":"Hwanseok"},{"family":"Lee","given":"Se-Hoon"},{"family":"Kim","given":"Jong-Il"},{"family":"Kang","given":"Jin-Hyoung"},{"family":"Kim","given":"Young Tae"}],"issued":{"date-parts":[["2012",11]]},"PMID":"22975805","PMCID":"PMC3483540"}}],"schema":"https://github.com/citation-style-language/schema/raw/master/csl-citation.json"} </w:instrText>
      </w:r>
      <w:r w:rsidRPr="002D286A">
        <w:rPr>
          <w:rStyle w:val="Teletype"/>
          <w:rFonts w:ascii="Times New Roman" w:hAnsi="Times New Roman" w:cs="Times New Roman"/>
          <w:lang w:val="en-US"/>
        </w:rPr>
        <w:fldChar w:fldCharType="separate"/>
      </w:r>
      <w:r w:rsidR="00A87E82" w:rsidRPr="00A87E82">
        <w:rPr>
          <w:rFonts w:ascii="Times New Roman" w:hAnsi="Times New Roman"/>
          <w:lang w:val="en-US"/>
        </w:rPr>
        <w:t>[1, 5–7]</w:t>
      </w:r>
      <w:r w:rsidRPr="002D286A">
        <w:rPr>
          <w:rStyle w:val="Teletype"/>
          <w:rFonts w:ascii="Times New Roman" w:hAnsi="Times New Roman" w:cs="Times New Roman"/>
          <w:lang w:val="en-US"/>
        </w:rPr>
        <w:fldChar w:fldCharType="end"/>
      </w:r>
      <w:r w:rsidRPr="002D286A">
        <w:rPr>
          <w:rStyle w:val="Teletype"/>
          <w:rFonts w:ascii="Times New Roman" w:hAnsi="Times New Roman" w:cs="Times New Roman"/>
          <w:lang w:val="en-US"/>
        </w:rPr>
        <w:t xml:space="preserve"> do</w:t>
      </w:r>
      <w:r w:rsidR="006B52BF" w:rsidRPr="002D286A">
        <w:rPr>
          <w:rStyle w:val="Teletype"/>
          <w:rFonts w:ascii="Times New Roman" w:hAnsi="Times New Roman" w:cs="Times New Roman"/>
          <w:lang w:val="en-US"/>
        </w:rPr>
        <w:t>es</w:t>
      </w:r>
      <w:r w:rsidRPr="002D286A">
        <w:rPr>
          <w:rStyle w:val="Teletype"/>
          <w:rFonts w:ascii="Times New Roman" w:hAnsi="Times New Roman" w:cs="Times New Roman"/>
          <w:lang w:val="en-US"/>
        </w:rPr>
        <w:t xml:space="preserve"> not exceed four</w:t>
      </w:r>
      <w:r w:rsidR="006B52BF" w:rsidRPr="002D286A">
        <w:rPr>
          <w:rStyle w:val="Teletype"/>
          <w:rFonts w:ascii="Times New Roman" w:hAnsi="Times New Roman" w:cs="Times New Roman"/>
          <w:lang w:val="en-US"/>
        </w:rPr>
        <w:t>-</w:t>
      </w:r>
      <w:r w:rsidRPr="002D286A">
        <w:rPr>
          <w:rStyle w:val="Teletype"/>
          <w:rFonts w:ascii="Times New Roman" w:hAnsi="Times New Roman" w:cs="Times New Roman"/>
          <w:lang w:val="en-US"/>
        </w:rPr>
        <w:t xml:space="preserve">five orders of magnitude, the results of </w:t>
      </w:r>
      <w:r w:rsidR="006B52BF" w:rsidRPr="002D286A">
        <w:rPr>
          <w:rStyle w:val="Teletype"/>
          <w:rFonts w:ascii="Times New Roman" w:hAnsi="Times New Roman" w:cs="Times New Roman"/>
          <w:lang w:val="en-US"/>
        </w:rPr>
        <w:t xml:space="preserve">quantitative </w:t>
      </w:r>
      <w:r w:rsidRPr="002D286A">
        <w:rPr>
          <w:rStyle w:val="Teletype"/>
          <w:rFonts w:ascii="Times New Roman" w:hAnsi="Times New Roman" w:cs="Times New Roman"/>
          <w:lang w:val="en-US"/>
        </w:rPr>
        <w:t xml:space="preserve">RT-PCR examination suggest wider span of </w:t>
      </w:r>
      <w:r w:rsidR="006B52BF" w:rsidRPr="002D286A">
        <w:rPr>
          <w:rStyle w:val="Teletype"/>
          <w:rFonts w:ascii="Times New Roman" w:hAnsi="Times New Roman" w:cs="Times New Roman"/>
          <w:lang w:val="en-US"/>
        </w:rPr>
        <w:t>expression levels</w:t>
      </w:r>
      <w:r w:rsidRPr="002D286A">
        <w:rPr>
          <w:rStyle w:val="Teletype"/>
          <w:rFonts w:ascii="Times New Roman" w:hAnsi="Times New Roman" w:cs="Times New Roman"/>
          <w:lang w:val="en-US"/>
        </w:rPr>
        <w:t xml:space="preserve"> – up to seven orders of magnitude </w:t>
      </w:r>
      <w:r w:rsidRPr="002D286A">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{"citationID":"P9b0lu8h","properties":{"formattedCitation":"[8, 9]","plainCitation":"[8, 9]"},"citationItems":[{"id":"I80eUAjo/ZhCjzmXR","uris":["http://zotero.org/users/local/YlgL0u7w/items/CNUPUEW8"],"uri":["http://zotero.org/users/local/YlgL0u7w/items/CNUPUEW8"],"itemData":{"id":"I80eUAjo/ZhCjzmXR","type":"article-journal","title":"Quantification of low-copy transcripts by continuous SYBR Green I monitoring during amplification","container-title":"BioTechniques","page":"954-958, 960, 962","volume":"24","issue":"6","source":"PubMed","abstract":"Continuous fluorescence observation of amplifying DNA allows rapid and accurate quantification of initial transcript copy number. A simple and generic method for monitoring product synthesis with the double-stranded DNA dye, SYBR Green I provides initial template copy number estimation limited only by stochastic effects. To reach this degree of sensitivity, two methods were used. First, specific products generally have a higher melting temperature than nonspecific products, and therefore, specific product formation was monitored by fluorescence acquisition at temperatures at which only specific products are double-stranded. Second, anti-Taq antibodies were used to reduce nonspecific product generation. The log-linear portion of the fluorescence vs. cycle plot was extended to determine a fractional cycle number at which a threshold fluorescence was obtained. These fractional cycle numbers were plotted against the log of starting template copies to give linear standard curves from purified PCR products, allowing easy estimation of cDNA unknowns over a 10(6)-fold range. A single template molecule per reaction could be distinguished from the absence of template, although stochastic effects increased the variance of concentration estimates below 10 copies. Above 10 copies per reaction, typical replicate coefficients of variation were 6%-37%, with better precision at higher copy numbers.","ISSN":"0736-6205","note":"PMID: 9631186","journalAbbreviation":"BioTechniques","language":"eng","author":[{"family":"Morrison","given":"T. B."},{"family":"Weis","given":"J. J."},{"family":"Wittwer","given":"C. T."}],"issued":{"date-parts":[["1998",6]]},"PMID":"9631186"}},{"id":431,"uris":["http://zotero.org/users/local/YlgL0u7w/items/GZTF8Q6Z"],"uri":["http://zotero.org/users/local/YlgL0u7w/items/GZTF8Q6Z"],"itemData":{"id":431,"type":"article-journal","title":"Real-time PCR for mRNA quantitation","container-title":"BioTechniques","page":"75-85","volume":"39","issue":"1","source":"PubMed","abstract":"Real-time PCR has become one of the most widely used methods of gene quantitation because it has a large dynamic range, boasts tremendous sensitivity, can be highly sequence-specific, has little to no post-amplification processing, and is amenable to increasing sample throughput. However, optimal benefit from these advantages requires a clear understanding of the many options available for running a real-time PCR experiment. Starting with the theory behind real-time PCR, this review discusses the key components of a real-time PCR experiment, including one-step or two-step PCR, absolute versus relative quantitation, mathematical models available for relative quantitation and amplification efficiency calculations, types of normalization or data correction, and detection chemistries. In addition, the many causes of variation as well as methods to calculate intra- and inter-assay variation are addressed.","ISSN":"0736-6205","note":"PMID: 16060372","journalAbbreviation":"BioTechniques","language":"eng","author":[{"family":"Wong","given":"Marisa L."},{"family":"Medrano","given":"Juan F."}],"issued":{"date-parts":[["2005",7]]},"PMID":"16060372"}}],"schema":"https://github.com/citation-style-language/schema/raw/master/csl-citation.json"} </w:instrText>
      </w:r>
      <w:r w:rsidRPr="002D286A">
        <w:rPr>
          <w:rStyle w:val="Teletype"/>
          <w:rFonts w:ascii="Times New Roman" w:hAnsi="Times New Roman" w:cs="Times New Roman"/>
          <w:lang w:val="en-US"/>
        </w:rPr>
        <w:fldChar w:fldCharType="separate"/>
      </w:r>
      <w:r w:rsidR="00A87E82" w:rsidRPr="00A87E82">
        <w:rPr>
          <w:rFonts w:ascii="Times New Roman" w:hAnsi="Times New Roman"/>
          <w:lang w:val="en-US"/>
        </w:rPr>
        <w:t>[8, 9]</w:t>
      </w:r>
      <w:r w:rsidRPr="002D286A">
        <w:rPr>
          <w:rStyle w:val="Teletype"/>
          <w:rFonts w:ascii="Times New Roman" w:hAnsi="Times New Roman" w:cs="Times New Roman"/>
          <w:lang w:val="en-US"/>
        </w:rPr>
        <w:fldChar w:fldCharType="end"/>
      </w:r>
      <w:r w:rsidR="0093000F" w:rsidRPr="002D286A">
        <w:rPr>
          <w:rStyle w:val="Teletype"/>
          <w:rFonts w:ascii="Times New Roman" w:hAnsi="Times New Roman" w:cs="Times New Roman"/>
          <w:lang w:val="en-US"/>
        </w:rPr>
        <w:t xml:space="preserve">. Moreover, quantitative RT-PCR is thought to measure gene expression more accurately compared to the other abovementioned methods </w:t>
      </w:r>
      <w:r w:rsidRPr="002D286A">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3pqFDwvS","properties":{"formattedCitation":"[10]","plainCitation":"[10]"},"citationItems":[{"id":430,"uris":["http://zotero.org/users/local/YlgL0u7w/items/8PXD7NI9"],"uri":["http://zotero.org/users/local/YlgL0u7w/items/8PXD7NI9"],"itemData":{"id":430,"type":"article-journal","title":"Digital PCR dynamic range is approaching that of real-time quantitative PCR","container-title":"Biomolecular Detection and Quantification","page":"31-33","volume":"10","source":"CrossRef","DOI":"10.1016/j.bdq.2016.10.001","ISSN":"22147535","language":"en","author":[{"family":"Jones","given":"Gerwyn M."},{"family":"Busby","given":"Eloise"},{"family":"Garson","given":"Jeremy A."},{"family":"Grant","given":"Paul R."},{"family":"Nastouli","given":"Eleni"},{"family":"Devonshire","given":"Alison S."},{"family":"Whale","given":"Alexandra S."}],"issued":{"date-parts":[["2016",12]]},"accessed":{"date-parts":[["2017",5,18]]}}}],"schema":"https://github.com/citation-style-language/schema/raw/master/csl-citation.json"} </w:instrText>
      </w:r>
      <w:r w:rsidRPr="002D286A">
        <w:rPr>
          <w:rStyle w:val="Teletype"/>
          <w:rFonts w:ascii="Times New Roman" w:hAnsi="Times New Roman" w:cs="Times New Roman"/>
          <w:lang w:val="en-US"/>
        </w:rPr>
        <w:fldChar w:fldCharType="separate"/>
      </w:r>
      <w:r w:rsidR="00A87E82" w:rsidRPr="00A87E82">
        <w:rPr>
          <w:rFonts w:ascii="Times New Roman" w:hAnsi="Times New Roman"/>
          <w:lang w:val="en-US"/>
        </w:rPr>
        <w:t>[10]</w:t>
      </w:r>
      <w:r w:rsidRPr="002D286A">
        <w:rPr>
          <w:rStyle w:val="Teletype"/>
          <w:rFonts w:ascii="Times New Roman" w:hAnsi="Times New Roman" w:cs="Times New Roman"/>
          <w:lang w:val="en-US"/>
        </w:rPr>
        <w:fldChar w:fldCharType="end"/>
      </w:r>
      <w:r w:rsidRPr="002D286A">
        <w:rPr>
          <w:rStyle w:val="Teletype"/>
          <w:rFonts w:ascii="Times New Roman" w:hAnsi="Times New Roman" w:cs="Times New Roman"/>
          <w:lang w:val="en-US"/>
        </w:rPr>
        <w:t xml:space="preserve">. </w:t>
      </w:r>
    </w:p>
    <w:p w:rsidR="00F54AAE" w:rsidRPr="002D286A" w:rsidRDefault="00F54AAE" w:rsidP="00F54AAE">
      <w:pPr>
        <w:spacing w:after="200" w:line="360" w:lineRule="auto"/>
        <w:contextualSpacing/>
        <w:rPr>
          <w:rStyle w:val="Teletype"/>
          <w:rFonts w:ascii="Times New Roman" w:hAnsi="Times New Roman" w:cs="Times New Roman"/>
          <w:lang w:val="en-US"/>
        </w:rPr>
      </w:pPr>
      <w:r w:rsidRPr="002D286A">
        <w:rPr>
          <w:rStyle w:val="Teletype"/>
          <w:rFonts w:ascii="Times New Roman" w:hAnsi="Times New Roman" w:cs="Times New Roman"/>
          <w:lang w:val="en-US"/>
        </w:rPr>
        <w:t xml:space="preserve">To adapt the </w:t>
      </w:r>
      <w:r w:rsidR="005F5AE7" w:rsidRPr="002D286A">
        <w:rPr>
          <w:rStyle w:val="Teletype"/>
          <w:rFonts w:ascii="Times New Roman" w:hAnsi="Times New Roman" w:cs="Times New Roman"/>
          <w:lang w:val="en-US"/>
        </w:rPr>
        <w:t>SEQC</w:t>
      </w:r>
      <w:r w:rsidR="009D20B7" w:rsidRPr="002D286A">
        <w:rPr>
          <w:rStyle w:val="Teletype"/>
          <w:rFonts w:ascii="Times New Roman" w:hAnsi="Times New Roman" w:cs="Times New Roman"/>
          <w:lang w:val="en-US"/>
        </w:rPr>
        <w:t xml:space="preserve"> </w:t>
      </w:r>
      <w:r w:rsidR="009D20B7" w:rsidRPr="002D286A">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a2b3ojch0hf","properties":{"formattedCitation":"[11]","plainCitation":"[11]"},"citationItems":[{"id":259,"uris":["http://zotero.org/users/local/hqHkalb6/items/S74EWAJK"],"uri":["http://zotero.org/users/local/hqHkalb6/items/S74EWAJK"],"itemData":{"id":259,"type":"article-journal","title":"Comprehensive Assessments of RNA-seq by the SEQC Consortium: FDA-Led Efforts Advance Precision Medicine","container-title":"Pharmaceutics","volume":"8","issue":"1","source":"PubMed","abstract":"Studies on gene expression in response to therapy have led to the discovery of pharmacogenomics biomarkers and advances in precision medicine. Whole transcriptome sequencing (RNA-seq) is an emerging tool for profiling gene expression and has received wide adoption in the biomedical research community. However, its value in regulatory decision making requires rigorous assessment and consensus between various stakeholders, including the research community, regulatory agencies, and industry. The FDA-led SEquencing Quality Control (SEQC) consortium has made considerable progress in this direction, and is the subject of this review. Specifically, three RNA-seq platforms (Illumina HiSeq, Life Technologies SOLiD, and Roche 454) were extensively evaluated at multiple sites to assess cross-site and cross-platform reproducibility. The results demonstrated that relative gene expression measurements were consistently comparable across labs and platforms, but not so for the measurement of absolute expression levels. As part of the quality evaluation several studies were included to evaluate the utility of RNA-seq in clinical settings and safety assessment. The neuroblastoma study profiled tumor samples from 498 pediatric neuroblastoma patients by both microarray and RNA-seq. RNA-seq offers more utilities than microarray in determining the transcriptomic characteristics of cancer. However, RNA-seq and microarray-based models were comparable in clinical endpoint prediction, even when including additional features unique to RNA-seq beyond gene expression. The toxicogenomics study compared microarray and RNA-seq profiles of the liver samples from rats exposed to 27 different chemicals representing multiple toxicity modes of action. Cross-platform concordance was dependent on chemical treatment and transcript abundance. Though both RNA-seq and microarray are suitable for developing gene expression based predictive models with comparable prediction performance, RNA-seq offers advantages over microarray in profiling genes with low expression. The rat BodyMap study provided a comprehensive rat transcriptomic body map by performing RNA-Seq on 320 samples from 11 organs in either sex of juvenile, adolescent, adult and aged Fischer 344 rats. Lastly, the transferability study demonstrated that signature genes of predictive models are reciprocally transferable between microarray and RNA-seq data for model development using a comprehensive approach with two large clinical data sets. This result suggests continued usefulness of legacy microarray data in the coming RNA-seq era. In conclusion, the SEQC project enhances our understanding of RNA-seq and provides valuable guidelines for RNA-seq based clinical application and safety evaluation to advance precision medicine.","DOI":"10.3390/pharmaceutics8010008","ISSN":"1999-4923","note":"PMID: 26999190\nPMCID: PMC4810084","shortTitle":"Comprehensive Assessments of RNA-seq by the SEQC Consortium","journalAbbreviation":"Pharmaceutics","language":"eng","author":[{"family":"Xu","given":"Joshua"},{"family":"Gong","given":"Binsheng"},{"family":"Wu","given":"Leihong"},{"family":"Thakkar","given":"Shraddha"},{"family":"Hong","given":"Huixiao"},{"family":"Tong","given":"Weida"}],"issued":{"date-parts":[["2016",3,15]]}}}],"schema":"https://github.com/citation-style-language/schema/raw/master/csl-citation.json"} </w:instrText>
      </w:r>
      <w:r w:rsidR="009D20B7" w:rsidRPr="002D286A">
        <w:rPr>
          <w:rStyle w:val="Teletype"/>
          <w:rFonts w:ascii="Times New Roman" w:hAnsi="Times New Roman" w:cs="Times New Roman"/>
          <w:lang w:val="en-US"/>
        </w:rPr>
        <w:fldChar w:fldCharType="separate"/>
      </w:r>
      <w:r w:rsidR="00A87E82" w:rsidRPr="00A87E82">
        <w:rPr>
          <w:rFonts w:ascii="Times New Roman" w:hAnsi="Times New Roman"/>
          <w:lang w:val="en-US"/>
        </w:rPr>
        <w:t>[11]</w:t>
      </w:r>
      <w:r w:rsidR="009D20B7" w:rsidRPr="002D286A">
        <w:rPr>
          <w:rStyle w:val="Teletype"/>
          <w:rFonts w:ascii="Times New Roman" w:hAnsi="Times New Roman" w:cs="Times New Roman"/>
          <w:lang w:val="en-US"/>
        </w:rPr>
        <w:fldChar w:fldCharType="end"/>
      </w:r>
      <w:r w:rsidR="005F5AE7" w:rsidRPr="002D286A">
        <w:rPr>
          <w:rStyle w:val="Teletype"/>
          <w:rFonts w:ascii="Times New Roman" w:hAnsi="Times New Roman" w:cs="Times New Roman"/>
          <w:lang w:val="en-US"/>
        </w:rPr>
        <w:t xml:space="preserve"> </w:t>
      </w:r>
      <w:r w:rsidR="0093000F" w:rsidRPr="002D286A">
        <w:rPr>
          <w:rStyle w:val="Teletype"/>
          <w:rFonts w:ascii="Times New Roman" w:hAnsi="Times New Roman" w:cs="Times New Roman"/>
          <w:lang w:val="en-US"/>
        </w:rPr>
        <w:t xml:space="preserve">span of expression levels </w:t>
      </w:r>
      <w:r w:rsidRPr="002D286A">
        <w:rPr>
          <w:rStyle w:val="Teletype"/>
          <w:rFonts w:ascii="Times New Roman" w:hAnsi="Times New Roman" w:cs="Times New Roman"/>
          <w:lang w:val="en-US"/>
        </w:rPr>
        <w:t xml:space="preserve">to </w:t>
      </w:r>
      <w:r w:rsidR="0093000F" w:rsidRPr="002D286A">
        <w:rPr>
          <w:rStyle w:val="Teletype"/>
          <w:rFonts w:ascii="Times New Roman" w:hAnsi="Times New Roman" w:cs="Times New Roman"/>
          <w:lang w:val="en-US"/>
        </w:rPr>
        <w:t>those</w:t>
      </w:r>
      <w:r w:rsidRPr="002D286A">
        <w:rPr>
          <w:rStyle w:val="Teletype"/>
          <w:rFonts w:ascii="Times New Roman" w:hAnsi="Times New Roman" w:cs="Times New Roman"/>
          <w:lang w:val="en-US"/>
        </w:rPr>
        <w:t xml:space="preserve"> observed in </w:t>
      </w:r>
      <w:r w:rsidR="001A667D" w:rsidRPr="002D286A">
        <w:rPr>
          <w:rStyle w:val="Teletype"/>
          <w:rFonts w:ascii="Times New Roman" w:hAnsi="Times New Roman" w:cs="Times New Roman"/>
          <w:lang w:val="en-US"/>
        </w:rPr>
        <w:t xml:space="preserve">quantitative </w:t>
      </w:r>
      <w:r w:rsidRPr="002D286A">
        <w:rPr>
          <w:rStyle w:val="Teletype"/>
          <w:rFonts w:ascii="Times New Roman" w:hAnsi="Times New Roman" w:cs="Times New Roman"/>
          <w:lang w:val="en-US"/>
        </w:rPr>
        <w:t xml:space="preserve">RT-RCR measurements, we </w:t>
      </w:r>
      <w:r w:rsidR="0093000F" w:rsidRPr="002D286A">
        <w:rPr>
          <w:rStyle w:val="Teletype"/>
          <w:rFonts w:ascii="Times New Roman" w:hAnsi="Times New Roman" w:cs="Times New Roman"/>
          <w:lang w:val="en-US"/>
        </w:rPr>
        <w:t>did</w:t>
      </w:r>
      <w:r w:rsidRPr="002D286A">
        <w:rPr>
          <w:rStyle w:val="Teletype"/>
          <w:rFonts w:ascii="Times New Roman" w:hAnsi="Times New Roman" w:cs="Times New Roman"/>
          <w:lang w:val="en-US"/>
        </w:rPr>
        <w:t xml:space="preserve"> a log-linear rescaling for the expression </w:t>
      </w:r>
      <w:r w:rsidR="00DB1D04" w:rsidRPr="002D286A">
        <w:rPr>
          <w:rStyle w:val="Teletype"/>
          <w:rFonts w:ascii="Times New Roman" w:hAnsi="Times New Roman" w:cs="Times New Roman"/>
          <w:lang w:val="en-US"/>
        </w:rPr>
        <w:t>data</w:t>
      </w:r>
      <w:r w:rsidRPr="002D286A">
        <w:rPr>
          <w:rStyle w:val="Teletype"/>
          <w:rFonts w:ascii="Times New Roman" w:hAnsi="Times New Roman" w:cs="Times New Roman"/>
          <w:lang w:val="en-US"/>
        </w:rPr>
        <w:t xml:space="preserve"> obtained </w:t>
      </w:r>
      <w:r w:rsidR="00EE0480" w:rsidRPr="002D286A">
        <w:rPr>
          <w:rStyle w:val="Teletype"/>
          <w:rFonts w:ascii="Times New Roman" w:hAnsi="Times New Roman" w:cs="Times New Roman"/>
          <w:lang w:val="en-US"/>
        </w:rPr>
        <w:t>from</w:t>
      </w:r>
      <w:r w:rsidRPr="002D286A">
        <w:rPr>
          <w:rStyle w:val="Teletype"/>
          <w:rFonts w:ascii="Times New Roman" w:hAnsi="Times New Roman" w:cs="Times New Roman"/>
          <w:lang w:val="en-US"/>
        </w:rPr>
        <w:t xml:space="preserve"> the SEQC </w:t>
      </w:r>
      <w:r w:rsidR="00EE0480" w:rsidRPr="002D286A">
        <w:rPr>
          <w:rStyle w:val="Teletype"/>
          <w:rFonts w:ascii="Times New Roman" w:hAnsi="Times New Roman" w:cs="Times New Roman"/>
          <w:lang w:val="en-US"/>
        </w:rPr>
        <w:t>project</w:t>
      </w:r>
      <w:r w:rsidRPr="002D286A">
        <w:rPr>
          <w:rStyle w:val="Teletype"/>
          <w:rFonts w:ascii="Times New Roman" w:hAnsi="Times New Roman" w:cs="Times New Roman"/>
          <w:lang w:val="en-US"/>
        </w:rPr>
        <w:t>: log</w:t>
      </w:r>
      <w:r w:rsidRPr="002D286A">
        <w:rPr>
          <w:rStyle w:val="Teletype"/>
          <w:rFonts w:ascii="Times New Roman" w:hAnsi="Times New Roman" w:cs="Times New Roman"/>
          <w:vertAlign w:val="subscript"/>
          <w:lang w:val="en-US"/>
        </w:rPr>
        <w:t xml:space="preserve">10 </w:t>
      </w:r>
      <w:r w:rsidRPr="002D286A">
        <w:rPr>
          <w:rStyle w:val="Teletype"/>
          <w:rFonts w:ascii="Times New Roman" w:hAnsi="Times New Roman" w:cs="Times New Roman"/>
          <w:i/>
          <w:lang w:val="en-US"/>
        </w:rPr>
        <w:t>N</w:t>
      </w:r>
      <w:r w:rsidRPr="002D286A">
        <w:rPr>
          <w:rStyle w:val="Teletype"/>
          <w:rFonts w:ascii="Times New Roman" w:hAnsi="Times New Roman" w:cs="Times New Roman"/>
          <w:i/>
          <w:vertAlign w:val="subscript"/>
          <w:lang w:val="en-US"/>
        </w:rPr>
        <w:t>true</w:t>
      </w:r>
      <w:r w:rsidRPr="002D286A">
        <w:rPr>
          <w:rStyle w:val="Teletype"/>
          <w:rFonts w:ascii="Times New Roman" w:hAnsi="Times New Roman" w:cs="Times New Roman"/>
          <w:lang w:val="en-US"/>
        </w:rPr>
        <w:t xml:space="preserve"> = </w:t>
      </w:r>
      <w:r w:rsidRPr="002D286A">
        <w:rPr>
          <w:rStyle w:val="Teletype"/>
          <w:rFonts w:ascii="Times New Roman" w:hAnsi="Times New Roman" w:cs="Times New Roman"/>
          <w:i/>
          <w:lang w:val="en-US"/>
        </w:rPr>
        <w:t>a</w:t>
      </w:r>
      <w:r w:rsidRPr="002D286A">
        <w:rPr>
          <w:rStyle w:val="Teletype"/>
          <w:rFonts w:ascii="Times New Roman" w:hAnsi="Times New Roman" w:cs="Times New Roman"/>
          <w:lang w:val="en-US"/>
        </w:rPr>
        <w:t>·log</w:t>
      </w:r>
      <w:r w:rsidRPr="002D286A">
        <w:rPr>
          <w:rStyle w:val="Teletype"/>
          <w:rFonts w:ascii="Times New Roman" w:hAnsi="Times New Roman" w:cs="Times New Roman"/>
          <w:vertAlign w:val="subscript"/>
          <w:lang w:val="en-US"/>
        </w:rPr>
        <w:t xml:space="preserve">10 </w:t>
      </w:r>
      <w:r w:rsidRPr="002D286A">
        <w:rPr>
          <w:rStyle w:val="Teletype"/>
          <w:rFonts w:ascii="Times New Roman" w:hAnsi="Times New Roman" w:cs="Times New Roman"/>
          <w:i/>
          <w:lang w:val="en-US"/>
        </w:rPr>
        <w:t>N</w:t>
      </w:r>
      <w:r w:rsidRPr="002D286A">
        <w:rPr>
          <w:rStyle w:val="Teletype"/>
          <w:rFonts w:ascii="Times New Roman" w:hAnsi="Times New Roman" w:cs="Times New Roman"/>
          <w:vertAlign w:val="subscript"/>
          <w:lang w:val="en-US"/>
        </w:rPr>
        <w:t>SEQC</w:t>
      </w:r>
      <w:r w:rsidRPr="002D286A">
        <w:rPr>
          <w:rStyle w:val="Teletype"/>
          <w:rFonts w:ascii="Times New Roman" w:hAnsi="Times New Roman" w:cs="Times New Roman"/>
          <w:lang w:val="en-US"/>
        </w:rPr>
        <w:t xml:space="preserve"> + </w:t>
      </w:r>
      <w:r w:rsidRPr="002D286A">
        <w:rPr>
          <w:rStyle w:val="Teletype"/>
          <w:rFonts w:ascii="Times New Roman" w:hAnsi="Times New Roman" w:cs="Times New Roman"/>
          <w:i/>
          <w:lang w:val="en-US"/>
        </w:rPr>
        <w:t>b</w:t>
      </w:r>
      <w:r w:rsidRPr="002D286A">
        <w:rPr>
          <w:rStyle w:val="Teletype"/>
          <w:rFonts w:ascii="Times New Roman" w:hAnsi="Times New Roman" w:cs="Times New Roman"/>
          <w:lang w:val="en-US"/>
        </w:rPr>
        <w:t xml:space="preserve">, where </w:t>
      </w:r>
      <w:r w:rsidRPr="002D286A">
        <w:rPr>
          <w:rStyle w:val="Teletype"/>
          <w:rFonts w:ascii="Times New Roman" w:hAnsi="Times New Roman" w:cs="Times New Roman"/>
          <w:i/>
          <w:lang w:val="en-US"/>
        </w:rPr>
        <w:t>a</w:t>
      </w:r>
      <w:r w:rsidRPr="002D286A">
        <w:rPr>
          <w:rStyle w:val="Teletype"/>
          <w:rFonts w:ascii="Times New Roman" w:hAnsi="Times New Roman" w:cs="Times New Roman"/>
          <w:lang w:val="en-US"/>
        </w:rPr>
        <w:t xml:space="preserve"> and </w:t>
      </w:r>
      <w:r w:rsidRPr="002D286A">
        <w:rPr>
          <w:rStyle w:val="Teletype"/>
          <w:rFonts w:ascii="Times New Roman" w:hAnsi="Times New Roman" w:cs="Times New Roman"/>
          <w:i/>
          <w:lang w:val="en-US"/>
        </w:rPr>
        <w:t>b</w:t>
      </w:r>
      <w:r w:rsidRPr="002D286A">
        <w:rPr>
          <w:rStyle w:val="Teletype"/>
          <w:rFonts w:ascii="Times New Roman" w:hAnsi="Times New Roman" w:cs="Times New Roman"/>
          <w:lang w:val="en-US"/>
        </w:rPr>
        <w:t xml:space="preserve"> parameters assure that the minimal and maximal true expression levels in the whole gene set </w:t>
      </w:r>
      <w:r w:rsidR="00EE0480" w:rsidRPr="002D286A">
        <w:rPr>
          <w:rStyle w:val="Teletype"/>
          <w:rFonts w:ascii="Times New Roman" w:hAnsi="Times New Roman" w:cs="Times New Roman"/>
          <w:lang w:val="en-US"/>
        </w:rPr>
        <w:t xml:space="preserve">are </w:t>
      </w:r>
      <w:r w:rsidRPr="002D286A">
        <w:rPr>
          <w:rStyle w:val="Teletype"/>
          <w:rFonts w:ascii="Times New Roman" w:hAnsi="Times New Roman" w:cs="Times New Roman"/>
          <w:lang w:val="en-US"/>
        </w:rPr>
        <w:t>equal to 1 and 10</w:t>
      </w:r>
      <w:r w:rsidRPr="002D286A">
        <w:rPr>
          <w:rStyle w:val="Teletype"/>
          <w:rFonts w:ascii="Times New Roman" w:hAnsi="Times New Roman" w:cs="Times New Roman"/>
          <w:vertAlign w:val="superscript"/>
          <w:lang w:val="en-US"/>
        </w:rPr>
        <w:t>7</w:t>
      </w:r>
      <w:r w:rsidRPr="002D286A">
        <w:rPr>
          <w:rStyle w:val="Teletype"/>
          <w:rFonts w:ascii="Times New Roman" w:hAnsi="Times New Roman" w:cs="Times New Roman"/>
          <w:lang w:val="en-US"/>
        </w:rPr>
        <w:t>, respectively.</w:t>
      </w:r>
    </w:p>
    <w:p w:rsidR="00F54AAE" w:rsidRPr="0038468C" w:rsidRDefault="009C42A4" w:rsidP="00F54AAE">
      <w:pPr>
        <w:spacing w:after="200" w:line="360" w:lineRule="auto"/>
        <w:rPr>
          <w:rStyle w:val="Teletype"/>
          <w:rFonts w:ascii="Times New Roman" w:hAnsi="Times New Roman" w:cs="Times New Roman"/>
          <w:lang w:val="en-US"/>
        </w:rPr>
      </w:pPr>
      <w:r w:rsidRPr="002D286A">
        <w:rPr>
          <w:rStyle w:val="Teletype"/>
          <w:rFonts w:ascii="Times New Roman" w:hAnsi="Times New Roman" w:cs="Times New Roman"/>
          <w:lang w:val="en-US"/>
        </w:rPr>
        <w:t>T</w:t>
      </w:r>
      <w:r w:rsidR="00F54AAE" w:rsidRPr="002D286A">
        <w:rPr>
          <w:rStyle w:val="Teletype"/>
          <w:rFonts w:ascii="Times New Roman" w:hAnsi="Times New Roman" w:cs="Times New Roman"/>
          <w:lang w:val="en-US"/>
        </w:rPr>
        <w:t>he dependence of required read depth (</w:t>
      </w:r>
      <w:r w:rsidR="00F54AAE" w:rsidRPr="002D286A">
        <w:rPr>
          <w:rStyle w:val="Teletype"/>
          <w:rFonts w:ascii="Times New Roman" w:hAnsi="Times New Roman" w:cs="Times New Roman"/>
          <w:i/>
          <w:lang w:val="en-US"/>
        </w:rPr>
        <w:t>K</w:t>
      </w:r>
      <w:r w:rsidR="00F54AAE" w:rsidRPr="002D286A">
        <w:rPr>
          <w:rStyle w:val="Teletype"/>
          <w:rFonts w:ascii="Times New Roman" w:hAnsi="Times New Roman" w:cs="Times New Roman"/>
          <w:lang w:val="en-US"/>
        </w:rPr>
        <w:t>) upon the number of gene copies (</w:t>
      </w:r>
      <w:r w:rsidR="00F54AAE" w:rsidRPr="002D286A">
        <w:rPr>
          <w:rStyle w:val="Teletype"/>
          <w:rFonts w:ascii="Times New Roman" w:hAnsi="Times New Roman" w:cs="Times New Roman"/>
          <w:i/>
          <w:lang w:val="en-US"/>
        </w:rPr>
        <w:t>N</w:t>
      </w:r>
      <w:r w:rsidR="00F54AAE" w:rsidRPr="002D286A">
        <w:rPr>
          <w:rStyle w:val="Teletype"/>
          <w:rFonts w:ascii="Times New Roman" w:hAnsi="Times New Roman" w:cs="Times New Roman"/>
          <w:lang w:val="en-US"/>
        </w:rPr>
        <w:t>) may be plotted</w:t>
      </w:r>
      <w:r w:rsidR="00727AD5" w:rsidRPr="002D286A">
        <w:rPr>
          <w:rStyle w:val="Teletype"/>
          <w:rFonts w:ascii="Times New Roman" w:hAnsi="Times New Roman" w:cs="Times New Roman"/>
          <w:lang w:val="en-US"/>
        </w:rPr>
        <w:t xml:space="preserve"> as follows (see Figure S2_1</w:t>
      </w:r>
      <w:r w:rsidR="00E85E35" w:rsidRPr="002D286A">
        <w:rPr>
          <w:rStyle w:val="Teletype"/>
          <w:rFonts w:ascii="Times New Roman" w:hAnsi="Times New Roman" w:cs="Times New Roman"/>
          <w:lang w:val="en-US"/>
        </w:rPr>
        <w:t xml:space="preserve">, </w:t>
      </w:r>
      <w:r w:rsidR="00F54AAE" w:rsidRPr="002D286A">
        <w:rPr>
          <w:rStyle w:val="Teletype"/>
          <w:rFonts w:ascii="Times New Roman" w:hAnsi="Times New Roman" w:cs="Times New Roman"/>
          <w:lang w:val="en-US"/>
        </w:rPr>
        <w:t>panel</w:t>
      </w:r>
      <w:r w:rsidR="00E85E35" w:rsidRPr="002D286A">
        <w:rPr>
          <w:rStyle w:val="Teletype"/>
          <w:rFonts w:ascii="Times New Roman" w:hAnsi="Times New Roman" w:cs="Times New Roman"/>
          <w:lang w:val="en-US"/>
        </w:rPr>
        <w:t xml:space="preserve"> </w:t>
      </w:r>
      <w:r w:rsidR="00BF2069" w:rsidRPr="002D286A">
        <w:rPr>
          <w:rStyle w:val="Teletype"/>
          <w:rFonts w:ascii="Times New Roman" w:hAnsi="Times New Roman" w:cs="Times New Roman"/>
          <w:b/>
          <w:lang w:val="en-US"/>
        </w:rPr>
        <w:t>a</w:t>
      </w:r>
      <w:r w:rsidR="00F54AAE" w:rsidRPr="002D286A">
        <w:rPr>
          <w:rStyle w:val="Teletype"/>
          <w:rFonts w:ascii="Times New Roman" w:hAnsi="Times New Roman" w:cs="Times New Roman"/>
          <w:lang w:val="en-US"/>
        </w:rPr>
        <w:t xml:space="preserve">). The blue line represents the trivial trend without correction on the gene length (Eq. (1)). The green cloud shows results that </w:t>
      </w:r>
      <w:r w:rsidR="008F7DAB" w:rsidRPr="002D286A">
        <w:rPr>
          <w:rStyle w:val="Teletype"/>
          <w:rFonts w:ascii="Times New Roman" w:hAnsi="Times New Roman" w:cs="Times New Roman"/>
          <w:lang w:val="en-US"/>
        </w:rPr>
        <w:t>do not include</w:t>
      </w:r>
      <w:r w:rsidR="00F54AAE" w:rsidRPr="002D286A">
        <w:rPr>
          <w:rStyle w:val="Teletype"/>
          <w:rFonts w:ascii="Times New Roman" w:hAnsi="Times New Roman" w:cs="Times New Roman"/>
          <w:lang w:val="en-US"/>
        </w:rPr>
        <w:t xml:space="preserve"> </w:t>
      </w:r>
      <w:r w:rsidR="00F260A7" w:rsidRPr="002D286A">
        <w:rPr>
          <w:rStyle w:val="Teletype"/>
          <w:rFonts w:ascii="Times New Roman" w:hAnsi="Times New Roman" w:cs="Times New Roman"/>
          <w:lang w:val="en-US"/>
        </w:rPr>
        <w:t xml:space="preserve">mRNA length </w:t>
      </w:r>
      <w:r w:rsidR="00F54AAE" w:rsidRPr="002D286A">
        <w:rPr>
          <w:rStyle w:val="Teletype"/>
          <w:rFonts w:ascii="Times New Roman" w:hAnsi="Times New Roman" w:cs="Times New Roman"/>
          <w:lang w:val="en-US"/>
        </w:rPr>
        <w:t>correction (</w:t>
      </w:r>
      <w:r w:rsidR="00CD1CFA" w:rsidRPr="002D286A">
        <w:rPr>
          <w:rStyle w:val="Teletype"/>
          <w:rFonts w:ascii="Times New Roman" w:hAnsi="Times New Roman" w:cs="Times New Roman"/>
          <w:lang w:val="en-US"/>
        </w:rPr>
        <w:t>Eq. (2)</w:t>
      </w:r>
      <w:r w:rsidR="00F54AAE" w:rsidRPr="002D286A">
        <w:rPr>
          <w:rStyle w:val="Teletype"/>
          <w:rFonts w:ascii="Times New Roman" w:hAnsi="Times New Roman" w:cs="Times New Roman"/>
          <w:lang w:val="en-US"/>
        </w:rPr>
        <w:t>)</w:t>
      </w:r>
      <w:r w:rsidR="00CD1CFA" w:rsidRPr="002D286A">
        <w:rPr>
          <w:rStyle w:val="Teletype"/>
          <w:rFonts w:ascii="Times New Roman" w:hAnsi="Times New Roman" w:cs="Times New Roman"/>
          <w:lang w:val="en-US"/>
        </w:rPr>
        <w:t>.</w:t>
      </w:r>
      <w:r w:rsidR="00F54AAE" w:rsidRPr="00F54AAE">
        <w:rPr>
          <w:rStyle w:val="Teletype"/>
          <w:rFonts w:ascii="Times New Roman" w:hAnsi="Times New Roman" w:cs="Times New Roman"/>
          <w:lang w:val="en-US"/>
        </w:rPr>
        <w:t xml:space="preserve"> </w:t>
      </w:r>
      <w:r w:rsidR="00A325F5" w:rsidRPr="009030ED">
        <w:rPr>
          <w:rStyle w:val="Teletype"/>
          <w:rFonts w:ascii="Times New Roman" w:hAnsi="Times New Roman" w:cs="Times New Roman"/>
          <w:lang w:val="en-US"/>
        </w:rPr>
        <w:t xml:space="preserve">The median transcript length, according to the New Human Genome Reference Sequence (GRCh37) database </w:t>
      </w:r>
      <w:r w:rsidR="00A325F5" w:rsidRPr="009030ED">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a17m3v9duul","properties":{"formattedCitation":"[12]","plainCitation":"[12]"},"citationItems":[{"id":2477,"uris":["http://zotero.org/users/local/hqHkalb6/items/EYWFEFMP"],"uri":["http://zotero.org/users/local/hqHkalb6/items/EYWFEFMP"],"itemData":{"id":2477,"type":"article-journal","title":"Validated primer set that prevents nuclear DNA sequences of mitochondrial origin co-amplification: a revision based on the New Human Genome Reference Sequence (GRCh37)","container-title":"Electrophoresis","page":"782-783","volume":"32","issue":"6-7","source":"PubMed","abstract":"A new human genome reference sequence--GRCh37--was recently generated and made available by the Genome Reference Consortium. Since the prior disposable human reference sequence--hg18--was previously used for the mitochondrial DNA primer BLAST validation, a revision of those previously published primer pairs is required. Thus, the aim of this Short Communication is to perform an in silico BLAST test of the published disposable nine primer pairs using the new human reference sequence and to report the pertinent modifications. The new analysis showed that one of the tested primer pairs requires a revision. Therefore, a new validated primer pair, which specifically amplifies the mitochondrial region located between positions 6520 and 9184, is presented.","DOI":"10.1002/elps.201000583","ISSN":"1522-2683","note":"PMID: 21425173","shortTitle":"Validated primer set that prevents nuclear DNA sequences of mitochondrial origin co-amplification","journalAbbreviation":"Electrophoresis","language":"eng","author":[{"family":"Ramos","given":"Amanda"},{"family":"Santos","given":"Cristina"},{"family":"Barbena","given":"Elena"},{"family":"Mateiu","given":"Ligia"},{"family":"Alvarez","given":"Luis"},{"family":"Nogués","given":"Ramon"},{"family":"Aluja","given":"Maria Pilar"}],"issued":{"date-parts":[["2011",3]]}}}],"schema":"https://github.com/citation-style-language/schema/raw/master/csl-citation.json"} </w:instrText>
      </w:r>
      <w:r w:rsidR="00A325F5" w:rsidRPr="009030ED">
        <w:rPr>
          <w:rStyle w:val="Teletype"/>
          <w:rFonts w:ascii="Times New Roman" w:hAnsi="Times New Roman" w:cs="Times New Roman"/>
          <w:lang w:val="en-US"/>
        </w:rPr>
        <w:fldChar w:fldCharType="separate"/>
      </w:r>
      <w:r w:rsidR="00A87E82" w:rsidRPr="00A87E82">
        <w:rPr>
          <w:rFonts w:ascii="Times New Roman" w:hAnsi="Times New Roman"/>
          <w:lang w:val="en-US"/>
        </w:rPr>
        <w:t>[12]</w:t>
      </w:r>
      <w:r w:rsidR="00A325F5" w:rsidRPr="009030ED">
        <w:rPr>
          <w:rStyle w:val="Teletype"/>
          <w:rFonts w:ascii="Times New Roman" w:hAnsi="Times New Roman" w:cs="Times New Roman"/>
          <w:lang w:val="en-US"/>
        </w:rPr>
        <w:fldChar w:fldCharType="end"/>
      </w:r>
      <w:r w:rsidR="00A325F5" w:rsidRPr="009030ED">
        <w:rPr>
          <w:rStyle w:val="Teletype"/>
          <w:rFonts w:ascii="Times New Roman" w:hAnsi="Times New Roman" w:cs="Times New Roman"/>
          <w:lang w:val="en-US"/>
        </w:rPr>
        <w:t xml:space="preserve">, equals to </w:t>
      </w:r>
      <w:r w:rsidR="00DF1B1F" w:rsidRPr="009030ED">
        <w:rPr>
          <w:rStyle w:val="Teletype"/>
          <w:rFonts w:ascii="Times New Roman" w:hAnsi="Times New Roman" w:cs="Times New Roman"/>
          <w:lang w:val="en-US"/>
        </w:rPr>
        <w:t>766 nucleotides</w:t>
      </w:r>
      <w:r w:rsidR="00DE7D8D" w:rsidRPr="009030ED">
        <w:rPr>
          <w:rStyle w:val="Teletype"/>
          <w:rFonts w:ascii="Times New Roman" w:hAnsi="Times New Roman" w:cs="Times New Roman"/>
          <w:lang w:val="en-US"/>
        </w:rPr>
        <w:t>, whereas the minimal is 24, and maximal is 21246.</w:t>
      </w:r>
      <w:r w:rsidR="00F260A7" w:rsidRPr="009030ED">
        <w:rPr>
          <w:rStyle w:val="Teletype"/>
          <w:rFonts w:ascii="Times New Roman" w:hAnsi="Times New Roman" w:cs="Times New Roman"/>
          <w:lang w:val="en-US"/>
        </w:rPr>
        <w:t xml:space="preserve"> </w:t>
      </w:r>
      <w:r w:rsidR="00F54AAE" w:rsidRPr="009030ED">
        <w:rPr>
          <w:rStyle w:val="Teletype"/>
          <w:rFonts w:ascii="Times New Roman" w:hAnsi="Times New Roman" w:cs="Times New Roman"/>
          <w:lang w:val="en-US"/>
        </w:rPr>
        <w:t xml:space="preserve">The red dots mark the 95% quantile for the distribution of the value </w:t>
      </w:r>
      <w:r w:rsidR="00F54AAE" w:rsidRPr="009030ED">
        <w:rPr>
          <w:rStyle w:val="Teletype"/>
          <w:rFonts w:ascii="Times New Roman" w:hAnsi="Times New Roman" w:cs="Times New Roman"/>
          <w:i/>
          <w:lang w:val="en-US"/>
        </w:rPr>
        <w:t>K</w:t>
      </w:r>
      <w:r w:rsidR="00F54AAE" w:rsidRPr="009030ED">
        <w:rPr>
          <w:rStyle w:val="Teletype"/>
          <w:rFonts w:ascii="Times New Roman" w:hAnsi="Times New Roman" w:cs="Times New Roman"/>
          <w:lang w:val="en-US"/>
        </w:rPr>
        <w:t xml:space="preserve"> at a fixed </w:t>
      </w:r>
      <w:r w:rsidR="00F54AAE" w:rsidRPr="009030ED">
        <w:rPr>
          <w:rStyle w:val="Teletype"/>
          <w:rFonts w:ascii="Times New Roman" w:hAnsi="Times New Roman" w:cs="Times New Roman"/>
          <w:i/>
          <w:lang w:val="en-US"/>
        </w:rPr>
        <w:t>N</w:t>
      </w:r>
      <w:r w:rsidR="00F54AAE" w:rsidRPr="009030ED">
        <w:rPr>
          <w:rStyle w:val="Teletype"/>
          <w:rFonts w:ascii="Times New Roman" w:hAnsi="Times New Roman" w:cs="Times New Roman"/>
          <w:lang w:val="en-US"/>
        </w:rPr>
        <w:t xml:space="preserve">; this </w:t>
      </w:r>
      <w:r w:rsidR="00EA4379" w:rsidRPr="009030ED">
        <w:rPr>
          <w:rStyle w:val="Teletype"/>
          <w:rFonts w:ascii="Times New Roman" w:hAnsi="Times New Roman" w:cs="Times New Roman"/>
          <w:lang w:val="en-US"/>
        </w:rPr>
        <w:t>dependence</w:t>
      </w:r>
      <w:r w:rsidR="00F54AAE" w:rsidRPr="009030ED">
        <w:rPr>
          <w:rStyle w:val="Teletype"/>
          <w:rFonts w:ascii="Times New Roman" w:hAnsi="Times New Roman" w:cs="Times New Roman"/>
          <w:lang w:val="en-US"/>
        </w:rPr>
        <w:t xml:space="preserve"> shows </w:t>
      </w:r>
      <w:r w:rsidR="00EA4379" w:rsidRPr="009030ED">
        <w:rPr>
          <w:rStyle w:val="Teletype"/>
          <w:rFonts w:ascii="Times New Roman" w:hAnsi="Times New Roman" w:cs="Times New Roman"/>
          <w:lang w:val="en-US"/>
        </w:rPr>
        <w:t>what should be</w:t>
      </w:r>
      <w:r w:rsidR="00F54AAE" w:rsidRPr="009030ED">
        <w:rPr>
          <w:rStyle w:val="Teletype"/>
          <w:rFonts w:ascii="Times New Roman" w:hAnsi="Times New Roman" w:cs="Times New Roman"/>
          <w:lang w:val="en-US"/>
        </w:rPr>
        <w:t xml:space="preserve"> </w:t>
      </w:r>
      <w:r w:rsidR="001858B7" w:rsidRPr="009030ED">
        <w:rPr>
          <w:rStyle w:val="Teletype"/>
          <w:rFonts w:ascii="Times New Roman" w:hAnsi="Times New Roman" w:cs="Times New Roman"/>
          <w:lang w:val="en-US"/>
        </w:rPr>
        <w:t xml:space="preserve">the </w:t>
      </w:r>
      <w:r w:rsidR="00F54AAE" w:rsidRPr="009030ED">
        <w:rPr>
          <w:rStyle w:val="Teletype"/>
          <w:rFonts w:ascii="Times New Roman" w:hAnsi="Times New Roman" w:cs="Times New Roman"/>
          <w:lang w:val="en-US"/>
        </w:rPr>
        <w:t xml:space="preserve">sequencing </w:t>
      </w:r>
      <w:r w:rsidR="00EA4379" w:rsidRPr="009030ED">
        <w:rPr>
          <w:rStyle w:val="Teletype"/>
          <w:rFonts w:ascii="Times New Roman" w:hAnsi="Times New Roman" w:cs="Times New Roman"/>
          <w:lang w:val="en-US"/>
        </w:rPr>
        <w:t>depth</w:t>
      </w:r>
      <w:r w:rsidR="00F54AAE" w:rsidRPr="009030ED">
        <w:rPr>
          <w:rStyle w:val="Teletype"/>
          <w:rFonts w:ascii="Times New Roman" w:hAnsi="Times New Roman" w:cs="Times New Roman"/>
          <w:lang w:val="en-US"/>
        </w:rPr>
        <w:t xml:space="preserve"> </w:t>
      </w:r>
      <w:r w:rsidR="004E32EA" w:rsidRPr="009030ED">
        <w:rPr>
          <w:rStyle w:val="Teletype"/>
          <w:rFonts w:ascii="Times New Roman" w:hAnsi="Times New Roman" w:cs="Times New Roman"/>
          <w:lang w:val="en-US"/>
        </w:rPr>
        <w:t>to</w:t>
      </w:r>
      <w:r w:rsidR="00F54AAE" w:rsidRPr="009030ED">
        <w:rPr>
          <w:rStyle w:val="Teletype"/>
          <w:rFonts w:ascii="Times New Roman" w:hAnsi="Times New Roman" w:cs="Times New Roman"/>
          <w:lang w:val="en-US"/>
        </w:rPr>
        <w:t xml:space="preserve"> find at least 95% </w:t>
      </w:r>
      <w:r w:rsidR="001858B7" w:rsidRPr="009030ED">
        <w:rPr>
          <w:rStyle w:val="Teletype"/>
          <w:rFonts w:ascii="Times New Roman" w:hAnsi="Times New Roman" w:cs="Times New Roman"/>
          <w:lang w:val="en-US"/>
        </w:rPr>
        <w:t>individual types of mRNA</w:t>
      </w:r>
      <w:r w:rsidR="00F54AAE" w:rsidRPr="009030ED">
        <w:rPr>
          <w:rStyle w:val="Teletype"/>
          <w:rFonts w:ascii="Times New Roman" w:hAnsi="Times New Roman" w:cs="Times New Roman"/>
          <w:lang w:val="en-US"/>
        </w:rPr>
        <w:t xml:space="preserve"> </w:t>
      </w:r>
      <w:r w:rsidR="00F54AAE" w:rsidRPr="0038468C">
        <w:rPr>
          <w:rStyle w:val="Teletype"/>
          <w:rFonts w:ascii="Times New Roman" w:hAnsi="Times New Roman" w:cs="Times New Roman"/>
          <w:lang w:val="en-US"/>
        </w:rPr>
        <w:t xml:space="preserve">with the probability of 95% for each of these </w:t>
      </w:r>
      <w:r w:rsidR="001858B7" w:rsidRPr="0038468C">
        <w:rPr>
          <w:rStyle w:val="Teletype"/>
          <w:rFonts w:ascii="Times New Roman" w:hAnsi="Times New Roman" w:cs="Times New Roman"/>
          <w:lang w:val="en-US"/>
        </w:rPr>
        <w:t>types</w:t>
      </w:r>
      <w:r w:rsidR="00F54AAE" w:rsidRPr="0038468C">
        <w:rPr>
          <w:rStyle w:val="Teletype"/>
          <w:rFonts w:ascii="Times New Roman" w:hAnsi="Times New Roman" w:cs="Times New Roman"/>
          <w:lang w:val="en-US"/>
        </w:rPr>
        <w:t xml:space="preserve">. </w:t>
      </w:r>
    </w:p>
    <w:p w:rsidR="003249DA" w:rsidRPr="00CA70D0" w:rsidRDefault="00F54AAE" w:rsidP="00F54AAE">
      <w:pPr>
        <w:spacing w:after="200" w:line="360" w:lineRule="auto"/>
        <w:rPr>
          <w:rStyle w:val="Teletype"/>
          <w:rFonts w:ascii="Times New Roman" w:hAnsi="Times New Roman" w:cs="Times New Roman"/>
          <w:lang w:val="en-US"/>
        </w:rPr>
      </w:pPr>
      <w:r w:rsidRPr="0038468C">
        <w:rPr>
          <w:rStyle w:val="Teletype"/>
          <w:rFonts w:ascii="Times New Roman" w:hAnsi="Times New Roman" w:cs="Times New Roman"/>
          <w:lang w:val="en-US"/>
        </w:rPr>
        <w:t xml:space="preserve">Since the true number of </w:t>
      </w:r>
      <w:r w:rsidR="005451D7" w:rsidRPr="0038468C">
        <w:rPr>
          <w:rStyle w:val="Teletype"/>
          <w:rFonts w:ascii="Times New Roman" w:hAnsi="Times New Roman" w:cs="Times New Roman"/>
          <w:lang w:val="en-US"/>
        </w:rPr>
        <w:t>mRNA</w:t>
      </w:r>
      <w:r w:rsidRPr="0038468C">
        <w:rPr>
          <w:rStyle w:val="Teletype"/>
          <w:rFonts w:ascii="Times New Roman" w:hAnsi="Times New Roman" w:cs="Times New Roman"/>
          <w:lang w:val="en-US"/>
        </w:rPr>
        <w:t xml:space="preserve"> copies </w:t>
      </w:r>
      <w:r w:rsidRPr="0038468C">
        <w:rPr>
          <w:rStyle w:val="Teletype"/>
          <w:rFonts w:ascii="Times New Roman" w:hAnsi="Times New Roman" w:cs="Times New Roman"/>
          <w:i/>
          <w:lang w:val="en-US"/>
        </w:rPr>
        <w:t>N</w:t>
      </w:r>
      <w:r w:rsidRPr="0038468C">
        <w:rPr>
          <w:rStyle w:val="Teletype"/>
          <w:rFonts w:ascii="Times New Roman" w:hAnsi="Times New Roman" w:cs="Times New Roman"/>
          <w:lang w:val="en-US"/>
        </w:rPr>
        <w:t xml:space="preserve"> is unobservable and not measureable, in order to determine the genes, whose expression levels are measured reliably, we have to exclude this explicitly formulated value from ou</w:t>
      </w:r>
      <w:r w:rsidR="00D5579E" w:rsidRPr="0038468C">
        <w:rPr>
          <w:rStyle w:val="Teletype"/>
          <w:rFonts w:ascii="Times New Roman" w:hAnsi="Times New Roman" w:cs="Times New Roman"/>
          <w:lang w:val="en-US"/>
        </w:rPr>
        <w:t>r expression filter</w:t>
      </w:r>
      <w:r w:rsidR="003D1BDE" w:rsidRPr="0038468C">
        <w:rPr>
          <w:rStyle w:val="Teletype"/>
          <w:rFonts w:ascii="Times New Roman" w:hAnsi="Times New Roman" w:cs="Times New Roman"/>
          <w:lang w:val="en-US"/>
        </w:rPr>
        <w:t>.</w:t>
      </w:r>
      <w:r w:rsidR="00D5579E" w:rsidRPr="0038468C">
        <w:rPr>
          <w:rStyle w:val="Teletype"/>
          <w:rFonts w:ascii="Times New Roman" w:hAnsi="Times New Roman" w:cs="Times New Roman"/>
          <w:lang w:val="en-US"/>
        </w:rPr>
        <w:t xml:space="preserve"> The </w:t>
      </w:r>
      <w:r w:rsidRPr="0038468C">
        <w:rPr>
          <w:rStyle w:val="Teletype"/>
          <w:rFonts w:ascii="Times New Roman" w:hAnsi="Times New Roman" w:cs="Times New Roman"/>
          <w:lang w:val="en-US"/>
        </w:rPr>
        <w:t xml:space="preserve">panel </w:t>
      </w:r>
      <w:r w:rsidR="00DE4B15" w:rsidRPr="0038468C">
        <w:rPr>
          <w:rStyle w:val="Teletype"/>
          <w:rFonts w:ascii="Times New Roman" w:hAnsi="Times New Roman" w:cs="Times New Roman"/>
          <w:b/>
          <w:lang w:val="en-US"/>
        </w:rPr>
        <w:t>b</w:t>
      </w:r>
      <w:r w:rsidR="00D5579E" w:rsidRPr="0038468C">
        <w:rPr>
          <w:rStyle w:val="Teletype"/>
          <w:rFonts w:ascii="Times New Roman" w:hAnsi="Times New Roman" w:cs="Times New Roman"/>
          <w:lang w:val="en-US"/>
        </w:rPr>
        <w:t xml:space="preserve"> </w:t>
      </w:r>
      <w:r w:rsidR="007119E9" w:rsidRPr="0038468C">
        <w:rPr>
          <w:rStyle w:val="Teletype"/>
          <w:rFonts w:ascii="Times New Roman" w:hAnsi="Times New Roman" w:cs="Times New Roman"/>
          <w:lang w:val="en-US"/>
        </w:rPr>
        <w:t>o</w:t>
      </w:r>
      <w:r w:rsidR="00D5579E" w:rsidRPr="0038468C">
        <w:rPr>
          <w:rStyle w:val="Teletype"/>
          <w:rFonts w:ascii="Times New Roman" w:hAnsi="Times New Roman" w:cs="Times New Roman"/>
          <w:lang w:val="en-US"/>
        </w:rPr>
        <w:t>n Figure S2_1</w:t>
      </w:r>
      <w:r w:rsidR="005451D7" w:rsidRPr="0038468C">
        <w:rPr>
          <w:rStyle w:val="Teletype"/>
          <w:rFonts w:ascii="Times New Roman" w:hAnsi="Times New Roman" w:cs="Times New Roman"/>
          <w:lang w:val="en-US"/>
        </w:rPr>
        <w:t xml:space="preserve"> </w:t>
      </w:r>
      <w:r w:rsidRPr="0038468C">
        <w:rPr>
          <w:rStyle w:val="Teletype"/>
          <w:rFonts w:ascii="Times New Roman" w:hAnsi="Times New Roman" w:cs="Times New Roman"/>
          <w:lang w:val="en-US"/>
        </w:rPr>
        <w:t>shows the probability density (</w:t>
      </w:r>
      <w:r w:rsidRPr="0038468C">
        <w:rPr>
          <w:rStyle w:val="Teletype"/>
          <w:rFonts w:ascii="Times New Roman" w:hAnsi="Times New Roman" w:cs="Times New Roman"/>
          <w:i/>
          <w:lang w:val="en-US"/>
        </w:rPr>
        <w:t>f</w:t>
      </w:r>
      <w:r w:rsidRPr="0038468C">
        <w:rPr>
          <w:rStyle w:val="Teletype"/>
          <w:rFonts w:ascii="Times New Roman" w:hAnsi="Times New Roman" w:cs="Times New Roman"/>
          <w:lang w:val="en-US"/>
        </w:rPr>
        <w:t>), as well the complementary cumulative</w:t>
      </w:r>
      <w:r w:rsidRPr="00F54AAE">
        <w:rPr>
          <w:rStyle w:val="Teletype"/>
          <w:rFonts w:ascii="Times New Roman" w:hAnsi="Times New Roman" w:cs="Times New Roman"/>
          <w:lang w:val="en-US"/>
        </w:rPr>
        <w:t xml:space="preserve"> distribution function (survival function) </w:t>
      </w:r>
      <w:r w:rsidRPr="00F54AAE">
        <w:rPr>
          <w:position w:val="-22"/>
          <w:lang w:val="en-US"/>
        </w:rPr>
        <w:object w:dxaOrig="3620" w:dyaOrig="560">
          <v:shape id="_x0000_i1029" type="#_x0000_t75" style="width:165.3pt;height:28.4pt" o:ole="" filled="t">
            <v:fill color2="black"/>
            <v:imagedata r:id="rId15" o:title=""/>
          </v:shape>
          <o:OLEObject Type="Embed" ProgID="Equation.3" ShapeID="_x0000_i1029" DrawAspect="Content" ObjectID="_1609747541" r:id="rId16"/>
        </w:object>
      </w:r>
      <w:r w:rsidRPr="00F54AAE">
        <w:rPr>
          <w:rStyle w:val="Teletype"/>
          <w:rFonts w:ascii="Times New Roman" w:hAnsi="Times New Roman" w:cs="Times New Roman"/>
          <w:lang w:val="en-US"/>
        </w:rPr>
        <w:t xml:space="preserve">for the number of gene copies </w:t>
      </w:r>
      <w:r w:rsidRPr="00F54AAE">
        <w:rPr>
          <w:rStyle w:val="Teletype"/>
          <w:rFonts w:ascii="Times New Roman" w:hAnsi="Times New Roman" w:cs="Times New Roman"/>
          <w:i/>
          <w:lang w:val="en-US"/>
        </w:rPr>
        <w:t>N</w:t>
      </w:r>
      <w:r w:rsidRPr="00F54AAE">
        <w:rPr>
          <w:rStyle w:val="Teletype"/>
          <w:rFonts w:ascii="Times New Roman" w:hAnsi="Times New Roman" w:cs="Times New Roman"/>
          <w:lang w:val="en-US"/>
        </w:rPr>
        <w:t xml:space="preserve"> in the whole gene set. This survived fraction (1-</w:t>
      </w:r>
      <w:r w:rsidRPr="00F54AAE">
        <w:rPr>
          <w:rStyle w:val="Teletype"/>
          <w:rFonts w:ascii="Times New Roman" w:hAnsi="Times New Roman" w:cs="Times New Roman"/>
          <w:i/>
          <w:lang w:val="en-US"/>
        </w:rPr>
        <w:t>F</w:t>
      </w:r>
      <w:r w:rsidRPr="00F54AAE">
        <w:rPr>
          <w:rStyle w:val="Teletype"/>
          <w:rFonts w:ascii="Times New Roman" w:hAnsi="Times New Roman" w:cs="Times New Roman"/>
          <w:lang w:val="en-US"/>
        </w:rPr>
        <w:t xml:space="preserve">) of genes with </w:t>
      </w:r>
      <w:r w:rsidRPr="00CA70D0">
        <w:rPr>
          <w:rStyle w:val="Teletype"/>
          <w:rFonts w:ascii="Times New Roman" w:hAnsi="Times New Roman" w:cs="Times New Roman"/>
          <w:lang w:val="en-US"/>
        </w:rPr>
        <w:t xml:space="preserve">reliably high number of counts (which should </w:t>
      </w:r>
      <w:r w:rsidR="00950708" w:rsidRPr="00CA70D0">
        <w:rPr>
          <w:rStyle w:val="Teletype"/>
          <w:rFonts w:ascii="Times New Roman" w:hAnsi="Times New Roman" w:cs="Times New Roman"/>
          <w:lang w:val="en-US"/>
        </w:rPr>
        <w:t>survive</w:t>
      </w:r>
      <w:r w:rsidRPr="00CA70D0">
        <w:rPr>
          <w:rStyle w:val="Teletype"/>
          <w:rFonts w:ascii="Times New Roman" w:hAnsi="Times New Roman" w:cs="Times New Roman"/>
          <w:lang w:val="en-US"/>
        </w:rPr>
        <w:t xml:space="preserve"> after filtratio</w:t>
      </w:r>
      <w:r w:rsidR="00950708" w:rsidRPr="00CA70D0">
        <w:rPr>
          <w:rStyle w:val="Teletype"/>
          <w:rFonts w:ascii="Times New Roman" w:hAnsi="Times New Roman" w:cs="Times New Roman"/>
          <w:lang w:val="en-US"/>
        </w:rPr>
        <w:t>n</w:t>
      </w:r>
      <w:r w:rsidRPr="00CA70D0">
        <w:rPr>
          <w:rStyle w:val="Teletype"/>
          <w:rFonts w:ascii="Times New Roman" w:hAnsi="Times New Roman" w:cs="Times New Roman"/>
          <w:lang w:val="en-US"/>
        </w:rPr>
        <w:t>), as a function of read depth (</w:t>
      </w:r>
      <w:r w:rsidRPr="00CA70D0">
        <w:rPr>
          <w:rStyle w:val="Teletype"/>
          <w:rFonts w:ascii="Times New Roman" w:hAnsi="Times New Roman" w:cs="Times New Roman"/>
          <w:i/>
          <w:lang w:val="en-US"/>
        </w:rPr>
        <w:t>K</w:t>
      </w:r>
      <w:r w:rsidRPr="00CA70D0">
        <w:rPr>
          <w:rStyle w:val="Teletype"/>
          <w:rFonts w:ascii="Times New Roman" w:hAnsi="Times New Roman" w:cs="Times New Roman"/>
          <w:lang w:val="en-US"/>
        </w:rPr>
        <w:t>)</w:t>
      </w:r>
      <w:r w:rsidR="00AB19EA" w:rsidRPr="00CA70D0">
        <w:rPr>
          <w:rStyle w:val="Teletype"/>
          <w:rFonts w:ascii="Times New Roman" w:hAnsi="Times New Roman" w:cs="Times New Roman"/>
          <w:lang w:val="en-US"/>
        </w:rPr>
        <w:t xml:space="preserve">, is </w:t>
      </w:r>
      <w:r w:rsidR="005D6D24" w:rsidRPr="00CA70D0">
        <w:rPr>
          <w:rStyle w:val="Teletype"/>
          <w:rFonts w:ascii="Times New Roman" w:hAnsi="Times New Roman" w:cs="Times New Roman"/>
          <w:lang w:val="en-US"/>
        </w:rPr>
        <w:t>shown on</w:t>
      </w:r>
      <w:r w:rsidR="00AB19EA" w:rsidRPr="00CA70D0">
        <w:rPr>
          <w:rStyle w:val="Teletype"/>
          <w:rFonts w:ascii="Times New Roman" w:hAnsi="Times New Roman" w:cs="Times New Roman"/>
          <w:lang w:val="en-US"/>
        </w:rPr>
        <w:t xml:space="preserve"> panel</w:t>
      </w:r>
      <w:r w:rsidR="00DE4B15" w:rsidRPr="00CA70D0">
        <w:rPr>
          <w:rStyle w:val="Teletype"/>
          <w:rFonts w:ascii="Times New Roman" w:hAnsi="Times New Roman" w:cs="Times New Roman"/>
          <w:lang w:val="en-US"/>
        </w:rPr>
        <w:t xml:space="preserve"> </w:t>
      </w:r>
      <w:r w:rsidR="00DE4B15" w:rsidRPr="00CA70D0">
        <w:rPr>
          <w:rStyle w:val="Teletype"/>
          <w:rFonts w:ascii="Times New Roman" w:hAnsi="Times New Roman" w:cs="Times New Roman"/>
          <w:b/>
          <w:lang w:val="en-US"/>
        </w:rPr>
        <w:t>c</w:t>
      </w:r>
      <w:r w:rsidR="00AB19EA" w:rsidRPr="00CA70D0">
        <w:rPr>
          <w:rStyle w:val="Teletype"/>
          <w:rFonts w:ascii="Times New Roman" w:hAnsi="Times New Roman" w:cs="Times New Roman"/>
          <w:lang w:val="en-US"/>
        </w:rPr>
        <w:t xml:space="preserve"> </w:t>
      </w:r>
      <w:r w:rsidRPr="00CA70D0">
        <w:rPr>
          <w:rStyle w:val="Teletype"/>
          <w:rFonts w:ascii="Times New Roman" w:hAnsi="Times New Roman" w:cs="Times New Roman"/>
          <w:lang w:val="en-US"/>
        </w:rPr>
        <w:t>of Figure S</w:t>
      </w:r>
      <w:r w:rsidR="00336F7B" w:rsidRPr="00CA70D0">
        <w:rPr>
          <w:rStyle w:val="Teletype"/>
          <w:rFonts w:ascii="Times New Roman" w:hAnsi="Times New Roman" w:cs="Times New Roman"/>
          <w:lang w:val="en-US"/>
        </w:rPr>
        <w:t>2</w:t>
      </w:r>
      <w:r w:rsidRPr="00CA70D0">
        <w:rPr>
          <w:rStyle w:val="Teletype"/>
          <w:rFonts w:ascii="Times New Roman" w:hAnsi="Times New Roman" w:cs="Times New Roman"/>
          <w:lang w:val="en-US"/>
        </w:rPr>
        <w:t>_1.</w:t>
      </w:r>
    </w:p>
    <w:p w:rsidR="00CD2A88" w:rsidRPr="00CA70D0" w:rsidRDefault="00CA731D" w:rsidP="00F54AAE">
      <w:pPr>
        <w:spacing w:after="200"/>
        <w:rPr>
          <w:rStyle w:val="Teletype"/>
          <w:rFonts w:ascii="Times New Roman" w:hAnsi="Times New Roman" w:cs="Times New Roman"/>
          <w:lang w:val="en-US"/>
        </w:rPr>
      </w:pPr>
      <w:r w:rsidRPr="00CA70D0">
        <w:rPr>
          <w:rFonts w:ascii="Times New Roman" w:eastAsia="DejaVu Sans" w:hAnsi="Times New Roman"/>
          <w:noProof/>
          <w:lang w:val="en-US"/>
        </w:rPr>
        <w:lastRenderedPageBreak/>
        <w:drawing>
          <wp:inline distT="0" distB="0" distL="0" distR="0" wp14:anchorId="69C38B96" wp14:editId="0DCED8BB">
            <wp:extent cx="5934075" cy="2133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_2_1.jpg"/>
                    <pic:cNvPicPr/>
                  </pic:nvPicPr>
                  <pic:blipFill>
                    <a:blip r:embed="rId17">
                      <a:extLst>
                        <a:ext uri="{28A0092B-C50C-407E-A947-70E740481C1C}">
                          <a14:useLocalDpi xmlns:a14="http://schemas.microsoft.com/office/drawing/2010/main" val="0"/>
                        </a:ext>
                      </a:extLst>
                    </a:blip>
                    <a:stretch>
                      <a:fillRect/>
                    </a:stretch>
                  </pic:blipFill>
                  <pic:spPr>
                    <a:xfrm>
                      <a:off x="0" y="0"/>
                      <a:ext cx="5934075" cy="2133600"/>
                    </a:xfrm>
                    <a:prstGeom prst="rect">
                      <a:avLst/>
                    </a:prstGeom>
                  </pic:spPr>
                </pic:pic>
              </a:graphicData>
            </a:graphic>
          </wp:inline>
        </w:drawing>
      </w:r>
    </w:p>
    <w:p w:rsidR="00F54AAE" w:rsidRPr="00CA70D0" w:rsidRDefault="00F54AAE" w:rsidP="00F54AAE">
      <w:pPr>
        <w:spacing w:after="200"/>
        <w:rPr>
          <w:rStyle w:val="Teletype"/>
          <w:rFonts w:ascii="Times New Roman" w:hAnsi="Times New Roman" w:cs="Times New Roman"/>
          <w:sz w:val="22"/>
          <w:szCs w:val="22"/>
          <w:lang w:val="en-US"/>
        </w:rPr>
      </w:pPr>
      <w:r w:rsidRPr="00CA70D0">
        <w:rPr>
          <w:rStyle w:val="Teletype"/>
          <w:rFonts w:ascii="Times New Roman" w:hAnsi="Times New Roman" w:cs="Times New Roman"/>
          <w:sz w:val="22"/>
          <w:szCs w:val="22"/>
          <w:lang w:val="en-US"/>
        </w:rPr>
        <w:t>Figure S</w:t>
      </w:r>
      <w:r w:rsidR="00336F7B" w:rsidRPr="00CA70D0">
        <w:rPr>
          <w:rStyle w:val="Teletype"/>
          <w:rFonts w:ascii="Times New Roman" w:hAnsi="Times New Roman" w:cs="Times New Roman"/>
          <w:sz w:val="22"/>
          <w:szCs w:val="22"/>
          <w:lang w:val="en-US"/>
        </w:rPr>
        <w:t>2</w:t>
      </w:r>
      <w:r w:rsidRPr="00CA70D0">
        <w:rPr>
          <w:rStyle w:val="Teletype"/>
          <w:rFonts w:ascii="Times New Roman" w:hAnsi="Times New Roman" w:cs="Times New Roman"/>
          <w:sz w:val="22"/>
          <w:szCs w:val="22"/>
          <w:lang w:val="en-US"/>
        </w:rPr>
        <w:t xml:space="preserve">_1 – Calibration </w:t>
      </w:r>
      <w:r w:rsidR="00004550" w:rsidRPr="00CA70D0">
        <w:rPr>
          <w:rStyle w:val="Teletype"/>
          <w:rFonts w:ascii="Times New Roman" w:hAnsi="Times New Roman" w:cs="Times New Roman"/>
          <w:sz w:val="22"/>
          <w:szCs w:val="22"/>
          <w:lang w:val="en-US"/>
        </w:rPr>
        <w:t>curves for</w:t>
      </w:r>
      <w:r w:rsidRPr="00CA70D0">
        <w:rPr>
          <w:rStyle w:val="Teletype"/>
          <w:rFonts w:ascii="Times New Roman" w:hAnsi="Times New Roman" w:cs="Times New Roman"/>
          <w:sz w:val="22"/>
          <w:szCs w:val="22"/>
          <w:lang w:val="en-US"/>
        </w:rPr>
        <w:t xml:space="preserve"> the </w:t>
      </w:r>
      <w:r w:rsidR="00100D5C" w:rsidRPr="00CA70D0">
        <w:rPr>
          <w:rStyle w:val="Teletype"/>
          <w:rFonts w:ascii="Times New Roman" w:hAnsi="Times New Roman" w:cs="Times New Roman"/>
          <w:sz w:val="22"/>
          <w:szCs w:val="22"/>
          <w:lang w:val="en-US"/>
        </w:rPr>
        <w:t xml:space="preserve">threshold </w:t>
      </w:r>
      <w:r w:rsidRPr="00CA70D0">
        <w:rPr>
          <w:rStyle w:val="Teletype"/>
          <w:rFonts w:ascii="Times New Roman" w:hAnsi="Times New Roman" w:cs="Times New Roman"/>
          <w:sz w:val="22"/>
          <w:szCs w:val="22"/>
          <w:lang w:val="en-US"/>
        </w:rPr>
        <w:t xml:space="preserve">expression filter </w:t>
      </w:r>
      <w:r w:rsidR="00004550" w:rsidRPr="00CA70D0">
        <w:rPr>
          <w:rStyle w:val="Teletype"/>
          <w:rFonts w:ascii="Times New Roman" w:hAnsi="Times New Roman" w:cs="Times New Roman"/>
          <w:sz w:val="22"/>
          <w:szCs w:val="22"/>
          <w:lang w:val="en-US"/>
        </w:rPr>
        <w:t>depth</w:t>
      </w:r>
      <w:r w:rsidR="00100D5C" w:rsidRPr="00CA70D0">
        <w:rPr>
          <w:rStyle w:val="Teletype"/>
          <w:rFonts w:ascii="Times New Roman" w:hAnsi="Times New Roman" w:cs="Times New Roman"/>
          <w:sz w:val="22"/>
          <w:szCs w:val="22"/>
          <w:lang w:val="en-US"/>
        </w:rPr>
        <w:t xml:space="preserve">. Threshold </w:t>
      </w:r>
      <w:r w:rsidR="0026164B" w:rsidRPr="00CA70D0">
        <w:rPr>
          <w:rStyle w:val="Teletype"/>
          <w:rFonts w:ascii="Times New Roman" w:hAnsi="Times New Roman" w:cs="Times New Roman"/>
          <w:sz w:val="22"/>
          <w:szCs w:val="22"/>
          <w:lang w:val="en-US"/>
        </w:rPr>
        <w:t>shows sequencing</w:t>
      </w:r>
      <w:r w:rsidRPr="00CA70D0">
        <w:rPr>
          <w:rStyle w:val="Teletype"/>
          <w:rFonts w:ascii="Times New Roman" w:hAnsi="Times New Roman" w:cs="Times New Roman"/>
          <w:sz w:val="22"/>
          <w:szCs w:val="22"/>
          <w:lang w:val="en-US"/>
        </w:rPr>
        <w:t xml:space="preserve"> </w:t>
      </w:r>
      <w:r w:rsidR="0026164B" w:rsidRPr="00CA70D0">
        <w:rPr>
          <w:rStyle w:val="Teletype"/>
          <w:rFonts w:ascii="Times New Roman" w:hAnsi="Times New Roman" w:cs="Times New Roman"/>
          <w:sz w:val="22"/>
          <w:szCs w:val="22"/>
          <w:lang w:val="en-US"/>
        </w:rPr>
        <w:t>depth sufficient for finding at least 95% of individual types of mRNA with the probability of 95% for each of these types</w:t>
      </w:r>
      <w:r w:rsidRPr="00CA70D0">
        <w:rPr>
          <w:rStyle w:val="Teletype"/>
          <w:rFonts w:ascii="Times New Roman" w:hAnsi="Times New Roman" w:cs="Times New Roman"/>
          <w:sz w:val="22"/>
          <w:szCs w:val="22"/>
          <w:lang w:val="en-US"/>
        </w:rPr>
        <w:t xml:space="preserve">. </w:t>
      </w:r>
    </w:p>
    <w:p w:rsidR="00F54AAE" w:rsidRPr="00CA70D0" w:rsidRDefault="00876D95" w:rsidP="00F54AAE">
      <w:pPr>
        <w:spacing w:after="200"/>
        <w:rPr>
          <w:rStyle w:val="Teletype"/>
          <w:rFonts w:ascii="Times New Roman" w:hAnsi="Times New Roman" w:cs="Times New Roman"/>
          <w:sz w:val="22"/>
          <w:szCs w:val="22"/>
          <w:lang w:val="en-US"/>
        </w:rPr>
      </w:pPr>
      <w:r w:rsidRPr="00CA70D0">
        <w:rPr>
          <w:rStyle w:val="Teletype"/>
          <w:rFonts w:ascii="Times New Roman" w:hAnsi="Times New Roman" w:cs="Times New Roman"/>
          <w:sz w:val="22"/>
          <w:szCs w:val="22"/>
          <w:lang w:val="en-US"/>
        </w:rPr>
        <w:t>P</w:t>
      </w:r>
      <w:r w:rsidR="00F54AAE" w:rsidRPr="00CA70D0">
        <w:rPr>
          <w:rStyle w:val="Teletype"/>
          <w:rFonts w:ascii="Times New Roman" w:hAnsi="Times New Roman" w:cs="Times New Roman"/>
          <w:sz w:val="22"/>
          <w:szCs w:val="22"/>
          <w:lang w:val="en-US"/>
        </w:rPr>
        <w:t>anel</w:t>
      </w:r>
      <w:r w:rsidRPr="00CA70D0">
        <w:rPr>
          <w:rStyle w:val="Teletype"/>
          <w:rFonts w:ascii="Times New Roman" w:hAnsi="Times New Roman" w:cs="Times New Roman"/>
          <w:sz w:val="22"/>
          <w:szCs w:val="22"/>
          <w:lang w:val="en-US"/>
        </w:rPr>
        <w:t xml:space="preserve"> </w:t>
      </w:r>
      <w:r w:rsidR="009176CE" w:rsidRPr="00CA70D0">
        <w:rPr>
          <w:rStyle w:val="Teletype"/>
          <w:rFonts w:ascii="Times New Roman" w:hAnsi="Times New Roman" w:cs="Times New Roman"/>
          <w:b/>
          <w:sz w:val="22"/>
          <w:szCs w:val="22"/>
          <w:lang w:val="en-US"/>
        </w:rPr>
        <w:t>a</w:t>
      </w:r>
      <w:r w:rsidR="00F54AAE" w:rsidRPr="00CA70D0">
        <w:rPr>
          <w:rStyle w:val="Teletype"/>
          <w:rFonts w:ascii="Times New Roman" w:hAnsi="Times New Roman" w:cs="Times New Roman"/>
          <w:sz w:val="22"/>
          <w:szCs w:val="22"/>
          <w:lang w:val="en-US"/>
        </w:rPr>
        <w:t xml:space="preserve">:  </w:t>
      </w:r>
      <w:r w:rsidR="00BE111F" w:rsidRPr="00CA70D0">
        <w:rPr>
          <w:rStyle w:val="Teletype"/>
          <w:rFonts w:ascii="Times New Roman" w:hAnsi="Times New Roman" w:cs="Times New Roman"/>
          <w:sz w:val="22"/>
          <w:szCs w:val="22"/>
          <w:lang w:val="en-US"/>
        </w:rPr>
        <w:t xml:space="preserve">logarithmic scale for number of sequencing </w:t>
      </w:r>
      <w:r w:rsidR="00F54AAE" w:rsidRPr="00CA70D0">
        <w:rPr>
          <w:rStyle w:val="Teletype"/>
          <w:rFonts w:ascii="Times New Roman" w:hAnsi="Times New Roman" w:cs="Times New Roman"/>
          <w:sz w:val="22"/>
          <w:szCs w:val="22"/>
          <w:lang w:val="en-US"/>
        </w:rPr>
        <w:t>read</w:t>
      </w:r>
      <w:r w:rsidR="00BE111F" w:rsidRPr="00CA70D0">
        <w:rPr>
          <w:rStyle w:val="Teletype"/>
          <w:rFonts w:ascii="Times New Roman" w:hAnsi="Times New Roman" w:cs="Times New Roman"/>
          <w:sz w:val="22"/>
          <w:szCs w:val="22"/>
          <w:lang w:val="en-US"/>
        </w:rPr>
        <w:t xml:space="preserve">s </w:t>
      </w:r>
      <w:r w:rsidR="00F54AAE" w:rsidRPr="00CA70D0">
        <w:rPr>
          <w:rStyle w:val="Teletype"/>
          <w:rFonts w:ascii="Times New Roman" w:hAnsi="Times New Roman" w:cs="Times New Roman"/>
          <w:sz w:val="22"/>
          <w:szCs w:val="22"/>
          <w:lang w:val="en-US"/>
        </w:rPr>
        <w:t>(</w:t>
      </w:r>
      <w:r w:rsidR="00F54AAE" w:rsidRPr="00CA70D0">
        <w:rPr>
          <w:rStyle w:val="Teletype"/>
          <w:rFonts w:ascii="Times New Roman" w:hAnsi="Times New Roman" w:cs="Times New Roman"/>
          <w:i/>
          <w:sz w:val="22"/>
          <w:szCs w:val="22"/>
          <w:lang w:val="en-US"/>
        </w:rPr>
        <w:t>K</w:t>
      </w:r>
      <w:r w:rsidR="00F54AAE" w:rsidRPr="00CA70D0">
        <w:rPr>
          <w:rStyle w:val="Teletype"/>
          <w:rFonts w:ascii="Times New Roman" w:hAnsi="Times New Roman" w:cs="Times New Roman"/>
          <w:sz w:val="22"/>
          <w:szCs w:val="22"/>
          <w:lang w:val="en-US"/>
        </w:rPr>
        <w:t xml:space="preserve">) </w:t>
      </w:r>
      <w:r w:rsidR="00BE111F" w:rsidRPr="00CA70D0">
        <w:rPr>
          <w:rStyle w:val="Teletype"/>
          <w:rFonts w:ascii="Times New Roman" w:hAnsi="Times New Roman" w:cs="Times New Roman"/>
          <w:sz w:val="22"/>
          <w:szCs w:val="22"/>
          <w:lang w:val="en-US"/>
        </w:rPr>
        <w:t>sufficient</w:t>
      </w:r>
      <w:r w:rsidR="00F54AAE" w:rsidRPr="00CA70D0">
        <w:rPr>
          <w:rStyle w:val="Teletype"/>
          <w:rFonts w:ascii="Times New Roman" w:hAnsi="Times New Roman" w:cs="Times New Roman"/>
          <w:sz w:val="22"/>
          <w:szCs w:val="22"/>
          <w:lang w:val="en-US"/>
        </w:rPr>
        <w:t xml:space="preserve"> </w:t>
      </w:r>
      <w:r w:rsidR="00BE111F" w:rsidRPr="00CA70D0">
        <w:rPr>
          <w:rStyle w:val="Teletype"/>
          <w:rFonts w:ascii="Times New Roman" w:hAnsi="Times New Roman" w:cs="Times New Roman"/>
          <w:sz w:val="22"/>
          <w:szCs w:val="22"/>
          <w:lang w:val="en-US"/>
        </w:rPr>
        <w:t>to identify</w:t>
      </w:r>
      <w:r w:rsidR="00F54AAE" w:rsidRPr="00CA70D0">
        <w:rPr>
          <w:rStyle w:val="Teletype"/>
          <w:rFonts w:ascii="Times New Roman" w:hAnsi="Times New Roman" w:cs="Times New Roman"/>
          <w:sz w:val="22"/>
          <w:szCs w:val="22"/>
          <w:lang w:val="en-US"/>
        </w:rPr>
        <w:t xml:space="preserve"> </w:t>
      </w:r>
      <w:r w:rsidR="00BE111F" w:rsidRPr="00CA70D0">
        <w:rPr>
          <w:rStyle w:val="Teletype"/>
          <w:rFonts w:ascii="Times New Roman" w:hAnsi="Times New Roman" w:cs="Times New Roman"/>
          <w:sz w:val="22"/>
          <w:szCs w:val="22"/>
          <w:lang w:val="en-US"/>
        </w:rPr>
        <w:t xml:space="preserve">a type of mRNA </w:t>
      </w:r>
      <w:r w:rsidR="00C33D5C" w:rsidRPr="00CA70D0">
        <w:rPr>
          <w:rStyle w:val="Teletype"/>
          <w:rFonts w:ascii="Times New Roman" w:hAnsi="Times New Roman" w:cs="Times New Roman"/>
          <w:sz w:val="22"/>
          <w:szCs w:val="22"/>
          <w:lang w:val="en-US"/>
        </w:rPr>
        <w:t xml:space="preserve">presented by </w:t>
      </w:r>
      <w:r w:rsidR="00BE111F" w:rsidRPr="00CA70D0">
        <w:rPr>
          <w:rStyle w:val="Teletype"/>
          <w:rFonts w:ascii="Times New Roman" w:hAnsi="Times New Roman" w:cs="Times New Roman"/>
          <w:i/>
          <w:sz w:val="22"/>
          <w:szCs w:val="22"/>
          <w:lang w:val="en-US"/>
        </w:rPr>
        <w:t xml:space="preserve">N </w:t>
      </w:r>
      <w:r w:rsidR="00BE111F" w:rsidRPr="00CA70D0">
        <w:rPr>
          <w:rStyle w:val="Teletype"/>
          <w:rFonts w:ascii="Times New Roman" w:hAnsi="Times New Roman" w:cs="Times New Roman"/>
          <w:sz w:val="22"/>
          <w:szCs w:val="22"/>
          <w:lang w:val="en-US"/>
        </w:rPr>
        <w:t xml:space="preserve">copies </w:t>
      </w:r>
      <w:r w:rsidR="00F54AAE" w:rsidRPr="00CA70D0">
        <w:rPr>
          <w:rStyle w:val="Teletype"/>
          <w:rFonts w:ascii="Times New Roman" w:hAnsi="Times New Roman" w:cs="Times New Roman"/>
          <w:sz w:val="22"/>
          <w:szCs w:val="22"/>
          <w:lang w:val="en-US"/>
        </w:rPr>
        <w:t xml:space="preserve">at 95% probability. Gene expression levels </w:t>
      </w:r>
      <w:r w:rsidR="00CC1DC6" w:rsidRPr="00CA70D0">
        <w:rPr>
          <w:rStyle w:val="Teletype"/>
          <w:rFonts w:ascii="Times New Roman" w:hAnsi="Times New Roman" w:cs="Times New Roman"/>
          <w:sz w:val="22"/>
          <w:szCs w:val="22"/>
          <w:lang w:val="en-US"/>
        </w:rPr>
        <w:t>were</w:t>
      </w:r>
      <w:r w:rsidR="00F54AAE" w:rsidRPr="00CA70D0">
        <w:rPr>
          <w:rStyle w:val="Teletype"/>
          <w:rFonts w:ascii="Times New Roman" w:hAnsi="Times New Roman" w:cs="Times New Roman"/>
          <w:sz w:val="22"/>
          <w:szCs w:val="22"/>
          <w:lang w:val="en-US"/>
        </w:rPr>
        <w:t xml:space="preserve"> taken from the GTEx reference dataset </w:t>
      </w:r>
      <w:r w:rsidR="007233C9">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a48oirmvur","properties":{"formattedCitation":"[1]","plainCitation":"[1]"},"citationItems":[{"id":"I80eUAjo/HVEN1jBp","uris":["http://zotero.org/users/local/YlgL0u7w/items/5W7HG75G"],"uri":["http://zotero.org/users/local/YlgL0u7w/items/5W7HG75G"],"itemData":{"id":"I80eUAjo/HVEN1jBp","type":"article-journal","title":"The Genotype-Tissue Expression (GTEx) project","container-title":"Nature Genetics","page":"580-585","volume":"45","issue":"6","source":"PubMed","abstract":"Genome-wide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tissues.","DOI":"10.1038/ng.2653","ISSN":"1546-1718","note":"PMID: 23715323\nPMCID: PMC4010069","journalAbbreviation":"Nat. Genet.","language":"eng","author":[{"family":"GTEx Consortium","given":""}],"issued":{"date-parts":[["2013",6]]},"PMID":"23715323","PMCID":"PMC4010069"}}],"schema":"https://github.com/citation-style-language/schema/raw/master/csl-citation.json"} </w:instrText>
      </w:r>
      <w:r w:rsidR="007233C9">
        <w:rPr>
          <w:rStyle w:val="Teletype"/>
          <w:rFonts w:ascii="Times New Roman" w:hAnsi="Times New Roman" w:cs="Times New Roman"/>
          <w:sz w:val="22"/>
          <w:szCs w:val="22"/>
          <w:lang w:val="en-US"/>
        </w:rPr>
        <w:fldChar w:fldCharType="separate"/>
      </w:r>
      <w:r w:rsidR="00A87E82" w:rsidRPr="00A87E82">
        <w:rPr>
          <w:rFonts w:ascii="Times New Roman" w:hAnsi="Times New Roman"/>
          <w:sz w:val="22"/>
          <w:lang w:val="en-US"/>
        </w:rPr>
        <w:t>[1]</w:t>
      </w:r>
      <w:r w:rsidR="007233C9">
        <w:rPr>
          <w:rStyle w:val="Teletype"/>
          <w:rFonts w:ascii="Times New Roman" w:hAnsi="Times New Roman" w:cs="Times New Roman"/>
          <w:sz w:val="22"/>
          <w:szCs w:val="22"/>
          <w:lang w:val="en-US"/>
        </w:rPr>
        <w:fldChar w:fldCharType="end"/>
      </w:r>
      <w:r w:rsidR="00F54AAE" w:rsidRPr="00CA70D0">
        <w:rPr>
          <w:rStyle w:val="Teletype"/>
          <w:rFonts w:ascii="Times New Roman" w:hAnsi="Times New Roman" w:cs="Times New Roman"/>
          <w:sz w:val="22"/>
          <w:szCs w:val="22"/>
          <w:lang w:val="en-US"/>
        </w:rPr>
        <w:t xml:space="preserve">. Blue </w:t>
      </w:r>
      <w:r w:rsidR="00564EA5" w:rsidRPr="00CA70D0">
        <w:rPr>
          <w:rStyle w:val="Teletype"/>
          <w:rFonts w:ascii="Times New Roman" w:hAnsi="Times New Roman" w:cs="Times New Roman"/>
          <w:sz w:val="22"/>
          <w:szCs w:val="22"/>
          <w:lang w:val="en-US"/>
        </w:rPr>
        <w:t>curve</w:t>
      </w:r>
      <w:r w:rsidR="00F54AAE" w:rsidRPr="00CA70D0">
        <w:rPr>
          <w:rStyle w:val="Teletype"/>
          <w:rFonts w:ascii="Times New Roman" w:hAnsi="Times New Roman" w:cs="Times New Roman"/>
          <w:sz w:val="22"/>
          <w:szCs w:val="22"/>
          <w:lang w:val="en-US"/>
        </w:rPr>
        <w:t xml:space="preserve">: assessment adapted for the </w:t>
      </w:r>
      <w:r w:rsidR="00CC1DC6" w:rsidRPr="00CA70D0">
        <w:rPr>
          <w:rStyle w:val="Teletype"/>
          <w:rFonts w:ascii="Times New Roman" w:hAnsi="Times New Roman" w:cs="Times New Roman"/>
          <w:sz w:val="22"/>
          <w:szCs w:val="22"/>
          <w:lang w:val="en-US"/>
        </w:rPr>
        <w:t>range</w:t>
      </w:r>
      <w:r w:rsidR="00F54AAE" w:rsidRPr="00CA70D0">
        <w:rPr>
          <w:rStyle w:val="Teletype"/>
          <w:rFonts w:ascii="Times New Roman" w:hAnsi="Times New Roman" w:cs="Times New Roman"/>
          <w:sz w:val="22"/>
          <w:szCs w:val="22"/>
          <w:lang w:val="en-US"/>
        </w:rPr>
        <w:t xml:space="preserve"> of expression levels from 1 to 10</w:t>
      </w:r>
      <w:r w:rsidR="00F54AAE" w:rsidRPr="00CA70D0">
        <w:rPr>
          <w:rStyle w:val="Teletype"/>
          <w:rFonts w:ascii="Times New Roman" w:hAnsi="Times New Roman" w:cs="Times New Roman"/>
          <w:sz w:val="22"/>
          <w:szCs w:val="22"/>
          <w:vertAlign w:val="superscript"/>
          <w:lang w:val="en-US"/>
        </w:rPr>
        <w:t>7</w:t>
      </w:r>
      <w:r w:rsidR="00B86DAA">
        <w:rPr>
          <w:rStyle w:val="Teletype"/>
          <w:rFonts w:ascii="Times New Roman" w:hAnsi="Times New Roman" w:cs="Times New Roman"/>
          <w:sz w:val="22"/>
          <w:szCs w:val="22"/>
          <w:lang w:val="en-US"/>
        </w:rPr>
        <w:t xml:space="preserve"> copies per cell</w:t>
      </w:r>
      <w:r w:rsidR="00B86DAA"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{"citationID":"s9wFU3oG","properties":{"formattedCitation":"{\\rtf [8\\uc0\\u8211{}10]}","plainCitation":"[8–10]"},"citationItems":[{"id":"I80eUAjo/lYzz3hJP","uris":["http://zotero.org/users/local/YlgL0u7w/items/8PXD7NI9"],"uri":["http://zotero.org/users/local/YlgL0u7w/items/8PXD7NI9"],"itemData":{"id":"I80eUAjo/lYzz3hJP","type":"article-journal","title":"Digital PCR dynamic range is approaching that of real-time quantitative PCR","container-title":"Biomolecular Detection and Quantification","page":"31-33","volume":"10","source":"CrossRef","DOI":"10.1016/j.bdq.2016.10.001","ISSN":"22147535","language":"en","author":[{"family":"Jones","given":"Gerwyn M."},{"family":"Busby","given":"Eloise"},{"family":"Garson","given":"Jeremy A."},{"family":"Grant","given":"Paul R."},{"family":"Nastouli","given":"Eleni"},{"family":"Devonshire","given":"Alison S."},{"family":"Whale","given":"Alexandra S."}],"issued":{"date-parts":[["2016",12]]},"accessed":{"date-parts":[["2017",5,18]]}}},{"id":"I80eUAjo/ZhCjzmXR","uris":["http://zotero.org/users/local/YlgL0u7w/items/CNUPUEW8"],"uri":["http://zotero.org/users/local/YlgL0u7w/items/CNUPUEW8"],"itemData":{"id":"I80eUAjo/ZhCjzmXR","type":"article-journal","title":"Quantification of low-copy transcripts by continuous SYBR Green I monitoring during amplification","container-title":"BioTechniques","page":"954-958, 960, 962","volume":"24","issue":"6","source":"PubMed","abstract":"Continuous fluorescence observation of amplifying DNA allows rapid and accurate quantification of initial transcript copy number. A simple and generic method for monitoring product synthesis with the double-stranded DNA dye, SYBR Green I provides initial template copy number estimation limited only by stochastic effects. To reach this degree of sensitivity, two methods were used. First, specific products generally have a higher melting temperature than nonspecific products, and therefore, specific product formation was monitored by fluorescence acquisition at temperatures at which only specific products are double-stranded. Second, anti-Taq antibodies were used to reduce nonspecific product generation. The log-linear portion of the fluorescence vs. cycle plot was extended to determine a fractional cycle number at which a threshold fluorescence was obtained. These fractional cycle numbers were plotted against the log of starting template copies to give linear standard curves from purified PCR products, allowing easy estimation of cDNA unknowns over a 10(6)-fold range. A single template molecule per reaction could be distinguished from the absence of template, although stochastic effects increased the variance of concentration estimates below 10 copies. Above 10 copies per reaction, typical replicate coefficients of variation were 6%-37%, with better precision at higher copy numbers.","ISSN":"0736-6205","note":"PMID: 9631186","journalAbbreviation":"BioTechniques","language":"eng","author":[{"family":"Morrison","given":"T. B."},{"family":"Weis","given":"J. J."},{"family":"Wittwer","given":"C. T."}],"issued":{"date-parts":[["1998",6]]},"PMID":"9631186"}},{"id":431,"uris":["http://zotero.org/users/local/YlgL0u7w/items/GZTF8Q6Z"],"uri":["http://zotero.org/users/local/YlgL0u7w/items/GZTF8Q6Z"],"itemData":{"id":431,"type":"article-journal","title":"Real-time PCR for mRNA quantitation","container-title":"BioTechniques","page":"75-85","volume":"39","issue":"1","source":"PubMed","abstract":"Real-time PCR has become one of the most widely used methods of gene quantitation because it has a large dynamic range, boasts tremendous sensitivity, can be highly sequence-specific, has little to no post-amplification processing, and is amenable to increasing sample throughput. However, optimal benefit from these advantages requires a clear understanding of the many options available for running a real-time PCR experiment. Starting with the theory behind real-time PCR, this review discusses the key components of a real-time PCR experiment, including one-step or two-step PCR, absolute versus relative quantitation, mathematical models available for relative quantitation and amplification efficiency calculations, types of normalization or data correction, and detection chemistries. In addition, the many causes of variation as well as methods to calculate intra- and inter-assay variation are addressed.","ISSN":"0736-6205","note":"PMID: 16060372","journalAbbreviation":"BioTechniques","language":"eng","author":[{"family":"Wong","given":"Marisa L."},{"family":"Medrano","given":"Juan F."}],"issued":{"date-parts":[["2005",7]]},"PMID":"16060372"}}],"schema":"https://github.com/citation-style-language/schema/raw/master/csl-citation.json"} </w:instrText>
      </w:r>
      <w:r w:rsidR="00F54AAE" w:rsidRPr="00CA70D0">
        <w:rPr>
          <w:rStyle w:val="Teletype"/>
          <w:rFonts w:ascii="Times New Roman" w:hAnsi="Times New Roman" w:cs="Times New Roman"/>
          <w:sz w:val="22"/>
          <w:szCs w:val="22"/>
          <w:lang w:val="en-US"/>
        </w:rPr>
        <w:fldChar w:fldCharType="separate"/>
      </w:r>
      <w:r w:rsidR="00A87E82" w:rsidRPr="00A87E82">
        <w:rPr>
          <w:rFonts w:ascii="Times New Roman" w:hAnsi="Times New Roman"/>
          <w:sz w:val="22"/>
          <w:lang w:val="en-US"/>
        </w:rPr>
        <w:t>[8–10]</w:t>
      </w:r>
      <w:r w:rsidR="00F54AAE" w:rsidRPr="00CA70D0">
        <w:rPr>
          <w:rStyle w:val="Teletype"/>
          <w:rFonts w:ascii="Times New Roman" w:hAnsi="Times New Roman" w:cs="Times New Roman"/>
          <w:sz w:val="22"/>
          <w:szCs w:val="22"/>
          <w:lang w:val="en-US"/>
        </w:rPr>
        <w:fldChar w:fldCharType="end"/>
      </w:r>
      <w:r w:rsidR="0085654E">
        <w:rPr>
          <w:rStyle w:val="Teletype"/>
          <w:rFonts w:ascii="Times New Roman" w:hAnsi="Times New Roman" w:cs="Times New Roman"/>
          <w:sz w:val="22"/>
          <w:szCs w:val="22"/>
          <w:lang w:val="en-US"/>
        </w:rPr>
        <w:t>.</w:t>
      </w:r>
      <w:r w:rsidR="005C18A8"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t xml:space="preserve"> Green dots: values </w:t>
      </w:r>
      <w:r w:rsidR="006F42D7" w:rsidRPr="00CA70D0">
        <w:rPr>
          <w:rStyle w:val="Teletype"/>
          <w:rFonts w:ascii="Times New Roman" w:hAnsi="Times New Roman" w:cs="Times New Roman"/>
          <w:sz w:val="22"/>
          <w:szCs w:val="22"/>
          <w:lang w:val="en-US"/>
        </w:rPr>
        <w:t xml:space="preserve">adjusted by the factor of length </w:t>
      </w:r>
      <w:r w:rsidR="00F54AAE" w:rsidRPr="00CA70D0">
        <w:rPr>
          <w:rStyle w:val="Teletype"/>
          <w:rFonts w:ascii="Times New Roman" w:hAnsi="Times New Roman" w:cs="Times New Roman"/>
          <w:sz w:val="22"/>
          <w:szCs w:val="22"/>
          <w:lang w:val="en-US"/>
        </w:rPr>
        <w:t xml:space="preserve"> </w:t>
      </w:r>
      <w:r w:rsidR="002F119F" w:rsidRPr="00CA70D0">
        <w:rPr>
          <w:rStyle w:val="Teletype"/>
          <w:rFonts w:ascii="Times New Roman" w:hAnsi="Times New Roman" w:cs="Times New Roman"/>
          <w:sz w:val="22"/>
          <w:szCs w:val="22"/>
          <w:lang w:val="en-US"/>
        </w:rPr>
        <w:t>for</w:t>
      </w:r>
      <w:r w:rsidR="00F54AAE" w:rsidRPr="00CA70D0">
        <w:rPr>
          <w:rStyle w:val="Teletype"/>
          <w:rFonts w:ascii="Times New Roman" w:hAnsi="Times New Roman" w:cs="Times New Roman"/>
          <w:sz w:val="22"/>
          <w:szCs w:val="22"/>
          <w:lang w:val="en-US"/>
        </w:rPr>
        <w:t xml:space="preserve"> each mRNA molecule according to the GRCh38 </w:t>
      </w:r>
      <w:r w:rsidR="007C4F2C" w:rsidRPr="00CA70D0">
        <w:rPr>
          <w:rStyle w:val="Teletype"/>
          <w:rFonts w:ascii="Times New Roman" w:hAnsi="Times New Roman" w:cs="Times New Roman"/>
          <w:sz w:val="22"/>
          <w:szCs w:val="22"/>
          <w:lang w:val="en-US"/>
        </w:rPr>
        <w:t xml:space="preserve">human gene </w:t>
      </w:r>
      <w:r w:rsidR="00F54AAE" w:rsidRPr="00CA70D0">
        <w:rPr>
          <w:rStyle w:val="Teletype"/>
          <w:rFonts w:ascii="Times New Roman" w:hAnsi="Times New Roman" w:cs="Times New Roman"/>
          <w:sz w:val="22"/>
          <w:szCs w:val="22"/>
          <w:lang w:val="en-US"/>
        </w:rPr>
        <w:t xml:space="preserve">reference data </w:t>
      </w:r>
      <w:r w:rsidR="00F54AAE" w:rsidRPr="00CA70D0">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ZXFouLDr","properties":{"formattedCitation":"[13]","plainCitation":"[13]"},"citationItems":[{"id":435,"uris":["http://zotero.org/users/local/YlgL0u7w/items/2C64RDXI"],"uri":["http://zotero.org/users/local/YlgL0u7w/items/2C64RDXI"],"itemData":{"id":435,"type":"article-journal","title":"Evaluation of GRCh38 and de novo haploid genome assemblies demonstrates the enduring quality of the reference assembly","container-title":"Genome Research","page":"849-864","volume":"27","issue":"5","source":"PubMed","abstract":"The human reference genome assembly plays a central role in nearly all aspects of today's basic and clinical research. GRCh38 is the first coordinate-changing assembly update since 2009; it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although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health.","DOI":"10.1101/gr.213611.116","ISSN":"1549-5469","note":"PMID: 28396521\nPMCID: PMC5411779","journalAbbreviation":"Genome Res.","language":"eng","author":[{"family":"Schneider","given":"Valerie A."},{"family":"Graves-Lindsay","given":"Tina"},{"family":"Howe","given":"Kerstin"},{"family":"Bouk","given":"Nathan"},{"family":"Chen","given":"Hsiu-Chuan"},{"family":"Kitts","given":"Paul A."},{"family":"Murphy","given":"Terence D."},{"family":"Pruitt","given":"Kim D."},{"family":"Thibaud-Nissen","given":"Françoise"},{"family":"Albracht","given":"Derek"},{"family":"Fulton","given":"Robert S."},{"family":"Kremitzki","given":"Milinn"},{"family":"Magrini","given":"Vincent"},{"family":"Markovic","given":"Chris"},{"family":"McGrath","given":"Sean"},{"family":"Steinberg","given":"Karyn Meltz"},{"family":"Auger","given":"Kate"},{"family":"Chow","given":"William"},{"family":"Collins","given":"Joanna"},{"family":"Harden","given":"Glenn"},{"family":"Hubbard","given":"Timothy"},{"family":"Pelan","given":"Sarah"},{"family":"Simpson","given":"Jared T."},{"family":"Threadgold","given":"Glen"},{"family":"Torrance","given":"James"},{"family":"Wood","given":"Jonathan M."},{"family":"Clarke","given":"Laura"},{"family":"Koren","given":"Sergey"},{"family":"Boitano","given":"Matthew"},{"family":"Peluso","given":"Paul"},{"family":"Li","given":"Heng"},{"family":"Chin","given":"Chen-Shan"},{"family":"Phillippy","given":"Adam M."},{"family":"Durbin","given":"Richard"},{"family":"Wilson","given":"Richard K."},{"family":"Flicek","given":"Paul"},{"family":"Eichler","given":"Evan E."},{"family":"Church","given":"Deanna M."}],"issued":{"date-parts":[["2017",5]]},"PMID":"28396521","PMCID":"PMC5411779"}}],"schema":"https://github.com/citation-style-language/schema/raw/master/csl-citation.json"} </w:instrText>
      </w:r>
      <w:r w:rsidR="00F54AAE" w:rsidRPr="00CA70D0">
        <w:rPr>
          <w:rStyle w:val="Teletype"/>
          <w:rFonts w:ascii="Times New Roman" w:hAnsi="Times New Roman" w:cs="Times New Roman"/>
          <w:sz w:val="22"/>
          <w:szCs w:val="22"/>
          <w:lang w:val="en-US"/>
        </w:rPr>
        <w:fldChar w:fldCharType="separate"/>
      </w:r>
      <w:r w:rsidR="00A87E82" w:rsidRPr="00662FBB">
        <w:rPr>
          <w:rFonts w:ascii="Times New Roman" w:hAnsi="Times New Roman"/>
          <w:sz w:val="22"/>
          <w:lang w:val="en-US"/>
        </w:rPr>
        <w:t>[13]</w:t>
      </w:r>
      <w:r w:rsidR="00F54AAE" w:rsidRPr="00CA70D0">
        <w:rPr>
          <w:rStyle w:val="Teletype"/>
          <w:rFonts w:ascii="Times New Roman" w:hAnsi="Times New Roman" w:cs="Times New Roman"/>
          <w:sz w:val="22"/>
          <w:szCs w:val="22"/>
          <w:lang w:val="en-US"/>
        </w:rPr>
        <w:fldChar w:fldCharType="end"/>
      </w:r>
      <w:r w:rsidR="00F54AAE" w:rsidRPr="00CA70D0">
        <w:rPr>
          <w:rStyle w:val="Teletype"/>
          <w:rFonts w:ascii="Times New Roman" w:hAnsi="Times New Roman" w:cs="Times New Roman"/>
          <w:sz w:val="22"/>
          <w:szCs w:val="22"/>
          <w:lang w:val="en-US"/>
        </w:rPr>
        <w:t xml:space="preserve">. Red dots: 95% quantile for the </w:t>
      </w:r>
      <w:r w:rsidR="00E75E46" w:rsidRPr="00CA70D0">
        <w:rPr>
          <w:rStyle w:val="Teletype"/>
          <w:rFonts w:ascii="Times New Roman" w:hAnsi="Times New Roman" w:cs="Times New Roman"/>
          <w:sz w:val="22"/>
          <w:szCs w:val="22"/>
          <w:lang w:val="en-US"/>
        </w:rPr>
        <w:t>values defined above as green dots</w:t>
      </w:r>
      <w:r w:rsidR="00F54AAE" w:rsidRPr="00CA70D0">
        <w:rPr>
          <w:rStyle w:val="Teletype"/>
          <w:rFonts w:ascii="Times New Roman" w:hAnsi="Times New Roman" w:cs="Times New Roman"/>
          <w:sz w:val="22"/>
          <w:szCs w:val="22"/>
          <w:lang w:val="en-US"/>
        </w:rPr>
        <w:t xml:space="preserve">. </w:t>
      </w:r>
    </w:p>
    <w:p w:rsidR="00F54AAE" w:rsidRPr="00CA70D0" w:rsidRDefault="00336511" w:rsidP="00F54AAE">
      <w:pPr>
        <w:spacing w:after="200"/>
        <w:rPr>
          <w:rStyle w:val="Teletype"/>
          <w:rFonts w:ascii="Times New Roman" w:hAnsi="Times New Roman" w:cs="Times New Roman"/>
          <w:sz w:val="22"/>
          <w:szCs w:val="22"/>
          <w:lang w:val="en-US"/>
        </w:rPr>
      </w:pPr>
      <w:r w:rsidRPr="00CA70D0">
        <w:rPr>
          <w:rStyle w:val="Teletype"/>
          <w:rFonts w:ascii="Times New Roman" w:hAnsi="Times New Roman" w:cs="Times New Roman"/>
          <w:sz w:val="22"/>
          <w:szCs w:val="22"/>
          <w:lang w:val="en-US"/>
        </w:rPr>
        <w:t>P</w:t>
      </w:r>
      <w:r w:rsidR="00F54AAE" w:rsidRPr="00CA70D0">
        <w:rPr>
          <w:rStyle w:val="Teletype"/>
          <w:rFonts w:ascii="Times New Roman" w:hAnsi="Times New Roman" w:cs="Times New Roman"/>
          <w:sz w:val="22"/>
          <w:szCs w:val="22"/>
          <w:lang w:val="en-US"/>
        </w:rPr>
        <w:t>anel</w:t>
      </w:r>
      <w:r w:rsidRPr="00CA70D0">
        <w:rPr>
          <w:rStyle w:val="Teletype"/>
          <w:rFonts w:ascii="Times New Roman" w:hAnsi="Times New Roman" w:cs="Times New Roman"/>
          <w:sz w:val="22"/>
          <w:szCs w:val="22"/>
          <w:lang w:val="en-US"/>
        </w:rPr>
        <w:t xml:space="preserve"> </w:t>
      </w:r>
      <w:r w:rsidR="009176CE" w:rsidRPr="00CA70D0">
        <w:rPr>
          <w:rStyle w:val="Teletype"/>
          <w:rFonts w:ascii="Times New Roman" w:hAnsi="Times New Roman" w:cs="Times New Roman"/>
          <w:b/>
          <w:sz w:val="22"/>
          <w:szCs w:val="22"/>
          <w:lang w:val="en-US"/>
        </w:rPr>
        <w:t>b</w:t>
      </w:r>
      <w:r w:rsidR="00F54AAE" w:rsidRPr="00CA70D0">
        <w:rPr>
          <w:rStyle w:val="Teletype"/>
          <w:rFonts w:ascii="Times New Roman" w:hAnsi="Times New Roman" w:cs="Times New Roman"/>
          <w:sz w:val="22"/>
          <w:szCs w:val="22"/>
          <w:lang w:val="en-US"/>
        </w:rPr>
        <w:t xml:space="preserve">: probability density function (magenta </w:t>
      </w:r>
      <w:r w:rsidR="00891058" w:rsidRPr="00CA70D0">
        <w:rPr>
          <w:rStyle w:val="Teletype"/>
          <w:rFonts w:ascii="Times New Roman" w:hAnsi="Times New Roman" w:cs="Times New Roman"/>
          <w:sz w:val="22"/>
          <w:szCs w:val="22"/>
          <w:lang w:val="en-US"/>
        </w:rPr>
        <w:t>curve</w:t>
      </w:r>
      <w:r w:rsidR="00F54AAE" w:rsidRPr="00CA70D0">
        <w:rPr>
          <w:rStyle w:val="Teletype"/>
          <w:rFonts w:ascii="Times New Roman" w:hAnsi="Times New Roman" w:cs="Times New Roman"/>
          <w:sz w:val="22"/>
          <w:szCs w:val="22"/>
          <w:lang w:val="en-US"/>
        </w:rPr>
        <w:t>) and complementary cumulative distribution function (survival function</w:t>
      </w:r>
      <w:r w:rsidR="000476BF" w:rsidRPr="00CA70D0">
        <w:rPr>
          <w:rStyle w:val="Teletype"/>
          <w:rFonts w:ascii="Times New Roman" w:hAnsi="Times New Roman" w:cs="Times New Roman"/>
          <w:sz w:val="22"/>
          <w:szCs w:val="22"/>
          <w:lang w:val="en-US"/>
        </w:rPr>
        <w:t xml:space="preserve"> 1-</w:t>
      </w:r>
      <w:r w:rsidR="000476BF" w:rsidRPr="00CA70D0">
        <w:rPr>
          <w:rStyle w:val="Teletype"/>
          <w:rFonts w:ascii="Times New Roman" w:hAnsi="Times New Roman" w:cs="Times New Roman"/>
          <w:i/>
          <w:sz w:val="22"/>
          <w:szCs w:val="22"/>
          <w:lang w:val="en-US"/>
        </w:rPr>
        <w:t>F</w:t>
      </w:r>
      <w:r w:rsidR="00891058" w:rsidRPr="00CA70D0">
        <w:rPr>
          <w:rStyle w:val="Teletype"/>
          <w:rFonts w:ascii="Times New Roman" w:hAnsi="Times New Roman" w:cs="Times New Roman"/>
          <w:sz w:val="22"/>
          <w:szCs w:val="22"/>
          <w:lang w:val="en-US"/>
        </w:rPr>
        <w:t>; black curve</w:t>
      </w:r>
      <w:r w:rsidR="00F54AAE" w:rsidRPr="00CA70D0">
        <w:rPr>
          <w:rStyle w:val="Teletype"/>
          <w:rFonts w:ascii="Times New Roman" w:hAnsi="Times New Roman" w:cs="Times New Roman"/>
          <w:sz w:val="22"/>
          <w:szCs w:val="22"/>
          <w:lang w:val="en-US"/>
        </w:rPr>
        <w:t>)</w:t>
      </w:r>
      <w:r w:rsidR="000476BF"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t xml:space="preserve">for the </w:t>
      </w:r>
      <w:r w:rsidR="00141C8E" w:rsidRPr="00CA70D0">
        <w:rPr>
          <w:rStyle w:val="Teletype"/>
          <w:rFonts w:ascii="Times New Roman" w:hAnsi="Times New Roman" w:cs="Times New Roman"/>
          <w:sz w:val="22"/>
          <w:szCs w:val="22"/>
          <w:lang w:val="en-US"/>
        </w:rPr>
        <w:t xml:space="preserve">relative </w:t>
      </w:r>
      <w:r w:rsidR="00F54AAE" w:rsidRPr="00CA70D0">
        <w:rPr>
          <w:rStyle w:val="Teletype"/>
          <w:rFonts w:ascii="Times New Roman" w:hAnsi="Times New Roman" w:cs="Times New Roman"/>
          <w:sz w:val="22"/>
          <w:szCs w:val="22"/>
          <w:lang w:val="en-US"/>
        </w:rPr>
        <w:t xml:space="preserve">distribution of </w:t>
      </w:r>
      <w:r w:rsidR="00141C8E" w:rsidRPr="00CA70D0">
        <w:rPr>
          <w:rStyle w:val="Teletype"/>
          <w:rFonts w:ascii="Times New Roman" w:hAnsi="Times New Roman" w:cs="Times New Roman"/>
          <w:sz w:val="22"/>
          <w:szCs w:val="22"/>
          <w:lang w:val="en-US"/>
        </w:rPr>
        <w:t>mRNA copy numbers</w:t>
      </w:r>
      <w:r w:rsidR="00F54AAE" w:rsidRPr="00CA70D0">
        <w:rPr>
          <w:rStyle w:val="Teletype"/>
          <w:rFonts w:ascii="Times New Roman" w:hAnsi="Times New Roman" w:cs="Times New Roman"/>
          <w:sz w:val="22"/>
          <w:szCs w:val="22"/>
          <w:lang w:val="en-US"/>
        </w:rPr>
        <w:t>. The value of (1-</w:t>
      </w:r>
      <w:r w:rsidR="00F54AAE" w:rsidRPr="00CA70D0">
        <w:rPr>
          <w:rStyle w:val="Teletype"/>
          <w:rFonts w:ascii="Times New Roman" w:hAnsi="Times New Roman" w:cs="Times New Roman"/>
          <w:i/>
          <w:sz w:val="22"/>
          <w:szCs w:val="22"/>
          <w:lang w:val="en-US"/>
        </w:rPr>
        <w:t>F</w:t>
      </w:r>
      <w:r w:rsidR="00F54AAE" w:rsidRPr="00CA70D0">
        <w:rPr>
          <w:rStyle w:val="Teletype"/>
          <w:rFonts w:ascii="Times New Roman" w:hAnsi="Times New Roman" w:cs="Times New Roman"/>
          <w:sz w:val="22"/>
          <w:szCs w:val="22"/>
          <w:lang w:val="en-US"/>
        </w:rPr>
        <w:t xml:space="preserve">) equals to </w:t>
      </w:r>
      <w:r w:rsidR="004369D8" w:rsidRPr="00CA70D0">
        <w:rPr>
          <w:rStyle w:val="Teletype"/>
          <w:rFonts w:ascii="Times New Roman" w:hAnsi="Times New Roman" w:cs="Times New Roman"/>
          <w:sz w:val="22"/>
          <w:szCs w:val="22"/>
          <w:lang w:val="en-US"/>
        </w:rPr>
        <w:t xml:space="preserve">fraction </w:t>
      </w:r>
      <w:r w:rsidR="00F54AAE" w:rsidRPr="00CA70D0">
        <w:rPr>
          <w:rStyle w:val="Teletype"/>
          <w:rFonts w:ascii="Times New Roman" w:hAnsi="Times New Roman" w:cs="Times New Roman"/>
          <w:sz w:val="22"/>
          <w:szCs w:val="22"/>
          <w:lang w:val="en-US"/>
        </w:rPr>
        <w:t xml:space="preserve">of </w:t>
      </w:r>
      <w:r w:rsidR="003D5959" w:rsidRPr="00CA70D0">
        <w:rPr>
          <w:rStyle w:val="Teletype"/>
          <w:rFonts w:ascii="Times New Roman" w:hAnsi="Times New Roman" w:cs="Times New Roman"/>
          <w:sz w:val="22"/>
          <w:szCs w:val="22"/>
          <w:lang w:val="en-US"/>
        </w:rPr>
        <w:t>mRNA types</w:t>
      </w:r>
      <w:r w:rsidR="00F54AAE" w:rsidRPr="00CA70D0">
        <w:rPr>
          <w:rStyle w:val="Teletype"/>
          <w:rFonts w:ascii="Times New Roman" w:hAnsi="Times New Roman" w:cs="Times New Roman"/>
          <w:sz w:val="22"/>
          <w:szCs w:val="22"/>
          <w:lang w:val="en-US"/>
        </w:rPr>
        <w:t xml:space="preserve"> with sufficient high </w:t>
      </w:r>
      <w:r w:rsidR="003D5959" w:rsidRPr="00CA70D0">
        <w:rPr>
          <w:rStyle w:val="Teletype"/>
          <w:rFonts w:ascii="Times New Roman" w:hAnsi="Times New Roman" w:cs="Times New Roman"/>
          <w:sz w:val="22"/>
          <w:szCs w:val="22"/>
          <w:lang w:val="en-US"/>
        </w:rPr>
        <w:t xml:space="preserve">copy </w:t>
      </w:r>
      <w:r w:rsidR="00F54AAE" w:rsidRPr="00CA70D0">
        <w:rPr>
          <w:rStyle w:val="Teletype"/>
          <w:rFonts w:ascii="Times New Roman" w:hAnsi="Times New Roman" w:cs="Times New Roman"/>
          <w:sz w:val="22"/>
          <w:szCs w:val="22"/>
          <w:lang w:val="en-US"/>
        </w:rPr>
        <w:t>numbers to survive filtering.</w:t>
      </w:r>
    </w:p>
    <w:p w:rsidR="002C3E48" w:rsidRPr="00CA70D0" w:rsidRDefault="001A1DD4" w:rsidP="00D009B4">
      <w:pPr>
        <w:spacing w:after="200"/>
        <w:rPr>
          <w:rStyle w:val="Teletype"/>
          <w:rFonts w:ascii="Times New Roman" w:hAnsi="Times New Roman" w:cs="Times New Roman"/>
          <w:b/>
          <w:i/>
          <w:sz w:val="22"/>
          <w:szCs w:val="22"/>
          <w:lang w:val="en-US"/>
        </w:rPr>
      </w:pPr>
      <w:r w:rsidRPr="00CA70D0">
        <w:rPr>
          <w:rStyle w:val="Teletype"/>
          <w:rFonts w:ascii="Times New Roman" w:hAnsi="Times New Roman" w:cs="Times New Roman"/>
          <w:sz w:val="22"/>
          <w:szCs w:val="22"/>
          <w:lang w:val="en-US"/>
        </w:rPr>
        <w:t>P</w:t>
      </w:r>
      <w:r w:rsidR="00F54AAE" w:rsidRPr="00CA70D0">
        <w:rPr>
          <w:rStyle w:val="Teletype"/>
          <w:rFonts w:ascii="Times New Roman" w:hAnsi="Times New Roman" w:cs="Times New Roman"/>
          <w:sz w:val="22"/>
          <w:szCs w:val="22"/>
          <w:lang w:val="en-US"/>
        </w:rPr>
        <w:t>anel</w:t>
      </w:r>
      <w:r w:rsidRPr="00CA70D0">
        <w:rPr>
          <w:rStyle w:val="Teletype"/>
          <w:rFonts w:ascii="Times New Roman" w:hAnsi="Times New Roman" w:cs="Times New Roman"/>
          <w:sz w:val="22"/>
          <w:szCs w:val="22"/>
          <w:lang w:val="en-US"/>
        </w:rPr>
        <w:t xml:space="preserve"> </w:t>
      </w:r>
      <w:r w:rsidR="009176CE" w:rsidRPr="00CA70D0">
        <w:rPr>
          <w:rStyle w:val="Teletype"/>
          <w:rFonts w:ascii="Times New Roman" w:hAnsi="Times New Roman" w:cs="Times New Roman"/>
          <w:b/>
          <w:sz w:val="22"/>
          <w:szCs w:val="22"/>
          <w:lang w:val="en-US"/>
        </w:rPr>
        <w:t>c</w:t>
      </w:r>
      <w:r w:rsidR="00F54AAE" w:rsidRPr="00CA70D0">
        <w:rPr>
          <w:rStyle w:val="Teletype"/>
          <w:rFonts w:ascii="Times New Roman" w:hAnsi="Times New Roman" w:cs="Times New Roman"/>
          <w:sz w:val="22"/>
          <w:szCs w:val="22"/>
          <w:lang w:val="en-US"/>
        </w:rPr>
        <w:t xml:space="preserve">: </w:t>
      </w:r>
      <w:r w:rsidR="006E44B9" w:rsidRPr="00CA70D0">
        <w:rPr>
          <w:rStyle w:val="Teletype"/>
          <w:rFonts w:ascii="Times New Roman" w:hAnsi="Times New Roman" w:cs="Times New Roman"/>
          <w:sz w:val="22"/>
          <w:szCs w:val="22"/>
          <w:lang w:val="en-US"/>
        </w:rPr>
        <w:t>1-</w:t>
      </w:r>
      <w:r w:rsidR="006E44B9" w:rsidRPr="00CA70D0">
        <w:rPr>
          <w:rStyle w:val="Teletype"/>
          <w:rFonts w:ascii="Times New Roman" w:hAnsi="Times New Roman" w:cs="Times New Roman"/>
          <w:i/>
          <w:sz w:val="22"/>
          <w:szCs w:val="22"/>
          <w:lang w:val="en-US"/>
        </w:rPr>
        <w:t>F</w:t>
      </w:r>
      <w:r w:rsidR="006E44B9"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t xml:space="preserve">fraction of </w:t>
      </w:r>
      <w:r w:rsidR="00844BF9" w:rsidRPr="00CA70D0">
        <w:rPr>
          <w:rStyle w:val="Teletype"/>
          <w:rFonts w:ascii="Times New Roman" w:hAnsi="Times New Roman" w:cs="Times New Roman"/>
          <w:sz w:val="22"/>
          <w:szCs w:val="22"/>
          <w:lang w:val="en-US"/>
        </w:rPr>
        <w:t>mRNA types</w:t>
      </w:r>
      <w:r w:rsidR="00F54AAE" w:rsidRPr="00CA70D0">
        <w:rPr>
          <w:rStyle w:val="Teletype"/>
          <w:rFonts w:ascii="Times New Roman" w:hAnsi="Times New Roman" w:cs="Times New Roman"/>
          <w:sz w:val="22"/>
          <w:szCs w:val="22"/>
          <w:lang w:val="en-US"/>
        </w:rPr>
        <w:t xml:space="preserve"> </w:t>
      </w:r>
      <w:r w:rsidR="006E44B9" w:rsidRPr="00CA70D0">
        <w:rPr>
          <w:rStyle w:val="Teletype"/>
          <w:rFonts w:ascii="Times New Roman" w:hAnsi="Times New Roman" w:cs="Times New Roman"/>
          <w:sz w:val="22"/>
          <w:szCs w:val="22"/>
          <w:lang w:val="en-US"/>
        </w:rPr>
        <w:t>having</w:t>
      </w:r>
      <w:r w:rsidR="00F54AAE" w:rsidRPr="00CA70D0">
        <w:rPr>
          <w:rStyle w:val="Teletype"/>
          <w:rFonts w:ascii="Times New Roman" w:hAnsi="Times New Roman" w:cs="Times New Roman"/>
          <w:sz w:val="22"/>
          <w:szCs w:val="22"/>
          <w:lang w:val="en-US"/>
        </w:rPr>
        <w:t xml:space="preserve"> sufficient numbers of reads to survive filter</w:t>
      </w:r>
      <w:r w:rsidR="00CD3C5E" w:rsidRPr="00CA70D0">
        <w:rPr>
          <w:rStyle w:val="Teletype"/>
          <w:rFonts w:ascii="Times New Roman" w:hAnsi="Times New Roman" w:cs="Times New Roman"/>
          <w:sz w:val="22"/>
          <w:szCs w:val="22"/>
          <w:lang w:val="en-US"/>
        </w:rPr>
        <w:t>ing</w:t>
      </w:r>
      <w:r w:rsidR="00F54AAE" w:rsidRPr="00CA70D0">
        <w:rPr>
          <w:rStyle w:val="Teletype"/>
          <w:rFonts w:ascii="Times New Roman" w:hAnsi="Times New Roman" w:cs="Times New Roman"/>
          <w:sz w:val="22"/>
          <w:szCs w:val="22"/>
          <w:lang w:val="en-US"/>
        </w:rPr>
        <w:t xml:space="preserve">, as a function of </w:t>
      </w:r>
      <w:r w:rsidR="008C4255" w:rsidRPr="00CA70D0">
        <w:rPr>
          <w:rStyle w:val="Teletype"/>
          <w:rFonts w:ascii="Times New Roman" w:hAnsi="Times New Roman" w:cs="Times New Roman"/>
          <w:sz w:val="22"/>
          <w:szCs w:val="22"/>
          <w:lang w:val="en-US"/>
        </w:rPr>
        <w:t>s</w:t>
      </w:r>
      <w:r w:rsidR="00F54AAE" w:rsidRPr="00CA70D0">
        <w:rPr>
          <w:rStyle w:val="Teletype"/>
          <w:rFonts w:ascii="Times New Roman" w:hAnsi="Times New Roman" w:cs="Times New Roman"/>
          <w:sz w:val="22"/>
          <w:szCs w:val="22"/>
          <w:lang w:val="en-US"/>
        </w:rPr>
        <w:t xml:space="preserve">equencing depth, </w:t>
      </w:r>
      <w:r w:rsidR="00F54AAE" w:rsidRPr="00CA70D0">
        <w:rPr>
          <w:rStyle w:val="Teletype"/>
          <w:rFonts w:ascii="Times New Roman" w:hAnsi="Times New Roman" w:cs="Times New Roman"/>
          <w:i/>
          <w:sz w:val="22"/>
          <w:szCs w:val="22"/>
          <w:lang w:val="en-US"/>
        </w:rPr>
        <w:t>K</w:t>
      </w:r>
      <w:r w:rsidR="00F54AAE" w:rsidRPr="00CA70D0">
        <w:rPr>
          <w:rStyle w:val="Teletype"/>
          <w:rFonts w:ascii="Times New Roman" w:hAnsi="Times New Roman" w:cs="Times New Roman"/>
          <w:sz w:val="22"/>
          <w:szCs w:val="22"/>
          <w:lang w:val="en-US"/>
        </w:rPr>
        <w:t>. Magenta dots: distribution of gene expression levels</w:t>
      </w:r>
      <w:r w:rsidR="006D74E3"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t xml:space="preserve">from SEQC project </w:t>
      </w:r>
      <w:r w:rsidR="00C07ED8">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at4m1boeu5","properties":{"formattedCitation":"[11]","plainCitation":"[11]"},"citationItems":[{"id":"I80eUAjo/RhZ2E67T","uris":["http://zotero.org/users/local/hqHkalb6/items/S74EWAJK"],"uri":["http://zotero.org/users/local/hqHkalb6/items/S74EWAJK"],"itemData":{"id":"I80eUAjo/RhZ2E67T","type":"article-journal","title":"Comprehensive Assessments of RNA-seq by the SEQC Consortium: FDA-Led Efforts Advance Precision Medicine","container-title":"Pharmaceutics","volume":"8","issue":"1","source":"PubMed","abstract":"Studies on gene expression in response to therapy have led to the discovery of pharmacogenomics biomarkers and advances in precision medicine. Whole transcriptome sequencing (RNA-seq) is an emerging tool for profiling gene expression and has received wide adoption in the biomedical research community. However, its value in regulatory decision making requires rigorous assessment and consensus between various stakeholders, including the research community, regulatory agencies, and industry. The FDA-led SEquencing Quality Control (SEQC) consortium has made considerable progress in this direction, and is the subject of this review. Specifically, three RNA-seq platforms (Illumina HiSeq, Life Technologies SOLiD, and Roche 454) were extensively evaluated at multiple sites to assess cross-site and cross-platform reproducibility. The results demonstrated that relative gene expression measurements were consistently comparable across labs and platforms, but not so for the measurement of absolute expression levels. As part of the quality evaluation several studies were included to evaluate the utility of RNA-seq in clinical settings and safety assessment. The neuroblastoma study profiled tumor samples from 498 pediatric neuroblastoma patients by both microarray and RNA-seq. RNA-seq offers more utilities than microarray in determining the transcriptomic characteristics of cancer. However, RNA-seq and microarray-based models were comparable in clinical endpoint prediction, even when including additional features unique to RNA-seq beyond gene expression. The toxicogenomics study compared microarray and RNA-seq profiles of the liver samples from rats exposed to 27 different chemicals representing multiple toxicity modes of action. Cross-platform concordance was dependent on chemical treatment and transcript abundance. Though both RNA-seq and microarray are suitable for developing gene expression based predictive models with comparable prediction performance, RNA-seq offers advantages over microarray in profiling genes with low expression. The rat BodyMap study provided a comprehensive rat transcriptomic body map by performing RNA-Seq on 320 samples from 11 organs in either sex of juvenile, adolescent, adult and aged Fischer 344 rats. Lastly, the transferability study demonstrated that signature genes of predictive models are reciprocally transferable between microarray and RNA-seq data for model development using a comprehensive approach with two large clinical data sets. This result suggests continued usefulness of legacy microarray data in the coming RNA-seq era. In conclusion, the SEQC project enhances our understanding of RNA-seq and provides valuable guidelines for RNA-seq based clinical application and safety evaluation to advance precision medicine.","DOI":"10.3390/pharmaceutics8010008","ISSN":"1999-4923","note":"PMID: 26999190\nPMCID: PMC4810084","shortTitle":"Comprehensive Assessments of RNA-seq by the SEQC Consortium","journalAbbreviation":"Pharmaceutics","language":"eng","author":[{"family":"Xu","given":"Joshua"},{"family":"Gong","given":"Binsheng"},{"family":"Wu","given":"Leihong"},{"family":"Thakkar","given":"Shraddha"},{"family":"Hong","given":"Huixiao"},{"family":"Tong","given":"Weida"}],"issued":{"date-parts":[["2016",3,15]]}}}],"schema":"https://github.com/citation-style-language/schema/raw/master/csl-citation.json"} </w:instrText>
      </w:r>
      <w:r w:rsidR="00C07ED8">
        <w:rPr>
          <w:rStyle w:val="Teletype"/>
          <w:rFonts w:ascii="Times New Roman" w:hAnsi="Times New Roman" w:cs="Times New Roman"/>
          <w:sz w:val="22"/>
          <w:szCs w:val="22"/>
          <w:lang w:val="en-US"/>
        </w:rPr>
        <w:fldChar w:fldCharType="separate"/>
      </w:r>
      <w:r w:rsidR="00A87E82" w:rsidRPr="00A87E82">
        <w:rPr>
          <w:rFonts w:ascii="Times New Roman" w:hAnsi="Times New Roman"/>
          <w:sz w:val="22"/>
          <w:lang w:val="en-US"/>
        </w:rPr>
        <w:t>[11]</w:t>
      </w:r>
      <w:r w:rsidR="00C07ED8">
        <w:rPr>
          <w:rStyle w:val="Teletype"/>
          <w:rFonts w:ascii="Times New Roman" w:hAnsi="Times New Roman" w:cs="Times New Roman"/>
          <w:sz w:val="22"/>
          <w:szCs w:val="22"/>
          <w:lang w:val="en-US"/>
        </w:rPr>
        <w:fldChar w:fldCharType="end"/>
      </w:r>
      <w:r w:rsidR="00C07ED8">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t xml:space="preserve">adapted for the </w:t>
      </w:r>
      <w:r w:rsidR="006D74E3" w:rsidRPr="00CA70D0">
        <w:rPr>
          <w:rStyle w:val="Teletype"/>
          <w:rFonts w:ascii="Times New Roman" w:hAnsi="Times New Roman" w:cs="Times New Roman"/>
          <w:sz w:val="22"/>
          <w:szCs w:val="22"/>
          <w:lang w:val="en-US"/>
        </w:rPr>
        <w:t>default</w:t>
      </w:r>
      <w:r w:rsidR="00F54AAE" w:rsidRPr="00CA70D0">
        <w:rPr>
          <w:rStyle w:val="Teletype"/>
          <w:rFonts w:ascii="Times New Roman" w:hAnsi="Times New Roman" w:cs="Times New Roman"/>
          <w:sz w:val="22"/>
          <w:szCs w:val="22"/>
          <w:lang w:val="en-US"/>
        </w:rPr>
        <w:t xml:space="preserve"> span of expression levels from 1 to 10</w:t>
      </w:r>
      <w:r w:rsidR="00F54AAE" w:rsidRPr="00CA70D0">
        <w:rPr>
          <w:rStyle w:val="Teletype"/>
          <w:rFonts w:ascii="Times New Roman" w:hAnsi="Times New Roman" w:cs="Times New Roman"/>
          <w:sz w:val="22"/>
          <w:szCs w:val="22"/>
          <w:vertAlign w:val="superscript"/>
          <w:lang w:val="en-US"/>
        </w:rPr>
        <w:t>7</w:t>
      </w:r>
      <w:r w:rsidR="00F54AAE" w:rsidRPr="00CA70D0">
        <w:rPr>
          <w:rStyle w:val="Teletype"/>
          <w:rFonts w:ascii="Times New Roman" w:hAnsi="Times New Roman" w:cs="Times New Roman"/>
          <w:sz w:val="22"/>
          <w:szCs w:val="22"/>
          <w:lang w:val="en-US"/>
        </w:rPr>
        <w:t xml:space="preserve"> </w:t>
      </w:r>
      <w:r w:rsidR="00F54AAE" w:rsidRPr="00CA70D0">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{"citationID":"247lelgP","properties":{"formattedCitation":"{\\rtf [8\\uc0\\u8211{}10]}","plainCitation":"[8–10]"},"citationItems":[{"id":"I80eUAjo/lYzz3hJP","uris":["http://zotero.org/users/local/YlgL0u7w/items/8PXD7NI9"],"uri":["http://zotero.org/users/local/YlgL0u7w/items/8PXD7NI9"],"itemData":{"id":"I80eUAjo/lYzz3hJP","type":"article-journal","title":"Digital PCR dynamic range is approaching that of real-time quantitative PCR","container-title":"Biomolecular Detection and Quantification","page":"31-33","volume":"10","source":"CrossRef","DOI":"10.1016/j.bdq.2016.10.001","ISSN":"22147535","language":"en","author":[{"family":"Jones","given":"Gerwyn M."},{"family":"Busby","given":"Eloise"},{"family":"Garson","given":"Jeremy A."},{"family":"Grant","given":"Paul R."},{"family":"Nastouli","given":"Eleni"},{"family":"Devonshire","given":"Alison S."},{"family":"Whale","given":"Alexandra S."}],"issued":{"date-parts":[["2016",12]]},"accessed":{"date-parts":[["2017",5,18]]}}},{"id":433,"uris":["http://zotero.org/users/local/YlgL0u7w/items/CNUPUEW8"],"uri":["http://zotero.org/users/local/YlgL0u7w/items/CNUPUEW8"],"itemData":{"id":433,"type":"article-journal","title":"Quantification of low-copy transcripts by continuous SYBR Green I monitoring during amplification","container-title":"BioTechniques","page":"954-958, 960, 962","volume":"24","issue":"6","source":"PubMed","abstract":"Continuous fluorescence observation of amplifying DNA allows rapid and accurate quantification of initial transcript copy number. A simple and generic method for monitoring product synthesis with the double-stranded DNA dye, SYBR Green I provides initial template copy number estimation limited only by stochastic effects. To reach this degree of sensitivity, two methods were used. First, specific products generally have a higher melting temperature than nonspecific products, and therefore, specific product formation was monitored by fluorescence acquisition at temperatures at which only specific products are double-stranded. Second, anti-Taq antibodies were used to reduce nonspecific product generation. The log-linear portion of the fluorescence vs. cycle plot was extended to determine a fractional cycle number at which a threshold fluorescence was obtained. These fractional cycle numbers were plotted against the log of starting template copies to give linear standard curves from purified PCR products, allowing easy estimation of cDNA unknowns over a 10(6)-fold range. A single template molecule per reaction could be distinguished from the absence of template, although stochastic effects increased the variance of concentration estimates below 10 copies. Above 10 copies per reaction, typical replicate coefficients of variation were 6%-37%, with better precision at higher copy numbers.","ISSN":"0736-6205","note":"PMID: 9631186","journalAbbreviation":"BioTechniques","language":"eng","author":[{"family":"Morrison","given":"T. B."},{"family":"Weis","given":"J. J."},{"family":"Wittwer","given":"C. T."}],"issued":{"date-parts":[["1998",6]]},"PMID":"9631186"}},{"id":"I80eUAjo/K1NcSGBT","uris":["http://zotero.org/users/local/YlgL0u7w/items/GZTF8Q6Z"],"uri":["http://zotero.org/users/local/YlgL0u7w/items/GZTF8Q6Z"],"itemData":{"id":"I80eUAjo/K1NcSGBT","type":"article-journal","title":"Real-time PCR for mRNA quantitation","container-title":"BioTechniques","page":"75-85","volume":"39","issue":"1","source":"PubMed","abstract":"Real-time PCR has become one of the most widely used methods of gene quantitation because it has a large dynamic range, boasts tremendous sensitivity, can be highly sequence-specific, has little to no post-amplification processing, and is amenable to increasing sample throughput. However, optimal benefit from these advantages requires a clear understanding of the many options available for running a real-time PCR experiment. Starting with the theory behind real-time PCR, this review discusses the key components of a real-time PCR experiment, including one-step or two-step PCR, absolute versus relative quantitation, mathematical models available for relative quantitation and amplification efficiency calculations, types of normalization or data correction, and detection chemistries. In addition, the many causes of variation as well as methods to calculate intra- and inter-assay variation are addressed.","ISSN":"0736-6205","note":"PMID: 16060372","journalAbbreviation":"BioTechniques","language":"eng","author":[{"family":"Wong","given":"Marisa L."},{"family":"Medrano","given":"Juan F."}],"issued":{"date-parts":[["2005",7]]},"PMID":"16060372"}}],"schema":"https://github.com/citation-style-language/schema/raw/master/csl-citation.json"} </w:instrText>
      </w:r>
      <w:r w:rsidR="00F54AAE" w:rsidRPr="00CA70D0">
        <w:rPr>
          <w:rStyle w:val="Teletype"/>
          <w:rFonts w:ascii="Times New Roman" w:hAnsi="Times New Roman" w:cs="Times New Roman"/>
          <w:sz w:val="22"/>
          <w:szCs w:val="22"/>
          <w:lang w:val="en-US"/>
        </w:rPr>
        <w:fldChar w:fldCharType="separate"/>
      </w:r>
      <w:r w:rsidR="00A87E82" w:rsidRPr="00662FBB">
        <w:rPr>
          <w:rFonts w:ascii="Times New Roman" w:hAnsi="Times New Roman"/>
          <w:sz w:val="22"/>
          <w:lang w:val="en-US"/>
        </w:rPr>
        <w:t>[8–10]</w:t>
      </w:r>
      <w:r w:rsidR="00F54AAE" w:rsidRPr="00CA70D0">
        <w:rPr>
          <w:rStyle w:val="Teletype"/>
          <w:rFonts w:ascii="Times New Roman" w:hAnsi="Times New Roman" w:cs="Times New Roman"/>
          <w:sz w:val="22"/>
          <w:szCs w:val="22"/>
          <w:lang w:val="en-US"/>
        </w:rPr>
        <w:fldChar w:fldCharType="end"/>
      </w:r>
      <w:r w:rsidR="00F54AAE" w:rsidRPr="00CA70D0">
        <w:rPr>
          <w:rStyle w:val="Teletype"/>
          <w:rFonts w:ascii="Times New Roman" w:hAnsi="Times New Roman" w:cs="Times New Roman"/>
          <w:sz w:val="22"/>
          <w:szCs w:val="22"/>
          <w:lang w:val="en-US"/>
        </w:rPr>
        <w:t xml:space="preserve">. Black dots: fraction of unique </w:t>
      </w:r>
      <w:r w:rsidR="00EA5F3F" w:rsidRPr="00CA70D0">
        <w:rPr>
          <w:rStyle w:val="Teletype"/>
          <w:rFonts w:ascii="Times New Roman" w:hAnsi="Times New Roman" w:cs="Times New Roman"/>
          <w:sz w:val="22"/>
          <w:szCs w:val="22"/>
          <w:lang w:val="en-US"/>
        </w:rPr>
        <w:t xml:space="preserve">genes </w:t>
      </w:r>
      <w:r w:rsidR="000C4441" w:rsidRPr="00CA70D0">
        <w:rPr>
          <w:rStyle w:val="Teletype"/>
          <w:rFonts w:ascii="Times New Roman" w:hAnsi="Times New Roman" w:cs="Times New Roman"/>
          <w:sz w:val="22"/>
          <w:szCs w:val="22"/>
          <w:lang w:val="en-US"/>
        </w:rPr>
        <w:t xml:space="preserve">taken from the SEQC reference dataset that </w:t>
      </w:r>
      <w:r w:rsidR="00F54AAE" w:rsidRPr="00CA70D0">
        <w:rPr>
          <w:rStyle w:val="Teletype"/>
          <w:rFonts w:ascii="Times New Roman" w:hAnsi="Times New Roman" w:cs="Times New Roman"/>
          <w:sz w:val="22"/>
          <w:szCs w:val="22"/>
          <w:lang w:val="en-US"/>
        </w:rPr>
        <w:t xml:space="preserve">survived </w:t>
      </w:r>
      <w:r w:rsidR="00EA5F3F" w:rsidRPr="00CA70D0">
        <w:rPr>
          <w:rStyle w:val="Teletype"/>
          <w:rFonts w:ascii="Times New Roman" w:hAnsi="Times New Roman" w:cs="Times New Roman"/>
          <w:sz w:val="22"/>
          <w:szCs w:val="22"/>
          <w:lang w:val="en-US"/>
        </w:rPr>
        <w:t xml:space="preserve">filtering </w:t>
      </w:r>
      <w:r w:rsidR="000C4441" w:rsidRPr="00CA70D0">
        <w:rPr>
          <w:rStyle w:val="Teletype"/>
          <w:rFonts w:ascii="Times New Roman" w:hAnsi="Times New Roman" w:cs="Times New Roman"/>
          <w:sz w:val="22"/>
          <w:szCs w:val="22"/>
          <w:lang w:val="en-US"/>
        </w:rPr>
        <w:t>assuring</w:t>
      </w:r>
      <w:r w:rsidR="00F54AAE" w:rsidRPr="00CA70D0">
        <w:rPr>
          <w:rStyle w:val="Teletype"/>
          <w:rFonts w:ascii="Times New Roman" w:hAnsi="Times New Roman" w:cs="Times New Roman"/>
          <w:sz w:val="22"/>
          <w:szCs w:val="22"/>
          <w:lang w:val="en-US"/>
        </w:rPr>
        <w:t xml:space="preserve"> the 95% probability for regist</w:t>
      </w:r>
      <w:r w:rsidR="009D59CE" w:rsidRPr="00CA70D0">
        <w:rPr>
          <w:rStyle w:val="Teletype"/>
          <w:rFonts w:ascii="Times New Roman" w:hAnsi="Times New Roman" w:cs="Times New Roman"/>
          <w:sz w:val="22"/>
          <w:szCs w:val="22"/>
          <w:lang w:val="en-US"/>
        </w:rPr>
        <w:t>ering</w:t>
      </w:r>
      <w:r w:rsidR="00F54AAE" w:rsidRPr="00CA70D0">
        <w:rPr>
          <w:rStyle w:val="Teletype"/>
          <w:rFonts w:ascii="Times New Roman" w:hAnsi="Times New Roman" w:cs="Times New Roman"/>
          <w:sz w:val="22"/>
          <w:szCs w:val="22"/>
          <w:lang w:val="en-US"/>
        </w:rPr>
        <w:t xml:space="preserve"> of at least one copy of 95% </w:t>
      </w:r>
      <w:r w:rsidR="00C633A1" w:rsidRPr="00CA70D0">
        <w:rPr>
          <w:rStyle w:val="Teletype"/>
          <w:rFonts w:ascii="Times New Roman" w:hAnsi="Times New Roman" w:cs="Times New Roman"/>
          <w:sz w:val="22"/>
          <w:szCs w:val="22"/>
          <w:lang w:val="en-US"/>
        </w:rPr>
        <w:t>mRNA types</w:t>
      </w:r>
      <w:r w:rsidR="00F54AAE" w:rsidRPr="00CA70D0">
        <w:rPr>
          <w:rStyle w:val="Teletype"/>
          <w:rFonts w:ascii="Times New Roman" w:hAnsi="Times New Roman" w:cs="Times New Roman"/>
          <w:sz w:val="22"/>
          <w:szCs w:val="22"/>
          <w:lang w:val="en-US"/>
        </w:rPr>
        <w:t xml:space="preserve"> for </w:t>
      </w:r>
      <w:r w:rsidR="00B34C7B" w:rsidRPr="00CA70D0">
        <w:rPr>
          <w:rStyle w:val="Teletype"/>
          <w:rFonts w:ascii="Times New Roman" w:hAnsi="Times New Roman" w:cs="Times New Roman"/>
          <w:sz w:val="22"/>
          <w:szCs w:val="22"/>
          <w:lang w:val="en-US"/>
        </w:rPr>
        <w:t>protein coding</w:t>
      </w:r>
      <w:r w:rsidR="00F54AAE" w:rsidRPr="00CA70D0">
        <w:rPr>
          <w:rStyle w:val="Teletype"/>
          <w:rFonts w:ascii="Times New Roman" w:hAnsi="Times New Roman" w:cs="Times New Roman"/>
          <w:sz w:val="22"/>
          <w:szCs w:val="22"/>
          <w:lang w:val="en-US"/>
        </w:rPr>
        <w:t xml:space="preserve"> gene</w:t>
      </w:r>
      <w:r w:rsidR="00B34C7B" w:rsidRPr="00CA70D0">
        <w:rPr>
          <w:rStyle w:val="Teletype"/>
          <w:rFonts w:ascii="Times New Roman" w:hAnsi="Times New Roman" w:cs="Times New Roman"/>
          <w:sz w:val="22"/>
          <w:szCs w:val="22"/>
          <w:lang w:val="en-US"/>
        </w:rPr>
        <w:t>s</w:t>
      </w:r>
      <w:r w:rsidR="00F54AAE" w:rsidRPr="00CA70D0">
        <w:rPr>
          <w:rStyle w:val="Teletype"/>
          <w:rFonts w:ascii="Times New Roman" w:hAnsi="Times New Roman" w:cs="Times New Roman"/>
          <w:sz w:val="22"/>
          <w:szCs w:val="22"/>
          <w:lang w:val="en-US"/>
        </w:rPr>
        <w:t xml:space="preserve">. Magenta dots: </w:t>
      </w:r>
      <w:r w:rsidR="000A6710" w:rsidRPr="00CA70D0">
        <w:rPr>
          <w:rStyle w:val="Teletype"/>
          <w:rFonts w:ascii="Times New Roman" w:hAnsi="Times New Roman" w:cs="Times New Roman"/>
          <w:sz w:val="22"/>
          <w:szCs w:val="22"/>
          <w:lang w:val="en-US"/>
        </w:rPr>
        <w:t xml:space="preserve">distribution of gene expression </w:t>
      </w:r>
      <w:r w:rsidR="0041206B">
        <w:rPr>
          <w:rStyle w:val="Teletype"/>
          <w:rFonts w:ascii="Times New Roman" w:hAnsi="Times New Roman" w:cs="Times New Roman"/>
          <w:sz w:val="22"/>
          <w:szCs w:val="22"/>
          <w:lang w:val="en-US"/>
        </w:rPr>
        <w:t xml:space="preserve">levels from SEQC project </w:t>
      </w:r>
      <w:r w:rsidR="000A6710" w:rsidRPr="00CA70D0">
        <w:rPr>
          <w:rStyle w:val="Teletype"/>
          <w:rFonts w:ascii="Times New Roman" w:hAnsi="Times New Roman" w:cs="Times New Roman"/>
          <w:sz w:val="22"/>
          <w:szCs w:val="22"/>
          <w:lang w:val="en-US"/>
        </w:rPr>
        <w:t>adapted for the default span of expression levels from 1 to 10</w:t>
      </w:r>
      <w:r w:rsidR="000A6710" w:rsidRPr="00CA70D0">
        <w:rPr>
          <w:rStyle w:val="Teletype"/>
          <w:rFonts w:ascii="Times New Roman" w:hAnsi="Times New Roman" w:cs="Times New Roman"/>
          <w:sz w:val="22"/>
          <w:szCs w:val="22"/>
          <w:vertAlign w:val="superscript"/>
          <w:lang w:val="en-US"/>
        </w:rPr>
        <w:t>7</w:t>
      </w:r>
      <w:r w:rsidR="000A6710" w:rsidRPr="00CA70D0">
        <w:rPr>
          <w:rStyle w:val="Teletype"/>
          <w:rFonts w:ascii="Times New Roman" w:hAnsi="Times New Roman" w:cs="Times New Roman"/>
          <w:sz w:val="22"/>
          <w:szCs w:val="22"/>
          <w:lang w:val="en-US"/>
        </w:rPr>
        <w:t xml:space="preserve"> </w:t>
      </w:r>
      <w:r w:rsidR="00D009B4">
        <w:rPr>
          <w:rStyle w:val="Teletype"/>
          <w:rFonts w:ascii="Times New Roman" w:hAnsi="Times New Roman" w:cs="Times New Roman"/>
          <w:sz w:val="22"/>
          <w:szCs w:val="22"/>
          <w:lang w:val="en-US"/>
        </w:rPr>
        <w:t>cell</w:t>
      </w:r>
      <w:r w:rsidR="00D009B4" w:rsidRPr="00CA70D0">
        <w:rPr>
          <w:rStyle w:val="Teletype"/>
          <w:rFonts w:ascii="Times New Roman" w:hAnsi="Times New Roman" w:cs="Times New Roman"/>
          <w:sz w:val="22"/>
          <w:szCs w:val="22"/>
          <w:lang w:val="en-US"/>
        </w:rPr>
        <w:t xml:space="preserve"> </w:t>
      </w:r>
      <w:r w:rsidR="00D009B4" w:rsidRPr="00CA70D0">
        <w:rPr>
          <w:rStyle w:val="Teletype"/>
          <w:rFonts w:ascii="Times New Roman" w:hAnsi="Times New Roman" w:cs="Times New Roman"/>
          <w:sz w:val="22"/>
          <w:szCs w:val="22"/>
          <w:lang w:val="en-US"/>
        </w:rPr>
        <w:fldChar w:fldCharType="begin"/>
      </w:r>
      <w:r w:rsidR="00A87E82">
        <w:rPr>
          <w:rStyle w:val="Teletype"/>
          <w:rFonts w:ascii="Times New Roman" w:hAnsi="Times New Roman" w:cs="Times New Roman"/>
          <w:sz w:val="22"/>
          <w:szCs w:val="22"/>
          <w:lang w:val="en-US"/>
        </w:rPr>
        <w:instrText xml:space="preserve"> ADDIN ZOTERO_ITEM CSL_CITATION {"citationID":"tSYMvOi5","properties":{"formattedCitation":"{\\rtf [8\\uc0\\u8211{}10]}","plainCitation":"[8–10]"},"citationItems":[{"id":"I80eUAjo/lYzz3hJP","uris":["http://zotero.org/users/local/YlgL0u7w/items/8PXD7NI9"],"uri":["http://zotero.org/users/local/YlgL0u7w/items/8PXD7NI9"],"itemData":{"id":"I80eUAjo/lYzz3hJP","type":"article-journal","title":"Digital PCR dynamic range is approaching that of real-time quantitative PCR","container-title":"Biomolecular Detection and Quantification","page":"31-33","volume":"10","source":"CrossRef","DOI":"10.1016/j.bdq.2016.10.001","ISSN":"22147535","language":"en","author":[{"family":"Jones","given":"Gerwyn M."},{"family":"Busby","given":"Eloise"},{"family":"Garson","given":"Jeremy A."},{"family":"Grant","given":"Paul R."},{"family":"Nastouli","given":"Eleni"},{"family":"Devonshire","given":"Alison S."},{"family":"Whale","given":"Alexandra S."}],"issued":{"date-parts":[["2016",12]]},"accessed":{"date-parts":[["2017",5,18]]}}},{"id":"I80eUAjo/ZhCjzmXR","uris":["http://zotero.org/users/local/YlgL0u7w/items/CNUPUEW8"],"uri":["http://zotero.org/users/local/YlgL0u7w/items/CNUPUEW8"],"itemData":{"id":"I80eUAjo/ZhCjzmXR","type":"article-journal","title":"Quantification of low-copy transcripts by continuous SYBR Green I monitoring during amplification","container-title":"BioTechniques","page":"954-958, 960, 962","volume":"24","issue":"6","source":"PubMed","abstract":"Continuous fluorescence observation of amplifying DNA allows rapid and accurate quantification of initial transcript copy number. A simple and generic method for monitoring product synthesis with the double-stranded DNA dye, SYBR Green I provides initial template copy number estimation limited only by stochastic effects. To reach this degree of sensitivity, two methods were used. First, specific products generally have a higher melting temperature than nonspecific products, and therefore, specific product formation was monitored by fluorescence acquisition at temperatures at which only specific products are double-stranded. Second, anti-Taq antibodies were used to reduce nonspecific product generation. The log-linear portion of the fluorescence vs. cycle plot was extended to determine a fractional cycle number at which a threshold fluorescence was obtained. These fractional cycle numbers were plotted against the log of starting template copies to give linear standard curves from purified PCR products, allowing easy estimation of cDNA unknowns over a 10(6)-fold range. A single template molecule per reaction could be distinguished from the absence of template, although stochastic effects increased the variance of concentration estimates below 10 copies. Above 10 copies per reaction, typical replicate coefficients of variation were 6%-37%, with better precision at higher copy numbers.","ISSN":"0736-6205","note":"PMID: 9631186","journalAbbreviation":"BioTechniques","language":"eng","author":[{"family":"Morrison","given":"T. B."},{"family":"Weis","given":"J. J."},{"family":"Wittwer","given":"C. T."}],"issued":{"date-parts":[["1998",6]]},"PMID":"9631186"}},{"id":431,"uris":["http://zotero.org/users/local/YlgL0u7w/items/GZTF8Q6Z"],"uri":["http://zotero.org/users/local/YlgL0u7w/items/GZTF8Q6Z"],"itemData":{"id":431,"type":"article-journal","title":"Real-time PCR for mRNA quantitation","container-title":"BioTechniques","page":"75-85","volume":"39","issue":"1","source":"PubMed","abstract":"Real-time PCR has become one of the most widely used methods of gene quantitation because it has a large dynamic range, boasts tremendous sensitivity, can be highly sequence-specific, has little to no post-amplification processing, and is amenable to increasing sample throughput. However, optimal benefit from these advantages requires a clear understanding of the many options available for running a real-time PCR experiment. Starting with the theory behind real-time PCR, this review discusses the key components of a real-time PCR experiment, including one-step or two-step PCR, absolute versus relative quantitation, mathematical models available for relative quantitation and amplification efficiency calculations, types of normalization or data correction, and detection chemistries. In addition, the many causes of variation as well as methods to calculate intra- and inter-assay variation are addressed.","ISSN":"0736-6205","note":"PMID: 16060372","journalAbbreviation":"BioTechniques","language":"eng","author":[{"family":"Wong","given":"Marisa L."},{"family":"Medrano","given":"Juan F."}],"issued":{"date-parts":[["2005",7]]},"PMID":"16060372"}}],"schema":"https://github.com/citation-style-language/schema/raw/master/csl-citation.json"} </w:instrText>
      </w:r>
      <w:r w:rsidR="00D009B4" w:rsidRPr="00CA70D0">
        <w:rPr>
          <w:rStyle w:val="Teletype"/>
          <w:rFonts w:ascii="Times New Roman" w:hAnsi="Times New Roman" w:cs="Times New Roman"/>
          <w:sz w:val="22"/>
          <w:szCs w:val="22"/>
          <w:lang w:val="en-US"/>
        </w:rPr>
        <w:fldChar w:fldCharType="separate"/>
      </w:r>
      <w:r w:rsidR="00A87E82" w:rsidRPr="00662FBB">
        <w:rPr>
          <w:rFonts w:ascii="Times New Roman" w:hAnsi="Times New Roman"/>
          <w:sz w:val="22"/>
          <w:lang w:val="en-US"/>
        </w:rPr>
        <w:t>[8–10]</w:t>
      </w:r>
      <w:r w:rsidR="00D009B4" w:rsidRPr="00CA70D0">
        <w:rPr>
          <w:rStyle w:val="Teletype"/>
          <w:rFonts w:ascii="Times New Roman" w:hAnsi="Times New Roman" w:cs="Times New Roman"/>
          <w:sz w:val="22"/>
          <w:szCs w:val="22"/>
          <w:lang w:val="en-US"/>
        </w:rPr>
        <w:fldChar w:fldCharType="end"/>
      </w:r>
      <w:r w:rsidR="00D009B4">
        <w:rPr>
          <w:rStyle w:val="Teletype"/>
          <w:rFonts w:ascii="Times New Roman" w:hAnsi="Times New Roman" w:cs="Times New Roman"/>
          <w:sz w:val="22"/>
          <w:szCs w:val="22"/>
          <w:lang w:val="en-US"/>
        </w:rPr>
        <w:t>.</w:t>
      </w:r>
      <w:r w:rsidR="00DA54C8" w:rsidRPr="00CA70D0">
        <w:rPr>
          <w:rStyle w:val="Teletype"/>
          <w:rFonts w:ascii="Times New Roman" w:hAnsi="Times New Roman" w:cs="Times New Roman"/>
          <w:b/>
          <w:i/>
          <w:sz w:val="22"/>
          <w:szCs w:val="22"/>
          <w:lang w:val="en-US"/>
        </w:rPr>
        <w:t xml:space="preserve"> </w:t>
      </w:r>
    </w:p>
    <w:p w:rsidR="0052707B" w:rsidRPr="00CA70D0" w:rsidRDefault="0052707B" w:rsidP="0052707B">
      <w:pPr>
        <w:pStyle w:val="ListParagraph"/>
        <w:spacing w:after="200" w:line="360" w:lineRule="auto"/>
        <w:ind w:left="0"/>
        <w:rPr>
          <w:rStyle w:val="Teletype"/>
          <w:rFonts w:ascii="Times New Roman" w:hAnsi="Times New Roman" w:cs="Times New Roman"/>
          <w:b/>
          <w:i/>
          <w:lang w:val="en-US"/>
        </w:rPr>
      </w:pPr>
      <w:r w:rsidRPr="00CA70D0">
        <w:rPr>
          <w:rStyle w:val="Teletype"/>
          <w:rFonts w:ascii="Times New Roman" w:hAnsi="Times New Roman" w:cs="Times New Roman"/>
          <w:b/>
          <w:i/>
          <w:lang w:val="en-US"/>
        </w:rPr>
        <w:t xml:space="preserve">Expression filter </w:t>
      </w:r>
      <w:r w:rsidR="005860B2" w:rsidRPr="00CA70D0">
        <w:rPr>
          <w:rStyle w:val="Teletype"/>
          <w:rFonts w:ascii="Times New Roman" w:hAnsi="Times New Roman" w:cs="Times New Roman"/>
          <w:b/>
          <w:i/>
          <w:lang w:val="en-US"/>
        </w:rPr>
        <w:t>uncovers</w:t>
      </w:r>
      <w:r w:rsidRPr="00CA70D0">
        <w:rPr>
          <w:rStyle w:val="Teletype"/>
          <w:rFonts w:ascii="Times New Roman" w:hAnsi="Times New Roman" w:cs="Times New Roman"/>
          <w:b/>
          <w:i/>
          <w:lang w:val="en-US"/>
        </w:rPr>
        <w:t xml:space="preserve"> pattern of miRNA influence on translation </w:t>
      </w:r>
      <w:r w:rsidR="00DF5EFD" w:rsidRPr="00CA70D0">
        <w:rPr>
          <w:rStyle w:val="Teletype"/>
          <w:rFonts w:ascii="Times New Roman" w:hAnsi="Times New Roman" w:cs="Times New Roman"/>
          <w:b/>
          <w:i/>
          <w:lang w:val="en-US"/>
        </w:rPr>
        <w:t>in differentiation of myotubes.</w:t>
      </w:r>
    </w:p>
    <w:p w:rsidR="0052707B" w:rsidRPr="00CA70D0" w:rsidRDefault="00FE2CDA" w:rsidP="00DD1F11">
      <w:pPr>
        <w:pStyle w:val="ListParagraph"/>
        <w:spacing w:after="200" w:line="360" w:lineRule="auto"/>
        <w:ind w:left="0"/>
        <w:rPr>
          <w:rStyle w:val="Teletype"/>
          <w:rFonts w:ascii="Times New Roman" w:hAnsi="Times New Roman" w:cs="Times New Roman"/>
          <w:lang w:val="en-US"/>
        </w:rPr>
      </w:pPr>
      <w:r w:rsidRPr="00CA70D0">
        <w:rPr>
          <w:rStyle w:val="Teletype"/>
          <w:rFonts w:ascii="Times New Roman" w:hAnsi="Times New Roman" w:cs="Times New Roman"/>
          <w:lang w:val="en-US"/>
        </w:rPr>
        <w:t xml:space="preserve">In a recent study, de Klerk and coauthors report results of multi-omics profiling </w:t>
      </w:r>
      <w:r w:rsidR="00811CC3" w:rsidRPr="00CA70D0">
        <w:rPr>
          <w:rStyle w:val="Teletype"/>
          <w:rFonts w:ascii="Times New Roman" w:hAnsi="Times New Roman" w:cs="Times New Roman"/>
          <w:lang w:val="en-US"/>
        </w:rPr>
        <w:t>(mRNA sequencing</w:t>
      </w:r>
      <w:r w:rsidRPr="00CA70D0">
        <w:rPr>
          <w:rStyle w:val="Teletype"/>
          <w:rFonts w:ascii="Times New Roman" w:hAnsi="Times New Roman" w:cs="Times New Roman"/>
          <w:lang w:val="en-US"/>
        </w:rPr>
        <w:t xml:space="preserve">, </w:t>
      </w:r>
      <w:r w:rsidR="00811CC3" w:rsidRPr="00CA70D0">
        <w:rPr>
          <w:rStyle w:val="Teletype"/>
          <w:rFonts w:ascii="Times New Roman" w:hAnsi="Times New Roman" w:cs="Times New Roman"/>
          <w:lang w:val="en-US"/>
        </w:rPr>
        <w:t>ribosome-associated microRNA sequencing</w:t>
      </w:r>
      <w:r w:rsidR="000852A8" w:rsidRPr="00CA70D0">
        <w:rPr>
          <w:rStyle w:val="Teletype"/>
          <w:rFonts w:ascii="Times New Roman" w:hAnsi="Times New Roman" w:cs="Times New Roman"/>
          <w:lang w:val="en-US"/>
        </w:rPr>
        <w:t xml:space="preserve"> (ribo-seq)</w:t>
      </w:r>
      <w:r w:rsidRPr="00CA70D0">
        <w:rPr>
          <w:rStyle w:val="Teletype"/>
          <w:rFonts w:ascii="Times New Roman" w:hAnsi="Times New Roman" w:cs="Times New Roman"/>
          <w:lang w:val="en-US"/>
        </w:rPr>
        <w:t xml:space="preserve"> and micro</w:t>
      </w:r>
      <w:r w:rsidR="00811CC3" w:rsidRPr="00CA70D0">
        <w:rPr>
          <w:rStyle w:val="Teletype"/>
          <w:rFonts w:ascii="Times New Roman" w:hAnsi="Times New Roman" w:cs="Times New Roman"/>
          <w:lang w:val="en-US"/>
        </w:rPr>
        <w:t>RNA sequencing)</w:t>
      </w:r>
      <w:r w:rsidRPr="00CA70D0">
        <w:rPr>
          <w:rStyle w:val="Teletype"/>
          <w:rFonts w:ascii="Times New Roman" w:hAnsi="Times New Roman" w:cs="Times New Roman"/>
          <w:lang w:val="en-US"/>
        </w:rPr>
        <w:t xml:space="preserve">, which may highlight the </w:t>
      </w:r>
      <w:r w:rsidR="00D8098B" w:rsidRPr="00CA70D0">
        <w:rPr>
          <w:rStyle w:val="Teletype"/>
          <w:rFonts w:ascii="Times New Roman" w:hAnsi="Times New Roman" w:cs="Times New Roman"/>
          <w:lang w:val="en-US"/>
        </w:rPr>
        <w:t xml:space="preserve">molecular mechanisms of gene expression regulation at the level of </w:t>
      </w:r>
      <w:r w:rsidRPr="00CA70D0">
        <w:rPr>
          <w:rStyle w:val="Teletype"/>
          <w:rFonts w:ascii="Times New Roman" w:hAnsi="Times New Roman" w:cs="Times New Roman"/>
          <w:lang w:val="en-US"/>
        </w:rPr>
        <w:t xml:space="preserve">translation, especially </w:t>
      </w:r>
      <w:r w:rsidR="00D8098B" w:rsidRPr="00CA70D0">
        <w:rPr>
          <w:rStyle w:val="Teletype"/>
          <w:rFonts w:ascii="Times New Roman" w:hAnsi="Times New Roman" w:cs="Times New Roman"/>
          <w:lang w:val="en-US"/>
        </w:rPr>
        <w:t>its regulation</w:t>
      </w:r>
      <w:r w:rsidRPr="00CA70D0">
        <w:rPr>
          <w:rStyle w:val="Teletype"/>
          <w:rFonts w:ascii="Times New Roman" w:hAnsi="Times New Roman" w:cs="Times New Roman"/>
          <w:lang w:val="en-US"/>
        </w:rPr>
        <w:t xml:space="preserve"> by microRNA</w:t>
      </w:r>
      <w:r w:rsidR="00D8098B" w:rsidRPr="00CA70D0">
        <w:rPr>
          <w:rStyle w:val="Teletype"/>
          <w:rFonts w:ascii="Times New Roman" w:hAnsi="Times New Roman" w:cs="Times New Roman"/>
          <w:lang w:val="en-US"/>
        </w:rPr>
        <w:t xml:space="preserve">s </w:t>
      </w:r>
      <w:r w:rsidR="0052707B" w:rsidRPr="00CA70D0">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NA5UcouJ","properties":{"formattedCitation":"[14]","plainCitation":"[14]"},"citationItems":[{"id":414,"uris":["http://zotero.org/users/local/YlgL0u7w/items/4U75KQ7R"],"uri":["http://zotero.org/users/local/YlgL0u7w/items/4U75KQ7R"],"itemData":{"id":414,"type":"article-journal","title":"Assessing the translational landscape of myogenic differentiation by ribosome profiling","container-title":"Nucleic Acids Research","page":"4408-4428","volume":"43","issue":"9","source":"CrossRef","DOI":"10.1093/nar/gkv281","ISSN":"0305-1048, 1362-4962","language":"en","author":[{"family":"de Klerk","given":"E."},{"family":"Fokkema","given":"I. F. A. C."},{"family":"Thiadens","given":"K. A. M. H."},{"family":"Goeman","given":"J. J."},{"family":"Palmblad","given":"M."},{"family":"den Dunnen","given":"J. T."},{"family":"von Lindern","given":"M."},{"family":"'t Hoen","given":"P. A. C."}],"issued":{"date-parts":[["2015",5,19]]},"accessed":{"date-parts":[["2017",5,18]]}}}],"schema":"https://github.com/citation-style-language/schema/raw/master/csl-citation.json"} </w:instrText>
      </w:r>
      <w:r w:rsidR="0052707B" w:rsidRPr="00CA70D0">
        <w:rPr>
          <w:rStyle w:val="Teletype"/>
          <w:rFonts w:ascii="Times New Roman" w:hAnsi="Times New Roman" w:cs="Times New Roman"/>
          <w:lang w:val="en-US"/>
        </w:rPr>
        <w:fldChar w:fldCharType="separate"/>
      </w:r>
      <w:r w:rsidR="00A87E82" w:rsidRPr="00A87E82">
        <w:rPr>
          <w:rFonts w:ascii="Times New Roman" w:hAnsi="Times New Roman"/>
          <w:lang w:val="en-US"/>
        </w:rPr>
        <w:t>[14]</w:t>
      </w:r>
      <w:r w:rsidR="0052707B" w:rsidRPr="00CA70D0">
        <w:rPr>
          <w:rStyle w:val="Teletype"/>
          <w:rFonts w:ascii="Times New Roman" w:hAnsi="Times New Roman" w:cs="Times New Roman"/>
          <w:lang w:val="en-US"/>
        </w:rPr>
        <w:fldChar w:fldCharType="end"/>
      </w:r>
      <w:r w:rsidR="0052707B" w:rsidRPr="00CA70D0">
        <w:rPr>
          <w:rStyle w:val="Teletype"/>
          <w:rFonts w:ascii="Times New Roman" w:hAnsi="Times New Roman" w:cs="Times New Roman"/>
          <w:lang w:val="en-US"/>
        </w:rPr>
        <w:t xml:space="preserve"> (European Nucleotide Archive, ENA, accession number PRJEB7207). The </w:t>
      </w:r>
      <w:r w:rsidR="00CC6CFE" w:rsidRPr="00CA70D0">
        <w:rPr>
          <w:rStyle w:val="Teletype"/>
          <w:rFonts w:ascii="Times New Roman" w:hAnsi="Times New Roman" w:cs="Times New Roman"/>
          <w:lang w:val="en-US"/>
        </w:rPr>
        <w:t>authors studied</w:t>
      </w:r>
      <w:r w:rsidR="0052707B" w:rsidRPr="00CA70D0">
        <w:rPr>
          <w:rStyle w:val="Teletype"/>
          <w:rFonts w:ascii="Times New Roman" w:hAnsi="Times New Roman" w:cs="Times New Roman"/>
          <w:lang w:val="en-US"/>
        </w:rPr>
        <w:t xml:space="preserve"> mouse myoblasts, which were </w:t>
      </w:r>
      <w:r w:rsidR="00EB3076" w:rsidRPr="00CA70D0">
        <w:rPr>
          <w:rStyle w:val="Teletype"/>
          <w:rFonts w:ascii="Times New Roman" w:hAnsi="Times New Roman" w:cs="Times New Roman"/>
          <w:lang w:val="en-US"/>
        </w:rPr>
        <w:t xml:space="preserve">specifically </w:t>
      </w:r>
      <w:r w:rsidR="0052707B" w:rsidRPr="00CA70D0">
        <w:rPr>
          <w:rStyle w:val="Teletype"/>
          <w:rFonts w:ascii="Times New Roman" w:hAnsi="Times New Roman" w:cs="Times New Roman"/>
          <w:lang w:val="en-US"/>
        </w:rPr>
        <w:t xml:space="preserve">differentiated into myotubes. We applied </w:t>
      </w:r>
      <w:r w:rsidR="009E040A" w:rsidRPr="00CA70D0">
        <w:rPr>
          <w:rStyle w:val="Teletype"/>
          <w:rFonts w:ascii="Times New Roman" w:hAnsi="Times New Roman" w:cs="Times New Roman"/>
          <w:lang w:val="en-US"/>
        </w:rPr>
        <w:t>the</w:t>
      </w:r>
      <w:r w:rsidR="0052707B" w:rsidRPr="00CA70D0">
        <w:rPr>
          <w:rStyle w:val="Teletype"/>
          <w:rFonts w:ascii="Times New Roman" w:hAnsi="Times New Roman" w:cs="Times New Roman"/>
          <w:lang w:val="en-US"/>
        </w:rPr>
        <w:t xml:space="preserve"> expression filter to </w:t>
      </w:r>
      <w:r w:rsidR="009E040A" w:rsidRPr="00CA70D0">
        <w:rPr>
          <w:rStyle w:val="Teletype"/>
          <w:rFonts w:ascii="Times New Roman" w:hAnsi="Times New Roman" w:cs="Times New Roman"/>
          <w:lang w:val="en-US"/>
        </w:rPr>
        <w:t xml:space="preserve">the above sequencing data </w:t>
      </w:r>
      <w:r w:rsidR="0052707B" w:rsidRPr="00CA70D0">
        <w:rPr>
          <w:rStyle w:val="Teletype"/>
          <w:rFonts w:ascii="Times New Roman" w:hAnsi="Times New Roman" w:cs="Times New Roman"/>
          <w:lang w:val="en-US"/>
        </w:rPr>
        <w:t xml:space="preserve">(Table </w:t>
      </w:r>
      <w:r w:rsidR="00670A81" w:rsidRPr="00CA70D0">
        <w:rPr>
          <w:rStyle w:val="Teletype"/>
          <w:rFonts w:ascii="Times New Roman" w:hAnsi="Times New Roman" w:cs="Times New Roman"/>
          <w:lang w:val="en-US"/>
        </w:rPr>
        <w:t>S2_1</w:t>
      </w:r>
      <w:r w:rsidR="0052707B" w:rsidRPr="00CA70D0">
        <w:rPr>
          <w:rStyle w:val="Teletype"/>
          <w:rFonts w:ascii="Times New Roman" w:hAnsi="Times New Roman" w:cs="Times New Roman"/>
          <w:lang w:val="en-US"/>
        </w:rPr>
        <w:t xml:space="preserve">). For </w:t>
      </w:r>
      <w:r w:rsidR="009D7FAC" w:rsidRPr="00CA70D0">
        <w:rPr>
          <w:rStyle w:val="Teletype"/>
          <w:rFonts w:ascii="Times New Roman" w:hAnsi="Times New Roman" w:cs="Times New Roman"/>
          <w:lang w:val="en-US"/>
        </w:rPr>
        <w:t>the detailed</w:t>
      </w:r>
      <w:r w:rsidR="0052707B" w:rsidRPr="00CA70D0">
        <w:rPr>
          <w:rStyle w:val="Teletype"/>
          <w:rFonts w:ascii="Times New Roman" w:hAnsi="Times New Roman" w:cs="Times New Roman"/>
          <w:lang w:val="en-US"/>
        </w:rPr>
        <w:t xml:space="preserve"> analysis, we </w:t>
      </w:r>
      <w:r w:rsidR="009D7FAC" w:rsidRPr="00CA70D0">
        <w:rPr>
          <w:rStyle w:val="Teletype"/>
          <w:rFonts w:ascii="Times New Roman" w:hAnsi="Times New Roman" w:cs="Times New Roman"/>
          <w:lang w:val="en-US"/>
        </w:rPr>
        <w:t>took the</w:t>
      </w:r>
      <w:r w:rsidR="0052707B" w:rsidRPr="00CA70D0">
        <w:rPr>
          <w:rStyle w:val="Teletype"/>
          <w:rFonts w:ascii="Times New Roman" w:hAnsi="Times New Roman" w:cs="Times New Roman"/>
          <w:lang w:val="en-US"/>
        </w:rPr>
        <w:t xml:space="preserve"> </w:t>
      </w:r>
      <w:r w:rsidR="009D7FAC" w:rsidRPr="00CA70D0">
        <w:rPr>
          <w:rStyle w:val="Teletype"/>
          <w:rFonts w:ascii="Times New Roman" w:hAnsi="Times New Roman" w:cs="Times New Roman"/>
          <w:lang w:val="en-US"/>
        </w:rPr>
        <w:t xml:space="preserve">cyclohexamide-assisted data for </w:t>
      </w:r>
      <w:r w:rsidR="0052707B" w:rsidRPr="00CA70D0">
        <w:rPr>
          <w:rStyle w:val="Teletype"/>
          <w:rFonts w:ascii="Times New Roman" w:hAnsi="Times New Roman" w:cs="Times New Roman"/>
          <w:lang w:val="en-US"/>
        </w:rPr>
        <w:t xml:space="preserve">the ribo-seq, </w:t>
      </w:r>
      <w:r w:rsidR="000852A8" w:rsidRPr="00CA70D0">
        <w:rPr>
          <w:rStyle w:val="Teletype"/>
          <w:rFonts w:ascii="Times New Roman" w:hAnsi="Times New Roman" w:cs="Times New Roman"/>
          <w:lang w:val="en-US"/>
        </w:rPr>
        <w:t>because this type of data</w:t>
      </w:r>
      <w:r w:rsidR="0052707B" w:rsidRPr="00CA70D0">
        <w:rPr>
          <w:rStyle w:val="Teletype"/>
          <w:rFonts w:ascii="Times New Roman" w:hAnsi="Times New Roman" w:cs="Times New Roman"/>
          <w:lang w:val="en-US"/>
        </w:rPr>
        <w:t xml:space="preserve"> </w:t>
      </w:r>
      <w:r w:rsidR="000852A8" w:rsidRPr="00CA70D0">
        <w:rPr>
          <w:rStyle w:val="Teletype"/>
          <w:rFonts w:ascii="Times New Roman" w:hAnsi="Times New Roman" w:cs="Times New Roman"/>
          <w:lang w:val="en-US"/>
        </w:rPr>
        <w:t>was reported</w:t>
      </w:r>
      <w:r w:rsidR="0052707B" w:rsidRPr="00CA70D0">
        <w:rPr>
          <w:rStyle w:val="Teletype"/>
          <w:rFonts w:ascii="Times New Roman" w:hAnsi="Times New Roman" w:cs="Times New Roman"/>
          <w:lang w:val="en-US"/>
        </w:rPr>
        <w:t xml:space="preserve"> to be less vulnerable to systemic bias in comparison with the harringtonine-assisted ribo-seq </w:t>
      </w:r>
      <w:r w:rsidR="000852A8" w:rsidRPr="00CA70D0">
        <w:rPr>
          <w:rStyle w:val="Teletype"/>
          <w:rFonts w:ascii="Times New Roman" w:hAnsi="Times New Roman" w:cs="Times New Roman"/>
          <w:lang w:val="en-US"/>
        </w:rPr>
        <w:t xml:space="preserve">data </w:t>
      </w:r>
      <w:r w:rsidR="0052707B" w:rsidRPr="00CA70D0">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{"citationID":"oyzPKaUA","properties":{"formattedCitation":"[15, 16]","plainCitation":"[15, 16]"},"citationItems":[{"id":"I80eUAjo/jGxCbUuH","uris":["http://zotero.org/users/local/YlgL0u7w/items/N8QI9KXV"],"uri":["http://zotero.org/users/local/YlgL0u7w/items/N8QI9KXV"],"itemData":{"id":"I80eUAjo/jGxCbUuH","type":"article-journal","title":"Ribosome profiling of mouse embryonic stem cells reveals the complexity and dynamics of mammalian proteomes","container-title":"Cell","page":"789-802","volume":"147","issue":"4","source":"PubMed","abstract":"The ability to sequence genomes has far outstripped approaches for deciphering the information they encode. Here we present a suite of techniques, based on ribosome profiling (the deep sequencing of ribosome-protected mRNA fragments), to provide genome-wide maps of protein synthesis as well as a pulse-chase strategy for determining rates of translation elongation. We exploit the propensity of harringtonine to cause ribosomes to accumulate at sites of translation initiation together with a machine learning algorithm to define protein products systematically. Analysis of translation in mouse embryonic stem cells reveals thousands of strong pause sites and unannotated translation products. These include amino-terminal extensions and truncations and upstream open reading frames with regulatory potential, initiated at both AUG and non-AUG codons, whose translation changes after differentiation. We also define a class of short, polycistronic ribosome-associated coding RNAs (sprcRNAs) that encode small proteins. Our studies reveal an unanticipated complexity to mammalian proteomes.","DOI":"10.1016/j.cell.2011.10.002","ISSN":"1097-4172","note":"PMID: 22056041\nPMCID: PMC3225288","journalAbbreviation":"Cell","language":"eng","author":[{"family":"Ingolia","given":"Nicholas T."},{"family":"Lareau","given":"Liana F."},{"family":"Weissman","given":"Jonathan S."}],"issued":{"date-parts":[["2011",11,11]]},"PMID":"22056041","PMCID":"PMC3225288"}},{"id":437,"uris":["http://zotero.org/users/local/YlgL0u7w/items/DFQZMNFB"],"uri":["http://zotero.org/users/local/YlgL0u7w/items/DFQZMNFB"],"itemData":{"id":437,"type":"article-journal","title":"Assessment of translational importance of mammalian mRNA sequence features based on Ribo-Seq and mRNA-Seq data","container-title":"Journal of Bioinformatics and Computational Biology","page":"1641006","volume":"14","issue":"2","source":"PubMed","abstract":"Ribosome profiling technology (Ribo-Seq) allowed to highlight more details of mRNA translation in cell and get additional information on importance of mRNA sequence features for this process. Application of translation inhibitors like harringtonine and cycloheximide along with mRNA-Seq technique helped to assess such important characteristic as translation efficiency. We assessed the translational importance of features of mRNA sequences with the help of statistical analysis of Ribo-Seq and mRNA-Seq data. Translationally important features known from literature as well as proposed by the authors were used in analysis. Such comparisons as protein coding versus non-coding RNAs and high- versus low-translated mRNAs were performed. We revealed a set of features that allowed to discriminate the compared categories of RNA. Significant relationships between mRNA features and efficiency of translation were also established.","DOI":"10.1142/S0219720016410067","ISSN":"1757-6334","note":"PMID: 27122318","journalAbbreviation":"J Bioinform Comput Biol","language":"eng","author":[{"family":"Volkova","given":"Oxana A."},{"family":"Kondrakhin","given":"Yury V."},{"family":"Yevshin","given":"Ivan S."},{"family":"Valeev","given":"Tagir F."},{"family":"Sharipov","given":"Ruslan N."}],"issued":{"date-parts":[["2016"]]},"PMID":"27122318"}}],"schema":"https://github.com/citation-style-language/schema/raw/master/csl-citation.json"} </w:instrText>
      </w:r>
      <w:r w:rsidR="0052707B" w:rsidRPr="00CA70D0">
        <w:rPr>
          <w:rStyle w:val="Teletype"/>
          <w:rFonts w:ascii="Times New Roman" w:hAnsi="Times New Roman" w:cs="Times New Roman"/>
          <w:lang w:val="en-US"/>
        </w:rPr>
        <w:fldChar w:fldCharType="separate"/>
      </w:r>
      <w:r w:rsidR="00A87E82" w:rsidRPr="00662FBB">
        <w:rPr>
          <w:rFonts w:ascii="Times New Roman" w:hAnsi="Times New Roman"/>
          <w:lang w:val="en-US"/>
        </w:rPr>
        <w:t>[15, 16]</w:t>
      </w:r>
      <w:r w:rsidR="0052707B" w:rsidRPr="00CA70D0">
        <w:rPr>
          <w:rStyle w:val="Teletype"/>
          <w:rFonts w:ascii="Times New Roman" w:hAnsi="Times New Roman" w:cs="Times New Roman"/>
          <w:lang w:val="en-US"/>
        </w:rPr>
        <w:fldChar w:fldCharType="end"/>
      </w:r>
      <w:r w:rsidR="0052707B" w:rsidRPr="00CA70D0">
        <w:rPr>
          <w:rStyle w:val="Teletype"/>
          <w:rFonts w:ascii="Times New Roman" w:hAnsi="Times New Roman" w:cs="Times New Roman"/>
          <w:lang w:val="en-US"/>
        </w:rPr>
        <w:t xml:space="preserve">.  </w:t>
      </w:r>
    </w:p>
    <w:p w:rsidR="0052707B" w:rsidRPr="00CA70D0" w:rsidRDefault="0052707B" w:rsidP="00B85B3B">
      <w:pPr>
        <w:pStyle w:val="ListParagraph"/>
        <w:spacing w:after="200"/>
        <w:ind w:left="0"/>
        <w:rPr>
          <w:rStyle w:val="Teletype"/>
          <w:rFonts w:ascii="Times New Roman" w:hAnsi="Times New Roman" w:cs="Times New Roman"/>
          <w:lang w:val="en-US"/>
        </w:rPr>
      </w:pPr>
    </w:p>
    <w:p w:rsidR="0052707B" w:rsidRPr="00CA70D0" w:rsidRDefault="0052707B" w:rsidP="008F7CC2">
      <w:pPr>
        <w:pStyle w:val="ListParagraph"/>
        <w:spacing w:after="200" w:line="360" w:lineRule="auto"/>
        <w:ind w:left="0"/>
        <w:rPr>
          <w:rStyle w:val="Teletype"/>
          <w:rFonts w:ascii="Times New Roman" w:hAnsi="Times New Roman" w:cs="Times New Roman"/>
          <w:lang w:val="en-US"/>
        </w:rPr>
      </w:pPr>
      <w:r w:rsidRPr="00CA70D0">
        <w:rPr>
          <w:rStyle w:val="Teletype"/>
          <w:rFonts w:ascii="Times New Roman" w:hAnsi="Times New Roman" w:cs="Times New Roman"/>
          <w:lang w:val="en-US"/>
        </w:rPr>
        <w:lastRenderedPageBreak/>
        <w:t>Since microRNA</w:t>
      </w:r>
      <w:r w:rsidR="00423646" w:rsidRPr="00CA70D0">
        <w:rPr>
          <w:rStyle w:val="Teletype"/>
          <w:rFonts w:ascii="Times New Roman" w:hAnsi="Times New Roman" w:cs="Times New Roman"/>
          <w:lang w:val="en-US"/>
        </w:rPr>
        <w:t>s</w:t>
      </w:r>
      <w:r w:rsidRPr="00CA70D0">
        <w:rPr>
          <w:rStyle w:val="Teletype"/>
          <w:rFonts w:ascii="Times New Roman" w:hAnsi="Times New Roman" w:cs="Times New Roman"/>
          <w:lang w:val="en-US"/>
        </w:rPr>
        <w:t xml:space="preserve"> inhibit translation of </w:t>
      </w:r>
      <w:r w:rsidR="00423646" w:rsidRPr="00CA70D0">
        <w:rPr>
          <w:rStyle w:val="Teletype"/>
          <w:rFonts w:ascii="Times New Roman" w:hAnsi="Times New Roman" w:cs="Times New Roman"/>
          <w:lang w:val="en-US"/>
        </w:rPr>
        <w:t xml:space="preserve">their </w:t>
      </w:r>
      <w:r w:rsidRPr="00CA70D0">
        <w:rPr>
          <w:rStyle w:val="Teletype"/>
          <w:rFonts w:ascii="Times New Roman" w:hAnsi="Times New Roman" w:cs="Times New Roman"/>
          <w:lang w:val="en-US"/>
        </w:rPr>
        <w:t>target mRNA</w:t>
      </w:r>
      <w:r w:rsidR="00423646" w:rsidRPr="00CA70D0">
        <w:rPr>
          <w:rStyle w:val="Teletype"/>
          <w:rFonts w:ascii="Times New Roman" w:hAnsi="Times New Roman" w:cs="Times New Roman"/>
          <w:lang w:val="en-US"/>
        </w:rPr>
        <w:t>s</w:t>
      </w:r>
      <w:r w:rsidRPr="00CA70D0">
        <w:rPr>
          <w:rStyle w:val="Teletype"/>
          <w:rFonts w:ascii="Times New Roman" w:hAnsi="Times New Roman" w:cs="Times New Roman"/>
          <w:lang w:val="en-US"/>
        </w:rPr>
        <w:t xml:space="preserve">, </w:t>
      </w:r>
      <w:r w:rsidR="001E26B2" w:rsidRPr="00CA70D0">
        <w:rPr>
          <w:rStyle w:val="Teletype"/>
          <w:rFonts w:ascii="Times New Roman" w:hAnsi="Times New Roman" w:cs="Times New Roman"/>
          <w:lang w:val="en-US"/>
        </w:rPr>
        <w:t xml:space="preserve">theoretically </w:t>
      </w:r>
      <w:r w:rsidR="008A2A17" w:rsidRPr="00CA70D0">
        <w:rPr>
          <w:rStyle w:val="Teletype"/>
          <w:rFonts w:ascii="Times New Roman" w:hAnsi="Times New Roman" w:cs="Times New Roman"/>
          <w:lang w:val="en-US"/>
        </w:rPr>
        <w:t>this</w:t>
      </w:r>
      <w:r w:rsidRPr="00CA70D0">
        <w:rPr>
          <w:rStyle w:val="Teletype"/>
          <w:rFonts w:ascii="Times New Roman" w:hAnsi="Times New Roman" w:cs="Times New Roman"/>
          <w:lang w:val="en-US"/>
        </w:rPr>
        <w:t xml:space="preserve"> inhibition may </w:t>
      </w:r>
      <w:r w:rsidR="004B01B1" w:rsidRPr="00CA70D0">
        <w:rPr>
          <w:rStyle w:val="Teletype"/>
          <w:rFonts w:ascii="Times New Roman" w:hAnsi="Times New Roman" w:cs="Times New Roman"/>
          <w:lang w:val="en-US"/>
        </w:rPr>
        <w:t>at least partly explain the differences</w:t>
      </w:r>
      <w:r w:rsidRPr="00CA70D0">
        <w:rPr>
          <w:rStyle w:val="Teletype"/>
          <w:rFonts w:ascii="Times New Roman" w:hAnsi="Times New Roman" w:cs="Times New Roman"/>
          <w:lang w:val="en-US"/>
        </w:rPr>
        <w:t xml:space="preserve"> between the </w:t>
      </w:r>
      <w:r w:rsidR="004B01B1" w:rsidRPr="00CA70D0">
        <w:rPr>
          <w:rStyle w:val="Teletype"/>
          <w:rFonts w:ascii="Times New Roman" w:hAnsi="Times New Roman" w:cs="Times New Roman"/>
          <w:lang w:val="en-US"/>
        </w:rPr>
        <w:t xml:space="preserve">gene expression profiles deduced from the </w:t>
      </w:r>
      <w:r w:rsidRPr="00CA70D0">
        <w:rPr>
          <w:rStyle w:val="Teletype"/>
          <w:rFonts w:ascii="Times New Roman" w:hAnsi="Times New Roman" w:cs="Times New Roman"/>
          <w:lang w:val="en-US"/>
        </w:rPr>
        <w:t>total mRNA</w:t>
      </w:r>
      <w:r w:rsidR="004B01B1" w:rsidRPr="00CA70D0">
        <w:rPr>
          <w:rStyle w:val="Teletype"/>
          <w:rFonts w:ascii="Times New Roman" w:hAnsi="Times New Roman" w:cs="Times New Roman"/>
          <w:lang w:val="en-US"/>
        </w:rPr>
        <w:t xml:space="preserve"> </w:t>
      </w:r>
      <w:r w:rsidRPr="00CA70D0">
        <w:rPr>
          <w:rStyle w:val="Teletype"/>
          <w:rFonts w:ascii="Times New Roman" w:hAnsi="Times New Roman" w:cs="Times New Roman"/>
          <w:lang w:val="en-US"/>
        </w:rPr>
        <w:t>seq</w:t>
      </w:r>
      <w:r w:rsidR="004B01B1" w:rsidRPr="00CA70D0">
        <w:rPr>
          <w:rStyle w:val="Teletype"/>
          <w:rFonts w:ascii="Times New Roman" w:hAnsi="Times New Roman" w:cs="Times New Roman"/>
          <w:lang w:val="en-US"/>
        </w:rPr>
        <w:t>uencing</w:t>
      </w:r>
      <w:r w:rsidRPr="00CA70D0">
        <w:rPr>
          <w:rStyle w:val="Teletype"/>
          <w:rFonts w:ascii="Times New Roman" w:hAnsi="Times New Roman" w:cs="Times New Roman"/>
          <w:lang w:val="en-US"/>
        </w:rPr>
        <w:t xml:space="preserve"> </w:t>
      </w:r>
      <w:r w:rsidR="004B01B1" w:rsidRPr="00CA70D0">
        <w:rPr>
          <w:rStyle w:val="Teletype"/>
          <w:rFonts w:ascii="Times New Roman" w:hAnsi="Times New Roman" w:cs="Times New Roman"/>
          <w:lang w:val="en-US"/>
        </w:rPr>
        <w:t>and</w:t>
      </w:r>
      <w:r w:rsidRPr="00CA70D0">
        <w:rPr>
          <w:rStyle w:val="Teletype"/>
          <w:rFonts w:ascii="Times New Roman" w:hAnsi="Times New Roman" w:cs="Times New Roman"/>
          <w:lang w:val="en-US"/>
        </w:rPr>
        <w:t xml:space="preserve"> </w:t>
      </w:r>
      <w:r w:rsidR="004B01B1" w:rsidRPr="00CA70D0">
        <w:rPr>
          <w:rStyle w:val="Teletype"/>
          <w:rFonts w:ascii="Times New Roman" w:hAnsi="Times New Roman" w:cs="Times New Roman"/>
          <w:lang w:val="en-US"/>
        </w:rPr>
        <w:t xml:space="preserve">from the </w:t>
      </w:r>
      <w:r w:rsidRPr="00CA70D0">
        <w:rPr>
          <w:rStyle w:val="Teletype"/>
          <w:rFonts w:ascii="Times New Roman" w:hAnsi="Times New Roman" w:cs="Times New Roman"/>
          <w:lang w:val="en-US"/>
        </w:rPr>
        <w:t>ribo-seq profiling</w:t>
      </w:r>
      <w:r w:rsidR="004B01B1" w:rsidRPr="00CA70D0">
        <w:rPr>
          <w:rStyle w:val="Teletype"/>
          <w:rFonts w:ascii="Times New Roman" w:hAnsi="Times New Roman" w:cs="Times New Roman"/>
          <w:lang w:val="en-US"/>
        </w:rPr>
        <w:t xml:space="preserve"> data</w:t>
      </w:r>
      <w:r w:rsidRPr="00CA70D0">
        <w:rPr>
          <w:rStyle w:val="Teletype"/>
          <w:rFonts w:ascii="Times New Roman" w:hAnsi="Times New Roman" w:cs="Times New Roman"/>
          <w:lang w:val="en-US"/>
        </w:rPr>
        <w:t xml:space="preserve">, both at the level of </w:t>
      </w:r>
      <w:r w:rsidR="004B01B1" w:rsidRPr="00CA70D0">
        <w:rPr>
          <w:rStyle w:val="Teletype"/>
          <w:rFonts w:ascii="Times New Roman" w:hAnsi="Times New Roman" w:cs="Times New Roman"/>
          <w:lang w:val="en-US"/>
        </w:rPr>
        <w:t>single</w:t>
      </w:r>
      <w:r w:rsidRPr="00CA70D0">
        <w:rPr>
          <w:rStyle w:val="Teletype"/>
          <w:rFonts w:ascii="Times New Roman" w:hAnsi="Times New Roman" w:cs="Times New Roman"/>
          <w:lang w:val="en-US"/>
        </w:rPr>
        <w:t xml:space="preserve"> genes and </w:t>
      </w:r>
      <w:r w:rsidR="004B01B1" w:rsidRPr="00CA70D0">
        <w:rPr>
          <w:rStyle w:val="Teletype"/>
          <w:rFonts w:ascii="Times New Roman" w:hAnsi="Times New Roman" w:cs="Times New Roman"/>
          <w:lang w:val="en-US"/>
        </w:rPr>
        <w:t>molecular</w:t>
      </w:r>
      <w:r w:rsidRPr="00CA70D0">
        <w:rPr>
          <w:rStyle w:val="Teletype"/>
          <w:rFonts w:ascii="Times New Roman" w:hAnsi="Times New Roman" w:cs="Times New Roman"/>
          <w:lang w:val="en-US"/>
        </w:rPr>
        <w:t xml:space="preserve"> pathways.       </w:t>
      </w:r>
    </w:p>
    <w:p w:rsidR="0052707B" w:rsidRPr="00CA70D0" w:rsidRDefault="0052707B" w:rsidP="008F7CC2">
      <w:pPr>
        <w:pStyle w:val="ListParagraph"/>
        <w:spacing w:after="200" w:line="360" w:lineRule="auto"/>
        <w:ind w:left="0"/>
        <w:rPr>
          <w:rStyle w:val="Teletype"/>
          <w:rFonts w:ascii="Times New Roman" w:hAnsi="Times New Roman" w:cs="Times New Roman"/>
          <w:lang w:val="en-US"/>
        </w:rPr>
      </w:pPr>
    </w:p>
    <w:p w:rsidR="0052707B" w:rsidRPr="00CA70D0" w:rsidRDefault="00FE4D83" w:rsidP="008F7CC2">
      <w:pPr>
        <w:pStyle w:val="ListParagraph"/>
        <w:spacing w:after="200" w:line="360" w:lineRule="auto"/>
        <w:ind w:left="0"/>
        <w:rPr>
          <w:rFonts w:ascii="Times New Roman" w:hAnsi="Times New Roman"/>
          <w:position w:val="-28"/>
          <w:lang w:val="en-US"/>
        </w:rPr>
      </w:pPr>
      <w:r w:rsidRPr="00CA70D0">
        <w:rPr>
          <w:rStyle w:val="Teletype"/>
          <w:rFonts w:ascii="Times New Roman" w:hAnsi="Times New Roman" w:cs="Times New Roman"/>
          <w:lang w:val="en-US"/>
        </w:rPr>
        <w:t>Similar to</w:t>
      </w:r>
      <w:r w:rsidR="00C30B49" w:rsidRPr="00CA70D0">
        <w:rPr>
          <w:rStyle w:val="Teletype"/>
          <w:rFonts w:ascii="Times New Roman" w:hAnsi="Times New Roman" w:cs="Times New Roman"/>
          <w:lang w:val="en-US"/>
        </w:rPr>
        <w:t xml:space="preserve"> </w:t>
      </w:r>
      <w:r w:rsidRPr="00CA70D0">
        <w:rPr>
          <w:rStyle w:val="Teletype"/>
          <w:rFonts w:ascii="Times New Roman" w:hAnsi="Times New Roman" w:cs="Times New Roman"/>
          <w:lang w:val="en-US"/>
        </w:rPr>
        <w:t>CNR and PAS concepts</w:t>
      </w:r>
      <w:r w:rsidR="006D7A48" w:rsidRPr="00CA70D0">
        <w:rPr>
          <w:rStyle w:val="Teletype"/>
          <w:rFonts w:ascii="Times New Roman" w:hAnsi="Times New Roman" w:cs="Times New Roman"/>
          <w:lang w:val="en-US"/>
        </w:rPr>
        <w:t xml:space="preserve"> for protei</w:t>
      </w:r>
      <w:r w:rsidRPr="00CA70D0">
        <w:rPr>
          <w:rStyle w:val="Teletype"/>
          <w:rFonts w:ascii="Times New Roman" w:hAnsi="Times New Roman" w:cs="Times New Roman"/>
          <w:lang w:val="en-US"/>
        </w:rPr>
        <w:t>n-coding genes</w:t>
      </w:r>
      <w:r w:rsidR="00CE2086" w:rsidRPr="00CA70D0">
        <w:rPr>
          <w:rStyle w:val="Teletype"/>
          <w:rFonts w:ascii="Times New Roman" w:hAnsi="Times New Roman" w:cs="Times New Roman"/>
          <w:lang w:val="en-US"/>
        </w:rPr>
        <w:t xml:space="preserve"> and their transcripts</w:t>
      </w:r>
      <w:r w:rsidRPr="00CA70D0">
        <w:rPr>
          <w:rStyle w:val="Teletype"/>
          <w:rFonts w:ascii="Times New Roman" w:hAnsi="Times New Roman" w:cs="Times New Roman"/>
          <w:lang w:val="en-US"/>
        </w:rPr>
        <w:t>, the corresponding valu</w:t>
      </w:r>
      <w:r w:rsidR="006D7A48" w:rsidRPr="00CA70D0">
        <w:rPr>
          <w:rStyle w:val="Teletype"/>
          <w:rFonts w:ascii="Times New Roman" w:hAnsi="Times New Roman" w:cs="Times New Roman"/>
          <w:lang w:val="en-US"/>
        </w:rPr>
        <w:t>es</w:t>
      </w:r>
      <w:r w:rsidR="00F52282" w:rsidRPr="00CA70D0">
        <w:rPr>
          <w:rStyle w:val="Teletype"/>
          <w:rFonts w:ascii="Times New Roman" w:hAnsi="Times New Roman" w:cs="Times New Roman"/>
          <w:lang w:val="en-US"/>
        </w:rPr>
        <w:t xml:space="preserve"> </w:t>
      </w:r>
      <w:r w:rsidR="006D7A48" w:rsidRPr="00CA70D0">
        <w:rPr>
          <w:rStyle w:val="Teletype"/>
          <w:rFonts w:ascii="Times New Roman" w:hAnsi="Times New Roman" w:cs="Times New Roman"/>
          <w:lang w:val="en-US"/>
        </w:rPr>
        <w:t>describ</w:t>
      </w:r>
      <w:r w:rsidR="00F52282" w:rsidRPr="00CA70D0">
        <w:rPr>
          <w:rStyle w:val="Teletype"/>
          <w:rFonts w:ascii="Times New Roman" w:hAnsi="Times New Roman" w:cs="Times New Roman"/>
          <w:lang w:val="en-US"/>
        </w:rPr>
        <w:t>ing</w:t>
      </w:r>
      <w:r w:rsidR="006D7A48" w:rsidRPr="00CA70D0">
        <w:rPr>
          <w:rStyle w:val="Teletype"/>
          <w:rFonts w:ascii="Times New Roman" w:hAnsi="Times New Roman" w:cs="Times New Roman"/>
          <w:lang w:val="en-US"/>
        </w:rPr>
        <w:t xml:space="preserve"> </w:t>
      </w:r>
      <w:r w:rsidR="008508EC" w:rsidRPr="00CA70D0">
        <w:rPr>
          <w:rStyle w:val="Teletype"/>
          <w:rFonts w:ascii="Times New Roman" w:hAnsi="Times New Roman" w:cs="Times New Roman"/>
          <w:lang w:val="en-US"/>
        </w:rPr>
        <w:t>impact of total microRNA profiles on</w:t>
      </w:r>
      <w:r w:rsidR="006D7A48" w:rsidRPr="00CA70D0">
        <w:rPr>
          <w:rStyle w:val="Teletype"/>
          <w:rFonts w:ascii="Times New Roman" w:hAnsi="Times New Roman" w:cs="Times New Roman"/>
          <w:lang w:val="en-US"/>
        </w:rPr>
        <w:t xml:space="preserve"> translation,</w:t>
      </w:r>
      <w:r w:rsidRPr="00CA70D0">
        <w:rPr>
          <w:rStyle w:val="Teletype"/>
          <w:rFonts w:ascii="Times New Roman" w:hAnsi="Times New Roman" w:cs="Times New Roman"/>
          <w:lang w:val="en-US"/>
        </w:rPr>
        <w:t xml:space="preserve"> </w:t>
      </w:r>
      <w:r w:rsidR="008718A8" w:rsidRPr="00CA70D0">
        <w:rPr>
          <w:rStyle w:val="Teletype"/>
          <w:rFonts w:ascii="Times New Roman" w:hAnsi="Times New Roman" w:cs="Times New Roman"/>
          <w:lang w:val="en-US"/>
        </w:rPr>
        <w:t>can be</w:t>
      </w:r>
      <w:r w:rsidRPr="00CA70D0">
        <w:rPr>
          <w:rStyle w:val="Teletype"/>
          <w:rFonts w:ascii="Times New Roman" w:hAnsi="Times New Roman" w:cs="Times New Roman"/>
          <w:lang w:val="en-US"/>
        </w:rPr>
        <w:t xml:space="preserve"> calculate</w:t>
      </w:r>
      <w:r w:rsidR="0052756B" w:rsidRPr="00CA70D0">
        <w:rPr>
          <w:rStyle w:val="Teletype"/>
          <w:rFonts w:ascii="Times New Roman" w:hAnsi="Times New Roman" w:cs="Times New Roman"/>
          <w:lang w:val="en-US"/>
        </w:rPr>
        <w:t xml:space="preserve">d. </w:t>
      </w:r>
      <w:r w:rsidR="00676E6B" w:rsidRPr="00CA70D0">
        <w:rPr>
          <w:rStyle w:val="Teletype"/>
          <w:rFonts w:ascii="Times New Roman" w:hAnsi="Times New Roman" w:cs="Times New Roman"/>
          <w:lang w:val="en-US"/>
        </w:rPr>
        <w:t xml:space="preserve">Recently, a formula was published for the miRNA-based pathway activation strength calculations </w:t>
      </w:r>
      <w:r w:rsidR="00676E6B" w:rsidRPr="00CA70D0">
        <w:rPr>
          <w:rFonts w:ascii="Times New Roman" w:hAnsi="Times New Roman"/>
          <w:lang w:val="en-US"/>
        </w:rPr>
        <w:fldChar w:fldCharType="begin"/>
      </w:r>
      <w:r w:rsidR="00A87E82">
        <w:rPr>
          <w:rFonts w:ascii="Times New Roman" w:hAnsi="Times New Roman"/>
          <w:lang w:val="en-US"/>
        </w:rPr>
        <w:instrText xml:space="preserve"> ADDIN ZOTERO_ITEM CSL_CITATION {"citationID":"isxg1M5k","properties":{"formattedCitation":"[17, 18]","plainCitation":"[17, 18]"},"citationItems":[{"id":357,"uris":["http://zotero.org/users/local/YlgL0u7w/items/69A9GWN8"],"uri":["http://zotero.org/users/local/YlgL0u7w/items/69A9GWN8"],"itemData":{"id":357,"type":"article-journal","title":"MiRImpact, a new bioinformatic method using complete microRNA expression profiles to assess their overall influence on the activity of intracellular molecular pathways","container-title":"Cell Cycle (Georgetown, Tex.)","page":"689-698","volume":"15","issue":"5","source":"PubMed","abstract":"MicroRNAs (miRs) are short noncoding RNA molecules that regulate expression of target mRNAs. Many published sources provide information about miRs and their targets. However, bioinformatic tools elucidating higher level impact of the established total miR profiles, are still largely missing. Recently, we developed a method termed OncoFinder enabling quantification of the activities of intracellular molecular pathways basing on gene expression data. Here we propose a new technique, MiRImpact, which enables to link miR expression data with its estimated outcome on the regulation of molecular pathways, like signaling, metabolic, cytoskeleton rearrangement, and DNA repair pathways. MiRImpact uses OncoFinder rationale for pathway activity calculations, with the major distinctions that (i) it deals with the concentrations of miRs--known regulators of gene products participating in molecular pathways, and (ii) miRs are considered as negative regulators of target molecules, if other is not specified. MiRImpact operates with 2 types of databases: for molecular targets of miRs and for gene products participating in molecular pathways. We applied MiRImpact to compare regulation of human bladder cancer-specific signaling pathways at the levels of mRNA and miR expression. We took 2 most complete alternative databases of experimentally validated miR targets--miRTarBase and DianaTarBase, and an OncoFinder database featuring 2725 gene products and 271 signaling pathways. We showed that the impact of miRs is orthogonal to pathway regulation at the mRNA level, which stresses the importance of studying posttranscriptional regulation of gene expression. We also report characteristic set of miR and mRNA regulation features linked with bladder cancer.","DOI":"10.1080/15384101.2016.1147633","ISSN":"1551-4005","journalAbbreviation":"Cell Cycle","language":"eng","author":[{"family":"Artcibasova","given":"Alina V."},{"family":"Korzinkin","given":"Mikhail B."},{"family":"Sorokin","given":"Maksim I."},{"family":"Shegay","given":"Peter V."},{"family":"Zhavoronkov","given":"Alex A."},{"family":"Gaifullin","given":"Nurshat"},{"family":"Alekseev","given":"Boris Y."},{"family":"Vorobyev","given":"Nikolay V."},{"family":"Kuzmin","given":"Denis V."},{"family":"Kaprin","given":"Аndrey D."},{"family":"Borisov","given":"Nikolay M."},{"family":"Buzdin","given":"Anton A."}],"issued":{"date-parts":[["2016"]]}}},{"id":"I80eUAjo/kSUBG182","uris":["http://zotero.org/users/local/YlgL0u7w/items/5FVMJT2G"],"uri":["http://zotero.org/users/local/YlgL0u7w/items/5FVMJT2G"],"itemData":{"id":"I80eUAjo/kSUBG182","type":"article-journal","title":"Early stage of cytomegalovirus infection suppresses host microRNA expression regulation in human fibroblasts","container-title":"Cell Cycle (Georgetown, Tex.)","page":"3378-3389","volume":"15","issue":"24","source":"PubMed","abstract":"Responses to human cytomegalovirus (HCMV) infection are largely individual and cell type specific. We investigated molecular profiles in 2 primary cell cultures of human fibroblasts, which are highly or marginally sensitive to HCMV infection, respectively. We screened expression of genes and microRNAs (miRs) at the early (3 hours) stage of infection. To assess molecular pathway activation profiles, we applied bioinformatic algorithms OncoFinder and MiRImpact. In both cell types, pathway regulation properties at mRNA and miR levels were markedly different. Surprisingly, in the infected highly sensitive cells, we observed a \"freeze\" of miR expression profiles compared to uninfected controls. Our results evidence that in the sensitive cells, HCMV blocks intracellular regulation of microRNA expression already at the earliest stage of infection. These data suggest somewhat new functions for HCMV products and demonstrate dependence of miR expression arrest on the host-encoded factors.","DOI":"10.1080/15384101.2016.1241928","ISSN":"1551-4005","note":"PMID: 28051642\nPMCID: PMC5224468","journalAbbreviation":"Cell Cycle","language":"eng","author":[{"family":"Buzdin","given":"Anton A."},{"family":"Artcibasova","given":"Alina V."},{"family":"Fedorova","given":"Natalya F."},{"family":"Suntsova","given":"Maria V."},{"family":"Garazha","given":"Andrew V."},{"family":"Sorokin","given":"Maxim I."},{"family":"Allina","given":"Daria"},{"family":"Shalatonin","given":"Mikhail"},{"family":"Borisov","given":"Nikolay M."},{"family":"Zhavoronkov","given":"Alex A."},{"family":"Kovalchuk","given":"Igor"},{"family":"Kovalchuk","given":"Olga"},{"family":"Kushch","given":"Alla A."}],"issued":{"date-parts":[["2016",12,16]]},"PMID":"28051642","PMCID":"PMC5224468"}}],"schema":"https://github.com/citation-style-language/schema/raw/master/csl-citation.json"} </w:instrText>
      </w:r>
      <w:r w:rsidR="00676E6B" w:rsidRPr="00CA70D0">
        <w:rPr>
          <w:rFonts w:ascii="Times New Roman" w:hAnsi="Times New Roman"/>
          <w:lang w:val="en-US"/>
        </w:rPr>
        <w:fldChar w:fldCharType="separate"/>
      </w:r>
      <w:r w:rsidR="00A87E82" w:rsidRPr="00A87E82">
        <w:rPr>
          <w:rFonts w:ascii="Times New Roman" w:hAnsi="Times New Roman"/>
        </w:rPr>
        <w:t>[17, 18]</w:t>
      </w:r>
      <w:r w:rsidR="00676E6B" w:rsidRPr="00CA70D0">
        <w:rPr>
          <w:rFonts w:ascii="Times New Roman" w:hAnsi="Times New Roman"/>
          <w:lang w:val="en-US"/>
        </w:rPr>
        <w:fldChar w:fldCharType="end"/>
      </w:r>
      <w:r w:rsidR="00676E6B" w:rsidRPr="00CA70D0">
        <w:rPr>
          <w:rFonts w:ascii="Times New Roman" w:hAnsi="Times New Roman"/>
          <w:lang w:val="en-US"/>
        </w:rPr>
        <w:t xml:space="preserve">. </w:t>
      </w:r>
      <w:r w:rsidR="00E34744" w:rsidRPr="00CA70D0">
        <w:rPr>
          <w:rStyle w:val="Teletype"/>
          <w:rFonts w:ascii="Times New Roman" w:hAnsi="Times New Roman" w:cs="Times New Roman"/>
          <w:lang w:val="en-US"/>
        </w:rPr>
        <w:t>F</w:t>
      </w:r>
      <w:r w:rsidR="0052707B" w:rsidRPr="00CA70D0">
        <w:rPr>
          <w:rStyle w:val="Teletype"/>
          <w:rFonts w:ascii="Times New Roman" w:hAnsi="Times New Roman" w:cs="Times New Roman"/>
          <w:lang w:val="en-US"/>
        </w:rPr>
        <w:t xml:space="preserve">or any distinct protein-coding gene </w:t>
      </w:r>
      <w:r w:rsidR="0052707B" w:rsidRPr="00CA70D0">
        <w:rPr>
          <w:rStyle w:val="Teletype"/>
          <w:rFonts w:ascii="Times New Roman" w:hAnsi="Times New Roman" w:cs="Times New Roman"/>
          <w:i/>
          <w:lang w:val="en-US"/>
        </w:rPr>
        <w:t>g</w:t>
      </w:r>
      <w:r w:rsidR="0052707B" w:rsidRPr="00CA70D0">
        <w:rPr>
          <w:rStyle w:val="Teletype"/>
          <w:rFonts w:ascii="Times New Roman" w:hAnsi="Times New Roman" w:cs="Times New Roman"/>
          <w:lang w:val="en-US"/>
        </w:rPr>
        <w:t xml:space="preserve"> inhibited by microRNA</w:t>
      </w:r>
      <w:r w:rsidR="00E34744" w:rsidRPr="00CA70D0">
        <w:rPr>
          <w:rStyle w:val="Teletype"/>
          <w:rFonts w:ascii="Times New Roman" w:hAnsi="Times New Roman" w:cs="Times New Roman"/>
          <w:lang w:val="en-US"/>
        </w:rPr>
        <w:t>s</w:t>
      </w:r>
      <w:r w:rsidR="0068774B" w:rsidRPr="00CA70D0">
        <w:rPr>
          <w:rStyle w:val="Teletype"/>
          <w:rFonts w:ascii="Times New Roman" w:hAnsi="Times New Roman" w:cs="Times New Roman"/>
          <w:lang w:val="en-US"/>
        </w:rPr>
        <w:t xml:space="preserve">, </w:t>
      </w:r>
      <w:r w:rsidR="00E34744" w:rsidRPr="00CA70D0">
        <w:rPr>
          <w:rStyle w:val="Teletype"/>
          <w:rFonts w:ascii="Times New Roman" w:hAnsi="Times New Roman" w:cs="Times New Roman"/>
          <w:lang w:val="en-US"/>
        </w:rPr>
        <w:t>a</w:t>
      </w:r>
      <w:r w:rsidR="0068774B" w:rsidRPr="00CA70D0">
        <w:rPr>
          <w:rStyle w:val="Teletype"/>
          <w:rFonts w:ascii="Times New Roman" w:hAnsi="Times New Roman" w:cs="Times New Roman"/>
          <w:lang w:val="en-US"/>
        </w:rPr>
        <w:t xml:space="preserve"> value </w:t>
      </w:r>
      <w:r w:rsidR="00E34744" w:rsidRPr="00CA70D0">
        <w:rPr>
          <w:rStyle w:val="Teletype"/>
          <w:rFonts w:ascii="Times New Roman" w:hAnsi="Times New Roman" w:cs="Times New Roman"/>
          <w:lang w:val="en-US"/>
        </w:rPr>
        <w:t>indicating miRNA impact on its regulation, is introduced:</w:t>
      </w:r>
      <w:r w:rsidR="00FF2701" w:rsidRPr="00CA70D0">
        <w:rPr>
          <w:rFonts w:ascii="Times New Roman" w:hAnsi="Times New Roman"/>
          <w:position w:val="-28"/>
          <w:lang w:val="en-US"/>
        </w:rPr>
        <w:object w:dxaOrig="3960" w:dyaOrig="540">
          <v:shape id="_x0000_i1030" type="#_x0000_t75" style="width:200.8pt;height:28.4pt" o:ole="" o:bordertopcolor="this" o:borderleftcolor="this" o:borderbottomcolor="this" o:borderrightcolor="this" filled="t">
            <v:fill color2="black"/>
            <v:imagedata r:id="rId18" o:title=""/>
            <w10:bordertop space="4"/>
            <w10:borderleft space="7"/>
            <w10:borderbottom space="4"/>
            <w10:borderright space="7"/>
          </v:shape>
          <o:OLEObject Type="Embed" ProgID="Equation.3" ShapeID="_x0000_i1030" DrawAspect="Content" ObjectID="_1609747542" r:id="rId19"/>
        </w:object>
      </w:r>
    </w:p>
    <w:p w:rsidR="0052707B" w:rsidRPr="00CA70D0" w:rsidRDefault="0052707B" w:rsidP="00B85B3B">
      <w:pPr>
        <w:pStyle w:val="ListParagraph"/>
        <w:spacing w:after="200"/>
        <w:ind w:left="0"/>
        <w:rPr>
          <w:rFonts w:ascii="Times New Roman" w:hAnsi="Times New Roman"/>
          <w:position w:val="-28"/>
          <w:lang w:val="en-US"/>
        </w:rPr>
      </w:pPr>
      <w:r w:rsidRPr="00CA70D0">
        <w:rPr>
          <w:rFonts w:ascii="Times New Roman" w:hAnsi="Times New Roman"/>
          <w:position w:val="-28"/>
          <w:lang w:val="en-US"/>
        </w:rPr>
        <w:t xml:space="preserve">where the summation is performed </w:t>
      </w:r>
      <w:r w:rsidR="00894F8C" w:rsidRPr="00CA70D0">
        <w:rPr>
          <w:rFonts w:ascii="Times New Roman" w:hAnsi="Times New Roman"/>
          <w:position w:val="-28"/>
          <w:lang w:val="en-US"/>
        </w:rPr>
        <w:t>for</w:t>
      </w:r>
      <w:r w:rsidRPr="00CA70D0">
        <w:rPr>
          <w:rFonts w:ascii="Times New Roman" w:hAnsi="Times New Roman"/>
          <w:position w:val="-28"/>
          <w:lang w:val="en-US"/>
        </w:rPr>
        <w:t xml:space="preserve"> all miRNA</w:t>
      </w:r>
      <w:r w:rsidRPr="00CA70D0">
        <w:rPr>
          <w:rFonts w:ascii="Times New Roman" w:hAnsi="Times New Roman"/>
          <w:i/>
          <w:position w:val="-28"/>
          <w:lang w:val="en-US"/>
        </w:rPr>
        <w:t xml:space="preserve"> </w:t>
      </w:r>
      <w:r w:rsidR="00894F8C" w:rsidRPr="00CA70D0">
        <w:rPr>
          <w:rFonts w:ascii="Times New Roman" w:hAnsi="Times New Roman"/>
          <w:position w:val="-28"/>
          <w:lang w:val="en-US"/>
        </w:rPr>
        <w:t xml:space="preserve"> types that specifically inhibit </w:t>
      </w:r>
      <w:r w:rsidRPr="00CA70D0">
        <w:rPr>
          <w:rFonts w:ascii="Times New Roman" w:hAnsi="Times New Roman"/>
          <w:position w:val="-28"/>
          <w:lang w:val="en-US"/>
        </w:rPr>
        <w:t xml:space="preserve"> the </w:t>
      </w:r>
      <w:r w:rsidR="00894F8C" w:rsidRPr="00CA70D0">
        <w:rPr>
          <w:rFonts w:ascii="Times New Roman" w:hAnsi="Times New Roman"/>
          <w:position w:val="-28"/>
          <w:lang w:val="en-US"/>
        </w:rPr>
        <w:t xml:space="preserve">expression of </w:t>
      </w:r>
      <w:r w:rsidRPr="00CA70D0">
        <w:rPr>
          <w:rFonts w:ascii="Times New Roman" w:hAnsi="Times New Roman"/>
          <w:position w:val="-28"/>
          <w:lang w:val="en-US"/>
        </w:rPr>
        <w:t xml:space="preserve">gene </w:t>
      </w:r>
      <w:r w:rsidRPr="00CA70D0">
        <w:rPr>
          <w:rFonts w:ascii="Times New Roman" w:hAnsi="Times New Roman"/>
          <w:i/>
          <w:position w:val="-28"/>
          <w:lang w:val="en-US"/>
        </w:rPr>
        <w:t>g</w:t>
      </w:r>
      <w:r w:rsidR="00894F8C" w:rsidRPr="00CA70D0">
        <w:rPr>
          <w:rFonts w:ascii="Times New Roman" w:hAnsi="Times New Roman"/>
          <w:position w:val="-28"/>
          <w:lang w:val="en-US"/>
        </w:rPr>
        <w:t>;</w:t>
      </w:r>
      <w:r w:rsidRPr="00CA70D0">
        <w:rPr>
          <w:rFonts w:ascii="Times New Roman" w:hAnsi="Times New Roman"/>
          <w:position w:val="-28"/>
          <w:lang w:val="en-US"/>
        </w:rPr>
        <w:t xml:space="preserve"> miCNR</w:t>
      </w:r>
      <w:r w:rsidRPr="00CA70D0">
        <w:rPr>
          <w:rFonts w:ascii="Times New Roman" w:hAnsi="Times New Roman"/>
          <w:i/>
          <w:position w:val="-28"/>
          <w:vertAlign w:val="subscript"/>
          <w:lang w:val="en-US"/>
        </w:rPr>
        <w:t>n</w:t>
      </w:r>
      <w:r w:rsidRPr="00CA70D0">
        <w:rPr>
          <w:rFonts w:ascii="Times New Roman" w:hAnsi="Times New Roman"/>
          <w:position w:val="-28"/>
          <w:lang w:val="en-US"/>
        </w:rPr>
        <w:t xml:space="preserve"> </w:t>
      </w:r>
      <w:r w:rsidR="00894F8C" w:rsidRPr="00CA70D0">
        <w:rPr>
          <w:rFonts w:ascii="Times New Roman" w:hAnsi="Times New Roman"/>
          <w:position w:val="-28"/>
          <w:lang w:val="en-US"/>
        </w:rPr>
        <w:t xml:space="preserve">here </w:t>
      </w:r>
      <w:r w:rsidRPr="00CA70D0">
        <w:rPr>
          <w:rFonts w:ascii="Times New Roman" w:hAnsi="Times New Roman"/>
          <w:position w:val="-28"/>
          <w:lang w:val="en-US"/>
        </w:rPr>
        <w:t>is the case-to-normal ratio of expression levels for a</w:t>
      </w:r>
      <w:r w:rsidRPr="00CA70D0">
        <w:rPr>
          <w:rFonts w:ascii="Times New Roman" w:hAnsi="Times New Roman"/>
          <w:i/>
          <w:position w:val="-28"/>
          <w:lang w:val="en-US"/>
        </w:rPr>
        <w:t xml:space="preserve"> </w:t>
      </w:r>
      <w:r w:rsidR="00A60510" w:rsidRPr="00CA70D0">
        <w:rPr>
          <w:rFonts w:ascii="Times New Roman" w:hAnsi="Times New Roman"/>
          <w:position w:val="-28"/>
          <w:lang w:val="en-US"/>
        </w:rPr>
        <w:t xml:space="preserve">particular </w:t>
      </w:r>
      <w:r w:rsidRPr="00CA70D0">
        <w:rPr>
          <w:rFonts w:ascii="Times New Roman" w:hAnsi="Times New Roman"/>
          <w:position w:val="-28"/>
          <w:lang w:val="en-US"/>
        </w:rPr>
        <w:t>microRNA</w:t>
      </w:r>
      <w:r w:rsidRPr="00CA70D0">
        <w:rPr>
          <w:rFonts w:ascii="Times New Roman" w:hAnsi="Times New Roman"/>
          <w:i/>
          <w:position w:val="-28"/>
          <w:lang w:val="en-US"/>
        </w:rPr>
        <w:t xml:space="preserve"> n</w:t>
      </w:r>
      <w:r w:rsidRPr="00CA70D0">
        <w:rPr>
          <w:rFonts w:ascii="Times New Roman" w:hAnsi="Times New Roman"/>
          <w:position w:val="-28"/>
          <w:lang w:val="en-US"/>
        </w:rPr>
        <w:t>.</w:t>
      </w:r>
    </w:p>
    <w:p w:rsidR="0052707B" w:rsidRPr="00CA70D0" w:rsidRDefault="00892640" w:rsidP="00B85B3B">
      <w:pPr>
        <w:spacing w:after="120"/>
        <w:rPr>
          <w:rFonts w:ascii="Times New Roman" w:hAnsi="Times New Roman"/>
          <w:lang w:val="en-US"/>
        </w:rPr>
      </w:pPr>
      <w:r w:rsidRPr="00CA70D0">
        <w:rPr>
          <w:rFonts w:ascii="Times New Roman" w:hAnsi="Times New Roman"/>
          <w:lang w:val="en-US"/>
        </w:rPr>
        <w:t>T</w:t>
      </w:r>
      <w:r w:rsidR="0052707B" w:rsidRPr="00CA70D0">
        <w:rPr>
          <w:rFonts w:ascii="Times New Roman" w:hAnsi="Times New Roman"/>
          <w:lang w:val="en-US"/>
        </w:rPr>
        <w:t>he miRNA-</w:t>
      </w:r>
      <w:r w:rsidRPr="00CA70D0">
        <w:rPr>
          <w:rFonts w:ascii="Times New Roman" w:hAnsi="Times New Roman"/>
          <w:lang w:val="en-US"/>
        </w:rPr>
        <w:t>dependent</w:t>
      </w:r>
      <w:r w:rsidR="0052707B" w:rsidRPr="00CA70D0">
        <w:rPr>
          <w:rFonts w:ascii="Times New Roman" w:hAnsi="Times New Roman"/>
          <w:lang w:val="en-US"/>
        </w:rPr>
        <w:t xml:space="preserve"> </w:t>
      </w:r>
      <w:r w:rsidRPr="00CA70D0">
        <w:rPr>
          <w:rFonts w:ascii="Times New Roman" w:hAnsi="Times New Roman"/>
          <w:lang w:val="en-US"/>
        </w:rPr>
        <w:t xml:space="preserve">effect on the activation </w:t>
      </w:r>
      <w:r w:rsidR="0052707B" w:rsidRPr="00CA70D0">
        <w:rPr>
          <w:rFonts w:ascii="Times New Roman" w:hAnsi="Times New Roman"/>
          <w:lang w:val="en-US"/>
        </w:rPr>
        <w:t>of a pathway</w:t>
      </w:r>
      <w:r w:rsidR="0052707B" w:rsidRPr="00CA70D0">
        <w:rPr>
          <w:rFonts w:ascii="Times New Roman" w:hAnsi="Times New Roman"/>
          <w:i/>
          <w:lang w:val="en-US"/>
        </w:rPr>
        <w:t xml:space="preserve"> p</w:t>
      </w:r>
      <w:r w:rsidR="0052707B" w:rsidRPr="00CA70D0">
        <w:rPr>
          <w:rFonts w:ascii="Times New Roman" w:hAnsi="Times New Roman"/>
          <w:lang w:val="en-US"/>
        </w:rPr>
        <w:t xml:space="preserve"> may be evaluated as follows</w:t>
      </w:r>
      <w:r w:rsidRPr="00CA70D0">
        <w:rPr>
          <w:rFonts w:ascii="Times New Roman" w:hAnsi="Times New Roman"/>
          <w:lang w:val="en-US"/>
        </w:rPr>
        <w:t>:</w:t>
      </w:r>
      <w:r w:rsidR="0052707B" w:rsidRPr="00CA70D0">
        <w:rPr>
          <w:rFonts w:ascii="Times New Roman" w:hAnsi="Times New Roman"/>
          <w:lang w:val="en-US"/>
        </w:rPr>
        <w:t xml:space="preserve"> </w:t>
      </w:r>
    </w:p>
    <w:p w:rsidR="0052707B" w:rsidRPr="00CA70D0" w:rsidRDefault="000A353C" w:rsidP="00B85B3B">
      <w:pPr>
        <w:spacing w:after="120"/>
        <w:jc w:val="both"/>
        <w:rPr>
          <w:rFonts w:ascii="Times New Roman" w:hAnsi="Times New Roman"/>
          <w:lang w:val="en-US"/>
        </w:rPr>
      </w:pPr>
      <w:r w:rsidRPr="00CA70D0">
        <w:rPr>
          <w:rFonts w:ascii="Times New Roman" w:hAnsi="Times New Roman"/>
          <w:position w:val="-30"/>
        </w:rPr>
        <w:object w:dxaOrig="5240" w:dyaOrig="560">
          <v:shape id="_x0000_i1031" type="#_x0000_t75" style="width:296.6pt;height:28.4pt" o:ole="" o:bordertopcolor="this" o:borderleftcolor="this" o:borderbottomcolor="this" o:borderrightcolor="this" filled="t">
            <v:fill color2="black"/>
            <v:imagedata r:id="rId20" o:title=""/>
            <w10:bordertop space="4"/>
            <w10:borderleft space="7"/>
            <w10:borderbottom space="4"/>
            <w10:borderright space="7"/>
          </v:shape>
          <o:OLEObject Type="Embed" ProgID="Equation.3" ShapeID="_x0000_i1031" DrawAspect="Content" ObjectID="_1609747543" r:id="rId21"/>
        </w:object>
      </w:r>
    </w:p>
    <w:p w:rsidR="003B474D" w:rsidRPr="00CA70D0" w:rsidRDefault="003B474D" w:rsidP="008A78C3">
      <w:pPr>
        <w:spacing w:after="120" w:line="360" w:lineRule="auto"/>
        <w:rPr>
          <w:rFonts w:ascii="Times New Roman" w:hAnsi="Times New Roman"/>
          <w:lang w:val="en-US"/>
        </w:rPr>
      </w:pPr>
      <w:r w:rsidRPr="00CA70D0">
        <w:rPr>
          <w:rFonts w:ascii="Times New Roman" w:hAnsi="Times New Roman"/>
          <w:lang w:val="en-US"/>
        </w:rPr>
        <w:t>The corresponding Boolean micro-RNA involvement index (miII</w:t>
      </w:r>
      <w:r w:rsidRPr="00CA70D0">
        <w:rPr>
          <w:rFonts w:ascii="Times New Roman" w:hAnsi="Times New Roman"/>
          <w:i/>
          <w:vertAlign w:val="subscript"/>
          <w:lang w:val="en-US"/>
        </w:rPr>
        <w:t>ij</w:t>
      </w:r>
      <w:r w:rsidRPr="00CA70D0">
        <w:rPr>
          <w:rFonts w:ascii="Times New Roman" w:hAnsi="Times New Roman"/>
          <w:lang w:val="en-US"/>
        </w:rPr>
        <w:t xml:space="preserve">) shows whether transcript of gene </w:t>
      </w:r>
      <m:oMath>
        <m:r>
          <w:rPr>
            <w:rFonts w:ascii="Cambria Math" w:hAnsi="Cambria Math"/>
            <w:sz w:val="28"/>
            <w:szCs w:val="28"/>
          </w:rPr>
          <m:t>i</m:t>
        </m:r>
      </m:oMath>
      <w:r w:rsidRPr="00CA70D0">
        <w:rPr>
          <w:rFonts w:ascii="Times New Roman" w:hAnsi="Times New Roman"/>
          <w:lang w:val="en-US"/>
        </w:rPr>
        <w:t xml:space="preserve"> is target</w:t>
      </w:r>
      <w:r w:rsidR="00892640" w:rsidRPr="00CA70D0">
        <w:rPr>
          <w:rFonts w:ascii="Times New Roman" w:hAnsi="Times New Roman"/>
          <w:lang w:val="en-US"/>
        </w:rPr>
        <w:t>ed</w:t>
      </w:r>
      <w:r w:rsidRPr="00CA70D0">
        <w:rPr>
          <w:rFonts w:ascii="Times New Roman" w:hAnsi="Times New Roman"/>
          <w:lang w:val="en-US"/>
        </w:rPr>
        <w:t xml:space="preserve"> </w:t>
      </w:r>
      <w:r w:rsidR="00892640" w:rsidRPr="00CA70D0">
        <w:rPr>
          <w:rFonts w:ascii="Times New Roman" w:hAnsi="Times New Roman"/>
          <w:lang w:val="en-US"/>
        </w:rPr>
        <w:t>by</w:t>
      </w:r>
      <w:r w:rsidRPr="00CA70D0">
        <w:rPr>
          <w:rFonts w:ascii="Times New Roman" w:hAnsi="Times New Roman"/>
          <w:lang w:val="en-US"/>
        </w:rPr>
        <w:t xml:space="preserve"> microRNA </w:t>
      </w:r>
      <w:r w:rsidRPr="00CA70D0">
        <w:rPr>
          <w:rFonts w:ascii="Times New Roman" w:hAnsi="Times New Roman"/>
          <w:i/>
          <w:lang w:val="en-US"/>
        </w:rPr>
        <w:t>j</w:t>
      </w:r>
      <w:r w:rsidRPr="00CA70D0">
        <w:rPr>
          <w:rFonts w:ascii="Times New Roman" w:hAnsi="Times New Roman"/>
          <w:lang w:val="en-US"/>
        </w:rPr>
        <w:t>.</w:t>
      </w:r>
      <w:r w:rsidR="008B626A" w:rsidRPr="00CA70D0">
        <w:rPr>
          <w:rFonts w:ascii="Times New Roman" w:hAnsi="Times New Roman"/>
          <w:lang w:val="en-US"/>
        </w:rPr>
        <w:t xml:space="preserve"> </w:t>
      </w:r>
      <w:r w:rsidRPr="00CA70D0">
        <w:rPr>
          <w:rFonts w:ascii="Times New Roman" w:hAnsi="Times New Roman"/>
          <w:lang w:val="en-US"/>
        </w:rPr>
        <w:t xml:space="preserve">Since microRNA-induced inhibition affects translation process, </w:t>
      </w:r>
      <w:r w:rsidR="00410CB3" w:rsidRPr="00CA70D0">
        <w:rPr>
          <w:rFonts w:ascii="Times New Roman" w:hAnsi="Times New Roman"/>
          <w:lang w:val="en-US"/>
        </w:rPr>
        <w:t xml:space="preserve">theoretically </w:t>
      </w:r>
      <w:r w:rsidRPr="00CA70D0">
        <w:rPr>
          <w:rFonts w:ascii="Times New Roman" w:hAnsi="Times New Roman"/>
          <w:lang w:val="en-US"/>
        </w:rPr>
        <w:t>the difference (</w:t>
      </w:r>
      <w:r w:rsidRPr="00CA70D0">
        <w:rPr>
          <w:rFonts w:ascii="Times New Roman" w:hAnsi="Times New Roman"/>
          <w:i/>
          <w:lang w:val="en-US"/>
        </w:rPr>
        <w:t>Δ</w:t>
      </w:r>
      <w:r w:rsidRPr="00CA70D0">
        <w:rPr>
          <w:rFonts w:ascii="Times New Roman" w:hAnsi="Times New Roman"/>
          <w:lang w:val="en-US"/>
        </w:rPr>
        <w:t xml:space="preserve"> = Ribo</w:t>
      </w:r>
      <w:r w:rsidR="00410CB3" w:rsidRPr="00CA70D0">
        <w:rPr>
          <w:rFonts w:ascii="Times New Roman" w:hAnsi="Times New Roman"/>
          <w:lang w:val="en-US"/>
        </w:rPr>
        <w:t>_Seq</w:t>
      </w:r>
      <w:r w:rsidRPr="00CA70D0">
        <w:rPr>
          <w:rFonts w:ascii="Times New Roman" w:hAnsi="Times New Roman"/>
          <w:lang w:val="en-US"/>
        </w:rPr>
        <w:t xml:space="preserve"> </w:t>
      </w:r>
      <w:r w:rsidR="00410CB3" w:rsidRPr="00CA70D0">
        <w:rPr>
          <w:rFonts w:ascii="Times New Roman" w:hAnsi="Times New Roman"/>
          <w:lang w:val="en-US"/>
        </w:rPr>
        <w:t>–</w:t>
      </w:r>
      <w:r w:rsidRPr="00CA70D0">
        <w:rPr>
          <w:rFonts w:ascii="Times New Roman" w:hAnsi="Times New Roman"/>
          <w:lang w:val="en-US"/>
        </w:rPr>
        <w:t xml:space="preserve"> mRNA</w:t>
      </w:r>
      <w:r w:rsidR="00410CB3" w:rsidRPr="00CA70D0">
        <w:rPr>
          <w:rFonts w:ascii="Times New Roman" w:hAnsi="Times New Roman"/>
          <w:lang w:val="en-US"/>
        </w:rPr>
        <w:t>_Seq</w:t>
      </w:r>
      <w:r w:rsidRPr="00CA70D0">
        <w:rPr>
          <w:rFonts w:ascii="Times New Roman" w:hAnsi="Times New Roman"/>
          <w:lang w:val="en-US"/>
        </w:rPr>
        <w:t xml:space="preserve">) between Ribo-seq and total mRNA-seq profiling results </w:t>
      </w:r>
      <w:r w:rsidR="00410CB3" w:rsidRPr="00CA70D0">
        <w:rPr>
          <w:rFonts w:ascii="Times New Roman" w:hAnsi="Times New Roman"/>
          <w:lang w:val="en-US"/>
        </w:rPr>
        <w:t xml:space="preserve">may be </w:t>
      </w:r>
      <w:r w:rsidRPr="00CA70D0">
        <w:rPr>
          <w:rFonts w:ascii="Times New Roman" w:hAnsi="Times New Roman"/>
          <w:lang w:val="en-US"/>
        </w:rPr>
        <w:t>positively correlated</w:t>
      </w:r>
      <w:r w:rsidRPr="00CA70D0">
        <w:rPr>
          <w:rFonts w:ascii="Times New Roman" w:hAnsi="Times New Roman"/>
          <w:i/>
          <w:lang w:val="en-US"/>
        </w:rPr>
        <w:t xml:space="preserve"> </w:t>
      </w:r>
      <w:r w:rsidRPr="00CA70D0">
        <w:rPr>
          <w:rFonts w:ascii="Times New Roman" w:hAnsi="Times New Roman"/>
          <w:lang w:val="en-US"/>
        </w:rPr>
        <w:t xml:space="preserve">with the </w:t>
      </w:r>
      <w:r w:rsidR="00410CB3" w:rsidRPr="00CA70D0">
        <w:rPr>
          <w:rFonts w:ascii="Times New Roman" w:hAnsi="Times New Roman"/>
          <w:lang w:val="en-US"/>
        </w:rPr>
        <w:t>vector driven by</w:t>
      </w:r>
      <w:r w:rsidRPr="00CA70D0">
        <w:rPr>
          <w:rFonts w:ascii="Times New Roman" w:hAnsi="Times New Roman"/>
          <w:lang w:val="en-US"/>
        </w:rPr>
        <w:t xml:space="preserve"> microRNA-induced </w:t>
      </w:r>
      <w:r w:rsidR="006047A9" w:rsidRPr="00CA70D0">
        <w:rPr>
          <w:rFonts w:ascii="Times New Roman" w:hAnsi="Times New Roman"/>
          <w:lang w:val="en-US"/>
        </w:rPr>
        <w:t>effect on</w:t>
      </w:r>
      <w:r w:rsidRPr="00CA70D0">
        <w:rPr>
          <w:rFonts w:ascii="Times New Roman" w:hAnsi="Times New Roman"/>
          <w:lang w:val="en-US"/>
        </w:rPr>
        <w:t xml:space="preserve"> translation, at both levels: (1) at the level of </w:t>
      </w:r>
      <w:r w:rsidR="0023378B" w:rsidRPr="00CA70D0">
        <w:rPr>
          <w:rFonts w:ascii="Times New Roman" w:hAnsi="Times New Roman"/>
          <w:lang w:val="en-US"/>
        </w:rPr>
        <w:t>individual</w:t>
      </w:r>
      <w:r w:rsidRPr="00CA70D0">
        <w:rPr>
          <w:rFonts w:ascii="Times New Roman" w:hAnsi="Times New Roman"/>
          <w:lang w:val="en-US"/>
        </w:rPr>
        <w:t xml:space="preserve"> protein-coding genes (log CNR_miRNA)</w:t>
      </w:r>
      <w:r w:rsidR="0023378B" w:rsidRPr="00CA70D0">
        <w:rPr>
          <w:rFonts w:ascii="Times New Roman" w:hAnsi="Times New Roman"/>
          <w:lang w:val="en-US"/>
        </w:rPr>
        <w:t xml:space="preserve"> and </w:t>
      </w:r>
      <w:r w:rsidRPr="00CA70D0">
        <w:rPr>
          <w:rFonts w:ascii="Times New Roman" w:hAnsi="Times New Roman"/>
          <w:lang w:val="en-US"/>
        </w:rPr>
        <w:t xml:space="preserve">(2) at the level of </w:t>
      </w:r>
      <w:r w:rsidR="0023378B" w:rsidRPr="00CA70D0">
        <w:rPr>
          <w:rFonts w:ascii="Times New Roman" w:hAnsi="Times New Roman"/>
          <w:lang w:val="en-US"/>
        </w:rPr>
        <w:t>molecular</w:t>
      </w:r>
      <w:r w:rsidRPr="00CA70D0">
        <w:rPr>
          <w:rFonts w:ascii="Times New Roman" w:hAnsi="Times New Roman"/>
          <w:lang w:val="en-US"/>
        </w:rPr>
        <w:t xml:space="preserve"> pathways (miRNA_PAS).</w:t>
      </w:r>
    </w:p>
    <w:p w:rsidR="0072627E" w:rsidRPr="00CA70D0" w:rsidRDefault="00A466BD" w:rsidP="008A78C3">
      <w:pPr>
        <w:spacing w:after="120" w:line="360" w:lineRule="auto"/>
        <w:rPr>
          <w:rFonts w:ascii="Times New Roman" w:hAnsi="Times New Roman"/>
          <w:lang w:val="en-US"/>
        </w:rPr>
      </w:pPr>
      <w:r w:rsidRPr="00CA70D0">
        <w:rPr>
          <w:rFonts w:ascii="Times New Roman" w:hAnsi="Times New Roman"/>
          <w:lang w:val="en-US"/>
        </w:rPr>
        <w:t xml:space="preserve">The effect of an NGS expression filter on this type of correlation is shown on </w:t>
      </w:r>
      <w:r w:rsidR="0072627E" w:rsidRPr="00CA70D0">
        <w:rPr>
          <w:rFonts w:ascii="Times New Roman" w:hAnsi="Times New Roman"/>
          <w:lang w:val="en-US"/>
        </w:rPr>
        <w:t xml:space="preserve">Figure S2_2. </w:t>
      </w:r>
      <w:r w:rsidR="0092767A" w:rsidRPr="00CA70D0">
        <w:rPr>
          <w:rFonts w:ascii="Times New Roman" w:hAnsi="Times New Roman"/>
          <w:lang w:val="en-US"/>
        </w:rPr>
        <w:t>T</w:t>
      </w:r>
      <w:r w:rsidR="0072627E" w:rsidRPr="00CA70D0">
        <w:rPr>
          <w:rFonts w:ascii="Times New Roman" w:hAnsi="Times New Roman"/>
          <w:lang w:val="en-US"/>
        </w:rPr>
        <w:t xml:space="preserve">he panels show how the </w:t>
      </w:r>
      <w:r w:rsidR="0092767A" w:rsidRPr="00CA70D0">
        <w:rPr>
          <w:rFonts w:ascii="Times New Roman" w:hAnsi="Times New Roman"/>
          <w:lang w:val="en-US"/>
        </w:rPr>
        <w:t xml:space="preserve">above </w:t>
      </w:r>
      <w:r w:rsidR="0072627E" w:rsidRPr="00CA70D0">
        <w:rPr>
          <w:rFonts w:ascii="Times New Roman" w:hAnsi="Times New Roman"/>
          <w:lang w:val="en-US"/>
        </w:rPr>
        <w:t xml:space="preserve">difference </w:t>
      </w:r>
      <w:r w:rsidR="0072627E" w:rsidRPr="00CA70D0">
        <w:rPr>
          <w:rFonts w:ascii="Times New Roman" w:hAnsi="Times New Roman"/>
          <w:i/>
          <w:lang w:val="en-US"/>
        </w:rPr>
        <w:t>Δ</w:t>
      </w:r>
      <w:r w:rsidR="0072627E" w:rsidRPr="00CA70D0">
        <w:rPr>
          <w:rFonts w:ascii="Times New Roman" w:hAnsi="Times New Roman"/>
          <w:lang w:val="en-US"/>
        </w:rPr>
        <w:t xml:space="preserve"> depends on the microRNA</w:t>
      </w:r>
      <w:r w:rsidR="00B922C2" w:rsidRPr="00CA70D0">
        <w:rPr>
          <w:rFonts w:ascii="Times New Roman" w:hAnsi="Times New Roman"/>
          <w:lang w:val="en-US"/>
        </w:rPr>
        <w:t>-</w:t>
      </w:r>
      <w:r w:rsidR="0072627E" w:rsidRPr="00CA70D0">
        <w:rPr>
          <w:rFonts w:ascii="Times New Roman" w:hAnsi="Times New Roman"/>
          <w:lang w:val="en-US"/>
        </w:rPr>
        <w:t xml:space="preserve">induced inhibition of translation. </w:t>
      </w:r>
      <w:r w:rsidR="00962FD6" w:rsidRPr="00CA70D0">
        <w:rPr>
          <w:rFonts w:ascii="Times New Roman" w:hAnsi="Times New Roman"/>
          <w:lang w:val="en-US"/>
        </w:rPr>
        <w:t>L</w:t>
      </w:r>
      <w:r w:rsidR="0072627E" w:rsidRPr="00CA70D0">
        <w:rPr>
          <w:rFonts w:ascii="Times New Roman" w:hAnsi="Times New Roman"/>
          <w:lang w:val="en-US"/>
        </w:rPr>
        <w:t>eft panels</w:t>
      </w:r>
      <w:r w:rsidR="005078FF" w:rsidRPr="00CA70D0">
        <w:rPr>
          <w:rFonts w:ascii="Times New Roman" w:hAnsi="Times New Roman"/>
          <w:lang w:val="en-US"/>
        </w:rPr>
        <w:t xml:space="preserve"> (</w:t>
      </w:r>
      <w:r w:rsidR="009B41F1" w:rsidRPr="00CA70D0">
        <w:rPr>
          <w:rFonts w:ascii="Times New Roman" w:hAnsi="Times New Roman"/>
          <w:b/>
          <w:lang w:val="en-US"/>
        </w:rPr>
        <w:t>a</w:t>
      </w:r>
      <w:r w:rsidR="009B41F1" w:rsidRPr="00CA70D0">
        <w:rPr>
          <w:rFonts w:ascii="Times New Roman" w:hAnsi="Times New Roman"/>
          <w:lang w:val="en-US"/>
        </w:rPr>
        <w:t xml:space="preserve">, </w:t>
      </w:r>
      <w:r w:rsidR="009B41F1" w:rsidRPr="00CA70D0">
        <w:rPr>
          <w:rFonts w:ascii="Times New Roman" w:hAnsi="Times New Roman"/>
          <w:b/>
          <w:lang w:val="en-US"/>
        </w:rPr>
        <w:t>c</w:t>
      </w:r>
      <w:r w:rsidR="009B41F1" w:rsidRPr="00CA70D0">
        <w:rPr>
          <w:rFonts w:ascii="Times New Roman" w:hAnsi="Times New Roman"/>
          <w:lang w:val="en-US"/>
        </w:rPr>
        <w:t xml:space="preserve"> and </w:t>
      </w:r>
      <w:r w:rsidR="009B41F1" w:rsidRPr="00CA70D0">
        <w:rPr>
          <w:rFonts w:ascii="Times New Roman" w:hAnsi="Times New Roman"/>
          <w:b/>
          <w:lang w:val="en-US"/>
        </w:rPr>
        <w:t>e</w:t>
      </w:r>
      <w:r w:rsidR="005078FF" w:rsidRPr="00CA70D0">
        <w:rPr>
          <w:rFonts w:ascii="Times New Roman" w:hAnsi="Times New Roman"/>
          <w:lang w:val="en-US"/>
        </w:rPr>
        <w:t>)</w:t>
      </w:r>
      <w:r w:rsidR="0072627E" w:rsidRPr="00CA70D0">
        <w:rPr>
          <w:rFonts w:ascii="Times New Roman" w:hAnsi="Times New Roman"/>
          <w:lang w:val="en-US"/>
        </w:rPr>
        <w:t xml:space="preserve"> </w:t>
      </w:r>
      <w:r w:rsidR="009E2081" w:rsidRPr="00CA70D0">
        <w:rPr>
          <w:rFonts w:ascii="Times New Roman" w:hAnsi="Times New Roman"/>
          <w:lang w:val="en-US"/>
        </w:rPr>
        <w:t>show</w:t>
      </w:r>
      <w:r w:rsidR="0072627E" w:rsidRPr="00CA70D0">
        <w:rPr>
          <w:rFonts w:ascii="Times New Roman" w:hAnsi="Times New Roman"/>
          <w:lang w:val="en-US"/>
        </w:rPr>
        <w:t xml:space="preserve"> this dependence for </w:t>
      </w:r>
      <w:r w:rsidR="009E2081" w:rsidRPr="00CA70D0">
        <w:rPr>
          <w:rFonts w:ascii="Times New Roman" w:hAnsi="Times New Roman"/>
          <w:lang w:val="en-US"/>
        </w:rPr>
        <w:t>the individual</w:t>
      </w:r>
      <w:r w:rsidR="0072627E" w:rsidRPr="00CA70D0">
        <w:rPr>
          <w:rFonts w:ascii="Times New Roman" w:hAnsi="Times New Roman"/>
          <w:lang w:val="en-US"/>
        </w:rPr>
        <w:t xml:space="preserve"> protein-coding genes, right </w:t>
      </w:r>
      <w:r w:rsidR="009E2081" w:rsidRPr="00CA70D0">
        <w:rPr>
          <w:rFonts w:ascii="Times New Roman" w:hAnsi="Times New Roman"/>
          <w:lang w:val="en-US"/>
        </w:rPr>
        <w:t>panels</w:t>
      </w:r>
      <w:r w:rsidR="0072627E" w:rsidRPr="00CA70D0">
        <w:rPr>
          <w:rFonts w:ascii="Times New Roman" w:hAnsi="Times New Roman"/>
          <w:lang w:val="en-US"/>
        </w:rPr>
        <w:t xml:space="preserve"> </w:t>
      </w:r>
      <w:r w:rsidR="00FF4134" w:rsidRPr="00CA70D0">
        <w:rPr>
          <w:rFonts w:ascii="Times New Roman" w:hAnsi="Times New Roman"/>
          <w:lang w:val="en-US"/>
        </w:rPr>
        <w:t>(</w:t>
      </w:r>
      <w:r w:rsidR="00946A64" w:rsidRPr="00CA70D0">
        <w:rPr>
          <w:rFonts w:ascii="Times New Roman" w:hAnsi="Times New Roman"/>
          <w:b/>
          <w:lang w:val="en-US"/>
        </w:rPr>
        <w:t>b</w:t>
      </w:r>
      <w:r w:rsidR="00946A64" w:rsidRPr="00CA70D0">
        <w:rPr>
          <w:rFonts w:ascii="Times New Roman" w:hAnsi="Times New Roman"/>
          <w:lang w:val="en-US"/>
        </w:rPr>
        <w:t xml:space="preserve">, </w:t>
      </w:r>
      <w:r w:rsidR="00946A64" w:rsidRPr="00CA70D0">
        <w:rPr>
          <w:rFonts w:ascii="Times New Roman" w:hAnsi="Times New Roman"/>
          <w:b/>
          <w:lang w:val="en-US"/>
        </w:rPr>
        <w:t>d</w:t>
      </w:r>
      <w:r w:rsidR="00946A64" w:rsidRPr="00CA70D0">
        <w:rPr>
          <w:rFonts w:ascii="Times New Roman" w:hAnsi="Times New Roman"/>
          <w:lang w:val="en-US"/>
        </w:rPr>
        <w:t xml:space="preserve"> and </w:t>
      </w:r>
      <w:r w:rsidR="00946A64" w:rsidRPr="00CA70D0">
        <w:rPr>
          <w:rFonts w:ascii="Times New Roman" w:hAnsi="Times New Roman"/>
          <w:b/>
          <w:lang w:val="en-US"/>
        </w:rPr>
        <w:t>f</w:t>
      </w:r>
      <w:r w:rsidR="00FF4134" w:rsidRPr="00CA70D0">
        <w:rPr>
          <w:rFonts w:ascii="Times New Roman" w:hAnsi="Times New Roman"/>
          <w:lang w:val="en-US"/>
        </w:rPr>
        <w:t xml:space="preserve">) </w:t>
      </w:r>
      <w:r w:rsidR="00134B68" w:rsidRPr="00CA70D0">
        <w:rPr>
          <w:rFonts w:ascii="Times New Roman" w:hAnsi="Times New Roman"/>
          <w:lang w:val="en-US"/>
        </w:rPr>
        <w:t>represent</w:t>
      </w:r>
      <w:r w:rsidR="0072627E" w:rsidRPr="00CA70D0">
        <w:rPr>
          <w:rFonts w:ascii="Times New Roman" w:hAnsi="Times New Roman"/>
          <w:lang w:val="en-US"/>
        </w:rPr>
        <w:t xml:space="preserve"> pathway-based </w:t>
      </w:r>
      <w:r w:rsidR="00532F3C" w:rsidRPr="00CA70D0">
        <w:rPr>
          <w:rFonts w:ascii="Times New Roman" w:hAnsi="Times New Roman"/>
          <w:lang w:val="en-US"/>
        </w:rPr>
        <w:t xml:space="preserve">data </w:t>
      </w:r>
      <w:r w:rsidR="0072627E" w:rsidRPr="00CA70D0">
        <w:rPr>
          <w:rFonts w:ascii="Times New Roman" w:hAnsi="Times New Roman"/>
          <w:lang w:val="en-US"/>
        </w:rPr>
        <w:t>(PAS).</w:t>
      </w:r>
    </w:p>
    <w:p w:rsidR="0072627E" w:rsidRPr="00674D95" w:rsidRDefault="0072627E" w:rsidP="008A78C3">
      <w:pPr>
        <w:spacing w:after="120" w:line="360" w:lineRule="auto"/>
        <w:rPr>
          <w:rFonts w:ascii="Times New Roman" w:hAnsi="Times New Roman"/>
          <w:lang w:val="en-US"/>
        </w:rPr>
      </w:pPr>
      <w:r w:rsidRPr="00CA70D0">
        <w:rPr>
          <w:rFonts w:ascii="Times New Roman" w:hAnsi="Times New Roman"/>
          <w:lang w:val="en-US"/>
        </w:rPr>
        <w:t>Without NGS expression filter</w:t>
      </w:r>
      <w:r w:rsidR="004E1A44" w:rsidRPr="00CA70D0">
        <w:rPr>
          <w:rFonts w:ascii="Times New Roman" w:hAnsi="Times New Roman"/>
          <w:lang w:val="en-US"/>
        </w:rPr>
        <w:t>, there is no</w:t>
      </w:r>
      <w:r w:rsidRPr="00CA70D0">
        <w:rPr>
          <w:rFonts w:ascii="Times New Roman" w:hAnsi="Times New Roman"/>
          <w:lang w:val="en-US"/>
        </w:rPr>
        <w:t xml:space="preserve"> correlation between microRNA-</w:t>
      </w:r>
      <w:r w:rsidR="00E00DD3" w:rsidRPr="00CA70D0">
        <w:rPr>
          <w:rFonts w:ascii="Times New Roman" w:hAnsi="Times New Roman"/>
          <w:lang w:val="en-US"/>
        </w:rPr>
        <w:t>dependent alteration of</w:t>
      </w:r>
      <w:r w:rsidRPr="00CA70D0">
        <w:rPr>
          <w:rFonts w:ascii="Times New Roman" w:hAnsi="Times New Roman"/>
          <w:lang w:val="en-US"/>
        </w:rPr>
        <w:t xml:space="preserve"> translation and difference between ribo-seq vs total mRNA</w:t>
      </w:r>
      <w:r w:rsidR="004E38D9" w:rsidRPr="00CA70D0">
        <w:rPr>
          <w:rFonts w:ascii="Times New Roman" w:hAnsi="Times New Roman"/>
          <w:lang w:val="en-US"/>
        </w:rPr>
        <w:t xml:space="preserve"> </w:t>
      </w:r>
      <w:r w:rsidRPr="00CA70D0">
        <w:rPr>
          <w:rFonts w:ascii="Times New Roman" w:hAnsi="Times New Roman"/>
          <w:lang w:val="en-US"/>
        </w:rPr>
        <w:t>seq</w:t>
      </w:r>
      <w:r w:rsidR="004E38D9" w:rsidRPr="00CA70D0">
        <w:rPr>
          <w:rFonts w:ascii="Times New Roman" w:hAnsi="Times New Roman"/>
          <w:lang w:val="en-US"/>
        </w:rPr>
        <w:t>uencing</w:t>
      </w:r>
      <w:r w:rsidRPr="00CA70D0">
        <w:rPr>
          <w:rFonts w:ascii="Times New Roman" w:hAnsi="Times New Roman"/>
          <w:lang w:val="en-US"/>
        </w:rPr>
        <w:t xml:space="preserve"> profiles, both at </w:t>
      </w:r>
      <w:r w:rsidR="006631EB" w:rsidRPr="00CA70D0">
        <w:rPr>
          <w:rFonts w:ascii="Times New Roman" w:hAnsi="Times New Roman"/>
          <w:lang w:val="en-US"/>
        </w:rPr>
        <w:t>the level of individual genes</w:t>
      </w:r>
      <w:r w:rsidRPr="00CA70D0">
        <w:rPr>
          <w:rFonts w:ascii="Times New Roman" w:hAnsi="Times New Roman"/>
          <w:lang w:val="en-US"/>
        </w:rPr>
        <w:t xml:space="preserve"> (panel</w:t>
      </w:r>
      <w:r w:rsidR="00C715A9" w:rsidRPr="00CA70D0">
        <w:rPr>
          <w:rFonts w:ascii="Times New Roman" w:hAnsi="Times New Roman"/>
          <w:lang w:val="en-US"/>
        </w:rPr>
        <w:t xml:space="preserve"> </w:t>
      </w:r>
      <w:r w:rsidR="00C715A9" w:rsidRPr="00CA70D0">
        <w:rPr>
          <w:rFonts w:ascii="Times New Roman" w:hAnsi="Times New Roman"/>
          <w:b/>
          <w:lang w:val="en-US"/>
        </w:rPr>
        <w:t>a</w:t>
      </w:r>
      <w:r w:rsidRPr="00CA70D0">
        <w:rPr>
          <w:rFonts w:ascii="Times New Roman" w:hAnsi="Times New Roman"/>
          <w:lang w:val="en-US"/>
        </w:rPr>
        <w:t xml:space="preserve">) and </w:t>
      </w:r>
      <w:r w:rsidR="006631EB" w:rsidRPr="00CA70D0">
        <w:rPr>
          <w:rFonts w:ascii="Times New Roman" w:hAnsi="Times New Roman"/>
          <w:lang w:val="en-US"/>
        </w:rPr>
        <w:t>molecular pathways</w:t>
      </w:r>
      <w:r w:rsidR="006B3DA6" w:rsidRPr="00CA70D0">
        <w:rPr>
          <w:rFonts w:ascii="Times New Roman" w:hAnsi="Times New Roman"/>
          <w:lang w:val="en-US"/>
        </w:rPr>
        <w:t xml:space="preserve"> (</w:t>
      </w:r>
      <w:r w:rsidRPr="00CA70D0">
        <w:rPr>
          <w:rFonts w:ascii="Times New Roman" w:hAnsi="Times New Roman"/>
          <w:lang w:val="en-US"/>
        </w:rPr>
        <w:t>panel</w:t>
      </w:r>
      <w:r w:rsidR="006B3DA6" w:rsidRPr="00CA70D0">
        <w:rPr>
          <w:rFonts w:ascii="Times New Roman" w:hAnsi="Times New Roman"/>
          <w:lang w:val="en-US"/>
        </w:rPr>
        <w:t xml:space="preserve"> </w:t>
      </w:r>
      <w:r w:rsidR="00015074" w:rsidRPr="00CA70D0">
        <w:rPr>
          <w:rFonts w:ascii="Times New Roman" w:hAnsi="Times New Roman"/>
          <w:b/>
          <w:lang w:val="en-US"/>
        </w:rPr>
        <w:t>b</w:t>
      </w:r>
      <w:r w:rsidRPr="00CA70D0">
        <w:rPr>
          <w:rFonts w:ascii="Times New Roman" w:hAnsi="Times New Roman"/>
          <w:lang w:val="en-US"/>
        </w:rPr>
        <w:t>).</w:t>
      </w:r>
    </w:p>
    <w:p w:rsidR="002A73BA" w:rsidRDefault="002A73BA" w:rsidP="00BF1E70">
      <w:pPr>
        <w:pStyle w:val="ListParagraph"/>
        <w:spacing w:after="200"/>
        <w:ind w:left="0"/>
        <w:rPr>
          <w:rStyle w:val="Teletype"/>
          <w:rFonts w:ascii="Times New Roman" w:hAnsi="Times New Roman" w:cs="Times New Roman"/>
          <w:lang w:val="en-US"/>
        </w:rPr>
      </w:pPr>
    </w:p>
    <w:p w:rsidR="002A73BA" w:rsidRDefault="002A73BA" w:rsidP="00BF1E70">
      <w:pPr>
        <w:pStyle w:val="ListParagraph"/>
        <w:spacing w:after="200"/>
        <w:ind w:left="0"/>
        <w:rPr>
          <w:rStyle w:val="Teletype"/>
          <w:rFonts w:ascii="Times New Roman" w:hAnsi="Times New Roman" w:cs="Times New Roman"/>
          <w:lang w:val="en-US"/>
        </w:rPr>
      </w:pPr>
    </w:p>
    <w:p w:rsidR="002A73BA" w:rsidRDefault="002A73BA" w:rsidP="00BF1E70">
      <w:pPr>
        <w:pStyle w:val="ListParagraph"/>
        <w:spacing w:after="200"/>
        <w:ind w:left="0"/>
        <w:rPr>
          <w:rStyle w:val="Teletype"/>
          <w:rFonts w:ascii="Times New Roman" w:hAnsi="Times New Roman" w:cs="Times New Roman"/>
          <w:lang w:val="en-US"/>
        </w:rPr>
      </w:pPr>
    </w:p>
    <w:p w:rsidR="002A73BA" w:rsidRDefault="002A73BA" w:rsidP="00BF1E70">
      <w:pPr>
        <w:pStyle w:val="ListParagraph"/>
        <w:spacing w:after="200"/>
        <w:ind w:left="0"/>
        <w:rPr>
          <w:rStyle w:val="Teletype"/>
          <w:rFonts w:ascii="Times New Roman" w:hAnsi="Times New Roman" w:cs="Times New Roman"/>
          <w:lang w:val="en-US"/>
        </w:rPr>
      </w:pPr>
    </w:p>
    <w:p w:rsidR="00BF1E70" w:rsidRDefault="00BF1E70" w:rsidP="00BF1E70">
      <w:pPr>
        <w:pStyle w:val="ListParagraph"/>
        <w:spacing w:after="200"/>
        <w:ind w:left="0"/>
        <w:rPr>
          <w:rStyle w:val="Teletype"/>
          <w:rFonts w:ascii="Times New Roman" w:hAnsi="Times New Roman" w:cs="Times New Roman"/>
          <w:lang w:val="en-US"/>
        </w:rPr>
      </w:pPr>
      <w:r w:rsidRPr="00674D95">
        <w:rPr>
          <w:rStyle w:val="Teletype"/>
          <w:rFonts w:ascii="Times New Roman" w:hAnsi="Times New Roman" w:cs="Times New Roman"/>
          <w:lang w:val="en-US"/>
        </w:rPr>
        <w:lastRenderedPageBreak/>
        <w:t xml:space="preserve">Table </w:t>
      </w:r>
      <w:r w:rsidR="00E866EF" w:rsidRPr="00674D95">
        <w:rPr>
          <w:rStyle w:val="Teletype"/>
          <w:rFonts w:ascii="Times New Roman" w:hAnsi="Times New Roman" w:cs="Times New Roman"/>
          <w:lang w:val="en-US"/>
        </w:rPr>
        <w:t>S2_</w:t>
      </w:r>
      <w:r w:rsidRPr="00674D95">
        <w:rPr>
          <w:rStyle w:val="Teletype"/>
          <w:rFonts w:ascii="Times New Roman" w:hAnsi="Times New Roman" w:cs="Times New Roman"/>
          <w:lang w:val="en-US"/>
        </w:rPr>
        <w:t xml:space="preserve">1. </w:t>
      </w:r>
      <w:r w:rsidRPr="0041222E">
        <w:rPr>
          <w:rStyle w:val="Teletype"/>
          <w:rFonts w:ascii="Times New Roman" w:hAnsi="Times New Roman" w:cs="Times New Roman"/>
          <w:lang w:val="en-US"/>
        </w:rPr>
        <w:t xml:space="preserve">Performance of the NGS expression filter for the PRJEB7207 dataset </w:t>
      </w:r>
      <w:r w:rsidRPr="0041222E">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anipsmfdih","properties":{"formattedCitation":"[14]","plainCitation":"[14]"},"citationItems":[{"id":"qCdckLcU/V2dtdCiG","uris":["http://zotero.org/users/local/YlgL0u7w/items/4U75KQ7R"],"uri":["http://zotero.org/users/local/YlgL0u7w/items/4U75KQ7R"],"itemData":{"id":"qCdckLcU/V2dtdCiG","type":"article-journal","title":"Assessing the translational landscape of myogenic differentiation by ribosome profiling","container-title":"Nucleic Acids Research","page":"4408-4428","volume":"43","issue":"9","source":"CrossRef","DOI":"10.1093/nar/gkv281","ISSN":"0305-1048, 1362-4962","language":"en","author":[{"family":"de Klerk","given":"E."},{"family":"Fokkema","given":"I. F. A. C."},{"family":"Thiadens","given":"K. A. M. H."},{"family":"Goeman","given":"J. J."},{"family":"Palmblad","given":"M."},{"family":"den Dunnen","given":"J. T."},{"family":"von Lindern","given":"M."},{"family":"'t Hoen","given":"P. A. C."}],"issued":{"date-parts":[["2015",5,19]]},"accessed":{"date-parts":[["2017",5,18]]}}}],"schema":"https://github.com/citation-style-language/schema/raw/master/csl-citation.json"} </w:instrText>
      </w:r>
      <w:r w:rsidRPr="0041222E">
        <w:rPr>
          <w:rStyle w:val="Teletype"/>
          <w:rFonts w:ascii="Times New Roman" w:hAnsi="Times New Roman" w:cs="Times New Roman"/>
          <w:lang w:val="en-US"/>
        </w:rPr>
        <w:fldChar w:fldCharType="separate"/>
      </w:r>
      <w:r w:rsidR="00A87E82" w:rsidRPr="00FC617E">
        <w:rPr>
          <w:rFonts w:ascii="Times New Roman" w:hAnsi="Times New Roman"/>
          <w:lang w:val="en-US"/>
        </w:rPr>
        <w:t>[14]</w:t>
      </w:r>
      <w:r w:rsidRPr="0041222E">
        <w:rPr>
          <w:rStyle w:val="Teletype"/>
          <w:rFonts w:ascii="Times New Roman" w:hAnsi="Times New Roman" w:cs="Times New Roman"/>
          <w:lang w:val="en-US"/>
        </w:rPr>
        <w:fldChar w:fldCharType="end"/>
      </w:r>
      <w:r w:rsidRPr="0041222E">
        <w:rPr>
          <w:rStyle w:val="Teletype"/>
          <w:rFonts w:ascii="Times New Roman" w:hAnsi="Times New Roman" w:cs="Times New Roman"/>
          <w:lang w:val="en-US"/>
        </w:rPr>
        <w:t>.</w:t>
      </w:r>
    </w:p>
    <w:p w:rsidR="008A78C3" w:rsidRPr="0041222E" w:rsidRDefault="008A78C3" w:rsidP="00BF1E70">
      <w:pPr>
        <w:pStyle w:val="ListParagraph"/>
        <w:spacing w:after="200"/>
        <w:ind w:left="0"/>
        <w:rPr>
          <w:rStyle w:val="Teletype"/>
          <w:rFonts w:ascii="Times New Roman" w:hAnsi="Times New Roman" w:cs="Times New Roman"/>
          <w:lang w:val="en-US"/>
        </w:rPr>
      </w:pPr>
    </w:p>
    <w:tbl>
      <w:tblPr>
        <w:tblStyle w:val="TableGrid"/>
        <w:tblW w:w="10031" w:type="dxa"/>
        <w:tblLayout w:type="fixed"/>
        <w:tblLook w:val="04A0" w:firstRow="1" w:lastRow="0" w:firstColumn="1" w:lastColumn="0" w:noHBand="0" w:noVBand="1"/>
      </w:tblPr>
      <w:tblGrid>
        <w:gridCol w:w="1384"/>
        <w:gridCol w:w="2552"/>
        <w:gridCol w:w="1134"/>
        <w:gridCol w:w="1162"/>
        <w:gridCol w:w="1106"/>
        <w:gridCol w:w="1021"/>
        <w:gridCol w:w="1672"/>
      </w:tblGrid>
      <w:tr w:rsidR="00BF1E70" w:rsidRPr="002A73BA" w:rsidTr="00CA1472">
        <w:tc>
          <w:tcPr>
            <w:tcW w:w="1384"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Sample ID</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Sample description</w:t>
            </w:r>
          </w:p>
        </w:tc>
        <w:tc>
          <w:tcPr>
            <w:tcW w:w="1134"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Number of genes with non-zero  number of  reads</w:t>
            </w:r>
          </w:p>
        </w:tc>
        <w:tc>
          <w:tcPr>
            <w:tcW w:w="1162" w:type="dxa"/>
            <w:vAlign w:val="center"/>
          </w:tcPr>
          <w:p w:rsidR="00BF1E70" w:rsidRPr="0041222E" w:rsidRDefault="00616445" w:rsidP="00392A1E">
            <w:pPr>
              <w:jc w:val="center"/>
              <w:rPr>
                <w:rFonts w:ascii="Times New Roman" w:hAnsi="Times New Roman"/>
                <w:color w:val="000000"/>
                <w:sz w:val="20"/>
                <w:lang w:val="en-US"/>
              </w:rPr>
            </w:pPr>
            <w:r w:rsidRPr="0041222E">
              <w:rPr>
                <w:rFonts w:ascii="Times New Roman" w:hAnsi="Times New Roman"/>
                <w:color w:val="000000"/>
                <w:sz w:val="20"/>
                <w:lang w:val="en-US"/>
              </w:rPr>
              <w:t>Sequencing</w:t>
            </w:r>
            <w:r w:rsidR="00BF1E70" w:rsidRPr="0041222E">
              <w:rPr>
                <w:rFonts w:ascii="Times New Roman" w:hAnsi="Times New Roman"/>
                <w:color w:val="000000"/>
                <w:sz w:val="20"/>
                <w:lang w:val="en-US"/>
              </w:rPr>
              <w:t xml:space="preserve"> depth,</w:t>
            </w:r>
            <w:r w:rsidR="00BF1E70" w:rsidRPr="0041222E">
              <w:rPr>
                <w:rFonts w:ascii="Times New Roman" w:hAnsi="Times New Roman"/>
                <w:i/>
                <w:color w:val="000000"/>
                <w:sz w:val="20"/>
                <w:lang w:val="en-US"/>
              </w:rPr>
              <w:t xml:space="preserve"> K/</w:t>
            </w:r>
            <w:r w:rsidR="00BF1E70" w:rsidRPr="0041222E">
              <w:rPr>
                <w:rFonts w:ascii="Times New Roman" w:hAnsi="Times New Roman"/>
                <w:color w:val="000000"/>
                <w:sz w:val="20"/>
                <w:lang w:val="en-US"/>
              </w:rPr>
              <w:t>1</w:t>
            </w:r>
            <w:r w:rsidR="000E0799" w:rsidRPr="0041222E">
              <w:rPr>
                <w:rFonts w:ascii="Times New Roman" w:hAnsi="Times New Roman"/>
                <w:color w:val="000000"/>
                <w:sz w:val="20"/>
                <w:lang w:val="en-US"/>
              </w:rPr>
              <w:t>0</w:t>
            </w:r>
            <w:r w:rsidR="00BF1E70" w:rsidRPr="0041222E">
              <w:rPr>
                <w:rFonts w:ascii="Times New Roman" w:hAnsi="Times New Roman"/>
                <w:color w:val="000000"/>
                <w:sz w:val="20"/>
                <w:vertAlign w:val="superscript"/>
                <w:lang w:val="en-US"/>
              </w:rPr>
              <w:t>6</w:t>
            </w:r>
            <w:r w:rsidRPr="0041222E">
              <w:rPr>
                <w:rFonts w:ascii="Times New Roman" w:hAnsi="Times New Roman"/>
                <w:color w:val="000000"/>
                <w:sz w:val="20"/>
                <w:vertAlign w:val="superscript"/>
                <w:lang w:val="en-US"/>
              </w:rPr>
              <w:t xml:space="preserve"> </w:t>
            </w:r>
            <w:r w:rsidRPr="0041222E">
              <w:rPr>
                <w:rFonts w:ascii="Times New Roman" w:hAnsi="Times New Roman"/>
                <w:color w:val="000000"/>
                <w:sz w:val="20"/>
                <w:lang w:val="en-US"/>
              </w:rPr>
              <w:t>reads</w:t>
            </w:r>
          </w:p>
        </w:tc>
        <w:tc>
          <w:tcPr>
            <w:tcW w:w="1106" w:type="dxa"/>
            <w:vAlign w:val="center"/>
          </w:tcPr>
          <w:p w:rsidR="00BF1E70" w:rsidRPr="0041222E" w:rsidRDefault="00CA1472" w:rsidP="00392A1E">
            <w:pPr>
              <w:jc w:val="center"/>
              <w:rPr>
                <w:rFonts w:ascii="Times New Roman" w:hAnsi="Times New Roman"/>
                <w:color w:val="000000"/>
                <w:sz w:val="20"/>
                <w:lang w:val="en-US"/>
              </w:rPr>
            </w:pPr>
            <w:r w:rsidRPr="0041222E">
              <w:rPr>
                <w:rFonts w:ascii="Times New Roman" w:hAnsi="Times New Roman"/>
                <w:color w:val="000000"/>
                <w:sz w:val="20"/>
                <w:lang w:val="en-US"/>
              </w:rPr>
              <w:t>Proportion</w:t>
            </w:r>
            <w:r w:rsidR="00BF1E70" w:rsidRPr="0041222E">
              <w:rPr>
                <w:rFonts w:ascii="Times New Roman" w:hAnsi="Times New Roman"/>
                <w:color w:val="000000"/>
                <w:sz w:val="20"/>
                <w:lang w:val="en-US"/>
              </w:rPr>
              <w:t xml:space="preserve"> of genes passed</w:t>
            </w:r>
            <w:r w:rsidR="00C84593" w:rsidRPr="0041222E">
              <w:rPr>
                <w:rFonts w:ascii="Times New Roman" w:hAnsi="Times New Roman"/>
                <w:color w:val="000000"/>
                <w:sz w:val="20"/>
                <w:lang w:val="en-US"/>
              </w:rPr>
              <w:t xml:space="preserve"> filtering</w:t>
            </w:r>
          </w:p>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w:t>
            </w:r>
            <w:r w:rsidRPr="0041222E">
              <w:rPr>
                <w:rFonts w:ascii="Times New Roman" w:hAnsi="Times New Roman"/>
                <w:i/>
                <w:color w:val="000000"/>
                <w:sz w:val="20"/>
                <w:lang w:val="en-US"/>
              </w:rPr>
              <w:t>F</w:t>
            </w:r>
            <w:r w:rsidRPr="0041222E">
              <w:rPr>
                <w:rFonts w:ascii="Times New Roman" w:hAnsi="Times New Roman"/>
                <w:color w:val="000000"/>
                <w:sz w:val="20"/>
                <w:lang w:val="en-US"/>
              </w:rPr>
              <w:t>)</w:t>
            </w:r>
          </w:p>
        </w:tc>
        <w:tc>
          <w:tcPr>
            <w:tcW w:w="1021"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 xml:space="preserve">Number of genes </w:t>
            </w:r>
            <w:r w:rsidR="00CA1472" w:rsidRPr="0041222E">
              <w:rPr>
                <w:rFonts w:ascii="Times New Roman" w:hAnsi="Times New Roman"/>
                <w:color w:val="000000"/>
                <w:sz w:val="20"/>
                <w:lang w:val="en-US"/>
              </w:rPr>
              <w:t>passed filtering</w:t>
            </w:r>
          </w:p>
        </w:tc>
        <w:tc>
          <w:tcPr>
            <w:tcW w:w="1672"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Min</w:t>
            </w:r>
            <w:r w:rsidR="004A6E4A" w:rsidRPr="0041222E">
              <w:rPr>
                <w:rFonts w:ascii="Times New Roman" w:hAnsi="Times New Roman"/>
                <w:color w:val="000000"/>
                <w:sz w:val="20"/>
                <w:lang w:val="en-US"/>
              </w:rPr>
              <w:t>imal</w:t>
            </w:r>
            <w:r w:rsidRPr="0041222E">
              <w:rPr>
                <w:rFonts w:ascii="Times New Roman" w:hAnsi="Times New Roman"/>
                <w:color w:val="000000"/>
                <w:sz w:val="20"/>
                <w:lang w:val="en-US"/>
              </w:rPr>
              <w:t xml:space="preserve"> number of reads that passe</w:t>
            </w:r>
            <w:r w:rsidR="004A6E4A" w:rsidRPr="0041222E">
              <w:rPr>
                <w:rFonts w:ascii="Times New Roman" w:hAnsi="Times New Roman"/>
                <w:color w:val="000000"/>
                <w:sz w:val="20"/>
                <w:lang w:val="en-US"/>
              </w:rPr>
              <w:t xml:space="preserve">d </w:t>
            </w:r>
            <w:r w:rsidRPr="0041222E">
              <w:rPr>
                <w:rFonts w:ascii="Times New Roman" w:hAnsi="Times New Roman"/>
                <w:color w:val="000000"/>
                <w:sz w:val="20"/>
                <w:lang w:val="en-US"/>
              </w:rPr>
              <w:t>filter</w:t>
            </w:r>
            <w:r w:rsidR="004A6E4A" w:rsidRPr="0041222E">
              <w:rPr>
                <w:rFonts w:ascii="Times New Roman" w:hAnsi="Times New Roman"/>
                <w:color w:val="000000"/>
                <w:sz w:val="20"/>
                <w:lang w:val="en-US"/>
              </w:rPr>
              <w:t>ing</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895</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Total mRNA-seq, myoblasts, rep</w:t>
            </w:r>
            <w:r w:rsidR="00DA0E4E" w:rsidRPr="0041222E">
              <w:rPr>
                <w:rStyle w:val="Teletype"/>
                <w:rFonts w:ascii="Times New Roman" w:hAnsi="Times New Roman" w:cs="Times New Roman"/>
                <w:sz w:val="20"/>
                <w:szCs w:val="20"/>
                <w:lang w:val="en-US"/>
              </w:rPr>
              <w:t xml:space="preserve">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8801</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0.63</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20</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1721</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42</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896</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Total mRNA-seq, myoblasts, </w:t>
            </w:r>
            <w:r w:rsidR="00DA0E4E"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8669</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0.38</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14</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1204</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37</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897</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Total mRNA-seq,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myotubes, </w:t>
            </w:r>
            <w:r w:rsidR="00DA0E4E"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7750</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0.46</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17</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1288</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65</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898</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Total mRNA-seq,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myotubes, </w:t>
            </w:r>
            <w:r w:rsidR="00DA0E4E"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7934</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0.64</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20</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1575</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74</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899</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harringtonine, myoblasts, </w:t>
            </w:r>
            <w:r w:rsidR="00DA0E4E"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9413</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0.57</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18</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1731</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54</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900</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Ribo-seq with harringtonine, myoblasts,</w:t>
            </w:r>
            <w:r w:rsidR="00DA0E4E" w:rsidRPr="0041222E">
              <w:rPr>
                <w:rStyle w:val="Teletype"/>
                <w:rFonts w:ascii="Times New Roman" w:hAnsi="Times New Roman" w:cs="Times New Roman"/>
                <w:sz w:val="20"/>
                <w:szCs w:val="20"/>
                <w:lang w:val="en-US"/>
              </w:rPr>
              <w:t xml:space="preserve"> 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9623</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0.66</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21</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1952</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59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901</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harringtonine, myoblasts, </w:t>
            </w:r>
            <w:r w:rsidR="00DA0E4E"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3</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9605</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0.86</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25</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2363</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67</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902</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Ribo-seq with cyclohexamide,</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 myoblasts, </w:t>
            </w:r>
            <w:r w:rsidR="00FA08EA"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9210</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0.36</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13</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1233</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50</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903</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cyclohexamide,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myoblasts, </w:t>
            </w:r>
            <w:r w:rsidR="00AB4B8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9237</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0.34</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13</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1190</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49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904</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cyclohexamide,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myoblasts, </w:t>
            </w:r>
            <w:r w:rsidR="00AB4B8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3</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9050</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0.44</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16</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1465</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59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905</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harringtonine, 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8608</w:t>
            </w:r>
          </w:p>
        </w:tc>
        <w:tc>
          <w:tcPr>
            <w:tcW w:w="1162"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rPr>
              <w:t>0.2</w:t>
            </w:r>
            <w:r w:rsidRPr="0041222E">
              <w:rPr>
                <w:rFonts w:ascii="Times New Roman" w:hAnsi="Times New Roman"/>
                <w:color w:val="000000"/>
                <w:sz w:val="20"/>
                <w:lang w:val="en-US"/>
              </w:rPr>
              <w:t>0</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9</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764</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36</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906</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harringtonine, 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8510</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0.21</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9</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772</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39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907</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harringtonine, 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3</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9212</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0.42</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16</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1439</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49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908</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cyclohexamide,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1</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9697</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1.17</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27</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2654</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79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909</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cyclohexamide,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2</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9659</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1.02</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26</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2509</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59</w:t>
            </w:r>
          </w:p>
        </w:tc>
      </w:tr>
      <w:tr w:rsidR="00BF1E70" w:rsidRPr="0041222E" w:rsidTr="00CA1472">
        <w:tc>
          <w:tcPr>
            <w:tcW w:w="138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lang w:val="en-US"/>
              </w:rPr>
              <w:t>ERR595</w:t>
            </w:r>
            <w:r w:rsidRPr="0041222E">
              <w:rPr>
                <w:rFonts w:ascii="Times New Roman" w:hAnsi="Times New Roman"/>
                <w:color w:val="000000"/>
                <w:sz w:val="20"/>
              </w:rPr>
              <w:t>910</w:t>
            </w:r>
          </w:p>
        </w:tc>
        <w:tc>
          <w:tcPr>
            <w:tcW w:w="2552" w:type="dxa"/>
            <w:vAlign w:val="center"/>
          </w:tcPr>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Ribo-seq with cyclohexamide, </w:t>
            </w:r>
          </w:p>
          <w:p w:rsidR="00BF1E70" w:rsidRPr="0041222E" w:rsidRDefault="00BF1E70" w:rsidP="00392A1E">
            <w:pPr>
              <w:pStyle w:val="ListParagraph"/>
              <w:spacing w:after="200"/>
              <w:ind w:left="0"/>
              <w:jc w:val="center"/>
              <w:rPr>
                <w:rStyle w:val="Teletype"/>
                <w:rFonts w:ascii="Times New Roman" w:hAnsi="Times New Roman" w:cs="Times New Roman"/>
                <w:sz w:val="20"/>
                <w:szCs w:val="20"/>
                <w:lang w:val="en-US"/>
              </w:rPr>
            </w:pPr>
            <w:r w:rsidRPr="0041222E">
              <w:rPr>
                <w:rStyle w:val="Teletype"/>
                <w:rFonts w:ascii="Times New Roman" w:hAnsi="Times New Roman" w:cs="Times New Roman"/>
                <w:sz w:val="20"/>
                <w:szCs w:val="20"/>
                <w:lang w:val="en-US"/>
              </w:rPr>
              <w:t xml:space="preserve">myotubes, </w:t>
            </w:r>
            <w:r w:rsidR="003245CD" w:rsidRPr="0041222E">
              <w:rPr>
                <w:rStyle w:val="Teletype"/>
                <w:rFonts w:ascii="Times New Roman" w:hAnsi="Times New Roman" w:cs="Times New Roman"/>
                <w:sz w:val="20"/>
                <w:szCs w:val="20"/>
                <w:lang w:val="en-US"/>
              </w:rPr>
              <w:t xml:space="preserve">replicate </w:t>
            </w:r>
            <w:r w:rsidRPr="0041222E">
              <w:rPr>
                <w:rStyle w:val="Teletype"/>
                <w:rFonts w:ascii="Times New Roman" w:hAnsi="Times New Roman" w:cs="Times New Roman"/>
                <w:sz w:val="20"/>
                <w:szCs w:val="20"/>
                <w:lang w:val="en-US"/>
              </w:rPr>
              <w:t>3</w:t>
            </w:r>
          </w:p>
        </w:tc>
        <w:tc>
          <w:tcPr>
            <w:tcW w:w="1134"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10292</w:t>
            </w:r>
          </w:p>
        </w:tc>
        <w:tc>
          <w:tcPr>
            <w:tcW w:w="116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3.81</w:t>
            </w:r>
          </w:p>
        </w:tc>
        <w:tc>
          <w:tcPr>
            <w:tcW w:w="1106" w:type="dxa"/>
            <w:vAlign w:val="center"/>
          </w:tcPr>
          <w:p w:rsidR="00BF1E70" w:rsidRPr="0041222E" w:rsidRDefault="00BF1E70" w:rsidP="00392A1E">
            <w:pPr>
              <w:jc w:val="center"/>
              <w:rPr>
                <w:rFonts w:ascii="Times New Roman" w:hAnsi="Times New Roman"/>
                <w:color w:val="000000"/>
                <w:sz w:val="20"/>
                <w:lang w:val="en-US"/>
              </w:rPr>
            </w:pPr>
            <w:r w:rsidRPr="0041222E">
              <w:rPr>
                <w:rFonts w:ascii="Times New Roman" w:hAnsi="Times New Roman"/>
                <w:color w:val="000000"/>
                <w:sz w:val="20"/>
                <w:lang w:val="en-US"/>
              </w:rPr>
              <w:t>44</w:t>
            </w:r>
          </w:p>
        </w:tc>
        <w:tc>
          <w:tcPr>
            <w:tcW w:w="1021"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4573</w:t>
            </w:r>
          </w:p>
        </w:tc>
        <w:tc>
          <w:tcPr>
            <w:tcW w:w="1672" w:type="dxa"/>
            <w:vAlign w:val="center"/>
          </w:tcPr>
          <w:p w:rsidR="00BF1E70" w:rsidRPr="0041222E" w:rsidRDefault="00BF1E70" w:rsidP="00392A1E">
            <w:pPr>
              <w:jc w:val="center"/>
              <w:rPr>
                <w:rFonts w:ascii="Times New Roman" w:hAnsi="Times New Roman"/>
                <w:color w:val="000000"/>
                <w:sz w:val="20"/>
              </w:rPr>
            </w:pPr>
            <w:r w:rsidRPr="0041222E">
              <w:rPr>
                <w:rFonts w:ascii="Times New Roman" w:hAnsi="Times New Roman"/>
                <w:color w:val="000000"/>
                <w:sz w:val="20"/>
              </w:rPr>
              <w:t>114</w:t>
            </w:r>
          </w:p>
        </w:tc>
      </w:tr>
    </w:tbl>
    <w:p w:rsidR="00BF1E70" w:rsidRPr="0041222E" w:rsidRDefault="00BF1E70" w:rsidP="00B85B3B">
      <w:pPr>
        <w:spacing w:after="120"/>
        <w:rPr>
          <w:rFonts w:ascii="Times New Roman" w:hAnsi="Times New Roman"/>
          <w:lang w:val="en-US"/>
        </w:rPr>
      </w:pPr>
    </w:p>
    <w:p w:rsidR="00173B00" w:rsidRPr="0041222E" w:rsidRDefault="00090F39" w:rsidP="00E22E4C">
      <w:pPr>
        <w:spacing w:after="120" w:line="360" w:lineRule="auto"/>
        <w:rPr>
          <w:rFonts w:ascii="Times New Roman" w:hAnsi="Times New Roman"/>
          <w:lang w:val="en-US"/>
        </w:rPr>
      </w:pPr>
      <w:r w:rsidRPr="0041222E">
        <w:rPr>
          <w:rFonts w:ascii="Times New Roman" w:hAnsi="Times New Roman"/>
          <w:lang w:val="en-US"/>
        </w:rPr>
        <w:lastRenderedPageBreak/>
        <w:t xml:space="preserve">When applying additional filtering </w:t>
      </w:r>
      <w:r w:rsidR="004A7C00" w:rsidRPr="0041222E">
        <w:rPr>
          <w:rFonts w:ascii="Times New Roman" w:hAnsi="Times New Roman"/>
          <w:lang w:val="en-US"/>
        </w:rPr>
        <w:t xml:space="preserve">to </w:t>
      </w:r>
      <w:r w:rsidR="0034372A" w:rsidRPr="0041222E">
        <w:rPr>
          <w:rFonts w:ascii="Times New Roman" w:hAnsi="Times New Roman"/>
          <w:lang w:val="en-US"/>
        </w:rPr>
        <w:t xml:space="preserve">analyze </w:t>
      </w:r>
      <w:r w:rsidR="004467D2" w:rsidRPr="0041222E">
        <w:rPr>
          <w:rFonts w:ascii="Times New Roman" w:hAnsi="Times New Roman"/>
          <w:lang w:val="en-US"/>
        </w:rPr>
        <w:t xml:space="preserve">only those </w:t>
      </w:r>
      <w:r w:rsidR="00736805" w:rsidRPr="0041222E">
        <w:rPr>
          <w:rFonts w:ascii="Times New Roman" w:hAnsi="Times New Roman"/>
          <w:lang w:val="en-US"/>
        </w:rPr>
        <w:t>cases that</w:t>
      </w:r>
      <w:r w:rsidR="004467D2" w:rsidRPr="0041222E">
        <w:rPr>
          <w:rFonts w:ascii="Times New Roman" w:hAnsi="Times New Roman"/>
          <w:lang w:val="en-US"/>
        </w:rPr>
        <w:t xml:space="preserve"> have different signs for total mRNA-seq and ribo-seq profiles (</w:t>
      </w:r>
      <w:r w:rsidR="00736805" w:rsidRPr="0041222E">
        <w:rPr>
          <w:rFonts w:ascii="Times New Roman" w:hAnsi="Times New Roman"/>
          <w:lang w:val="en-US"/>
        </w:rPr>
        <w:t>i.e.</w:t>
      </w:r>
      <w:r w:rsidR="004467D2" w:rsidRPr="0041222E">
        <w:rPr>
          <w:rFonts w:ascii="Times New Roman" w:hAnsi="Times New Roman"/>
          <w:lang w:val="en-US"/>
        </w:rPr>
        <w:t xml:space="preserve">, </w:t>
      </w:r>
      <w:r w:rsidR="00736805" w:rsidRPr="0041222E">
        <w:rPr>
          <w:rFonts w:ascii="Times New Roman" w:hAnsi="Times New Roman"/>
          <w:lang w:val="en-US"/>
        </w:rPr>
        <w:t xml:space="preserve">either </w:t>
      </w:r>
      <w:r w:rsidR="004467D2" w:rsidRPr="0041222E">
        <w:rPr>
          <w:rFonts w:ascii="Times New Roman" w:hAnsi="Times New Roman"/>
          <w:lang w:val="en-US"/>
        </w:rPr>
        <w:t xml:space="preserve">the log-CNR/ PAS for total mRNA-seq is positive </w:t>
      </w:r>
      <w:r w:rsidR="00F547CE" w:rsidRPr="0041222E">
        <w:rPr>
          <w:rFonts w:ascii="Times New Roman" w:hAnsi="Times New Roman"/>
          <w:lang w:val="en-US"/>
        </w:rPr>
        <w:t>when</w:t>
      </w:r>
      <w:r w:rsidR="004467D2" w:rsidRPr="0041222E">
        <w:rPr>
          <w:rFonts w:ascii="Times New Roman" w:hAnsi="Times New Roman"/>
          <w:lang w:val="en-US"/>
        </w:rPr>
        <w:t xml:space="preserve"> the same value for ribo seq is negative, </w:t>
      </w:r>
      <w:r w:rsidR="005B24BB" w:rsidRPr="0041222E">
        <w:rPr>
          <w:rFonts w:ascii="Times New Roman" w:hAnsi="Times New Roman"/>
          <w:lang w:val="en-US"/>
        </w:rPr>
        <w:t>or</w:t>
      </w:r>
      <w:r w:rsidR="004467D2" w:rsidRPr="0041222E">
        <w:rPr>
          <w:rFonts w:ascii="Times New Roman" w:hAnsi="Times New Roman"/>
          <w:lang w:val="en-US"/>
        </w:rPr>
        <w:t xml:space="preserve"> vice versa)</w:t>
      </w:r>
      <w:r w:rsidR="005B24BB" w:rsidRPr="0041222E">
        <w:rPr>
          <w:rFonts w:ascii="Times New Roman" w:hAnsi="Times New Roman"/>
          <w:lang w:val="en-US"/>
        </w:rPr>
        <w:t>, p</w:t>
      </w:r>
      <w:r w:rsidR="0052707B" w:rsidRPr="0041222E">
        <w:rPr>
          <w:rFonts w:ascii="Times New Roman" w:hAnsi="Times New Roman"/>
          <w:lang w:val="en-US"/>
        </w:rPr>
        <w:t>anels</w:t>
      </w:r>
      <w:r w:rsidR="005D78FD" w:rsidRPr="0041222E">
        <w:rPr>
          <w:rFonts w:ascii="Times New Roman" w:hAnsi="Times New Roman"/>
          <w:lang w:val="en-US"/>
        </w:rPr>
        <w:t xml:space="preserve"> </w:t>
      </w:r>
      <w:r w:rsidR="005D78FD" w:rsidRPr="0041222E">
        <w:rPr>
          <w:rFonts w:ascii="Times New Roman" w:hAnsi="Times New Roman"/>
          <w:b/>
          <w:lang w:val="en-US"/>
        </w:rPr>
        <w:t>e</w:t>
      </w:r>
      <w:r w:rsidR="00AF0FBB" w:rsidRPr="0041222E">
        <w:rPr>
          <w:rFonts w:ascii="Times New Roman" w:hAnsi="Times New Roman"/>
          <w:lang w:val="en-US"/>
        </w:rPr>
        <w:t xml:space="preserve"> and </w:t>
      </w:r>
      <w:r w:rsidR="005D78FD" w:rsidRPr="0041222E">
        <w:rPr>
          <w:rFonts w:ascii="Times New Roman" w:hAnsi="Times New Roman"/>
          <w:b/>
          <w:lang w:val="en-US"/>
        </w:rPr>
        <w:t>f</w:t>
      </w:r>
      <w:r w:rsidR="008B22F6" w:rsidRPr="0041222E">
        <w:rPr>
          <w:rFonts w:ascii="Times New Roman" w:hAnsi="Times New Roman"/>
          <w:b/>
          <w:lang w:val="en-US"/>
        </w:rPr>
        <w:t>,</w:t>
      </w:r>
      <w:r w:rsidR="004B7D98" w:rsidRPr="0041222E">
        <w:rPr>
          <w:rFonts w:ascii="Times New Roman" w:hAnsi="Times New Roman"/>
          <w:b/>
          <w:lang w:val="en-US"/>
        </w:rPr>
        <w:t xml:space="preserve"> </w:t>
      </w:r>
      <w:r w:rsidR="004B7D98" w:rsidRPr="0041222E">
        <w:rPr>
          <w:rFonts w:ascii="Times New Roman" w:hAnsi="Times New Roman"/>
          <w:lang w:val="en-US"/>
        </w:rPr>
        <w:t>this</w:t>
      </w:r>
      <w:r w:rsidR="0052707B" w:rsidRPr="0041222E">
        <w:rPr>
          <w:rFonts w:ascii="Times New Roman" w:hAnsi="Times New Roman"/>
          <w:lang w:val="en-US"/>
        </w:rPr>
        <w:t xml:space="preserve"> </w:t>
      </w:r>
      <w:r w:rsidR="004D012B" w:rsidRPr="0041222E">
        <w:rPr>
          <w:rFonts w:ascii="Times New Roman" w:hAnsi="Times New Roman"/>
          <w:lang w:val="en-US"/>
        </w:rPr>
        <w:t xml:space="preserve">dramatically </w:t>
      </w:r>
      <w:r w:rsidR="0052707B" w:rsidRPr="0041222E">
        <w:rPr>
          <w:rFonts w:ascii="Times New Roman" w:hAnsi="Times New Roman"/>
          <w:lang w:val="en-US"/>
        </w:rPr>
        <w:t xml:space="preserve">increases the correlation for both </w:t>
      </w:r>
      <w:r w:rsidR="006125BA" w:rsidRPr="0041222E">
        <w:rPr>
          <w:rFonts w:ascii="Times New Roman" w:hAnsi="Times New Roman"/>
          <w:lang w:val="en-US"/>
        </w:rPr>
        <w:t>levels of individual</w:t>
      </w:r>
      <w:r w:rsidR="0052707B" w:rsidRPr="0041222E">
        <w:rPr>
          <w:rFonts w:ascii="Times New Roman" w:hAnsi="Times New Roman"/>
          <w:lang w:val="en-US"/>
        </w:rPr>
        <w:t xml:space="preserve"> genes (panel</w:t>
      </w:r>
      <w:r w:rsidR="009676A9" w:rsidRPr="0041222E">
        <w:rPr>
          <w:rFonts w:ascii="Times New Roman" w:hAnsi="Times New Roman"/>
          <w:lang w:val="en-US"/>
        </w:rPr>
        <w:t xml:space="preserve"> </w:t>
      </w:r>
      <w:r w:rsidR="0017225A" w:rsidRPr="0041222E">
        <w:rPr>
          <w:rFonts w:ascii="Times New Roman" w:hAnsi="Times New Roman"/>
          <w:b/>
          <w:lang w:val="en-US"/>
        </w:rPr>
        <w:t>e</w:t>
      </w:r>
      <w:r w:rsidR="0052707B" w:rsidRPr="0041222E">
        <w:rPr>
          <w:rFonts w:ascii="Times New Roman" w:hAnsi="Times New Roman"/>
          <w:lang w:val="en-US"/>
        </w:rPr>
        <w:t xml:space="preserve">) and </w:t>
      </w:r>
      <w:r w:rsidR="00181A66" w:rsidRPr="0041222E">
        <w:rPr>
          <w:rFonts w:ascii="Times New Roman" w:hAnsi="Times New Roman"/>
          <w:lang w:val="en-US"/>
        </w:rPr>
        <w:t>molecular</w:t>
      </w:r>
      <w:r w:rsidR="0052707B" w:rsidRPr="0041222E">
        <w:rPr>
          <w:rFonts w:ascii="Times New Roman" w:hAnsi="Times New Roman"/>
          <w:lang w:val="en-US"/>
        </w:rPr>
        <w:t xml:space="preserve"> pathwa</w:t>
      </w:r>
      <w:r w:rsidR="00181A66" w:rsidRPr="0041222E">
        <w:rPr>
          <w:rFonts w:ascii="Times New Roman" w:hAnsi="Times New Roman"/>
          <w:lang w:val="en-US"/>
        </w:rPr>
        <w:t>ys</w:t>
      </w:r>
      <w:r w:rsidR="0052707B" w:rsidRPr="0041222E">
        <w:rPr>
          <w:rFonts w:ascii="Times New Roman" w:hAnsi="Times New Roman"/>
          <w:lang w:val="en-US"/>
        </w:rPr>
        <w:t xml:space="preserve"> (panel</w:t>
      </w:r>
      <w:r w:rsidR="007047B1" w:rsidRPr="0041222E">
        <w:rPr>
          <w:rFonts w:ascii="Times New Roman" w:hAnsi="Times New Roman"/>
          <w:lang w:val="en-US"/>
        </w:rPr>
        <w:t xml:space="preserve"> </w:t>
      </w:r>
      <w:r w:rsidR="0017225A" w:rsidRPr="0041222E">
        <w:rPr>
          <w:rFonts w:ascii="Times New Roman" w:hAnsi="Times New Roman"/>
          <w:b/>
          <w:lang w:val="en-US"/>
        </w:rPr>
        <w:t>f</w:t>
      </w:r>
      <w:r w:rsidR="0052707B" w:rsidRPr="0041222E">
        <w:rPr>
          <w:rFonts w:ascii="Times New Roman" w:hAnsi="Times New Roman"/>
          <w:lang w:val="en-US"/>
        </w:rPr>
        <w:t>)</w:t>
      </w:r>
      <w:r w:rsidR="00240DDA" w:rsidRPr="0041222E">
        <w:rPr>
          <w:rFonts w:ascii="Times New Roman" w:hAnsi="Times New Roman"/>
          <w:lang w:val="en-US"/>
        </w:rPr>
        <w:t xml:space="preserve">. </w:t>
      </w:r>
    </w:p>
    <w:p w:rsidR="00F1219A" w:rsidRDefault="00302B04" w:rsidP="00E22E4C">
      <w:pPr>
        <w:spacing w:after="120" w:line="360" w:lineRule="auto"/>
        <w:rPr>
          <w:rFonts w:ascii="Times New Roman" w:hAnsi="Times New Roman"/>
          <w:lang w:val="en-US"/>
        </w:rPr>
      </w:pPr>
      <w:r w:rsidRPr="0041222E">
        <w:rPr>
          <w:rFonts w:ascii="Times New Roman" w:hAnsi="Times New Roman"/>
          <w:lang w:val="en-US"/>
        </w:rPr>
        <w:t xml:space="preserve">Interestingly, </w:t>
      </w:r>
      <w:r w:rsidR="00D03B36" w:rsidRPr="0041222E">
        <w:rPr>
          <w:rFonts w:ascii="Times New Roman" w:hAnsi="Times New Roman"/>
          <w:lang w:val="en-US"/>
        </w:rPr>
        <w:t xml:space="preserve">the pathways forming the lower cluster on this panel mostly represent </w:t>
      </w:r>
      <w:r w:rsidR="0052707B" w:rsidRPr="0041222E">
        <w:rPr>
          <w:rFonts w:ascii="Times New Roman" w:hAnsi="Times New Roman"/>
          <w:lang w:val="en-US"/>
        </w:rPr>
        <w:t xml:space="preserve">various </w:t>
      </w:r>
      <w:r w:rsidR="00741327" w:rsidRPr="0041222E">
        <w:rPr>
          <w:rFonts w:ascii="Times New Roman" w:hAnsi="Times New Roman"/>
          <w:lang w:val="en-US"/>
        </w:rPr>
        <w:t>branches</w:t>
      </w:r>
      <w:r w:rsidR="0052707B" w:rsidRPr="0041222E">
        <w:rPr>
          <w:rFonts w:ascii="Times New Roman" w:hAnsi="Times New Roman"/>
          <w:lang w:val="en-US"/>
        </w:rPr>
        <w:t xml:space="preserve"> of the integrin-linked kinase (ILK) </w:t>
      </w:r>
      <w:r w:rsidR="00741327" w:rsidRPr="0041222E">
        <w:rPr>
          <w:rFonts w:ascii="Times New Roman" w:hAnsi="Times New Roman"/>
          <w:lang w:val="en-US"/>
        </w:rPr>
        <w:t>sup</w:t>
      </w:r>
      <w:r w:rsidR="00F4130A" w:rsidRPr="0041222E">
        <w:rPr>
          <w:rFonts w:ascii="Times New Roman" w:hAnsi="Times New Roman"/>
          <w:lang w:val="en-US"/>
        </w:rPr>
        <w:t>er</w:t>
      </w:r>
      <w:r w:rsidR="0052707B" w:rsidRPr="0041222E">
        <w:rPr>
          <w:rFonts w:ascii="Times New Roman" w:hAnsi="Times New Roman"/>
          <w:lang w:val="en-US"/>
        </w:rPr>
        <w:t xml:space="preserve">pathway.  </w:t>
      </w:r>
      <w:r w:rsidR="009E4B2F" w:rsidRPr="0041222E">
        <w:rPr>
          <w:rFonts w:ascii="Times New Roman" w:hAnsi="Times New Roman"/>
          <w:lang w:val="en-US"/>
        </w:rPr>
        <w:t xml:space="preserve">The </w:t>
      </w:r>
      <w:r w:rsidR="0026296D" w:rsidRPr="0041222E">
        <w:rPr>
          <w:rFonts w:ascii="Times New Roman" w:hAnsi="Times New Roman"/>
          <w:lang w:val="en-US"/>
        </w:rPr>
        <w:t xml:space="preserve">central </w:t>
      </w:r>
      <w:r w:rsidR="009E4B2F" w:rsidRPr="0041222E">
        <w:rPr>
          <w:rFonts w:ascii="Times New Roman" w:hAnsi="Times New Roman"/>
          <w:lang w:val="en-US"/>
        </w:rPr>
        <w:t xml:space="preserve">role of the ILK </w:t>
      </w:r>
      <w:r w:rsidR="00F4130A" w:rsidRPr="0041222E">
        <w:rPr>
          <w:rFonts w:ascii="Times New Roman" w:hAnsi="Times New Roman"/>
          <w:lang w:val="en-US"/>
        </w:rPr>
        <w:t>signaling</w:t>
      </w:r>
      <w:r w:rsidR="009E4B2F" w:rsidRPr="0041222E">
        <w:rPr>
          <w:rFonts w:ascii="Times New Roman" w:hAnsi="Times New Roman"/>
          <w:lang w:val="en-US"/>
        </w:rPr>
        <w:t xml:space="preserve"> in the </w:t>
      </w:r>
      <w:r w:rsidR="00173B00" w:rsidRPr="0041222E">
        <w:rPr>
          <w:rFonts w:ascii="Times New Roman" w:hAnsi="Times New Roman"/>
          <w:lang w:val="en-US"/>
        </w:rPr>
        <w:t xml:space="preserve">development of </w:t>
      </w:r>
      <w:r w:rsidR="009E4B2F" w:rsidRPr="0041222E">
        <w:rPr>
          <w:rFonts w:ascii="Times New Roman" w:hAnsi="Times New Roman"/>
          <w:lang w:val="en-US"/>
        </w:rPr>
        <w:t xml:space="preserve">myotube was </w:t>
      </w:r>
      <w:r w:rsidR="0026296D" w:rsidRPr="0041222E">
        <w:rPr>
          <w:rFonts w:ascii="Times New Roman" w:hAnsi="Times New Roman"/>
          <w:lang w:val="en-US"/>
        </w:rPr>
        <w:t>mentioned in many previous studies, e.g.</w:t>
      </w:r>
      <w:r w:rsidR="009E4B2F" w:rsidRPr="0041222E">
        <w:rPr>
          <w:rFonts w:ascii="Times New Roman" w:hAnsi="Times New Roman"/>
          <w:lang w:val="en-US"/>
        </w:rPr>
        <w:t xml:space="preserve"> </w:t>
      </w:r>
      <w:r w:rsidR="009E4B2F" w:rsidRPr="0041222E">
        <w:rPr>
          <w:rFonts w:ascii="Times New Roman" w:hAnsi="Times New Roman"/>
          <w:lang w:val="en-US"/>
        </w:rPr>
        <w:fldChar w:fldCharType="begin"/>
      </w:r>
      <w:r w:rsidR="00A87E82">
        <w:rPr>
          <w:rFonts w:ascii="Times New Roman" w:hAnsi="Times New Roman"/>
          <w:lang w:val="en-US"/>
        </w:rPr>
        <w:instrText xml:space="preserve"> ADDIN ZOTERO_ITEM CSL_CITATION {"citationID":"XyaOk8vS","properties":{"formattedCitation":"[19, 20]","plainCitation":"[19, 20]"},"citationItems":[{"id":441,"uris":["http://zotero.org/users/local/YlgL0u7w/items/BZEBSUFV"],"uri":["http://zotero.org/users/local/YlgL0u7w/items/BZEBSUFV"],"itemData":{"id":441,"type":"article-journal","title":"Tumor necrosis factor-α alters integrins and metalloprotease ADAM12 levels and signaling in differentiating myoblasts","container-title":"Polish Journal of Veterinary Sciences","page":"253-259","volume":"19","issue":"2","source":"PubMed","abstract":"The extracellular matrix (ECM) is important in the regulation of myogenesis. We hypothesized that tumor necrosis factor-α (TNF-α) modifies ECM during differentiation of mouse C2C12 myoblasts. Exogenous TNF-α (1 ng/ml) stimulated myoblast fusion on the 3rd day (by 160% vs control) but not on the 5th day of myogenesis. The level of integrin α5 was significantly augmented by TNF-α during 5 day-differentiation; however, integrin β1 was higher than control only on the 3rd day of cytokine treatment. Both the abundance of integrin α5 bound to actin and the level of integrin β1 complexed with integrin α5 increased in the presence of TNF-α, especially on the 3rd day of differentiation. Similarly, the stimulatory effects of TNF-α on integrin α3, metalloprotease ADAM12 and kinases related to integrins, FAK and ILK, were limited to the 3rd day of differentiation. We concluded that TNF-α-induced changes in ECM components in differentiating myogenic cells, i.e. i) increased expression of integrin α5, β1, α3, and metalloprotease ADAM12, ii) enhanced formation of α5β1 integrin receptors and interaction of integrin α5-cytoskeleton, and iii) increased expression of kinases associated with integrin signaling, FAK and ILK, were temporarily associated with the onset of myocyte fusion.","DOI":"10.1515/pjvs-2016-0032","ISSN":"1505-1773","note":"PMID: 27487498","journalAbbreviation":"Pol J Vet Sci","language":"eng","author":[{"family":"Grzelkowska-Kowalczyk","given":"K."},{"family":"Tokarska","given":"J."},{"family":"Grabiec","given":"K."},{"family":"Gajewska","given":"M."},{"family":"Milewska","given":"M."},{"family":"Błaszczyk","given":"M."}],"issued":{"date-parts":[["2016"]]},"PMID":"27487498"}},{"id":"I80eUAjo/co8yPaH5","uris":["http://zotero.org/users/local/YlgL0u7w/items/MGPBEFAI"],"uri":["http://zotero.org/users/local/YlgL0u7w/items/MGPBEFAI"],"itemData":{"id":"I80eUAjo/co8yPaH5","type":"article-journal","title":"The mammalian target of rapamycin signaling pathway regulates myocyte enhancer factor-2C phosphorylation levels through integrin-linked kinase in goat skeletal muscle satellite cells","container-title":"Cell Biology International","page":"1264-1273","volume":"39","issue":"11","source":"PubMed","abstract":"Mammalian target of rapamycin (mTOR) signaling pathway plays a key role in muscle development and is involved in multiple intracellular signaling pathways. Myocyte enhancer factor-2 (MEF2) regulates muscle cell proliferation and differentiation. However, how the mTOR signaling pathway regulates MEF2 activity remains unclear. We isolated goat skeletal muscle satellite cells (gSSCs) as model cells to explore mTOR signaling pathway regulation of MEF2C. We inhibited mTOR activity in gSSCs with PP242 and found that MEF2C phosphorylation was decreased and that muscle creatine kinase (MCK) expression was suppressed. Subsequently, we detected integrin-linked kinase (ILK) using MEF2C coimmunoprecipitation; ILK and MEF2C were colocalized in the gSSCs. We found that inhibiting mTOR activity increased ILK phosphorylation levels and that inhibiting ILK activity with Cpd 22 and knocking down ILK with small interfering RNA increased MEF2C phosphorylation and MCK expression. In the presence of Cpd 22, mTOR activity inhibition did not affect MEF2C phosphorylation. Moreover, ILK dephosphorylated MEF2C in vitro. These results suggest that the mTOR signaling pathway regulates MEF2C positively and regulates ILK negatively and that ILK regulates MEF2C negatively. It appears that the mTOR signaling pathway regulates MEF2C through ILK, further regulating the expression of muscle-related genes in gSSCs.","DOI":"10.1002/cbin.10499","ISSN":"1095-8355","note":"PMID: 26041412","journalAbbreviation":"Cell Biol. Int.","language":"eng","author":[{"family":"Wu","given":"Haiqing"},{"family":"Ren","given":"Yu"},{"family":"Pan","given":"Wei"},{"family":"Dong","given":"Zhenguo"},{"family":"Cang","given":"Ming"},{"family":"Liu","given":"Dongjun"}],"issued":{"date-parts":[["2015",11]]},"PMID":"26041412"}}],"schema":"https://github.com/citation-style-language/schema/raw/master/csl-citation.json"} </w:instrText>
      </w:r>
      <w:r w:rsidR="009E4B2F" w:rsidRPr="0041222E">
        <w:rPr>
          <w:rFonts w:ascii="Times New Roman" w:hAnsi="Times New Roman"/>
          <w:lang w:val="en-US"/>
        </w:rPr>
        <w:fldChar w:fldCharType="separate"/>
      </w:r>
      <w:r w:rsidR="00A87E82" w:rsidRPr="00A87E82">
        <w:rPr>
          <w:rFonts w:ascii="Times New Roman" w:hAnsi="Times New Roman"/>
          <w:lang w:val="en-US"/>
        </w:rPr>
        <w:t>[19, 20]</w:t>
      </w:r>
      <w:r w:rsidR="009E4B2F" w:rsidRPr="0041222E">
        <w:rPr>
          <w:rFonts w:ascii="Times New Roman" w:hAnsi="Times New Roman"/>
          <w:lang w:val="en-US"/>
        </w:rPr>
        <w:fldChar w:fldCharType="end"/>
      </w:r>
      <w:r w:rsidR="0026296D" w:rsidRPr="0041222E">
        <w:rPr>
          <w:rFonts w:ascii="Times New Roman" w:hAnsi="Times New Roman"/>
          <w:lang w:val="en-US"/>
        </w:rPr>
        <w:t>.</w:t>
      </w:r>
      <w:r w:rsidR="0052707B" w:rsidRPr="00674D95">
        <w:rPr>
          <w:rFonts w:ascii="Times New Roman" w:hAnsi="Times New Roman"/>
          <w:lang w:val="en-US"/>
        </w:rPr>
        <w:t xml:space="preserve"> </w:t>
      </w: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F1219A" w:rsidRDefault="00F1219A" w:rsidP="00F1219A">
      <w:pPr>
        <w:rPr>
          <w:rFonts w:ascii="Times New Roman" w:hAnsi="Times New Roman"/>
          <w:lang w:val="en-US"/>
        </w:rPr>
      </w:pPr>
    </w:p>
    <w:p w:rsidR="0052707B" w:rsidRPr="00674D95" w:rsidRDefault="0052707B" w:rsidP="00F1219A">
      <w:pPr>
        <w:rPr>
          <w:rFonts w:ascii="Times New Roman" w:hAnsi="Times New Roman"/>
          <w:lang w:val="en-US"/>
        </w:rPr>
      </w:pPr>
      <w:r w:rsidRPr="00674D95">
        <w:rPr>
          <w:rFonts w:ascii="Times New Roman" w:hAnsi="Times New Roman"/>
          <w:lang w:val="en-US"/>
        </w:rPr>
        <w:t xml:space="preserve">   </w:t>
      </w:r>
    </w:p>
    <w:p w:rsidR="0011720B" w:rsidRDefault="002F0021" w:rsidP="00576733">
      <w:pPr>
        <w:spacing w:after="120" w:line="360" w:lineRule="auto"/>
        <w:jc w:val="both"/>
        <w:rPr>
          <w:rStyle w:val="Teletype"/>
          <w:rFonts w:ascii="Times New Roman" w:hAnsi="Times New Roman" w:cs="Times New Roman"/>
          <w:lang w:val="en-US"/>
        </w:rPr>
      </w:pPr>
      <w:r>
        <w:rPr>
          <w:rFonts w:ascii="Times New Roman" w:eastAsia="DejaVu Sans" w:hAnsi="Times New Roman"/>
          <w:noProof/>
          <w:lang w:val="en-US"/>
        </w:rPr>
        <w:lastRenderedPageBreak/>
        <w:drawing>
          <wp:inline distT="0" distB="0" distL="0" distR="0" wp14:anchorId="471103F2" wp14:editId="72D122D8">
            <wp:extent cx="5934075" cy="80867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2_2.jpg"/>
                    <pic:cNvPicPr/>
                  </pic:nvPicPr>
                  <pic:blipFill>
                    <a:blip r:embed="rId22">
                      <a:extLst>
                        <a:ext uri="{28A0092B-C50C-407E-A947-70E740481C1C}">
                          <a14:useLocalDpi xmlns:a14="http://schemas.microsoft.com/office/drawing/2010/main" val="0"/>
                        </a:ext>
                      </a:extLst>
                    </a:blip>
                    <a:stretch>
                      <a:fillRect/>
                    </a:stretch>
                  </pic:blipFill>
                  <pic:spPr>
                    <a:xfrm>
                      <a:off x="0" y="0"/>
                      <a:ext cx="5934075" cy="8086725"/>
                    </a:xfrm>
                    <a:prstGeom prst="rect">
                      <a:avLst/>
                    </a:prstGeom>
                  </pic:spPr>
                </pic:pic>
              </a:graphicData>
            </a:graphic>
          </wp:inline>
        </w:drawing>
      </w:r>
    </w:p>
    <w:p w:rsidR="0052707B" w:rsidRPr="00F1219A" w:rsidRDefault="0052707B" w:rsidP="0011720B">
      <w:pPr>
        <w:spacing w:after="120"/>
        <w:jc w:val="both"/>
        <w:rPr>
          <w:rStyle w:val="Teletype"/>
          <w:rFonts w:ascii="Times New Roman" w:eastAsiaTheme="minorEastAsia" w:hAnsi="Times New Roman" w:cs="Times New Roman"/>
          <w:lang w:val="en-US"/>
        </w:rPr>
      </w:pPr>
      <w:r w:rsidRPr="00674D95">
        <w:rPr>
          <w:rStyle w:val="Teletype"/>
          <w:rFonts w:ascii="Times New Roman" w:hAnsi="Times New Roman" w:cs="Times New Roman"/>
          <w:lang w:val="en-US"/>
        </w:rPr>
        <w:t xml:space="preserve">Figure </w:t>
      </w:r>
      <w:r w:rsidR="00116C2D" w:rsidRPr="00674D95">
        <w:rPr>
          <w:rStyle w:val="Teletype"/>
          <w:rFonts w:ascii="Times New Roman" w:hAnsi="Times New Roman" w:cs="Times New Roman"/>
          <w:lang w:val="en-US"/>
        </w:rPr>
        <w:t>S2_2</w:t>
      </w:r>
      <w:r w:rsidRPr="00674D95">
        <w:rPr>
          <w:rStyle w:val="Teletype"/>
          <w:rFonts w:ascii="Times New Roman" w:hAnsi="Times New Roman" w:cs="Times New Roman"/>
          <w:lang w:val="en-US"/>
        </w:rPr>
        <w:t xml:space="preserve">. Dependence of </w:t>
      </w:r>
      <w:r w:rsidRPr="009046F3">
        <w:rPr>
          <w:rStyle w:val="Teletype"/>
          <w:rFonts w:ascii="Times New Roman" w:hAnsi="Times New Roman" w:cs="Times New Roman"/>
          <w:lang w:val="en-US"/>
        </w:rPr>
        <w:t>difference (</w:t>
      </w:r>
      <w:r w:rsidRPr="009046F3">
        <w:rPr>
          <w:rStyle w:val="Teletype"/>
          <w:rFonts w:ascii="Times New Roman" w:hAnsi="Times New Roman" w:cs="Times New Roman"/>
          <w:i/>
          <w:lang w:val="en-US"/>
        </w:rPr>
        <w:t>Δ</w:t>
      </w:r>
      <w:r w:rsidRPr="009046F3">
        <w:rPr>
          <w:rStyle w:val="Teletype"/>
          <w:rFonts w:ascii="Times New Roman" w:hAnsi="Times New Roman" w:cs="Times New Roman"/>
          <w:lang w:val="en-US"/>
        </w:rPr>
        <w:t xml:space="preserve"> = Ribo – mRNA) between ribo-seq and total mRNA-seq profiling results (vertical axis) upon the microRNA</w:t>
      </w:r>
      <w:r w:rsidR="00D70F7D" w:rsidRPr="009046F3">
        <w:rPr>
          <w:rStyle w:val="Teletype"/>
          <w:rFonts w:ascii="Times New Roman" w:hAnsi="Times New Roman" w:cs="Times New Roman"/>
          <w:lang w:val="en-US"/>
        </w:rPr>
        <w:t xml:space="preserve"> expression data </w:t>
      </w:r>
      <w:r w:rsidR="006F0015" w:rsidRPr="009046F3">
        <w:rPr>
          <w:rStyle w:val="Teletype"/>
          <w:rFonts w:ascii="Times New Roman" w:hAnsi="Times New Roman" w:cs="Times New Roman"/>
          <w:lang w:val="en-US"/>
        </w:rPr>
        <w:t>–</w:t>
      </w:r>
      <w:r w:rsidR="00D70F7D" w:rsidRPr="009046F3">
        <w:rPr>
          <w:rStyle w:val="Teletype"/>
          <w:rFonts w:ascii="Times New Roman" w:hAnsi="Times New Roman" w:cs="Times New Roman"/>
          <w:lang w:val="en-US"/>
        </w:rPr>
        <w:t xml:space="preserve"> based</w:t>
      </w:r>
      <w:r w:rsidR="006F0015" w:rsidRPr="009046F3">
        <w:rPr>
          <w:rStyle w:val="Teletype"/>
          <w:rFonts w:ascii="Times New Roman" w:hAnsi="Times New Roman" w:cs="Times New Roman"/>
          <w:lang w:val="en-US"/>
        </w:rPr>
        <w:t xml:space="preserve"> predicted alteration of</w:t>
      </w:r>
      <w:r w:rsidR="00D70F7D" w:rsidRPr="009046F3">
        <w:rPr>
          <w:rStyle w:val="Teletype"/>
          <w:rFonts w:ascii="Times New Roman" w:hAnsi="Times New Roman" w:cs="Times New Roman"/>
          <w:lang w:val="en-US"/>
        </w:rPr>
        <w:t xml:space="preserve"> </w:t>
      </w:r>
      <w:r w:rsidRPr="009046F3">
        <w:rPr>
          <w:rStyle w:val="Teletype"/>
          <w:rFonts w:ascii="Times New Roman" w:hAnsi="Times New Roman" w:cs="Times New Roman"/>
          <w:lang w:val="en-US"/>
        </w:rPr>
        <w:t xml:space="preserve">translation </w:t>
      </w:r>
      <w:r w:rsidR="006F0015" w:rsidRPr="009046F3">
        <w:rPr>
          <w:rStyle w:val="Teletype"/>
          <w:rFonts w:ascii="Times New Roman" w:hAnsi="Times New Roman" w:cs="Times New Roman"/>
          <w:lang w:val="en-US"/>
        </w:rPr>
        <w:t xml:space="preserve">efficiencies </w:t>
      </w:r>
      <w:r w:rsidRPr="009046F3">
        <w:rPr>
          <w:rStyle w:val="Teletype"/>
          <w:rFonts w:ascii="Times New Roman" w:hAnsi="Times New Roman" w:cs="Times New Roman"/>
          <w:lang w:val="en-US"/>
        </w:rPr>
        <w:t>(horizontal axis). Left panels</w:t>
      </w:r>
      <w:r w:rsidR="00DE2F5B" w:rsidRPr="009046F3">
        <w:rPr>
          <w:rStyle w:val="Teletype"/>
          <w:rFonts w:ascii="Times New Roman" w:hAnsi="Times New Roman" w:cs="Times New Roman"/>
          <w:lang w:val="en-US"/>
        </w:rPr>
        <w:t xml:space="preserve"> (</w:t>
      </w:r>
      <w:r w:rsidR="00B37118" w:rsidRPr="009046F3">
        <w:rPr>
          <w:rStyle w:val="Teletype"/>
          <w:rFonts w:ascii="Times New Roman" w:hAnsi="Times New Roman" w:cs="Times New Roman"/>
          <w:b/>
          <w:lang w:val="en-US"/>
        </w:rPr>
        <w:t>a</w:t>
      </w:r>
      <w:r w:rsidR="00B37118" w:rsidRPr="009046F3">
        <w:rPr>
          <w:rStyle w:val="Teletype"/>
          <w:rFonts w:ascii="Times New Roman" w:hAnsi="Times New Roman" w:cs="Times New Roman"/>
          <w:lang w:val="en-US"/>
        </w:rPr>
        <w:t xml:space="preserve">, </w:t>
      </w:r>
      <w:r w:rsidR="00B37118" w:rsidRPr="009046F3">
        <w:rPr>
          <w:rStyle w:val="Teletype"/>
          <w:rFonts w:ascii="Times New Roman" w:hAnsi="Times New Roman" w:cs="Times New Roman"/>
          <w:b/>
          <w:lang w:val="en-US"/>
        </w:rPr>
        <w:t>c</w:t>
      </w:r>
      <w:r w:rsidR="007A4766" w:rsidRPr="009046F3">
        <w:rPr>
          <w:rStyle w:val="Teletype"/>
          <w:rFonts w:ascii="Times New Roman" w:hAnsi="Times New Roman" w:cs="Times New Roman"/>
          <w:b/>
          <w:lang w:val="en-US"/>
        </w:rPr>
        <w:t>,</w:t>
      </w:r>
      <w:r w:rsidR="00B37118" w:rsidRPr="009046F3">
        <w:rPr>
          <w:rStyle w:val="Teletype"/>
          <w:rFonts w:ascii="Times New Roman" w:hAnsi="Times New Roman" w:cs="Times New Roman"/>
          <w:lang w:val="en-US"/>
        </w:rPr>
        <w:t xml:space="preserve"> </w:t>
      </w:r>
      <w:r w:rsidR="00B37118" w:rsidRPr="009046F3">
        <w:rPr>
          <w:rStyle w:val="Teletype"/>
          <w:rFonts w:ascii="Times New Roman" w:hAnsi="Times New Roman" w:cs="Times New Roman"/>
          <w:b/>
          <w:lang w:val="en-US"/>
        </w:rPr>
        <w:t>e</w:t>
      </w:r>
      <w:r w:rsidR="00DE2F5B" w:rsidRPr="009046F3">
        <w:rPr>
          <w:rStyle w:val="Teletype"/>
          <w:rFonts w:ascii="Times New Roman" w:hAnsi="Times New Roman" w:cs="Times New Roman"/>
          <w:lang w:val="en-US"/>
        </w:rPr>
        <w:t>)</w:t>
      </w:r>
      <w:r w:rsidRPr="009046F3">
        <w:rPr>
          <w:rStyle w:val="Teletype"/>
          <w:rFonts w:ascii="Times New Roman" w:hAnsi="Times New Roman" w:cs="Times New Roman"/>
          <w:lang w:val="en-US"/>
        </w:rPr>
        <w:t xml:space="preserve">: </w:t>
      </w:r>
      <w:r w:rsidR="007A4766" w:rsidRPr="009046F3">
        <w:rPr>
          <w:rFonts w:ascii="Times New Roman" w:hAnsi="Times New Roman"/>
          <w:lang w:val="en-US"/>
        </w:rPr>
        <w:t xml:space="preserve">data analysis at the level of individual protein-coding genes </w:t>
      </w:r>
      <w:r w:rsidR="007A4766" w:rsidRPr="009046F3">
        <w:rPr>
          <w:rStyle w:val="Teletype"/>
          <w:rFonts w:ascii="Times New Roman" w:hAnsi="Times New Roman" w:cs="Times New Roman"/>
          <w:lang w:val="en-US"/>
        </w:rPr>
        <w:t>(log2CNR values)</w:t>
      </w:r>
      <w:r w:rsidR="007A4766" w:rsidRPr="009046F3">
        <w:rPr>
          <w:rFonts w:ascii="Times New Roman" w:hAnsi="Times New Roman"/>
          <w:lang w:val="en-US"/>
        </w:rPr>
        <w:t>, right panels (</w:t>
      </w:r>
      <w:r w:rsidR="007A4766" w:rsidRPr="009046F3">
        <w:rPr>
          <w:rFonts w:ascii="Times New Roman" w:hAnsi="Times New Roman"/>
          <w:b/>
          <w:lang w:val="en-US"/>
        </w:rPr>
        <w:t>b</w:t>
      </w:r>
      <w:r w:rsidR="007A4766" w:rsidRPr="009046F3">
        <w:rPr>
          <w:rFonts w:ascii="Times New Roman" w:hAnsi="Times New Roman"/>
          <w:lang w:val="en-US"/>
        </w:rPr>
        <w:t xml:space="preserve">, </w:t>
      </w:r>
      <w:r w:rsidR="007A4766" w:rsidRPr="009046F3">
        <w:rPr>
          <w:rFonts w:ascii="Times New Roman" w:hAnsi="Times New Roman"/>
          <w:b/>
          <w:lang w:val="en-US"/>
        </w:rPr>
        <w:t>d,</w:t>
      </w:r>
      <w:r w:rsidR="007A4766" w:rsidRPr="009046F3">
        <w:rPr>
          <w:rFonts w:ascii="Times New Roman" w:hAnsi="Times New Roman"/>
          <w:lang w:val="en-US"/>
        </w:rPr>
        <w:t xml:space="preserve"> </w:t>
      </w:r>
      <w:r w:rsidR="007A4766" w:rsidRPr="009046F3">
        <w:rPr>
          <w:rFonts w:ascii="Times New Roman" w:hAnsi="Times New Roman"/>
          <w:b/>
          <w:lang w:val="en-US"/>
        </w:rPr>
        <w:t>f</w:t>
      </w:r>
      <w:r w:rsidR="007A4766" w:rsidRPr="009046F3">
        <w:rPr>
          <w:rFonts w:ascii="Times New Roman" w:hAnsi="Times New Roman"/>
          <w:lang w:val="en-US"/>
        </w:rPr>
        <w:t xml:space="preserve">) represent molecular pathway (PAS) </w:t>
      </w:r>
      <w:r w:rsidRPr="009046F3">
        <w:rPr>
          <w:rStyle w:val="Teletype"/>
          <w:rFonts w:ascii="Times New Roman" w:hAnsi="Times New Roman" w:cs="Times New Roman"/>
          <w:lang w:val="en-US"/>
        </w:rPr>
        <w:t xml:space="preserve">level </w:t>
      </w:r>
      <w:r w:rsidRPr="009046F3">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{"citationID":"Dwg7Min8","properties":{"formattedCitation":"[17, 18]","plainCitation":"[17, 18]"},"citationItems":[{"id":357,"uris":["http://zotero.org/users/local/YlgL0u7w/items/69A9GWN8"],"uri":["http://zotero.org/users/local/YlgL0u7w/items/69A9GWN8"],"itemData":{"id":357,"type":"article-journal","title":"MiRImpact, a new bioinformatic method using complete microRNA expression profiles to assess their overall influence on the activity of intracellular molecular pathways","container-title":"Cell Cycle (Georgetown, Tex.)","page":"689-698","volume":"15","issue":"5","source":"PubMed","abstract":"MicroRNAs (miRs) are short noncoding RNA molecules that regulate expression of target mRNAs. Many published sources provide information about miRs and their targets. However, bioinformatic tools elucidating higher level impact of the established total miR profiles, are still largely missing. Recently, we developed a method termed OncoFinder enabling quantification of the activities of intracellular molecular pathways basing on gene expression data. Here we propose a new technique, MiRImpact, which enables to link miR expression data with its estimated outcome on the regulation of molecular pathways, like signaling, metabolic, cytoskeleton rearrangement, and DNA repair pathways. MiRImpact uses OncoFinder rationale for pathway activity calculations, with the major distinctions that (i) it deals with the concentrations of miRs--known regulators of gene products participating in molecular pathways, and (ii) miRs are considered as negative regulators of target molecules, if other is not specified. MiRImpact operates with 2 types of databases: for molecular targets of miRs and for gene products participating in molecular pathways. We applied MiRImpact to compare regulation of human bladder cancer-specific signaling pathways at the levels of mRNA and miR expression. We took 2 most complete alternative databases of experimentally validated miR targets--miRTarBase and DianaTarBase, and an OncoFinder database featuring 2725 gene products and 271 signaling pathways. We showed that the impact of miRs is orthogonal to pathway regulation at the mRNA level, which stresses the importance of studying posttranscriptional regulation of gene expression. We also report characteristic set of miR and mRNA regulation features linked with bladder cancer.","DOI":"10.1080/15384101.2016.1147633","ISSN":"1551-4005","journalAbbreviation":"Cell Cycle","language":"eng","author":[{"family":"Artcibasova","given":"Alina V."},{"family":"Korzinkin","given":"Mikhail B."},{"family":"Sorokin","given":"Maksim I."},{"family":"Shegay","given":"Peter V."},{"family":"Zhavoronkov","given":"Alex A."},{"family":"Gaifullin","given":"Nurshat"},{"family":"Alekseev","given":"Boris Y."},{"family":"Vorobyev","given":"Nikolay V."},{"family":"Kuzmin","given":"Denis V."},{"family":"Kaprin","given":"Аndrey D."},{"family":"Borisov","given":"Nikolay M."},{"family":"Buzdin","given":"Anton A."}],"issued":{"date-parts":[["2016"]]}}},{"id":"I80eUAjo/kSUBG182","uris":["http://zotero.org/users/local/YlgL0u7w/items/5FVMJT2G"],"uri":["http://zotero.org/users/local/YlgL0u7w/items/5FVMJT2G"],"itemData":{"id":"I80eUAjo/kSUBG182","type":"article-journal","title":"Early stage of cytomegalovirus infection suppresses host microRNA expression regulation in human fibroblasts","container-title":"Cell Cycle (Georgetown, Tex.)","page":"3378-3389","volume":"15","issue":"24","source":"PubMed","abstract":"Responses to human cytomegalovirus (HCMV) infection are largely individual and cell type specific. We investigated molecular profiles in 2 primary cell cultures of human fibroblasts, which are highly or marginally sensitive to HCMV infection, respectively. We screened expression of genes and microRNAs (miRs) at the early (3 hours) stage of infection. To assess molecular pathway activation profiles, we applied bioinformatic algorithms OncoFinder and MiRImpact. In both cell types, pathway regulation properties at mRNA and miR levels were markedly different. Surprisingly, in the infected highly sensitive cells, we observed a \"freeze\" of miR expression profiles compared to uninfected controls. Our results evidence that in the sensitive cells, HCMV blocks intracellular regulation of microRNA expression already at the earliest stage of infection. These data suggest somewhat new functions for HCMV products and demonstrate dependence of miR expression arrest on the host-encoded factors.","DOI":"10.1080/15384101.2016.1241928","ISSN":"1551-4005","note":"PMID: 28051642\nPMCID: PMC5224468","journalAbbreviation":"Cell Cycle","language":"eng","author":[{"family":"Buzdin","given":"Anton A."},{"family":"Artcibasova","given":"Alina V."},{"family":"Fedorova","given":"Natalya F."},{"family":"Suntsova","given":"Maria V."},{"family":"Garazha","given":"Andrew V."},{"family":"Sorokin","given":"Maxim I."},{"family":"Allina","given":"Daria"},{"family":"Shalatonin","given":"Mikhail"},{"family":"Borisov","given":"Nikolay M."},{"family":"Zhavoronkov","given":"Alex A."},{"family":"Kovalchuk","given":"Igor"},{"family":"Kovalchuk","given":"Olga"},{"family":"Kushch","given":"Alla A."}],"issued":{"date-parts":[["2016",12,16]]},"PMID":"28051642","PMCID":"PMC5224468"}}],"schema":"https://github.com/citation-style-language/schema/raw/master/csl-citation.json"} </w:instrText>
      </w:r>
      <w:r w:rsidRPr="009046F3">
        <w:rPr>
          <w:rStyle w:val="Teletype"/>
          <w:rFonts w:ascii="Times New Roman" w:hAnsi="Times New Roman" w:cs="Times New Roman"/>
          <w:lang w:val="en-US"/>
        </w:rPr>
        <w:fldChar w:fldCharType="separate"/>
      </w:r>
      <w:r w:rsidR="00A87E82" w:rsidRPr="00A87E82">
        <w:rPr>
          <w:rFonts w:ascii="Times New Roman" w:hAnsi="Times New Roman"/>
          <w:lang w:val="en-US"/>
        </w:rPr>
        <w:t>[17, 18]</w:t>
      </w:r>
      <w:r w:rsidRPr="009046F3">
        <w:rPr>
          <w:rStyle w:val="Teletype"/>
          <w:rFonts w:ascii="Times New Roman" w:hAnsi="Times New Roman" w:cs="Times New Roman"/>
          <w:lang w:val="en-US"/>
        </w:rPr>
        <w:fldChar w:fldCharType="end"/>
      </w:r>
      <w:r w:rsidRPr="009046F3">
        <w:rPr>
          <w:rStyle w:val="Teletype"/>
          <w:rFonts w:ascii="Times New Roman" w:hAnsi="Times New Roman" w:cs="Times New Roman"/>
          <w:lang w:val="en-US"/>
        </w:rPr>
        <w:t xml:space="preserve">. The </w:t>
      </w:r>
      <w:r w:rsidR="007A4766" w:rsidRPr="009046F3">
        <w:rPr>
          <w:rStyle w:val="Teletype"/>
          <w:rFonts w:ascii="Times New Roman" w:hAnsi="Times New Roman" w:cs="Times New Roman"/>
          <w:lang w:val="en-US"/>
        </w:rPr>
        <w:t>primary expression data</w:t>
      </w:r>
      <w:r w:rsidRPr="009046F3">
        <w:rPr>
          <w:rStyle w:val="Teletype"/>
          <w:rFonts w:ascii="Times New Roman" w:hAnsi="Times New Roman" w:cs="Times New Roman"/>
          <w:lang w:val="en-US"/>
        </w:rPr>
        <w:t xml:space="preserve"> were obtained </w:t>
      </w:r>
      <w:r w:rsidR="007A4766" w:rsidRPr="009046F3">
        <w:rPr>
          <w:rStyle w:val="Teletype"/>
          <w:rFonts w:ascii="Times New Roman" w:hAnsi="Times New Roman" w:cs="Times New Roman"/>
          <w:lang w:val="en-US"/>
        </w:rPr>
        <w:t xml:space="preserve">from </w:t>
      </w:r>
      <w:r w:rsidRPr="009046F3">
        <w:rPr>
          <w:rStyle w:val="Teletype"/>
          <w:rFonts w:ascii="Times New Roman" w:hAnsi="Times New Roman" w:cs="Times New Roman"/>
          <w:lang w:val="en-US"/>
        </w:rPr>
        <w:fldChar w:fldCharType="begin"/>
      </w:r>
      <w:r w:rsidR="00A87E82">
        <w:rPr>
          <w:rStyle w:val="Teletype"/>
          <w:rFonts w:ascii="Times New Roman" w:hAnsi="Times New Roman" w:cs="Times New Roman"/>
          <w:lang w:val="en-US"/>
        </w:rPr>
        <w:instrText xml:space="preserve"> ADDIN ZOTERO_ITEM CSL_CITATION {"citationID":"tsh0uxFh","properties":{"formattedCitation":"[14]","plainCitation":"[14]"},"citationItems":[{"id":414,"uris":["http://zotero.org/users/local/YlgL0u7w/items/4U75KQ7R"],"uri":["http://zotero.org/users/local/YlgL0u7w/items/4U75KQ7R"],"itemData":{"id":414,"type":"article-journal","title":"Assessing the translational landscape of myogenic differentiation by ribosome profiling","container-title":"Nucleic Acids Research","page":"4408-4428","volume":"43","issue":"9","source":"CrossRef","DOI":"10.1093/nar/gkv281","ISSN":"0305-1048, 1362-4962","language":"en","author":[{"family":"de Klerk","given":"E."},{"family":"Fokkema","given":"I. F. A. C."},{"family":"Thiadens","given":"K. A. M. H."},{"family":"Goeman","given":"J. J."},{"family":"Palmblad","given":"M."},{"family":"den Dunnen","given":"J. T."},{"family":"von Lindern","given":"M."},{"family":"'t Hoen","given":"P. A. C."}],"issued":{"date-parts":[["2015",5,19]]},"accessed":{"date-parts":[["2017",5,18]]}}}],"schema":"https://github.com/citation-style-language/schema/raw/master/csl-citation.json"} </w:instrText>
      </w:r>
      <w:r w:rsidRPr="009046F3">
        <w:rPr>
          <w:rStyle w:val="Teletype"/>
          <w:rFonts w:ascii="Times New Roman" w:hAnsi="Times New Roman" w:cs="Times New Roman"/>
          <w:lang w:val="en-US"/>
        </w:rPr>
        <w:fldChar w:fldCharType="separate"/>
      </w:r>
      <w:r w:rsidR="00A87E82" w:rsidRPr="00A87E82">
        <w:rPr>
          <w:rFonts w:ascii="Times New Roman" w:hAnsi="Times New Roman"/>
          <w:lang w:val="en-US"/>
        </w:rPr>
        <w:t>[14]</w:t>
      </w:r>
      <w:r w:rsidRPr="009046F3">
        <w:rPr>
          <w:rStyle w:val="Teletype"/>
          <w:rFonts w:ascii="Times New Roman" w:hAnsi="Times New Roman" w:cs="Times New Roman"/>
          <w:lang w:val="en-US"/>
        </w:rPr>
        <w:fldChar w:fldCharType="end"/>
      </w:r>
      <w:r w:rsidR="007A4766" w:rsidRPr="009046F3">
        <w:rPr>
          <w:rStyle w:val="Teletype"/>
          <w:rFonts w:ascii="Times New Roman" w:hAnsi="Times New Roman" w:cs="Times New Roman"/>
          <w:lang w:val="en-US"/>
        </w:rPr>
        <w:t>,</w:t>
      </w:r>
      <w:r w:rsidRPr="009046F3">
        <w:rPr>
          <w:rStyle w:val="Teletype"/>
          <w:rFonts w:ascii="Times New Roman" w:hAnsi="Times New Roman" w:cs="Times New Roman"/>
          <w:lang w:val="en-US"/>
        </w:rPr>
        <w:t xml:space="preserve"> </w:t>
      </w:r>
      <w:r w:rsidRPr="009046F3">
        <w:rPr>
          <w:rStyle w:val="Teletype"/>
          <w:rFonts w:ascii="Times New Roman" w:hAnsi="Times New Roman" w:cs="Times New Roman"/>
          <w:lang w:val="en-US"/>
        </w:rPr>
        <w:lastRenderedPageBreak/>
        <w:t>NEA accession number PRJEB7207 for mouse myoblasts (</w:t>
      </w:r>
      <w:r w:rsidR="007A4766" w:rsidRPr="009046F3">
        <w:rPr>
          <w:rStyle w:val="Teletype"/>
          <w:rFonts w:ascii="Times New Roman" w:hAnsi="Times New Roman" w:cs="Times New Roman"/>
          <w:lang w:val="en-US"/>
        </w:rPr>
        <w:t xml:space="preserve">taken </w:t>
      </w:r>
      <w:r w:rsidRPr="009046F3">
        <w:rPr>
          <w:rStyle w:val="Teletype"/>
          <w:rFonts w:ascii="Times New Roman" w:hAnsi="Times New Roman" w:cs="Times New Roman"/>
          <w:lang w:val="en-US"/>
        </w:rPr>
        <w:t xml:space="preserve">as </w:t>
      </w:r>
      <w:r w:rsidR="007A4766" w:rsidRPr="009046F3">
        <w:rPr>
          <w:rStyle w:val="Teletype"/>
          <w:rFonts w:ascii="Times New Roman" w:hAnsi="Times New Roman" w:cs="Times New Roman"/>
          <w:lang w:val="en-US"/>
        </w:rPr>
        <w:t xml:space="preserve">the </w:t>
      </w:r>
      <w:r w:rsidRPr="009046F3">
        <w:rPr>
          <w:rStyle w:val="Teletype"/>
          <w:rFonts w:ascii="Times New Roman" w:hAnsi="Times New Roman" w:cs="Times New Roman"/>
          <w:lang w:val="en-US"/>
        </w:rPr>
        <w:t>normal samples) and mature myotubes (</w:t>
      </w:r>
      <w:r w:rsidR="00EE0E8C" w:rsidRPr="009046F3">
        <w:rPr>
          <w:rStyle w:val="Teletype"/>
          <w:rFonts w:ascii="Times New Roman" w:hAnsi="Times New Roman" w:cs="Times New Roman"/>
          <w:lang w:val="en-US"/>
        </w:rPr>
        <w:t>taken as the</w:t>
      </w:r>
      <w:r w:rsidRPr="009046F3">
        <w:rPr>
          <w:rStyle w:val="Teletype"/>
          <w:rFonts w:ascii="Times New Roman" w:hAnsi="Times New Roman" w:cs="Times New Roman"/>
          <w:lang w:val="en-US"/>
        </w:rPr>
        <w:t xml:space="preserve"> case samples). Upper panels</w:t>
      </w:r>
      <w:r w:rsidR="002E0CEB" w:rsidRPr="009046F3">
        <w:rPr>
          <w:rStyle w:val="Teletype"/>
          <w:rFonts w:ascii="Times New Roman" w:hAnsi="Times New Roman" w:cs="Times New Roman"/>
          <w:lang w:val="en-US"/>
        </w:rPr>
        <w:t xml:space="preserve"> (</w:t>
      </w:r>
      <w:r w:rsidR="00444784" w:rsidRPr="009046F3">
        <w:rPr>
          <w:rStyle w:val="Teletype"/>
          <w:rFonts w:ascii="Times New Roman" w:hAnsi="Times New Roman" w:cs="Times New Roman"/>
          <w:b/>
          <w:lang w:val="en-US"/>
        </w:rPr>
        <w:t>a</w:t>
      </w:r>
      <w:r w:rsidR="00DD16D9" w:rsidRPr="009046F3">
        <w:rPr>
          <w:rStyle w:val="Teletype"/>
          <w:rFonts w:ascii="Times New Roman" w:hAnsi="Times New Roman" w:cs="Times New Roman"/>
          <w:b/>
          <w:lang w:val="en-US"/>
        </w:rPr>
        <w:t>,</w:t>
      </w:r>
      <w:r w:rsidR="00444784" w:rsidRPr="009046F3">
        <w:rPr>
          <w:rStyle w:val="Teletype"/>
          <w:rFonts w:ascii="Times New Roman" w:hAnsi="Times New Roman" w:cs="Times New Roman"/>
          <w:lang w:val="en-US"/>
        </w:rPr>
        <w:t xml:space="preserve"> </w:t>
      </w:r>
      <w:r w:rsidR="00444784" w:rsidRPr="009046F3">
        <w:rPr>
          <w:rStyle w:val="Teletype"/>
          <w:rFonts w:ascii="Times New Roman" w:hAnsi="Times New Roman" w:cs="Times New Roman"/>
          <w:b/>
          <w:lang w:val="en-US"/>
        </w:rPr>
        <w:t>b</w:t>
      </w:r>
      <w:r w:rsidR="002E0CEB" w:rsidRPr="009046F3">
        <w:rPr>
          <w:rStyle w:val="Teletype"/>
          <w:rFonts w:ascii="Times New Roman" w:hAnsi="Times New Roman" w:cs="Times New Roman"/>
          <w:lang w:val="en-US"/>
        </w:rPr>
        <w:t>)</w:t>
      </w:r>
      <w:r w:rsidRPr="009046F3">
        <w:rPr>
          <w:rStyle w:val="Teletype"/>
          <w:rFonts w:ascii="Times New Roman" w:hAnsi="Times New Roman" w:cs="Times New Roman"/>
          <w:lang w:val="en-US"/>
        </w:rPr>
        <w:t>: results without NGS expression filter. Cent</w:t>
      </w:r>
      <w:r w:rsidR="00DD16D9" w:rsidRPr="009046F3">
        <w:rPr>
          <w:rStyle w:val="Teletype"/>
          <w:rFonts w:ascii="Times New Roman" w:hAnsi="Times New Roman" w:cs="Times New Roman"/>
          <w:lang w:val="en-US"/>
        </w:rPr>
        <w:t>ral</w:t>
      </w:r>
      <w:r w:rsidRPr="009046F3">
        <w:rPr>
          <w:rStyle w:val="Teletype"/>
          <w:rFonts w:ascii="Times New Roman" w:hAnsi="Times New Roman" w:cs="Times New Roman"/>
          <w:lang w:val="en-US"/>
        </w:rPr>
        <w:t xml:space="preserve"> panels</w:t>
      </w:r>
      <w:r w:rsidR="00444784" w:rsidRPr="009046F3">
        <w:rPr>
          <w:rStyle w:val="Teletype"/>
          <w:rFonts w:ascii="Times New Roman" w:hAnsi="Times New Roman" w:cs="Times New Roman"/>
          <w:lang w:val="en-US"/>
        </w:rPr>
        <w:t xml:space="preserve"> (</w:t>
      </w:r>
      <w:r w:rsidR="00444784" w:rsidRPr="009046F3">
        <w:rPr>
          <w:rStyle w:val="Teletype"/>
          <w:rFonts w:ascii="Times New Roman" w:hAnsi="Times New Roman" w:cs="Times New Roman"/>
          <w:b/>
          <w:lang w:val="en-US"/>
        </w:rPr>
        <w:t>c</w:t>
      </w:r>
      <w:r w:rsidR="00DD16D9" w:rsidRPr="009046F3">
        <w:rPr>
          <w:rStyle w:val="Teletype"/>
          <w:rFonts w:ascii="Times New Roman" w:hAnsi="Times New Roman" w:cs="Times New Roman"/>
          <w:b/>
          <w:lang w:val="en-US"/>
        </w:rPr>
        <w:t>,</w:t>
      </w:r>
      <w:r w:rsidR="00444784" w:rsidRPr="009046F3">
        <w:rPr>
          <w:rStyle w:val="Teletype"/>
          <w:rFonts w:ascii="Times New Roman" w:hAnsi="Times New Roman" w:cs="Times New Roman"/>
          <w:lang w:val="en-US"/>
        </w:rPr>
        <w:t xml:space="preserve"> </w:t>
      </w:r>
      <w:r w:rsidR="00444784" w:rsidRPr="009046F3">
        <w:rPr>
          <w:rStyle w:val="Teletype"/>
          <w:rFonts w:ascii="Times New Roman" w:hAnsi="Times New Roman" w:cs="Times New Roman"/>
          <w:b/>
          <w:lang w:val="en-US"/>
        </w:rPr>
        <w:t>d</w:t>
      </w:r>
      <w:r w:rsidR="00093834" w:rsidRPr="009046F3">
        <w:rPr>
          <w:rStyle w:val="Teletype"/>
          <w:rFonts w:ascii="Times New Roman" w:hAnsi="Times New Roman" w:cs="Times New Roman"/>
          <w:lang w:val="en-US"/>
        </w:rPr>
        <w:t>)</w:t>
      </w:r>
      <w:r w:rsidRPr="009046F3">
        <w:rPr>
          <w:rStyle w:val="Teletype"/>
          <w:rFonts w:ascii="Times New Roman" w:hAnsi="Times New Roman" w:cs="Times New Roman"/>
          <w:lang w:val="en-US"/>
        </w:rPr>
        <w:t>: profiling after application of NGS expression filter. Lower panels</w:t>
      </w:r>
      <w:r w:rsidR="0039142E" w:rsidRPr="009046F3">
        <w:rPr>
          <w:rStyle w:val="Teletype"/>
          <w:rFonts w:ascii="Times New Roman" w:hAnsi="Times New Roman" w:cs="Times New Roman"/>
          <w:lang w:val="en-US"/>
        </w:rPr>
        <w:t xml:space="preserve"> (</w:t>
      </w:r>
      <w:r w:rsidR="00444784" w:rsidRPr="009046F3">
        <w:rPr>
          <w:rStyle w:val="Teletype"/>
          <w:rFonts w:ascii="Times New Roman" w:hAnsi="Times New Roman" w:cs="Times New Roman"/>
          <w:b/>
          <w:lang w:val="en-US"/>
        </w:rPr>
        <w:t>e</w:t>
      </w:r>
      <w:r w:rsidR="003214CA" w:rsidRPr="009046F3">
        <w:rPr>
          <w:rStyle w:val="Teletype"/>
          <w:rFonts w:ascii="Times New Roman" w:hAnsi="Times New Roman" w:cs="Times New Roman"/>
          <w:b/>
          <w:lang w:val="en-US"/>
        </w:rPr>
        <w:t>,</w:t>
      </w:r>
      <w:r w:rsidR="0039142E" w:rsidRPr="009046F3">
        <w:rPr>
          <w:rStyle w:val="Teletype"/>
          <w:rFonts w:ascii="Times New Roman" w:hAnsi="Times New Roman" w:cs="Times New Roman"/>
          <w:b/>
          <w:lang w:val="en-US"/>
        </w:rPr>
        <w:t xml:space="preserve"> </w:t>
      </w:r>
      <w:r w:rsidR="00444784" w:rsidRPr="009046F3">
        <w:rPr>
          <w:rStyle w:val="Teletype"/>
          <w:rFonts w:ascii="Times New Roman" w:hAnsi="Times New Roman" w:cs="Times New Roman"/>
          <w:b/>
          <w:lang w:val="en-US"/>
        </w:rPr>
        <w:t>f</w:t>
      </w:r>
      <w:r w:rsidR="0039142E" w:rsidRPr="009046F3">
        <w:rPr>
          <w:rStyle w:val="Teletype"/>
          <w:rFonts w:ascii="Times New Roman" w:hAnsi="Times New Roman" w:cs="Times New Roman"/>
          <w:lang w:val="en-US"/>
        </w:rPr>
        <w:t>)</w:t>
      </w:r>
      <w:r w:rsidRPr="009046F3">
        <w:rPr>
          <w:rStyle w:val="Teletype"/>
          <w:rFonts w:ascii="Times New Roman" w:hAnsi="Times New Roman" w:cs="Times New Roman"/>
          <w:lang w:val="en-US"/>
        </w:rPr>
        <w:t xml:space="preserve">: profiling results after application of NGS expression filter </w:t>
      </w:r>
      <w:r w:rsidR="004F1CB9" w:rsidRPr="009046F3">
        <w:rPr>
          <w:rStyle w:val="Teletype"/>
          <w:rFonts w:ascii="Times New Roman" w:hAnsi="Times New Roman" w:cs="Times New Roman"/>
          <w:lang w:val="en-US"/>
        </w:rPr>
        <w:t xml:space="preserve">and additional </w:t>
      </w:r>
      <w:r w:rsidR="002A73BC" w:rsidRPr="009046F3">
        <w:rPr>
          <w:rStyle w:val="Teletype"/>
          <w:rFonts w:ascii="Times New Roman" w:hAnsi="Times New Roman" w:cs="Times New Roman"/>
          <w:lang w:val="en-US"/>
        </w:rPr>
        <w:t>selection</w:t>
      </w:r>
      <w:r w:rsidR="004F1CB9" w:rsidRPr="009046F3">
        <w:rPr>
          <w:rStyle w:val="Teletype"/>
          <w:rFonts w:ascii="Times New Roman" w:hAnsi="Times New Roman" w:cs="Times New Roman"/>
          <w:lang w:val="en-US"/>
        </w:rPr>
        <w:t xml:space="preserve"> for the entries that change their sign at the mRNA-seq and ribo-seq levels (see text)</w:t>
      </w:r>
      <w:r w:rsidRPr="009046F3">
        <w:rPr>
          <w:rStyle w:val="Teletype"/>
          <w:rFonts w:ascii="Times New Roman" w:hAnsi="Times New Roman" w:cs="Times New Roman"/>
          <w:lang w:val="en-US"/>
        </w:rPr>
        <w:t>.</w:t>
      </w:r>
      <w:r w:rsidRPr="00674D95">
        <w:rPr>
          <w:rStyle w:val="Teletype"/>
          <w:rFonts w:ascii="Times New Roman" w:hAnsi="Times New Roman" w:cs="Times New Roman"/>
          <w:lang w:val="en-US"/>
        </w:rPr>
        <w:t xml:space="preserve">   </w:t>
      </w:r>
    </w:p>
    <w:p w:rsidR="0052707B" w:rsidRPr="00674D95" w:rsidRDefault="0052707B" w:rsidP="00F54AAE">
      <w:pPr>
        <w:spacing w:after="200"/>
        <w:rPr>
          <w:rFonts w:ascii="Times New Roman" w:hAnsi="Times New Roman"/>
          <w:lang w:val="en-US"/>
        </w:rPr>
      </w:pPr>
    </w:p>
    <w:p w:rsidR="00F54AAE" w:rsidRPr="00674D95" w:rsidRDefault="0047485F" w:rsidP="00F54AAE">
      <w:pPr>
        <w:spacing w:line="360" w:lineRule="auto"/>
        <w:rPr>
          <w:rFonts w:ascii="Times New Roman" w:hAnsi="Times New Roman"/>
          <w:b/>
          <w:color w:val="000000"/>
          <w:shd w:val="clear" w:color="auto" w:fill="FFFFFF"/>
          <w:lang w:val="en-US"/>
        </w:rPr>
      </w:pPr>
      <w:r w:rsidRPr="00674D95">
        <w:rPr>
          <w:rFonts w:ascii="Times New Roman" w:hAnsi="Times New Roman"/>
          <w:b/>
          <w:color w:val="000000"/>
          <w:shd w:val="clear" w:color="auto" w:fill="FFFFFF"/>
          <w:lang w:val="en-US"/>
        </w:rPr>
        <w:t>References</w:t>
      </w:r>
    </w:p>
    <w:p w:rsidR="00A87E82" w:rsidRPr="00662FBB" w:rsidRDefault="007C4E9D" w:rsidP="00A87E82">
      <w:pPr>
        <w:pStyle w:val="Bibliography"/>
        <w:rPr>
          <w:rFonts w:ascii="Times New Roman" w:hAnsi="Times New Roman"/>
          <w:lang w:val="en-US"/>
        </w:rPr>
      </w:pPr>
      <w:r w:rsidRPr="00662FBB">
        <w:rPr>
          <w:sz w:val="22"/>
          <w:szCs w:val="20"/>
          <w:lang w:val="en-US"/>
        </w:rPr>
        <w:fldChar w:fldCharType="begin"/>
      </w:r>
      <w:r w:rsidR="00A87E82" w:rsidRPr="00662FBB">
        <w:rPr>
          <w:lang w:val="en-US"/>
        </w:rPr>
        <w:instrText xml:space="preserve"> ADDIN ZOTERO_BIBL {"custom":[]} CSL_BIBLIOGRAPHY </w:instrText>
      </w:r>
      <w:r w:rsidRPr="00662FBB">
        <w:rPr>
          <w:sz w:val="22"/>
          <w:szCs w:val="20"/>
          <w:lang w:val="en-US"/>
        </w:rPr>
        <w:fldChar w:fldCharType="separate"/>
      </w:r>
      <w:r w:rsidR="00A87E82" w:rsidRPr="00662FBB">
        <w:rPr>
          <w:rFonts w:ascii="Times New Roman" w:hAnsi="Times New Roman"/>
          <w:lang w:val="en-US"/>
        </w:rPr>
        <w:t>1. GTEx</w:t>
      </w:r>
      <w:r w:rsidR="00E17536">
        <w:rPr>
          <w:rFonts w:ascii="Times New Roman" w:hAnsi="Times New Roman"/>
          <w:lang w:val="en-US"/>
        </w:rPr>
        <w:t xml:space="preserve"> Consortium. </w:t>
      </w:r>
      <w:r w:rsidR="00A87E82" w:rsidRPr="00662FBB">
        <w:rPr>
          <w:rFonts w:ascii="Times New Roman" w:hAnsi="Times New Roman"/>
          <w:bCs/>
          <w:lang w:val="en-US"/>
        </w:rPr>
        <w:t>The Genotype-Tissue Expression (GTEx) project</w:t>
      </w:r>
      <w:r w:rsidR="00A87E82" w:rsidRPr="00662FBB">
        <w:rPr>
          <w:rFonts w:ascii="Times New Roman" w:hAnsi="Times New Roman"/>
          <w:lang w:val="en-US"/>
        </w:rPr>
        <w:t xml:space="preserve">. </w:t>
      </w:r>
      <w:r w:rsidR="00A87E82" w:rsidRPr="00662FBB">
        <w:rPr>
          <w:rFonts w:ascii="Times New Roman" w:hAnsi="Times New Roman"/>
          <w:i/>
          <w:iCs/>
          <w:lang w:val="en-US"/>
        </w:rPr>
        <w:t>Nat. Genet.</w:t>
      </w:r>
      <w:r w:rsidR="00A87E82" w:rsidRPr="00662FBB">
        <w:rPr>
          <w:rFonts w:ascii="Times New Roman" w:hAnsi="Times New Roman"/>
          <w:lang w:val="en-US"/>
        </w:rPr>
        <w:t xml:space="preserve"> 2013, </w:t>
      </w:r>
      <w:r w:rsidR="00A87E82" w:rsidRPr="00662FBB">
        <w:rPr>
          <w:rFonts w:ascii="Times New Roman" w:hAnsi="Times New Roman"/>
          <w:bCs/>
          <w:lang w:val="en-US"/>
        </w:rPr>
        <w:t>45</w:t>
      </w:r>
      <w:r w:rsidR="00A87E82" w:rsidRPr="00662FBB">
        <w:rPr>
          <w:rFonts w:ascii="Times New Roman" w:hAnsi="Times New Roman"/>
          <w:lang w:val="en-US"/>
        </w:rPr>
        <w:t>:580–585.</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2. Nakamura S, Kobayashi M, Sugino T, Ka</w:t>
      </w:r>
      <w:r w:rsidR="001D7839">
        <w:rPr>
          <w:rFonts w:ascii="Times New Roman" w:hAnsi="Times New Roman"/>
          <w:lang w:val="en-US"/>
        </w:rPr>
        <w:t>jimoto O, Matoba R, Matsubara K.</w:t>
      </w:r>
      <w:r w:rsidRPr="00662FBB">
        <w:rPr>
          <w:rFonts w:ascii="Times New Roman" w:hAnsi="Times New Roman"/>
          <w:lang w:val="en-US"/>
        </w:rPr>
        <w:t xml:space="preserve"> </w:t>
      </w:r>
      <w:r w:rsidRPr="00662FBB">
        <w:rPr>
          <w:rFonts w:ascii="Times New Roman" w:hAnsi="Times New Roman"/>
          <w:bCs/>
          <w:lang w:val="en-US"/>
        </w:rPr>
        <w:t>Effect of exercise on gene expression profile in unfractionated peripheral blood leukocytes</w:t>
      </w:r>
      <w:r w:rsidRPr="00662FBB">
        <w:rPr>
          <w:rFonts w:ascii="Times New Roman" w:hAnsi="Times New Roman"/>
          <w:lang w:val="en-US"/>
        </w:rPr>
        <w:t xml:space="preserve">. </w:t>
      </w:r>
      <w:r w:rsidRPr="00662FBB">
        <w:rPr>
          <w:rFonts w:ascii="Times New Roman" w:hAnsi="Times New Roman"/>
          <w:i/>
          <w:iCs/>
          <w:lang w:val="en-US"/>
        </w:rPr>
        <w:t>Biochem. Biophys. Res. Commun.</w:t>
      </w:r>
      <w:r w:rsidRPr="00662FBB">
        <w:rPr>
          <w:rFonts w:ascii="Times New Roman" w:hAnsi="Times New Roman"/>
          <w:lang w:val="en-US"/>
        </w:rPr>
        <w:t xml:space="preserve"> 2010, </w:t>
      </w:r>
      <w:r w:rsidRPr="00662FBB">
        <w:rPr>
          <w:rFonts w:ascii="Times New Roman" w:hAnsi="Times New Roman"/>
          <w:bCs/>
          <w:lang w:val="en-US"/>
        </w:rPr>
        <w:t>391</w:t>
      </w:r>
      <w:r w:rsidRPr="00662FBB">
        <w:rPr>
          <w:rFonts w:ascii="Times New Roman" w:hAnsi="Times New Roman"/>
          <w:lang w:val="en-US"/>
        </w:rPr>
        <w:t>:846–851.</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3. Nelson AM, Zhao W, Gilliland KL, Za</w:t>
      </w:r>
      <w:r w:rsidR="00DE4BBA">
        <w:rPr>
          <w:rFonts w:ascii="Times New Roman" w:hAnsi="Times New Roman"/>
          <w:lang w:val="en-US"/>
        </w:rPr>
        <w:t>englein AL, Liu W, Thiboutot DM.</w:t>
      </w:r>
      <w:r w:rsidRPr="00662FBB">
        <w:rPr>
          <w:rFonts w:ascii="Times New Roman" w:hAnsi="Times New Roman"/>
          <w:lang w:val="en-US"/>
        </w:rPr>
        <w:t xml:space="preserve"> </w:t>
      </w:r>
      <w:r w:rsidRPr="00662FBB">
        <w:rPr>
          <w:rFonts w:ascii="Times New Roman" w:hAnsi="Times New Roman"/>
          <w:bCs/>
          <w:lang w:val="en-US"/>
        </w:rPr>
        <w:t>Isotretinoin temporally regulates distinct sets of genes in patient skin</w:t>
      </w:r>
      <w:r w:rsidRPr="00662FBB">
        <w:rPr>
          <w:rFonts w:ascii="Times New Roman" w:hAnsi="Times New Roman"/>
          <w:lang w:val="en-US"/>
        </w:rPr>
        <w:t xml:space="preserve">. </w:t>
      </w:r>
      <w:r w:rsidRPr="00662FBB">
        <w:rPr>
          <w:rFonts w:ascii="Times New Roman" w:hAnsi="Times New Roman"/>
          <w:i/>
          <w:iCs/>
          <w:lang w:val="en-US"/>
        </w:rPr>
        <w:t>J. Invest. Dermatol.</w:t>
      </w:r>
      <w:r w:rsidRPr="00662FBB">
        <w:rPr>
          <w:rFonts w:ascii="Times New Roman" w:hAnsi="Times New Roman"/>
          <w:lang w:val="en-US"/>
        </w:rPr>
        <w:t xml:space="preserve"> 2009, </w:t>
      </w:r>
      <w:r w:rsidRPr="00662FBB">
        <w:rPr>
          <w:rFonts w:ascii="Times New Roman" w:hAnsi="Times New Roman"/>
          <w:bCs/>
          <w:lang w:val="en-US"/>
        </w:rPr>
        <w:t>129</w:t>
      </w:r>
      <w:r w:rsidRPr="00662FBB">
        <w:rPr>
          <w:rFonts w:ascii="Times New Roman" w:hAnsi="Times New Roman"/>
          <w:lang w:val="en-US"/>
        </w:rPr>
        <w:t>:1038–1042.</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4. Schoggins JW, Wilson SJ, Panis M, Murphy MY</w:t>
      </w:r>
      <w:r w:rsidR="006F2273">
        <w:rPr>
          <w:rFonts w:ascii="Times New Roman" w:hAnsi="Times New Roman"/>
          <w:lang w:val="en-US"/>
        </w:rPr>
        <w:t>, Jones CT, Bieniasz P, Rice CM.</w:t>
      </w:r>
      <w:r w:rsidRPr="00662FBB">
        <w:rPr>
          <w:rFonts w:ascii="Times New Roman" w:hAnsi="Times New Roman"/>
          <w:lang w:val="en-US"/>
        </w:rPr>
        <w:t xml:space="preserve"> </w:t>
      </w:r>
      <w:r w:rsidRPr="00662FBB">
        <w:rPr>
          <w:rFonts w:ascii="Times New Roman" w:hAnsi="Times New Roman"/>
          <w:bCs/>
          <w:lang w:val="en-US"/>
        </w:rPr>
        <w:t>A diverse range of gene products are effectors of the type I interferon antiviral response</w:t>
      </w:r>
      <w:r w:rsidRPr="00662FBB">
        <w:rPr>
          <w:rFonts w:ascii="Times New Roman" w:hAnsi="Times New Roman"/>
          <w:lang w:val="en-US"/>
        </w:rPr>
        <w:t xml:space="preserve">. </w:t>
      </w:r>
      <w:r w:rsidRPr="00662FBB">
        <w:rPr>
          <w:rFonts w:ascii="Times New Roman" w:hAnsi="Times New Roman"/>
          <w:i/>
          <w:iCs/>
          <w:lang w:val="en-US"/>
        </w:rPr>
        <w:t>Nature</w:t>
      </w:r>
      <w:r w:rsidRPr="00662FBB">
        <w:rPr>
          <w:rFonts w:ascii="Times New Roman" w:hAnsi="Times New Roman"/>
          <w:lang w:val="en-US"/>
        </w:rPr>
        <w:t xml:space="preserve"> 2011, </w:t>
      </w:r>
      <w:r w:rsidRPr="00662FBB">
        <w:rPr>
          <w:rFonts w:ascii="Times New Roman" w:hAnsi="Times New Roman"/>
          <w:bCs/>
          <w:lang w:val="en-US"/>
        </w:rPr>
        <w:t>472</w:t>
      </w:r>
      <w:r w:rsidRPr="00662FBB">
        <w:rPr>
          <w:rFonts w:ascii="Times New Roman" w:hAnsi="Times New Roman"/>
          <w:lang w:val="en-US"/>
        </w:rPr>
        <w:t>:481–485.</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5. Haglund F, Ma R, Huss M, Sulaiman L, Lu M, Nilsson I-L, Höög A, Juhl</w:t>
      </w:r>
      <w:r w:rsidR="00514669">
        <w:rPr>
          <w:rFonts w:ascii="Times New Roman" w:hAnsi="Times New Roman"/>
          <w:lang w:val="en-US"/>
        </w:rPr>
        <w:t>in CC, Hartman J, Larsson C.</w:t>
      </w:r>
      <w:r w:rsidRPr="00662FBB">
        <w:rPr>
          <w:rFonts w:ascii="Times New Roman" w:hAnsi="Times New Roman"/>
          <w:lang w:val="en-US"/>
        </w:rPr>
        <w:t xml:space="preserve"> </w:t>
      </w:r>
      <w:r w:rsidRPr="00662FBB">
        <w:rPr>
          <w:rFonts w:ascii="Times New Roman" w:hAnsi="Times New Roman"/>
          <w:bCs/>
          <w:lang w:val="en-US"/>
        </w:rPr>
        <w:t>Evidence of a functional estrogen receptor in parathyroid adenomas</w:t>
      </w:r>
      <w:r w:rsidRPr="00662FBB">
        <w:rPr>
          <w:rFonts w:ascii="Times New Roman" w:hAnsi="Times New Roman"/>
          <w:lang w:val="en-US"/>
        </w:rPr>
        <w:t xml:space="preserve">. </w:t>
      </w:r>
      <w:r w:rsidRPr="00662FBB">
        <w:rPr>
          <w:rFonts w:ascii="Times New Roman" w:hAnsi="Times New Roman"/>
          <w:i/>
          <w:iCs/>
          <w:lang w:val="en-US"/>
        </w:rPr>
        <w:t>J. Clin. Endocrinol. Metab.</w:t>
      </w:r>
      <w:r w:rsidRPr="00662FBB">
        <w:rPr>
          <w:rFonts w:ascii="Times New Roman" w:hAnsi="Times New Roman"/>
          <w:lang w:val="en-US"/>
        </w:rPr>
        <w:t xml:space="preserve"> 2012, </w:t>
      </w:r>
      <w:r w:rsidRPr="00662FBB">
        <w:rPr>
          <w:rFonts w:ascii="Times New Roman" w:hAnsi="Times New Roman"/>
          <w:bCs/>
          <w:lang w:val="en-US"/>
        </w:rPr>
        <w:t>97</w:t>
      </w:r>
      <w:r w:rsidRPr="00662FBB">
        <w:rPr>
          <w:rFonts w:ascii="Times New Roman" w:hAnsi="Times New Roman"/>
          <w:lang w:val="en-US"/>
        </w:rPr>
        <w:t>:4631–4639.</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6. Ricarte-Filho JC, Li S, Garcia-Rendueles MER, Montero-Conde C, Voza F, Knauf JA, Heguy A, Viale A, Bogdanova T, Thomas GA, Mason CE, Fagin JA</w:t>
      </w:r>
      <w:r w:rsidR="00AC7F91">
        <w:rPr>
          <w:rFonts w:ascii="Times New Roman" w:hAnsi="Times New Roman"/>
          <w:lang w:val="en-US"/>
        </w:rPr>
        <w:t>.</w:t>
      </w:r>
      <w:r w:rsidRPr="00662FBB">
        <w:rPr>
          <w:rFonts w:ascii="Times New Roman" w:hAnsi="Times New Roman"/>
          <w:lang w:val="en-US"/>
        </w:rPr>
        <w:t xml:space="preserve"> </w:t>
      </w:r>
      <w:r w:rsidRPr="00662FBB">
        <w:rPr>
          <w:rFonts w:ascii="Times New Roman" w:hAnsi="Times New Roman"/>
          <w:bCs/>
          <w:lang w:val="en-US"/>
        </w:rPr>
        <w:t>Identification of kinase fusion oncogenes in post-Chernobyl radiation-induced thyroid cancers</w:t>
      </w:r>
      <w:r w:rsidRPr="00662FBB">
        <w:rPr>
          <w:rFonts w:ascii="Times New Roman" w:hAnsi="Times New Roman"/>
          <w:lang w:val="en-US"/>
        </w:rPr>
        <w:t xml:space="preserve">. </w:t>
      </w:r>
      <w:r w:rsidRPr="00662FBB">
        <w:rPr>
          <w:rFonts w:ascii="Times New Roman" w:hAnsi="Times New Roman"/>
          <w:i/>
          <w:iCs/>
          <w:lang w:val="en-US"/>
        </w:rPr>
        <w:t>J. Clin. Invest.</w:t>
      </w:r>
      <w:r w:rsidRPr="00662FBB">
        <w:rPr>
          <w:rFonts w:ascii="Times New Roman" w:hAnsi="Times New Roman"/>
          <w:lang w:val="en-US"/>
        </w:rPr>
        <w:t xml:space="preserve"> 2013, </w:t>
      </w:r>
      <w:r w:rsidRPr="00662FBB">
        <w:rPr>
          <w:rFonts w:ascii="Times New Roman" w:hAnsi="Times New Roman"/>
          <w:bCs/>
          <w:lang w:val="en-US"/>
        </w:rPr>
        <w:t>123</w:t>
      </w:r>
      <w:r w:rsidRPr="00662FBB">
        <w:rPr>
          <w:rFonts w:ascii="Times New Roman" w:hAnsi="Times New Roman"/>
          <w:lang w:val="en-US"/>
        </w:rPr>
        <w:t>:4935–4944.</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7. Seo J-S, Ju YS, Lee W-C, Shin J-Y, Lee JK, Bleazard T, Lee J, Jung YJ, Kim J-O, Shin J-Y, Yu S-B, Kim J, Lee E-R, Kang C-H, Park I-K, Rhee H, Lee</w:t>
      </w:r>
      <w:r w:rsidR="00937B4A">
        <w:rPr>
          <w:rFonts w:ascii="Times New Roman" w:hAnsi="Times New Roman"/>
          <w:lang w:val="en-US"/>
        </w:rPr>
        <w:t xml:space="preserve"> S-H, Kim J-I, Kang J-H, Kim YT.</w:t>
      </w:r>
      <w:r w:rsidRPr="00662FBB">
        <w:rPr>
          <w:rFonts w:ascii="Times New Roman" w:hAnsi="Times New Roman"/>
          <w:lang w:val="en-US"/>
        </w:rPr>
        <w:t xml:space="preserve"> </w:t>
      </w:r>
      <w:r w:rsidRPr="00662FBB">
        <w:rPr>
          <w:rFonts w:ascii="Times New Roman" w:hAnsi="Times New Roman"/>
          <w:bCs/>
          <w:lang w:val="en-US"/>
        </w:rPr>
        <w:t>The transcriptional landscape and mutational profile of lung adenocarcinoma</w:t>
      </w:r>
      <w:r w:rsidRPr="00662FBB">
        <w:rPr>
          <w:rFonts w:ascii="Times New Roman" w:hAnsi="Times New Roman"/>
          <w:lang w:val="en-US"/>
        </w:rPr>
        <w:t xml:space="preserve">. </w:t>
      </w:r>
      <w:r w:rsidRPr="00662FBB">
        <w:rPr>
          <w:rFonts w:ascii="Times New Roman" w:hAnsi="Times New Roman"/>
          <w:i/>
          <w:iCs/>
          <w:lang w:val="en-US"/>
        </w:rPr>
        <w:t>Genome Res.</w:t>
      </w:r>
      <w:r w:rsidRPr="00662FBB">
        <w:rPr>
          <w:rFonts w:ascii="Times New Roman" w:hAnsi="Times New Roman"/>
          <w:lang w:val="en-US"/>
        </w:rPr>
        <w:t xml:space="preserve"> 2012, </w:t>
      </w:r>
      <w:r w:rsidRPr="00662FBB">
        <w:rPr>
          <w:rFonts w:ascii="Times New Roman" w:hAnsi="Times New Roman"/>
          <w:bCs/>
          <w:lang w:val="en-US"/>
        </w:rPr>
        <w:t>22</w:t>
      </w:r>
      <w:r w:rsidRPr="00662FBB">
        <w:rPr>
          <w:rFonts w:ascii="Times New Roman" w:hAnsi="Times New Roman"/>
          <w:lang w:val="en-US"/>
        </w:rPr>
        <w:t>:2109–2119.</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8. M</w:t>
      </w:r>
      <w:r w:rsidR="00623785">
        <w:rPr>
          <w:rFonts w:ascii="Times New Roman" w:hAnsi="Times New Roman"/>
          <w:lang w:val="en-US"/>
        </w:rPr>
        <w:t>orrison TB, Weis JJ, Wittwer CT</w:t>
      </w:r>
      <w:r w:rsidR="002424E5">
        <w:rPr>
          <w:rFonts w:ascii="Times New Roman" w:hAnsi="Times New Roman"/>
          <w:lang w:val="en-US"/>
        </w:rPr>
        <w:t>.</w:t>
      </w:r>
      <w:r w:rsidRPr="00662FBB">
        <w:rPr>
          <w:rFonts w:ascii="Times New Roman" w:hAnsi="Times New Roman"/>
          <w:lang w:val="en-US"/>
        </w:rPr>
        <w:t xml:space="preserve"> </w:t>
      </w:r>
      <w:r w:rsidRPr="00662FBB">
        <w:rPr>
          <w:rFonts w:ascii="Times New Roman" w:hAnsi="Times New Roman"/>
          <w:bCs/>
          <w:lang w:val="en-US"/>
        </w:rPr>
        <w:t>Quantification of low-copy transcripts by continuous SYBR Green I monitoring during amplification</w:t>
      </w:r>
      <w:r w:rsidRPr="00662FBB">
        <w:rPr>
          <w:rFonts w:ascii="Times New Roman" w:hAnsi="Times New Roman"/>
          <w:lang w:val="en-US"/>
        </w:rPr>
        <w:t xml:space="preserve">. </w:t>
      </w:r>
      <w:r w:rsidRPr="00662FBB">
        <w:rPr>
          <w:rFonts w:ascii="Times New Roman" w:hAnsi="Times New Roman"/>
          <w:i/>
          <w:iCs/>
          <w:lang w:val="en-US"/>
        </w:rPr>
        <w:t>BioTechniques</w:t>
      </w:r>
      <w:r w:rsidRPr="00662FBB">
        <w:rPr>
          <w:rFonts w:ascii="Times New Roman" w:hAnsi="Times New Roman"/>
          <w:lang w:val="en-US"/>
        </w:rPr>
        <w:t xml:space="preserve"> 1998, </w:t>
      </w:r>
      <w:r w:rsidRPr="00662FBB">
        <w:rPr>
          <w:rFonts w:ascii="Times New Roman" w:hAnsi="Times New Roman"/>
          <w:bCs/>
          <w:lang w:val="en-US"/>
        </w:rPr>
        <w:t>24</w:t>
      </w:r>
      <w:r w:rsidRPr="00662FBB">
        <w:rPr>
          <w:rFonts w:ascii="Times New Roman" w:hAnsi="Times New Roman"/>
          <w:lang w:val="en-US"/>
        </w:rPr>
        <w:t>:954–958, 960, 962.</w:t>
      </w:r>
    </w:p>
    <w:p w:rsidR="00A87E82" w:rsidRPr="00662FBB" w:rsidRDefault="0006587B" w:rsidP="00A87E82">
      <w:pPr>
        <w:pStyle w:val="Bibliography"/>
        <w:rPr>
          <w:rFonts w:ascii="Times New Roman" w:hAnsi="Times New Roman"/>
          <w:lang w:val="en-US"/>
        </w:rPr>
      </w:pPr>
      <w:r>
        <w:rPr>
          <w:rFonts w:ascii="Times New Roman" w:hAnsi="Times New Roman"/>
          <w:lang w:val="en-US"/>
        </w:rPr>
        <w:t>9. Wong ML, Medrano JF.</w:t>
      </w:r>
      <w:r w:rsidR="00A87E82" w:rsidRPr="00662FBB">
        <w:rPr>
          <w:rFonts w:ascii="Times New Roman" w:hAnsi="Times New Roman"/>
          <w:lang w:val="en-US"/>
        </w:rPr>
        <w:t xml:space="preserve"> </w:t>
      </w:r>
      <w:r w:rsidR="00A87E82" w:rsidRPr="00662FBB">
        <w:rPr>
          <w:rFonts w:ascii="Times New Roman" w:hAnsi="Times New Roman"/>
          <w:bCs/>
          <w:lang w:val="en-US"/>
        </w:rPr>
        <w:t>Real-time PCR for mRNA quantitation</w:t>
      </w:r>
      <w:r w:rsidR="00A87E82" w:rsidRPr="00662FBB">
        <w:rPr>
          <w:rFonts w:ascii="Times New Roman" w:hAnsi="Times New Roman"/>
          <w:lang w:val="en-US"/>
        </w:rPr>
        <w:t xml:space="preserve">. </w:t>
      </w:r>
      <w:r w:rsidR="00A87E82" w:rsidRPr="00662FBB">
        <w:rPr>
          <w:rFonts w:ascii="Times New Roman" w:hAnsi="Times New Roman"/>
          <w:i/>
          <w:iCs/>
          <w:lang w:val="en-US"/>
        </w:rPr>
        <w:t>BioTechniques</w:t>
      </w:r>
      <w:r w:rsidR="00A87E82" w:rsidRPr="00662FBB">
        <w:rPr>
          <w:rFonts w:ascii="Times New Roman" w:hAnsi="Times New Roman"/>
          <w:lang w:val="en-US"/>
        </w:rPr>
        <w:t xml:space="preserve"> 2005, </w:t>
      </w:r>
      <w:r w:rsidR="00A87E82" w:rsidRPr="00662FBB">
        <w:rPr>
          <w:rFonts w:ascii="Times New Roman" w:hAnsi="Times New Roman"/>
          <w:bCs/>
          <w:lang w:val="en-US"/>
        </w:rPr>
        <w:t>39</w:t>
      </w:r>
      <w:r w:rsidR="00A87E82" w:rsidRPr="00662FBB">
        <w:rPr>
          <w:rFonts w:ascii="Times New Roman" w:hAnsi="Times New Roman"/>
          <w:lang w:val="en-US"/>
        </w:rPr>
        <w:t>:75–85.</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10. Jones GM, Busby E, Garson JA, Grant PR, Nast</w:t>
      </w:r>
      <w:r w:rsidR="000D7790">
        <w:rPr>
          <w:rFonts w:ascii="Times New Roman" w:hAnsi="Times New Roman"/>
          <w:lang w:val="en-US"/>
        </w:rPr>
        <w:t>ouli E, Devonshire AS, Whale AS.</w:t>
      </w:r>
      <w:r w:rsidRPr="00662FBB">
        <w:rPr>
          <w:rFonts w:ascii="Times New Roman" w:hAnsi="Times New Roman"/>
          <w:lang w:val="en-US"/>
        </w:rPr>
        <w:t xml:space="preserve"> </w:t>
      </w:r>
      <w:r w:rsidRPr="00662FBB">
        <w:rPr>
          <w:rFonts w:ascii="Times New Roman" w:hAnsi="Times New Roman"/>
          <w:bCs/>
          <w:lang w:val="en-US"/>
        </w:rPr>
        <w:t>Digital PCR dynamic range is approaching that of real-time quantitative PCR</w:t>
      </w:r>
      <w:r w:rsidRPr="00662FBB">
        <w:rPr>
          <w:rFonts w:ascii="Times New Roman" w:hAnsi="Times New Roman"/>
          <w:lang w:val="en-US"/>
        </w:rPr>
        <w:t xml:space="preserve">. </w:t>
      </w:r>
      <w:r w:rsidRPr="00662FBB">
        <w:rPr>
          <w:rFonts w:ascii="Times New Roman" w:hAnsi="Times New Roman"/>
          <w:i/>
          <w:iCs/>
          <w:lang w:val="en-US"/>
        </w:rPr>
        <w:t>Biomol. Detect. Quantif.</w:t>
      </w:r>
      <w:r w:rsidRPr="00662FBB">
        <w:rPr>
          <w:rFonts w:ascii="Times New Roman" w:hAnsi="Times New Roman"/>
          <w:lang w:val="en-US"/>
        </w:rPr>
        <w:t xml:space="preserve"> 2016, </w:t>
      </w:r>
      <w:r w:rsidRPr="00662FBB">
        <w:rPr>
          <w:rFonts w:ascii="Times New Roman" w:hAnsi="Times New Roman"/>
          <w:bCs/>
          <w:lang w:val="en-US"/>
        </w:rPr>
        <w:t>10</w:t>
      </w:r>
      <w:r w:rsidRPr="00662FBB">
        <w:rPr>
          <w:rFonts w:ascii="Times New Roman" w:hAnsi="Times New Roman"/>
          <w:lang w:val="en-US"/>
        </w:rPr>
        <w:t>:31–33.</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 xml:space="preserve">11. Xu J, Gong B, </w:t>
      </w:r>
      <w:r w:rsidR="00971669">
        <w:rPr>
          <w:rFonts w:ascii="Times New Roman" w:hAnsi="Times New Roman"/>
          <w:lang w:val="en-US"/>
        </w:rPr>
        <w:t>Wu L, Thakkar S, Hong H, Tong W.</w:t>
      </w:r>
      <w:r w:rsidRPr="00662FBB">
        <w:rPr>
          <w:rFonts w:ascii="Times New Roman" w:hAnsi="Times New Roman"/>
          <w:lang w:val="en-US"/>
        </w:rPr>
        <w:t xml:space="preserve"> </w:t>
      </w:r>
      <w:r w:rsidRPr="00662FBB">
        <w:rPr>
          <w:rFonts w:ascii="Times New Roman" w:hAnsi="Times New Roman"/>
          <w:bCs/>
          <w:lang w:val="en-US"/>
        </w:rPr>
        <w:t>Comprehensive Assessments of RNA-seq by the SEQC Consortium: FDA-Led Efforts Advance Precision Medicine</w:t>
      </w:r>
      <w:r w:rsidRPr="00662FBB">
        <w:rPr>
          <w:rFonts w:ascii="Times New Roman" w:hAnsi="Times New Roman"/>
          <w:lang w:val="en-US"/>
        </w:rPr>
        <w:t xml:space="preserve">. </w:t>
      </w:r>
      <w:r w:rsidRPr="00662FBB">
        <w:rPr>
          <w:rFonts w:ascii="Times New Roman" w:hAnsi="Times New Roman"/>
          <w:i/>
          <w:iCs/>
          <w:lang w:val="en-US"/>
        </w:rPr>
        <w:t>Pharmaceutics</w:t>
      </w:r>
      <w:r w:rsidRPr="00662FBB">
        <w:rPr>
          <w:rFonts w:ascii="Times New Roman" w:hAnsi="Times New Roman"/>
          <w:lang w:val="en-US"/>
        </w:rPr>
        <w:t xml:space="preserve"> 2016, </w:t>
      </w:r>
      <w:r w:rsidRPr="00662FBB">
        <w:rPr>
          <w:rFonts w:ascii="Times New Roman" w:hAnsi="Times New Roman"/>
          <w:bCs/>
          <w:lang w:val="en-US"/>
        </w:rPr>
        <w:t>8</w:t>
      </w:r>
      <w:r w:rsidRPr="00662FBB">
        <w:rPr>
          <w:rFonts w:ascii="Times New Roman" w:hAnsi="Times New Roman"/>
          <w:lang w:val="en-US"/>
        </w:rPr>
        <w:t>.</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lastRenderedPageBreak/>
        <w:t>12. Ramos A, Santos C, Barbena E, Mateiu L</w:t>
      </w:r>
      <w:r w:rsidR="007E6A5B">
        <w:rPr>
          <w:rFonts w:ascii="Times New Roman" w:hAnsi="Times New Roman"/>
          <w:lang w:val="en-US"/>
        </w:rPr>
        <w:t>, Alvarez L, Nogués R, Aluja MP.</w:t>
      </w:r>
      <w:r w:rsidRPr="00662FBB">
        <w:rPr>
          <w:rFonts w:ascii="Times New Roman" w:hAnsi="Times New Roman"/>
          <w:lang w:val="en-US"/>
        </w:rPr>
        <w:t xml:space="preserve"> </w:t>
      </w:r>
      <w:r w:rsidRPr="00662FBB">
        <w:rPr>
          <w:rFonts w:ascii="Times New Roman" w:hAnsi="Times New Roman"/>
          <w:bCs/>
          <w:lang w:val="en-US"/>
        </w:rPr>
        <w:t>Validated primer set that prevents nuclear DNA sequences of mitochondrial origin co-amplification: a revision based on the New Human Genome Reference Sequence (GRCh37)</w:t>
      </w:r>
      <w:r w:rsidRPr="00662FBB">
        <w:rPr>
          <w:rFonts w:ascii="Times New Roman" w:hAnsi="Times New Roman"/>
          <w:lang w:val="en-US"/>
        </w:rPr>
        <w:t xml:space="preserve">. </w:t>
      </w:r>
      <w:r w:rsidRPr="00662FBB">
        <w:rPr>
          <w:rFonts w:ascii="Times New Roman" w:hAnsi="Times New Roman"/>
          <w:i/>
          <w:iCs/>
          <w:lang w:val="en-US"/>
        </w:rPr>
        <w:t>Electrophoresis</w:t>
      </w:r>
      <w:r w:rsidRPr="00662FBB">
        <w:rPr>
          <w:rFonts w:ascii="Times New Roman" w:hAnsi="Times New Roman"/>
          <w:lang w:val="en-US"/>
        </w:rPr>
        <w:t xml:space="preserve"> 2011, </w:t>
      </w:r>
      <w:r w:rsidRPr="00662FBB">
        <w:rPr>
          <w:rFonts w:ascii="Times New Roman" w:hAnsi="Times New Roman"/>
          <w:bCs/>
          <w:lang w:val="en-US"/>
        </w:rPr>
        <w:t>32</w:t>
      </w:r>
      <w:r w:rsidRPr="00662FBB">
        <w:rPr>
          <w:rFonts w:ascii="Times New Roman" w:hAnsi="Times New Roman"/>
          <w:lang w:val="en-US"/>
        </w:rPr>
        <w:t>:782–783.</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 xml:space="preserve">13. Schneider VA, Graves-Lindsay T, Howe K, Bouk N, Chen H-C, Kitts PA, Murphy TD, Pruitt KD, Thibaud-Nissen F, Albracht D, Fulton RS, Kremitzki M, Magrini V, Markovic C, McGrath S, Steinberg KM, Auger K, Chow W, Collins J, Harden G, Hubbard T, Pelan S, Simpson JT, Threadgold G, Torrance J, Wood JM, Clarke L, Koren S, Boitano M, Peluso P, Li H, Chin C-S, Phillippy AM, Durbin R, Wilson RK, </w:t>
      </w:r>
      <w:r w:rsidR="00666C04">
        <w:rPr>
          <w:rFonts w:ascii="Times New Roman" w:hAnsi="Times New Roman"/>
          <w:lang w:val="en-US"/>
        </w:rPr>
        <w:t>Flicek P, Eichler EE, Church DM.</w:t>
      </w:r>
      <w:r w:rsidRPr="00662FBB">
        <w:rPr>
          <w:rFonts w:ascii="Times New Roman" w:hAnsi="Times New Roman"/>
          <w:lang w:val="en-US"/>
        </w:rPr>
        <w:t xml:space="preserve"> </w:t>
      </w:r>
      <w:r w:rsidRPr="00662FBB">
        <w:rPr>
          <w:rFonts w:ascii="Times New Roman" w:hAnsi="Times New Roman"/>
          <w:bCs/>
          <w:lang w:val="en-US"/>
        </w:rPr>
        <w:t>Evaluation of GRCh38 and de novo haploid genome assemblies demonstrates the enduring quality of the reference assembly</w:t>
      </w:r>
      <w:r w:rsidRPr="00662FBB">
        <w:rPr>
          <w:rFonts w:ascii="Times New Roman" w:hAnsi="Times New Roman"/>
          <w:lang w:val="en-US"/>
        </w:rPr>
        <w:t xml:space="preserve">. </w:t>
      </w:r>
      <w:r w:rsidRPr="00662FBB">
        <w:rPr>
          <w:rFonts w:ascii="Times New Roman" w:hAnsi="Times New Roman"/>
          <w:i/>
          <w:iCs/>
          <w:lang w:val="en-US"/>
        </w:rPr>
        <w:t>Genome Res.</w:t>
      </w:r>
      <w:r w:rsidRPr="00662FBB">
        <w:rPr>
          <w:rFonts w:ascii="Times New Roman" w:hAnsi="Times New Roman"/>
          <w:lang w:val="en-US"/>
        </w:rPr>
        <w:t xml:space="preserve"> 2017, </w:t>
      </w:r>
      <w:r w:rsidRPr="00662FBB">
        <w:rPr>
          <w:rFonts w:ascii="Times New Roman" w:hAnsi="Times New Roman"/>
          <w:bCs/>
          <w:lang w:val="en-US"/>
        </w:rPr>
        <w:t>27</w:t>
      </w:r>
      <w:r w:rsidRPr="00662FBB">
        <w:rPr>
          <w:rFonts w:ascii="Times New Roman" w:hAnsi="Times New Roman"/>
          <w:lang w:val="en-US"/>
        </w:rPr>
        <w:t>:849–864.</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14. de Klerk E, Fokkema IFAC, Thiadens KAMH, Goeman JJ, Palmblad M, d</w:t>
      </w:r>
      <w:r w:rsidR="003F4BE2">
        <w:rPr>
          <w:rFonts w:ascii="Times New Roman" w:hAnsi="Times New Roman"/>
          <w:lang w:val="en-US"/>
        </w:rPr>
        <w:t>en Dunnen JT, von Lindern M, Hoen PAC.</w:t>
      </w:r>
      <w:r w:rsidRPr="00662FBB">
        <w:rPr>
          <w:rFonts w:ascii="Times New Roman" w:hAnsi="Times New Roman"/>
          <w:lang w:val="en-US"/>
        </w:rPr>
        <w:t xml:space="preserve"> </w:t>
      </w:r>
      <w:r w:rsidRPr="00662FBB">
        <w:rPr>
          <w:rFonts w:ascii="Times New Roman" w:hAnsi="Times New Roman"/>
          <w:bCs/>
          <w:lang w:val="en-US"/>
        </w:rPr>
        <w:t>Assessing the translational landscape of myogenic differentiation by ribosome profiling</w:t>
      </w:r>
      <w:r w:rsidRPr="00662FBB">
        <w:rPr>
          <w:rFonts w:ascii="Times New Roman" w:hAnsi="Times New Roman"/>
          <w:lang w:val="en-US"/>
        </w:rPr>
        <w:t xml:space="preserve">. </w:t>
      </w:r>
      <w:r w:rsidRPr="00662FBB">
        <w:rPr>
          <w:rFonts w:ascii="Times New Roman" w:hAnsi="Times New Roman"/>
          <w:i/>
          <w:iCs/>
          <w:lang w:val="en-US"/>
        </w:rPr>
        <w:t>Nucleic Acids Res.</w:t>
      </w:r>
      <w:r w:rsidRPr="00662FBB">
        <w:rPr>
          <w:rFonts w:ascii="Times New Roman" w:hAnsi="Times New Roman"/>
          <w:lang w:val="en-US"/>
        </w:rPr>
        <w:t xml:space="preserve"> 2015, </w:t>
      </w:r>
      <w:r w:rsidRPr="00662FBB">
        <w:rPr>
          <w:rFonts w:ascii="Times New Roman" w:hAnsi="Times New Roman"/>
          <w:bCs/>
          <w:lang w:val="en-US"/>
        </w:rPr>
        <w:t>43</w:t>
      </w:r>
      <w:r w:rsidRPr="00662FBB">
        <w:rPr>
          <w:rFonts w:ascii="Times New Roman" w:hAnsi="Times New Roman"/>
          <w:lang w:val="en-US"/>
        </w:rPr>
        <w:t>:4408–4428.</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15. Ing</w:t>
      </w:r>
      <w:r w:rsidR="000A7CD7">
        <w:rPr>
          <w:rFonts w:ascii="Times New Roman" w:hAnsi="Times New Roman"/>
          <w:lang w:val="en-US"/>
        </w:rPr>
        <w:t>olia NT, Lareau LF, Weissman JS.</w:t>
      </w:r>
      <w:r w:rsidRPr="00662FBB">
        <w:rPr>
          <w:rFonts w:ascii="Times New Roman" w:hAnsi="Times New Roman"/>
          <w:lang w:val="en-US"/>
        </w:rPr>
        <w:t xml:space="preserve"> </w:t>
      </w:r>
      <w:r w:rsidRPr="00662FBB">
        <w:rPr>
          <w:rFonts w:ascii="Times New Roman" w:hAnsi="Times New Roman"/>
          <w:bCs/>
          <w:lang w:val="en-US"/>
        </w:rPr>
        <w:t>Ribosome profiling of mouse embryonic stem cells reveals the complexity and dynamics of mammalian proteomes</w:t>
      </w:r>
      <w:r w:rsidRPr="00662FBB">
        <w:rPr>
          <w:rFonts w:ascii="Times New Roman" w:hAnsi="Times New Roman"/>
          <w:lang w:val="en-US"/>
        </w:rPr>
        <w:t xml:space="preserve">. </w:t>
      </w:r>
      <w:r w:rsidRPr="00662FBB">
        <w:rPr>
          <w:rFonts w:ascii="Times New Roman" w:hAnsi="Times New Roman"/>
          <w:i/>
          <w:iCs/>
          <w:lang w:val="en-US"/>
        </w:rPr>
        <w:t>Cell</w:t>
      </w:r>
      <w:r w:rsidRPr="00662FBB">
        <w:rPr>
          <w:rFonts w:ascii="Times New Roman" w:hAnsi="Times New Roman"/>
          <w:lang w:val="en-US"/>
        </w:rPr>
        <w:t xml:space="preserve"> 2011, </w:t>
      </w:r>
      <w:r w:rsidRPr="00662FBB">
        <w:rPr>
          <w:rFonts w:ascii="Times New Roman" w:hAnsi="Times New Roman"/>
          <w:bCs/>
          <w:lang w:val="en-US"/>
        </w:rPr>
        <w:t>147</w:t>
      </w:r>
      <w:r w:rsidRPr="00662FBB">
        <w:rPr>
          <w:rFonts w:ascii="Times New Roman" w:hAnsi="Times New Roman"/>
          <w:lang w:val="en-US"/>
        </w:rPr>
        <w:t>:789–802.</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16. Volkova OA, Kondrakhin YV, Yev</w:t>
      </w:r>
      <w:r w:rsidR="00FE6AFE">
        <w:rPr>
          <w:rFonts w:ascii="Times New Roman" w:hAnsi="Times New Roman"/>
          <w:lang w:val="en-US"/>
        </w:rPr>
        <w:t>shin IS, Valeev TF, Sharipov RN.</w:t>
      </w:r>
      <w:r w:rsidRPr="00662FBB">
        <w:rPr>
          <w:rFonts w:ascii="Times New Roman" w:hAnsi="Times New Roman"/>
          <w:lang w:val="en-US"/>
        </w:rPr>
        <w:t xml:space="preserve"> </w:t>
      </w:r>
      <w:r w:rsidRPr="00662FBB">
        <w:rPr>
          <w:rFonts w:ascii="Times New Roman" w:hAnsi="Times New Roman"/>
          <w:bCs/>
          <w:lang w:val="en-US"/>
        </w:rPr>
        <w:t>Assessment of translational importance of mammalian mRNA sequence features based on Ribo-Seq and mRNA-Seq data</w:t>
      </w:r>
      <w:r w:rsidRPr="00662FBB">
        <w:rPr>
          <w:rFonts w:ascii="Times New Roman" w:hAnsi="Times New Roman"/>
          <w:lang w:val="en-US"/>
        </w:rPr>
        <w:t xml:space="preserve">. </w:t>
      </w:r>
      <w:r w:rsidRPr="00662FBB">
        <w:rPr>
          <w:rFonts w:ascii="Times New Roman" w:hAnsi="Times New Roman"/>
          <w:i/>
          <w:iCs/>
          <w:lang w:val="en-US"/>
        </w:rPr>
        <w:t>J. Bioinform. Comput. Biol.</w:t>
      </w:r>
      <w:r w:rsidRPr="00662FBB">
        <w:rPr>
          <w:rFonts w:ascii="Times New Roman" w:hAnsi="Times New Roman"/>
          <w:lang w:val="en-US"/>
        </w:rPr>
        <w:t xml:space="preserve"> 2016, </w:t>
      </w:r>
      <w:r w:rsidRPr="00662FBB">
        <w:rPr>
          <w:rFonts w:ascii="Times New Roman" w:hAnsi="Times New Roman"/>
          <w:bCs/>
          <w:lang w:val="en-US"/>
        </w:rPr>
        <w:t>14</w:t>
      </w:r>
      <w:r w:rsidRPr="00662FBB">
        <w:rPr>
          <w:rFonts w:ascii="Times New Roman" w:hAnsi="Times New Roman"/>
          <w:lang w:val="en-US"/>
        </w:rPr>
        <w:t>:1641006.</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 xml:space="preserve">17. Artcibasova AV, Korzinkin MB, Sorokin MI, Shegay PV, Zhavoronkov AA, Gaifullin N, Alekseev BY, Vorobyev NV, Kuzmin DV, Kaprin </w:t>
      </w:r>
      <w:r w:rsidRPr="00662FBB">
        <w:rPr>
          <w:rFonts w:ascii="Times New Roman" w:hAnsi="Times New Roman"/>
        </w:rPr>
        <w:t>А</w:t>
      </w:r>
      <w:r w:rsidR="00897270">
        <w:rPr>
          <w:rFonts w:ascii="Times New Roman" w:hAnsi="Times New Roman"/>
          <w:lang w:val="en-US"/>
        </w:rPr>
        <w:t>D, Borisov NM, Buzdin AA.</w:t>
      </w:r>
      <w:r w:rsidRPr="00662FBB">
        <w:rPr>
          <w:rFonts w:ascii="Times New Roman" w:hAnsi="Times New Roman"/>
          <w:lang w:val="en-US"/>
        </w:rPr>
        <w:t xml:space="preserve"> </w:t>
      </w:r>
      <w:r w:rsidRPr="00662FBB">
        <w:rPr>
          <w:rFonts w:ascii="Times New Roman" w:hAnsi="Times New Roman"/>
          <w:bCs/>
          <w:lang w:val="en-US"/>
        </w:rPr>
        <w:t>MiRImpact, a new bioinformatic method using complete microRNA expression profiles to assess their overall influence on the activity of intracellular molecular pathways</w:t>
      </w:r>
      <w:r w:rsidRPr="00662FBB">
        <w:rPr>
          <w:rFonts w:ascii="Times New Roman" w:hAnsi="Times New Roman"/>
          <w:lang w:val="en-US"/>
        </w:rPr>
        <w:t xml:space="preserve">. </w:t>
      </w:r>
      <w:r w:rsidRPr="00662FBB">
        <w:rPr>
          <w:rFonts w:ascii="Times New Roman" w:hAnsi="Times New Roman"/>
          <w:i/>
          <w:iCs/>
          <w:lang w:val="en-US"/>
        </w:rPr>
        <w:t>Cell Cycle Georget. Tex</w:t>
      </w:r>
      <w:r w:rsidRPr="00662FBB">
        <w:rPr>
          <w:rFonts w:ascii="Times New Roman" w:hAnsi="Times New Roman"/>
          <w:lang w:val="en-US"/>
        </w:rPr>
        <w:t xml:space="preserve"> 2016, </w:t>
      </w:r>
      <w:r w:rsidRPr="00662FBB">
        <w:rPr>
          <w:rFonts w:ascii="Times New Roman" w:hAnsi="Times New Roman"/>
          <w:bCs/>
          <w:lang w:val="en-US"/>
        </w:rPr>
        <w:t>15</w:t>
      </w:r>
      <w:r w:rsidRPr="00662FBB">
        <w:rPr>
          <w:rFonts w:ascii="Times New Roman" w:hAnsi="Times New Roman"/>
          <w:lang w:val="en-US"/>
        </w:rPr>
        <w:t>:689–698.</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18. Buzdin AA, Artcibasova AV, Fedorova NF, Suntsova MV, Garazha AV, Sorokin MI, Allina D, Shalatonin M, Borisov NM, Zhavoronkov AA, Kova</w:t>
      </w:r>
      <w:r w:rsidR="00341100">
        <w:rPr>
          <w:rFonts w:ascii="Times New Roman" w:hAnsi="Times New Roman"/>
          <w:lang w:val="en-US"/>
        </w:rPr>
        <w:t>lchuk I, Kovalchuk O, Kushch AA.</w:t>
      </w:r>
      <w:r w:rsidRPr="00662FBB">
        <w:rPr>
          <w:rFonts w:ascii="Times New Roman" w:hAnsi="Times New Roman"/>
          <w:lang w:val="en-US"/>
        </w:rPr>
        <w:t xml:space="preserve"> </w:t>
      </w:r>
      <w:r w:rsidRPr="00662FBB">
        <w:rPr>
          <w:rFonts w:ascii="Times New Roman" w:hAnsi="Times New Roman"/>
          <w:bCs/>
          <w:lang w:val="en-US"/>
        </w:rPr>
        <w:t>Early stage of cytomegalovirus infection suppresses host microRNA expression regulation in human fibroblasts</w:t>
      </w:r>
      <w:r w:rsidRPr="00662FBB">
        <w:rPr>
          <w:rFonts w:ascii="Times New Roman" w:hAnsi="Times New Roman"/>
          <w:lang w:val="en-US"/>
        </w:rPr>
        <w:t xml:space="preserve">. </w:t>
      </w:r>
      <w:r w:rsidRPr="00662FBB">
        <w:rPr>
          <w:rFonts w:ascii="Times New Roman" w:hAnsi="Times New Roman"/>
          <w:i/>
          <w:iCs/>
          <w:lang w:val="en-US"/>
        </w:rPr>
        <w:t>Cell Cycle Georget. Tex</w:t>
      </w:r>
      <w:r w:rsidRPr="00662FBB">
        <w:rPr>
          <w:rFonts w:ascii="Times New Roman" w:hAnsi="Times New Roman"/>
          <w:lang w:val="en-US"/>
        </w:rPr>
        <w:t xml:space="preserve"> 2016, </w:t>
      </w:r>
      <w:r w:rsidRPr="00662FBB">
        <w:rPr>
          <w:rFonts w:ascii="Times New Roman" w:hAnsi="Times New Roman"/>
          <w:bCs/>
          <w:lang w:val="en-US"/>
        </w:rPr>
        <w:t>15</w:t>
      </w:r>
      <w:r w:rsidRPr="00662FBB">
        <w:rPr>
          <w:rFonts w:ascii="Times New Roman" w:hAnsi="Times New Roman"/>
          <w:lang w:val="en-US"/>
        </w:rPr>
        <w:t>:3378–3389.</w:t>
      </w:r>
    </w:p>
    <w:p w:rsidR="00A87E82" w:rsidRPr="00662FBB" w:rsidRDefault="00A87E82" w:rsidP="00A87E82">
      <w:pPr>
        <w:pStyle w:val="Bibliography"/>
        <w:rPr>
          <w:rFonts w:ascii="Times New Roman" w:hAnsi="Times New Roman"/>
          <w:lang w:val="en-US"/>
        </w:rPr>
      </w:pPr>
      <w:r w:rsidRPr="00662FBB">
        <w:rPr>
          <w:rFonts w:ascii="Times New Roman" w:hAnsi="Times New Roman"/>
          <w:lang w:val="en-US"/>
        </w:rPr>
        <w:t>19. Grzelkowska-Kowalczyk K, Tokarska J, Grabiec K, Gaje</w:t>
      </w:r>
      <w:r w:rsidR="00FD54CA">
        <w:rPr>
          <w:rFonts w:ascii="Times New Roman" w:hAnsi="Times New Roman"/>
          <w:lang w:val="en-US"/>
        </w:rPr>
        <w:t xml:space="preserve">wska M, Milewska M, </w:t>
      </w:r>
      <w:r w:rsidR="00FD54CA" w:rsidRPr="007647F3">
        <w:rPr>
          <w:rFonts w:ascii="Times New Roman" w:hAnsi="Times New Roman"/>
          <w:lang w:val="en-US"/>
        </w:rPr>
        <w:t>Błaszczyk</w:t>
      </w:r>
      <w:r w:rsidR="007647F3">
        <w:rPr>
          <w:rFonts w:ascii="Times New Roman" w:hAnsi="Times New Roman"/>
          <w:lang w:val="en-US"/>
        </w:rPr>
        <w:t> </w:t>
      </w:r>
      <w:r w:rsidR="00FD54CA" w:rsidRPr="007647F3">
        <w:rPr>
          <w:rFonts w:ascii="Times New Roman" w:hAnsi="Times New Roman"/>
          <w:lang w:val="en-US"/>
        </w:rPr>
        <w:t>M.</w:t>
      </w:r>
      <w:r w:rsidRPr="00662FBB">
        <w:rPr>
          <w:rFonts w:ascii="Times New Roman" w:hAnsi="Times New Roman"/>
          <w:lang w:val="en-US"/>
        </w:rPr>
        <w:t xml:space="preserve"> </w:t>
      </w:r>
      <w:r w:rsidRPr="00662FBB">
        <w:rPr>
          <w:rFonts w:ascii="Times New Roman" w:hAnsi="Times New Roman"/>
          <w:bCs/>
          <w:lang w:val="en-US"/>
        </w:rPr>
        <w:t>Tumor necrosis factor-</w:t>
      </w:r>
      <w:r w:rsidRPr="00662FBB">
        <w:rPr>
          <w:rFonts w:ascii="Times New Roman" w:hAnsi="Times New Roman"/>
          <w:bCs/>
        </w:rPr>
        <w:t>α</w:t>
      </w:r>
      <w:r w:rsidRPr="00662FBB">
        <w:rPr>
          <w:rFonts w:ascii="Times New Roman" w:hAnsi="Times New Roman"/>
          <w:bCs/>
          <w:lang w:val="en-US"/>
        </w:rPr>
        <w:t xml:space="preserve"> alters integrins and metalloprotease ADAM12 levels and signaling in differentiating myoblasts</w:t>
      </w:r>
      <w:r w:rsidRPr="00662FBB">
        <w:rPr>
          <w:rFonts w:ascii="Times New Roman" w:hAnsi="Times New Roman"/>
          <w:lang w:val="en-US"/>
        </w:rPr>
        <w:t xml:space="preserve">. </w:t>
      </w:r>
      <w:r w:rsidRPr="00662FBB">
        <w:rPr>
          <w:rFonts w:ascii="Times New Roman" w:hAnsi="Times New Roman"/>
          <w:i/>
          <w:iCs/>
          <w:lang w:val="en-US"/>
        </w:rPr>
        <w:t>Pol. J. Vet. Sci.</w:t>
      </w:r>
      <w:r w:rsidRPr="00662FBB">
        <w:rPr>
          <w:rFonts w:ascii="Times New Roman" w:hAnsi="Times New Roman"/>
          <w:lang w:val="en-US"/>
        </w:rPr>
        <w:t xml:space="preserve"> 2016, </w:t>
      </w:r>
      <w:r w:rsidRPr="00662FBB">
        <w:rPr>
          <w:rFonts w:ascii="Times New Roman" w:hAnsi="Times New Roman"/>
          <w:bCs/>
          <w:lang w:val="en-US"/>
        </w:rPr>
        <w:t>19</w:t>
      </w:r>
      <w:r w:rsidRPr="00662FBB">
        <w:rPr>
          <w:rFonts w:ascii="Times New Roman" w:hAnsi="Times New Roman"/>
          <w:lang w:val="en-US"/>
        </w:rPr>
        <w:t>:253–259.</w:t>
      </w:r>
    </w:p>
    <w:p w:rsidR="00A87E82" w:rsidRPr="00EF2ACD" w:rsidRDefault="00A87E82" w:rsidP="00A87E82">
      <w:pPr>
        <w:pStyle w:val="Bibliography"/>
        <w:rPr>
          <w:rFonts w:ascii="Times New Roman" w:hAnsi="Times New Roman"/>
          <w:lang w:val="en-US"/>
        </w:rPr>
      </w:pPr>
      <w:r w:rsidRPr="00662FBB">
        <w:rPr>
          <w:rFonts w:ascii="Times New Roman" w:hAnsi="Times New Roman"/>
          <w:lang w:val="en-US"/>
        </w:rPr>
        <w:t xml:space="preserve">20. Wu H, Ren </w:t>
      </w:r>
      <w:r w:rsidR="00EF2ACD">
        <w:rPr>
          <w:rFonts w:ascii="Times New Roman" w:hAnsi="Times New Roman"/>
          <w:lang w:val="en-US"/>
        </w:rPr>
        <w:t>Y, Pan W, Dong Z, Cang M, Liu D.</w:t>
      </w:r>
      <w:r w:rsidRPr="00662FBB">
        <w:rPr>
          <w:rFonts w:ascii="Times New Roman" w:hAnsi="Times New Roman"/>
          <w:lang w:val="en-US"/>
        </w:rPr>
        <w:t xml:space="preserve"> </w:t>
      </w:r>
      <w:r w:rsidRPr="00662FBB">
        <w:rPr>
          <w:rFonts w:ascii="Times New Roman" w:hAnsi="Times New Roman"/>
          <w:bCs/>
          <w:lang w:val="en-US"/>
        </w:rPr>
        <w:t>The mammalian target of rapamycin signaling pathway regulates myocyte enhancer factor-2C phosphorylation levels through integrin-linked kinase in goat skeletal muscle satellite cells</w:t>
      </w:r>
      <w:r w:rsidRPr="00662FBB">
        <w:rPr>
          <w:rFonts w:ascii="Times New Roman" w:hAnsi="Times New Roman"/>
          <w:lang w:val="en-US"/>
        </w:rPr>
        <w:t xml:space="preserve">. </w:t>
      </w:r>
      <w:r w:rsidRPr="00EF2ACD">
        <w:rPr>
          <w:rFonts w:ascii="Times New Roman" w:hAnsi="Times New Roman"/>
          <w:i/>
          <w:iCs/>
          <w:lang w:val="en-US"/>
        </w:rPr>
        <w:t>Cell Biol. Int.</w:t>
      </w:r>
      <w:r w:rsidRPr="00EF2ACD">
        <w:rPr>
          <w:rFonts w:ascii="Times New Roman" w:hAnsi="Times New Roman"/>
          <w:lang w:val="en-US"/>
        </w:rPr>
        <w:t xml:space="preserve"> 2015, </w:t>
      </w:r>
      <w:r w:rsidRPr="00EF2ACD">
        <w:rPr>
          <w:rFonts w:ascii="Times New Roman" w:hAnsi="Times New Roman"/>
          <w:bCs/>
          <w:lang w:val="en-US"/>
        </w:rPr>
        <w:t>39</w:t>
      </w:r>
      <w:r w:rsidRPr="00EF2ACD">
        <w:rPr>
          <w:rFonts w:ascii="Times New Roman" w:hAnsi="Times New Roman"/>
          <w:lang w:val="en-US"/>
        </w:rPr>
        <w:t>:1264–1273.</w:t>
      </w:r>
    </w:p>
    <w:p w:rsidR="00DE02CC" w:rsidRPr="00662FBB" w:rsidRDefault="007C4E9D">
      <w:pPr>
        <w:rPr>
          <w:rFonts w:ascii="Times New Roman" w:hAnsi="Times New Roman"/>
          <w:lang w:val="en-US"/>
        </w:rPr>
      </w:pPr>
      <w:r w:rsidRPr="00662FBB">
        <w:rPr>
          <w:rFonts w:ascii="Times New Roman" w:hAnsi="Times New Roman"/>
          <w:lang w:val="en-US"/>
        </w:rPr>
        <w:fldChar w:fldCharType="end"/>
      </w:r>
    </w:p>
    <w:sectPr w:rsidR="00DE02CC" w:rsidRPr="00662FBB">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0D5" w:rsidRDefault="00AF30D5" w:rsidP="00354131">
      <w:r>
        <w:separator/>
      </w:r>
    </w:p>
  </w:endnote>
  <w:endnote w:type="continuationSeparator" w:id="0">
    <w:p w:rsidR="00AF30D5" w:rsidRDefault="00AF30D5" w:rsidP="00354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jaVu Sans Mono">
    <w:panose1 w:val="020B0609030804020204"/>
    <w:charset w:val="00"/>
    <w:family w:val="modern"/>
    <w:pitch w:val="fixed"/>
    <w:sig w:usb0="E60022FF" w:usb1="500079FB" w:usb2="00000020" w:usb3="00000000" w:csb0="000001DF" w:csb1="00000000"/>
  </w:font>
  <w:font w:name="DejaVu Sans">
    <w:panose1 w:val="020B0603030804020204"/>
    <w:charset w:val="00"/>
    <w:family w:val="swiss"/>
    <w:pitch w:val="variable"/>
    <w:sig w:usb0="E7002EFF" w:usb1="D200FDFF" w:usb2="0A04602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7302118"/>
      <w:docPartObj>
        <w:docPartGallery w:val="Page Numbers (Bottom of Page)"/>
        <w:docPartUnique/>
      </w:docPartObj>
    </w:sdtPr>
    <w:sdtEndPr/>
    <w:sdtContent>
      <w:p w:rsidR="00354131" w:rsidRDefault="00354131">
        <w:pPr>
          <w:pStyle w:val="Footer"/>
          <w:jc w:val="center"/>
        </w:pPr>
        <w:r>
          <w:fldChar w:fldCharType="begin"/>
        </w:r>
        <w:r>
          <w:instrText>PAGE   \* MERGEFORMAT</w:instrText>
        </w:r>
        <w:r>
          <w:fldChar w:fldCharType="separate"/>
        </w:r>
        <w:r w:rsidR="005517FA">
          <w:rPr>
            <w:noProof/>
          </w:rPr>
          <w:t>1</w:t>
        </w:r>
        <w:r>
          <w:fldChar w:fldCharType="end"/>
        </w:r>
      </w:p>
    </w:sdtContent>
  </w:sdt>
  <w:p w:rsidR="00354131" w:rsidRDefault="003541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0D5" w:rsidRDefault="00AF30D5" w:rsidP="00354131">
      <w:r>
        <w:separator/>
      </w:r>
    </w:p>
  </w:footnote>
  <w:footnote w:type="continuationSeparator" w:id="0">
    <w:p w:rsidR="00AF30D5" w:rsidRDefault="00AF30D5" w:rsidP="003541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1"/>
  </w:docVars>
  <w:rsids>
    <w:rsidRoot w:val="00F54AAE"/>
    <w:rsid w:val="00000FEC"/>
    <w:rsid w:val="00004550"/>
    <w:rsid w:val="000145AC"/>
    <w:rsid w:val="00015074"/>
    <w:rsid w:val="00025E3B"/>
    <w:rsid w:val="00034E33"/>
    <w:rsid w:val="0004195D"/>
    <w:rsid w:val="000476BF"/>
    <w:rsid w:val="0005200A"/>
    <w:rsid w:val="00063AF3"/>
    <w:rsid w:val="0006587B"/>
    <w:rsid w:val="000673D5"/>
    <w:rsid w:val="00071E56"/>
    <w:rsid w:val="000852A8"/>
    <w:rsid w:val="00087359"/>
    <w:rsid w:val="00090F39"/>
    <w:rsid w:val="00093834"/>
    <w:rsid w:val="000A1867"/>
    <w:rsid w:val="000A1D52"/>
    <w:rsid w:val="000A353C"/>
    <w:rsid w:val="000A6710"/>
    <w:rsid w:val="000A76DC"/>
    <w:rsid w:val="000A7CD7"/>
    <w:rsid w:val="000C4441"/>
    <w:rsid w:val="000C543D"/>
    <w:rsid w:val="000D7790"/>
    <w:rsid w:val="000E0799"/>
    <w:rsid w:val="000F0121"/>
    <w:rsid w:val="000F18E5"/>
    <w:rsid w:val="00100D5C"/>
    <w:rsid w:val="00105603"/>
    <w:rsid w:val="001062A3"/>
    <w:rsid w:val="00115C49"/>
    <w:rsid w:val="00116C2D"/>
    <w:rsid w:val="0011720B"/>
    <w:rsid w:val="001305B5"/>
    <w:rsid w:val="00130D5E"/>
    <w:rsid w:val="00134B68"/>
    <w:rsid w:val="00141C8E"/>
    <w:rsid w:val="0016538E"/>
    <w:rsid w:val="00167CF2"/>
    <w:rsid w:val="0017225A"/>
    <w:rsid w:val="00173B00"/>
    <w:rsid w:val="00181A66"/>
    <w:rsid w:val="001858B7"/>
    <w:rsid w:val="0019649F"/>
    <w:rsid w:val="001A1DD4"/>
    <w:rsid w:val="001A2402"/>
    <w:rsid w:val="001A38D0"/>
    <w:rsid w:val="001A667D"/>
    <w:rsid w:val="001C1FE3"/>
    <w:rsid w:val="001D7839"/>
    <w:rsid w:val="001E26B2"/>
    <w:rsid w:val="001E738D"/>
    <w:rsid w:val="001F3226"/>
    <w:rsid w:val="00222E5D"/>
    <w:rsid w:val="00223F92"/>
    <w:rsid w:val="0023378B"/>
    <w:rsid w:val="00235B17"/>
    <w:rsid w:val="00240DDA"/>
    <w:rsid w:val="002424E5"/>
    <w:rsid w:val="00247997"/>
    <w:rsid w:val="002564D0"/>
    <w:rsid w:val="0026164B"/>
    <w:rsid w:val="002623F7"/>
    <w:rsid w:val="0026296D"/>
    <w:rsid w:val="002772E3"/>
    <w:rsid w:val="002839DA"/>
    <w:rsid w:val="00293A2F"/>
    <w:rsid w:val="002A678C"/>
    <w:rsid w:val="002A73BA"/>
    <w:rsid w:val="002A73BC"/>
    <w:rsid w:val="002B7DBC"/>
    <w:rsid w:val="002C3E48"/>
    <w:rsid w:val="002D1E6E"/>
    <w:rsid w:val="002D286A"/>
    <w:rsid w:val="002E0CEB"/>
    <w:rsid w:val="002E432B"/>
    <w:rsid w:val="002E648C"/>
    <w:rsid w:val="002F0021"/>
    <w:rsid w:val="002F119F"/>
    <w:rsid w:val="00301FAC"/>
    <w:rsid w:val="00302B04"/>
    <w:rsid w:val="00316148"/>
    <w:rsid w:val="003212C1"/>
    <w:rsid w:val="003214CA"/>
    <w:rsid w:val="003245CD"/>
    <w:rsid w:val="003249DA"/>
    <w:rsid w:val="00331500"/>
    <w:rsid w:val="00336511"/>
    <w:rsid w:val="00336F7B"/>
    <w:rsid w:val="00340D8C"/>
    <w:rsid w:val="00341100"/>
    <w:rsid w:val="0034372A"/>
    <w:rsid w:val="00354131"/>
    <w:rsid w:val="003548C2"/>
    <w:rsid w:val="00357934"/>
    <w:rsid w:val="00361C0D"/>
    <w:rsid w:val="003738B2"/>
    <w:rsid w:val="003842A2"/>
    <w:rsid w:val="0038468C"/>
    <w:rsid w:val="0039142E"/>
    <w:rsid w:val="00392A1E"/>
    <w:rsid w:val="0039750A"/>
    <w:rsid w:val="003A24BB"/>
    <w:rsid w:val="003B474D"/>
    <w:rsid w:val="003D1BDE"/>
    <w:rsid w:val="003D394C"/>
    <w:rsid w:val="003D3E6C"/>
    <w:rsid w:val="003D5959"/>
    <w:rsid w:val="003E7BBD"/>
    <w:rsid w:val="003F077D"/>
    <w:rsid w:val="003F4BE2"/>
    <w:rsid w:val="00405878"/>
    <w:rsid w:val="004060C5"/>
    <w:rsid w:val="00410CB3"/>
    <w:rsid w:val="0041206B"/>
    <w:rsid w:val="0041222E"/>
    <w:rsid w:val="00420EAA"/>
    <w:rsid w:val="00423646"/>
    <w:rsid w:val="004247ED"/>
    <w:rsid w:val="004369D8"/>
    <w:rsid w:val="00444784"/>
    <w:rsid w:val="00445A1C"/>
    <w:rsid w:val="004467D2"/>
    <w:rsid w:val="00454C6D"/>
    <w:rsid w:val="00463633"/>
    <w:rsid w:val="0047485F"/>
    <w:rsid w:val="0048426C"/>
    <w:rsid w:val="00496C26"/>
    <w:rsid w:val="004A0220"/>
    <w:rsid w:val="004A2D87"/>
    <w:rsid w:val="004A6E4A"/>
    <w:rsid w:val="004A7C00"/>
    <w:rsid w:val="004B01B1"/>
    <w:rsid w:val="004B528C"/>
    <w:rsid w:val="004B7D98"/>
    <w:rsid w:val="004C388C"/>
    <w:rsid w:val="004C6EA4"/>
    <w:rsid w:val="004D012B"/>
    <w:rsid w:val="004D55CF"/>
    <w:rsid w:val="004E1A44"/>
    <w:rsid w:val="004E32EA"/>
    <w:rsid w:val="004E38D9"/>
    <w:rsid w:val="004E7053"/>
    <w:rsid w:val="004F0BF6"/>
    <w:rsid w:val="004F1CB9"/>
    <w:rsid w:val="004F2EC5"/>
    <w:rsid w:val="004F599C"/>
    <w:rsid w:val="00506088"/>
    <w:rsid w:val="005078FF"/>
    <w:rsid w:val="00511BAE"/>
    <w:rsid w:val="00514669"/>
    <w:rsid w:val="005213AD"/>
    <w:rsid w:val="0052707B"/>
    <w:rsid w:val="0052756B"/>
    <w:rsid w:val="00530213"/>
    <w:rsid w:val="00532F3C"/>
    <w:rsid w:val="005451D7"/>
    <w:rsid w:val="005517FA"/>
    <w:rsid w:val="00554B4D"/>
    <w:rsid w:val="0055637B"/>
    <w:rsid w:val="00564E0F"/>
    <w:rsid w:val="00564EA5"/>
    <w:rsid w:val="00575E8F"/>
    <w:rsid w:val="00576733"/>
    <w:rsid w:val="005815C2"/>
    <w:rsid w:val="005860B2"/>
    <w:rsid w:val="00586FD5"/>
    <w:rsid w:val="00594CE4"/>
    <w:rsid w:val="00594D05"/>
    <w:rsid w:val="00597681"/>
    <w:rsid w:val="005B14C6"/>
    <w:rsid w:val="005B24BB"/>
    <w:rsid w:val="005B5986"/>
    <w:rsid w:val="005B6137"/>
    <w:rsid w:val="005B780D"/>
    <w:rsid w:val="005C18A8"/>
    <w:rsid w:val="005C5B93"/>
    <w:rsid w:val="005C7A29"/>
    <w:rsid w:val="005D16AF"/>
    <w:rsid w:val="005D6D24"/>
    <w:rsid w:val="005D78FD"/>
    <w:rsid w:val="005D7AFB"/>
    <w:rsid w:val="005F2A2A"/>
    <w:rsid w:val="005F4882"/>
    <w:rsid w:val="005F5AE7"/>
    <w:rsid w:val="006047A9"/>
    <w:rsid w:val="00605B39"/>
    <w:rsid w:val="006125BA"/>
    <w:rsid w:val="00616445"/>
    <w:rsid w:val="00617750"/>
    <w:rsid w:val="00623785"/>
    <w:rsid w:val="00630F37"/>
    <w:rsid w:val="0063183D"/>
    <w:rsid w:val="00634403"/>
    <w:rsid w:val="00641602"/>
    <w:rsid w:val="00653763"/>
    <w:rsid w:val="00660345"/>
    <w:rsid w:val="00662FBB"/>
    <w:rsid w:val="006631EB"/>
    <w:rsid w:val="00663B6D"/>
    <w:rsid w:val="00666C04"/>
    <w:rsid w:val="00670A73"/>
    <w:rsid w:val="00670A81"/>
    <w:rsid w:val="00674D95"/>
    <w:rsid w:val="00676E6B"/>
    <w:rsid w:val="006827BE"/>
    <w:rsid w:val="0068504E"/>
    <w:rsid w:val="0068774B"/>
    <w:rsid w:val="00691C10"/>
    <w:rsid w:val="006B2D0F"/>
    <w:rsid w:val="006B3DA6"/>
    <w:rsid w:val="006B4A11"/>
    <w:rsid w:val="006B52BF"/>
    <w:rsid w:val="006C2838"/>
    <w:rsid w:val="006D74E3"/>
    <w:rsid w:val="006D7A48"/>
    <w:rsid w:val="006E44B9"/>
    <w:rsid w:val="006F0015"/>
    <w:rsid w:val="006F2273"/>
    <w:rsid w:val="006F42D7"/>
    <w:rsid w:val="006F604C"/>
    <w:rsid w:val="006F7267"/>
    <w:rsid w:val="006F7B55"/>
    <w:rsid w:val="007047B1"/>
    <w:rsid w:val="0070528B"/>
    <w:rsid w:val="007119E9"/>
    <w:rsid w:val="00712D78"/>
    <w:rsid w:val="007233C9"/>
    <w:rsid w:val="0072627E"/>
    <w:rsid w:val="00726E53"/>
    <w:rsid w:val="00727AD5"/>
    <w:rsid w:val="00733B1B"/>
    <w:rsid w:val="00736805"/>
    <w:rsid w:val="007403D1"/>
    <w:rsid w:val="00741327"/>
    <w:rsid w:val="00753C46"/>
    <w:rsid w:val="00763679"/>
    <w:rsid w:val="007647F3"/>
    <w:rsid w:val="007765E8"/>
    <w:rsid w:val="007765F6"/>
    <w:rsid w:val="0077790A"/>
    <w:rsid w:val="00784423"/>
    <w:rsid w:val="00787B44"/>
    <w:rsid w:val="00791AC9"/>
    <w:rsid w:val="00791F86"/>
    <w:rsid w:val="007939F8"/>
    <w:rsid w:val="007A08E5"/>
    <w:rsid w:val="007A156B"/>
    <w:rsid w:val="007A4766"/>
    <w:rsid w:val="007B34A3"/>
    <w:rsid w:val="007B77E0"/>
    <w:rsid w:val="007C4E9D"/>
    <w:rsid w:val="007C4F2C"/>
    <w:rsid w:val="007C71BC"/>
    <w:rsid w:val="007D4828"/>
    <w:rsid w:val="007D5BAD"/>
    <w:rsid w:val="007E6A5B"/>
    <w:rsid w:val="007E7094"/>
    <w:rsid w:val="007F0D49"/>
    <w:rsid w:val="00806798"/>
    <w:rsid w:val="00811CC3"/>
    <w:rsid w:val="008138A2"/>
    <w:rsid w:val="00820AE5"/>
    <w:rsid w:val="00832193"/>
    <w:rsid w:val="0083697F"/>
    <w:rsid w:val="008409E1"/>
    <w:rsid w:val="00840C3A"/>
    <w:rsid w:val="00844BF9"/>
    <w:rsid w:val="00845FCF"/>
    <w:rsid w:val="008508EC"/>
    <w:rsid w:val="00853EA0"/>
    <w:rsid w:val="0085494C"/>
    <w:rsid w:val="00854E09"/>
    <w:rsid w:val="00855401"/>
    <w:rsid w:val="0085654E"/>
    <w:rsid w:val="00867EEF"/>
    <w:rsid w:val="008718A8"/>
    <w:rsid w:val="0087331C"/>
    <w:rsid w:val="00873503"/>
    <w:rsid w:val="00876D95"/>
    <w:rsid w:val="00886AD7"/>
    <w:rsid w:val="00891058"/>
    <w:rsid w:val="008922D9"/>
    <w:rsid w:val="00892640"/>
    <w:rsid w:val="00894F8C"/>
    <w:rsid w:val="00897270"/>
    <w:rsid w:val="008A2A17"/>
    <w:rsid w:val="008A5438"/>
    <w:rsid w:val="008A78C3"/>
    <w:rsid w:val="008B22F6"/>
    <w:rsid w:val="008B50BA"/>
    <w:rsid w:val="008B626A"/>
    <w:rsid w:val="008C4255"/>
    <w:rsid w:val="008D39BB"/>
    <w:rsid w:val="008D5815"/>
    <w:rsid w:val="008F7CC2"/>
    <w:rsid w:val="008F7DAB"/>
    <w:rsid w:val="0090147F"/>
    <w:rsid w:val="009030ED"/>
    <w:rsid w:val="009046F3"/>
    <w:rsid w:val="009069C6"/>
    <w:rsid w:val="0091130A"/>
    <w:rsid w:val="009176CE"/>
    <w:rsid w:val="0092767A"/>
    <w:rsid w:val="00927F27"/>
    <w:rsid w:val="0093000F"/>
    <w:rsid w:val="00937B4A"/>
    <w:rsid w:val="00940AA4"/>
    <w:rsid w:val="00946635"/>
    <w:rsid w:val="00946A64"/>
    <w:rsid w:val="00950708"/>
    <w:rsid w:val="00952C8D"/>
    <w:rsid w:val="0095530F"/>
    <w:rsid w:val="00962FD6"/>
    <w:rsid w:val="009642BB"/>
    <w:rsid w:val="009669DC"/>
    <w:rsid w:val="009676A9"/>
    <w:rsid w:val="00971669"/>
    <w:rsid w:val="0097496C"/>
    <w:rsid w:val="009857F3"/>
    <w:rsid w:val="00987BD9"/>
    <w:rsid w:val="00993728"/>
    <w:rsid w:val="009A0F7B"/>
    <w:rsid w:val="009B41F1"/>
    <w:rsid w:val="009C42A4"/>
    <w:rsid w:val="009C443F"/>
    <w:rsid w:val="009D20B7"/>
    <w:rsid w:val="009D2E92"/>
    <w:rsid w:val="009D4322"/>
    <w:rsid w:val="009D543B"/>
    <w:rsid w:val="009D59CE"/>
    <w:rsid w:val="009D7FAC"/>
    <w:rsid w:val="009E040A"/>
    <w:rsid w:val="009E2081"/>
    <w:rsid w:val="009E4B2F"/>
    <w:rsid w:val="009F5794"/>
    <w:rsid w:val="00A17389"/>
    <w:rsid w:val="00A325F5"/>
    <w:rsid w:val="00A43952"/>
    <w:rsid w:val="00A466BD"/>
    <w:rsid w:val="00A52582"/>
    <w:rsid w:val="00A60510"/>
    <w:rsid w:val="00A60F2E"/>
    <w:rsid w:val="00A708EA"/>
    <w:rsid w:val="00A71D76"/>
    <w:rsid w:val="00A768BE"/>
    <w:rsid w:val="00A83E94"/>
    <w:rsid w:val="00A87E82"/>
    <w:rsid w:val="00A92E6C"/>
    <w:rsid w:val="00A93A6B"/>
    <w:rsid w:val="00AA00A2"/>
    <w:rsid w:val="00AB19EA"/>
    <w:rsid w:val="00AB4B8D"/>
    <w:rsid w:val="00AC7F91"/>
    <w:rsid w:val="00AD15B8"/>
    <w:rsid w:val="00AD2564"/>
    <w:rsid w:val="00AE1F07"/>
    <w:rsid w:val="00AF0FBB"/>
    <w:rsid w:val="00AF30D5"/>
    <w:rsid w:val="00B05C7B"/>
    <w:rsid w:val="00B10954"/>
    <w:rsid w:val="00B11E4E"/>
    <w:rsid w:val="00B17B31"/>
    <w:rsid w:val="00B319BB"/>
    <w:rsid w:val="00B34C7B"/>
    <w:rsid w:val="00B37118"/>
    <w:rsid w:val="00B50A4D"/>
    <w:rsid w:val="00B636E4"/>
    <w:rsid w:val="00B67DA7"/>
    <w:rsid w:val="00B702DF"/>
    <w:rsid w:val="00B85A0E"/>
    <w:rsid w:val="00B85B3B"/>
    <w:rsid w:val="00B86DAA"/>
    <w:rsid w:val="00B87728"/>
    <w:rsid w:val="00B91E0C"/>
    <w:rsid w:val="00B922C2"/>
    <w:rsid w:val="00B9710E"/>
    <w:rsid w:val="00BA65F1"/>
    <w:rsid w:val="00BB2D9C"/>
    <w:rsid w:val="00BC3E02"/>
    <w:rsid w:val="00BC497C"/>
    <w:rsid w:val="00BD4C5D"/>
    <w:rsid w:val="00BD64B4"/>
    <w:rsid w:val="00BD64F5"/>
    <w:rsid w:val="00BE111F"/>
    <w:rsid w:val="00BF1959"/>
    <w:rsid w:val="00BF1E70"/>
    <w:rsid w:val="00BF2069"/>
    <w:rsid w:val="00C0754F"/>
    <w:rsid w:val="00C07ED8"/>
    <w:rsid w:val="00C14754"/>
    <w:rsid w:val="00C30B49"/>
    <w:rsid w:val="00C33D5C"/>
    <w:rsid w:val="00C50CC3"/>
    <w:rsid w:val="00C51568"/>
    <w:rsid w:val="00C633A1"/>
    <w:rsid w:val="00C710CA"/>
    <w:rsid w:val="00C715A9"/>
    <w:rsid w:val="00C72EF1"/>
    <w:rsid w:val="00C73302"/>
    <w:rsid w:val="00C81650"/>
    <w:rsid w:val="00C84593"/>
    <w:rsid w:val="00C85A8A"/>
    <w:rsid w:val="00C92390"/>
    <w:rsid w:val="00C96BA8"/>
    <w:rsid w:val="00CA1472"/>
    <w:rsid w:val="00CA64CD"/>
    <w:rsid w:val="00CA70D0"/>
    <w:rsid w:val="00CA731D"/>
    <w:rsid w:val="00CC1896"/>
    <w:rsid w:val="00CC1DC6"/>
    <w:rsid w:val="00CC6CFE"/>
    <w:rsid w:val="00CD1CFA"/>
    <w:rsid w:val="00CD2A88"/>
    <w:rsid w:val="00CD3C5E"/>
    <w:rsid w:val="00CE2086"/>
    <w:rsid w:val="00CE3BF5"/>
    <w:rsid w:val="00CE72BB"/>
    <w:rsid w:val="00D009B4"/>
    <w:rsid w:val="00D03B36"/>
    <w:rsid w:val="00D17406"/>
    <w:rsid w:val="00D25933"/>
    <w:rsid w:val="00D45EE1"/>
    <w:rsid w:val="00D53156"/>
    <w:rsid w:val="00D5579E"/>
    <w:rsid w:val="00D6703F"/>
    <w:rsid w:val="00D70F7D"/>
    <w:rsid w:val="00D771D8"/>
    <w:rsid w:val="00D8098B"/>
    <w:rsid w:val="00D96A5D"/>
    <w:rsid w:val="00D9779F"/>
    <w:rsid w:val="00DA0E4E"/>
    <w:rsid w:val="00DA54C8"/>
    <w:rsid w:val="00DB0890"/>
    <w:rsid w:val="00DB1D04"/>
    <w:rsid w:val="00DB4A2B"/>
    <w:rsid w:val="00DD16D9"/>
    <w:rsid w:val="00DD1F11"/>
    <w:rsid w:val="00DE02CC"/>
    <w:rsid w:val="00DE144B"/>
    <w:rsid w:val="00DE2F5B"/>
    <w:rsid w:val="00DE4B15"/>
    <w:rsid w:val="00DE4BBA"/>
    <w:rsid w:val="00DE7D8D"/>
    <w:rsid w:val="00DF1B1F"/>
    <w:rsid w:val="00DF5EFD"/>
    <w:rsid w:val="00DF60C4"/>
    <w:rsid w:val="00E00DD3"/>
    <w:rsid w:val="00E04145"/>
    <w:rsid w:val="00E11D40"/>
    <w:rsid w:val="00E17536"/>
    <w:rsid w:val="00E22E4C"/>
    <w:rsid w:val="00E2631A"/>
    <w:rsid w:val="00E34744"/>
    <w:rsid w:val="00E35D69"/>
    <w:rsid w:val="00E55692"/>
    <w:rsid w:val="00E619F1"/>
    <w:rsid w:val="00E75E46"/>
    <w:rsid w:val="00E85E35"/>
    <w:rsid w:val="00E866EF"/>
    <w:rsid w:val="00EA056D"/>
    <w:rsid w:val="00EA4379"/>
    <w:rsid w:val="00EA4411"/>
    <w:rsid w:val="00EA5F3F"/>
    <w:rsid w:val="00EB2999"/>
    <w:rsid w:val="00EB3076"/>
    <w:rsid w:val="00ED311F"/>
    <w:rsid w:val="00EE0480"/>
    <w:rsid w:val="00EE0E8C"/>
    <w:rsid w:val="00EF2ACD"/>
    <w:rsid w:val="00F0707E"/>
    <w:rsid w:val="00F11F69"/>
    <w:rsid w:val="00F1219A"/>
    <w:rsid w:val="00F12C4D"/>
    <w:rsid w:val="00F23900"/>
    <w:rsid w:val="00F260A7"/>
    <w:rsid w:val="00F26B0F"/>
    <w:rsid w:val="00F3111C"/>
    <w:rsid w:val="00F35F23"/>
    <w:rsid w:val="00F4130A"/>
    <w:rsid w:val="00F51360"/>
    <w:rsid w:val="00F52282"/>
    <w:rsid w:val="00F547CE"/>
    <w:rsid w:val="00F54AAE"/>
    <w:rsid w:val="00F838CC"/>
    <w:rsid w:val="00F84DE6"/>
    <w:rsid w:val="00FA08EA"/>
    <w:rsid w:val="00FC13C4"/>
    <w:rsid w:val="00FC617E"/>
    <w:rsid w:val="00FD2F5D"/>
    <w:rsid w:val="00FD414E"/>
    <w:rsid w:val="00FD54CA"/>
    <w:rsid w:val="00FD5548"/>
    <w:rsid w:val="00FE2CDA"/>
    <w:rsid w:val="00FE4D83"/>
    <w:rsid w:val="00FE6AFE"/>
    <w:rsid w:val="00FF2701"/>
    <w:rsid w:val="00FF4134"/>
    <w:rsid w:val="00FF45D5"/>
    <w:rsid w:val="00FF7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603"/>
    <w:rPr>
      <w:sz w:val="24"/>
      <w:szCs w:val="24"/>
    </w:rPr>
  </w:style>
  <w:style w:type="paragraph" w:styleId="Heading1">
    <w:name w:val="heading 1"/>
    <w:basedOn w:val="Normal"/>
    <w:next w:val="Normal"/>
    <w:link w:val="Heading1Char"/>
    <w:uiPriority w:val="9"/>
    <w:qFormat/>
    <w:rsid w:val="0010560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0560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0560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0560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0560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0560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05603"/>
    <w:pPr>
      <w:spacing w:before="240" w:after="60"/>
      <w:outlineLvl w:val="6"/>
    </w:pPr>
  </w:style>
  <w:style w:type="paragraph" w:styleId="Heading8">
    <w:name w:val="heading 8"/>
    <w:basedOn w:val="Normal"/>
    <w:next w:val="Normal"/>
    <w:link w:val="Heading8Char"/>
    <w:uiPriority w:val="9"/>
    <w:semiHidden/>
    <w:unhideWhenUsed/>
    <w:qFormat/>
    <w:rsid w:val="00105603"/>
    <w:pPr>
      <w:spacing w:before="240" w:after="60"/>
      <w:outlineLvl w:val="7"/>
    </w:pPr>
    <w:rPr>
      <w:i/>
      <w:iCs/>
    </w:rPr>
  </w:style>
  <w:style w:type="paragraph" w:styleId="Heading9">
    <w:name w:val="heading 9"/>
    <w:basedOn w:val="Normal"/>
    <w:next w:val="Normal"/>
    <w:link w:val="Heading9Char"/>
    <w:uiPriority w:val="9"/>
    <w:semiHidden/>
    <w:unhideWhenUsed/>
    <w:qFormat/>
    <w:rsid w:val="0010560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letype">
    <w:name w:val="Teletype"/>
    <w:rsid w:val="00F54AAE"/>
    <w:rPr>
      <w:rFonts w:ascii="DejaVu Sans Mono" w:eastAsia="DejaVu Sans" w:hAnsi="DejaVu Sans Mono" w:cs="DejaVu Sans Mono"/>
    </w:rPr>
  </w:style>
  <w:style w:type="paragraph" w:styleId="Bibliography">
    <w:name w:val="Bibliography"/>
    <w:basedOn w:val="Normal"/>
    <w:next w:val="Normal"/>
    <w:uiPriority w:val="37"/>
    <w:unhideWhenUsed/>
    <w:rsid w:val="002839DA"/>
    <w:pPr>
      <w:spacing w:after="240"/>
    </w:pPr>
  </w:style>
  <w:style w:type="paragraph" w:styleId="ListParagraph">
    <w:name w:val="List Paragraph"/>
    <w:basedOn w:val="Normal"/>
    <w:uiPriority w:val="34"/>
    <w:qFormat/>
    <w:rsid w:val="00105603"/>
    <w:pPr>
      <w:ind w:left="720"/>
      <w:contextualSpacing/>
    </w:pPr>
  </w:style>
  <w:style w:type="table" w:styleId="TableGrid">
    <w:name w:val="Table Grid"/>
    <w:basedOn w:val="TableNormal"/>
    <w:uiPriority w:val="59"/>
    <w:rsid w:val="0052707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0560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0560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0560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05603"/>
    <w:rPr>
      <w:b/>
      <w:bCs/>
      <w:sz w:val="28"/>
      <w:szCs w:val="28"/>
    </w:rPr>
  </w:style>
  <w:style w:type="character" w:customStyle="1" w:styleId="Heading5Char">
    <w:name w:val="Heading 5 Char"/>
    <w:basedOn w:val="DefaultParagraphFont"/>
    <w:link w:val="Heading5"/>
    <w:uiPriority w:val="9"/>
    <w:semiHidden/>
    <w:rsid w:val="00105603"/>
    <w:rPr>
      <w:b/>
      <w:bCs/>
      <w:i/>
      <w:iCs/>
      <w:sz w:val="26"/>
      <w:szCs w:val="26"/>
    </w:rPr>
  </w:style>
  <w:style w:type="character" w:customStyle="1" w:styleId="Heading6Char">
    <w:name w:val="Heading 6 Char"/>
    <w:basedOn w:val="DefaultParagraphFont"/>
    <w:link w:val="Heading6"/>
    <w:uiPriority w:val="9"/>
    <w:semiHidden/>
    <w:rsid w:val="00105603"/>
    <w:rPr>
      <w:b/>
      <w:bCs/>
    </w:rPr>
  </w:style>
  <w:style w:type="character" w:customStyle="1" w:styleId="Heading7Char">
    <w:name w:val="Heading 7 Char"/>
    <w:basedOn w:val="DefaultParagraphFont"/>
    <w:link w:val="Heading7"/>
    <w:uiPriority w:val="9"/>
    <w:semiHidden/>
    <w:rsid w:val="00105603"/>
    <w:rPr>
      <w:sz w:val="24"/>
      <w:szCs w:val="24"/>
    </w:rPr>
  </w:style>
  <w:style w:type="character" w:customStyle="1" w:styleId="Heading8Char">
    <w:name w:val="Heading 8 Char"/>
    <w:basedOn w:val="DefaultParagraphFont"/>
    <w:link w:val="Heading8"/>
    <w:uiPriority w:val="9"/>
    <w:semiHidden/>
    <w:rsid w:val="00105603"/>
    <w:rPr>
      <w:i/>
      <w:iCs/>
      <w:sz w:val="24"/>
      <w:szCs w:val="24"/>
    </w:rPr>
  </w:style>
  <w:style w:type="character" w:customStyle="1" w:styleId="Heading9Char">
    <w:name w:val="Heading 9 Char"/>
    <w:basedOn w:val="DefaultParagraphFont"/>
    <w:link w:val="Heading9"/>
    <w:uiPriority w:val="9"/>
    <w:semiHidden/>
    <w:rsid w:val="00105603"/>
    <w:rPr>
      <w:rFonts w:asciiTheme="majorHAnsi" w:eastAsiaTheme="majorEastAsia" w:hAnsiTheme="majorHAnsi"/>
    </w:rPr>
  </w:style>
  <w:style w:type="paragraph" w:styleId="Title">
    <w:name w:val="Title"/>
    <w:basedOn w:val="Normal"/>
    <w:next w:val="Normal"/>
    <w:link w:val="TitleChar"/>
    <w:uiPriority w:val="10"/>
    <w:qFormat/>
    <w:rsid w:val="0010560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0560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0560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05603"/>
    <w:rPr>
      <w:rFonts w:asciiTheme="majorHAnsi" w:eastAsiaTheme="majorEastAsia" w:hAnsiTheme="majorHAnsi"/>
      <w:sz w:val="24"/>
      <w:szCs w:val="24"/>
    </w:rPr>
  </w:style>
  <w:style w:type="character" w:styleId="Strong">
    <w:name w:val="Strong"/>
    <w:basedOn w:val="DefaultParagraphFont"/>
    <w:uiPriority w:val="22"/>
    <w:qFormat/>
    <w:rsid w:val="00105603"/>
    <w:rPr>
      <w:b/>
      <w:bCs/>
    </w:rPr>
  </w:style>
  <w:style w:type="character" w:styleId="Emphasis">
    <w:name w:val="Emphasis"/>
    <w:basedOn w:val="DefaultParagraphFont"/>
    <w:uiPriority w:val="20"/>
    <w:qFormat/>
    <w:rsid w:val="00105603"/>
    <w:rPr>
      <w:rFonts w:asciiTheme="minorHAnsi" w:hAnsiTheme="minorHAnsi"/>
      <w:b/>
      <w:i/>
      <w:iCs/>
    </w:rPr>
  </w:style>
  <w:style w:type="paragraph" w:styleId="NoSpacing">
    <w:name w:val="No Spacing"/>
    <w:basedOn w:val="Normal"/>
    <w:uiPriority w:val="1"/>
    <w:qFormat/>
    <w:rsid w:val="00105603"/>
    <w:rPr>
      <w:szCs w:val="32"/>
    </w:rPr>
  </w:style>
  <w:style w:type="paragraph" w:styleId="Quote">
    <w:name w:val="Quote"/>
    <w:basedOn w:val="Normal"/>
    <w:next w:val="Normal"/>
    <w:link w:val="QuoteChar"/>
    <w:uiPriority w:val="29"/>
    <w:qFormat/>
    <w:rsid w:val="00105603"/>
    <w:rPr>
      <w:i/>
    </w:rPr>
  </w:style>
  <w:style w:type="character" w:customStyle="1" w:styleId="QuoteChar">
    <w:name w:val="Quote Char"/>
    <w:basedOn w:val="DefaultParagraphFont"/>
    <w:link w:val="Quote"/>
    <w:uiPriority w:val="29"/>
    <w:rsid w:val="00105603"/>
    <w:rPr>
      <w:i/>
      <w:sz w:val="24"/>
      <w:szCs w:val="24"/>
    </w:rPr>
  </w:style>
  <w:style w:type="paragraph" w:styleId="IntenseQuote">
    <w:name w:val="Intense Quote"/>
    <w:basedOn w:val="Normal"/>
    <w:next w:val="Normal"/>
    <w:link w:val="IntenseQuoteChar"/>
    <w:uiPriority w:val="30"/>
    <w:qFormat/>
    <w:rsid w:val="00105603"/>
    <w:pPr>
      <w:ind w:left="720" w:right="720"/>
    </w:pPr>
    <w:rPr>
      <w:b/>
      <w:i/>
      <w:szCs w:val="22"/>
    </w:rPr>
  </w:style>
  <w:style w:type="character" w:customStyle="1" w:styleId="IntenseQuoteChar">
    <w:name w:val="Intense Quote Char"/>
    <w:basedOn w:val="DefaultParagraphFont"/>
    <w:link w:val="IntenseQuote"/>
    <w:uiPriority w:val="30"/>
    <w:rsid w:val="00105603"/>
    <w:rPr>
      <w:b/>
      <w:i/>
      <w:sz w:val="24"/>
    </w:rPr>
  </w:style>
  <w:style w:type="character" w:styleId="SubtleEmphasis">
    <w:name w:val="Subtle Emphasis"/>
    <w:uiPriority w:val="19"/>
    <w:qFormat/>
    <w:rsid w:val="00105603"/>
    <w:rPr>
      <w:i/>
      <w:color w:val="5A5A5A" w:themeColor="text1" w:themeTint="A5"/>
    </w:rPr>
  </w:style>
  <w:style w:type="character" w:styleId="IntenseEmphasis">
    <w:name w:val="Intense Emphasis"/>
    <w:basedOn w:val="DefaultParagraphFont"/>
    <w:uiPriority w:val="21"/>
    <w:qFormat/>
    <w:rsid w:val="00105603"/>
    <w:rPr>
      <w:b/>
      <w:i/>
      <w:sz w:val="24"/>
      <w:szCs w:val="24"/>
      <w:u w:val="single"/>
    </w:rPr>
  </w:style>
  <w:style w:type="character" w:styleId="SubtleReference">
    <w:name w:val="Subtle Reference"/>
    <w:basedOn w:val="DefaultParagraphFont"/>
    <w:uiPriority w:val="31"/>
    <w:qFormat/>
    <w:rsid w:val="00105603"/>
    <w:rPr>
      <w:sz w:val="24"/>
      <w:szCs w:val="24"/>
      <w:u w:val="single"/>
    </w:rPr>
  </w:style>
  <w:style w:type="character" w:styleId="IntenseReference">
    <w:name w:val="Intense Reference"/>
    <w:basedOn w:val="DefaultParagraphFont"/>
    <w:uiPriority w:val="32"/>
    <w:qFormat/>
    <w:rsid w:val="00105603"/>
    <w:rPr>
      <w:b/>
      <w:sz w:val="24"/>
      <w:u w:val="single"/>
    </w:rPr>
  </w:style>
  <w:style w:type="character" w:styleId="BookTitle">
    <w:name w:val="Book Title"/>
    <w:basedOn w:val="DefaultParagraphFont"/>
    <w:uiPriority w:val="33"/>
    <w:qFormat/>
    <w:rsid w:val="0010560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05603"/>
    <w:pPr>
      <w:outlineLvl w:val="9"/>
    </w:pPr>
  </w:style>
  <w:style w:type="paragraph" w:styleId="Header">
    <w:name w:val="header"/>
    <w:basedOn w:val="Normal"/>
    <w:link w:val="HeaderChar"/>
    <w:uiPriority w:val="99"/>
    <w:unhideWhenUsed/>
    <w:rsid w:val="00354131"/>
    <w:pPr>
      <w:tabs>
        <w:tab w:val="center" w:pos="4677"/>
        <w:tab w:val="right" w:pos="9355"/>
      </w:tabs>
    </w:pPr>
  </w:style>
  <w:style w:type="character" w:customStyle="1" w:styleId="HeaderChar">
    <w:name w:val="Header Char"/>
    <w:basedOn w:val="DefaultParagraphFont"/>
    <w:link w:val="Header"/>
    <w:uiPriority w:val="99"/>
    <w:rsid w:val="00354131"/>
    <w:rPr>
      <w:sz w:val="24"/>
      <w:szCs w:val="24"/>
    </w:rPr>
  </w:style>
  <w:style w:type="paragraph" w:styleId="Footer">
    <w:name w:val="footer"/>
    <w:basedOn w:val="Normal"/>
    <w:link w:val="FooterChar"/>
    <w:uiPriority w:val="99"/>
    <w:unhideWhenUsed/>
    <w:rsid w:val="00354131"/>
    <w:pPr>
      <w:tabs>
        <w:tab w:val="center" w:pos="4677"/>
        <w:tab w:val="right" w:pos="9355"/>
      </w:tabs>
    </w:pPr>
  </w:style>
  <w:style w:type="character" w:customStyle="1" w:styleId="FooterChar">
    <w:name w:val="Footer Char"/>
    <w:basedOn w:val="DefaultParagraphFont"/>
    <w:link w:val="Footer"/>
    <w:uiPriority w:val="99"/>
    <w:rsid w:val="00354131"/>
    <w:rPr>
      <w:sz w:val="24"/>
      <w:szCs w:val="24"/>
    </w:rPr>
  </w:style>
  <w:style w:type="character" w:styleId="PlaceholderText">
    <w:name w:val="Placeholder Text"/>
    <w:basedOn w:val="DefaultParagraphFont"/>
    <w:uiPriority w:val="99"/>
    <w:semiHidden/>
    <w:rsid w:val="00F23900"/>
    <w:rPr>
      <w:color w:val="808080"/>
    </w:rPr>
  </w:style>
  <w:style w:type="paragraph" w:styleId="BalloonText">
    <w:name w:val="Balloon Text"/>
    <w:basedOn w:val="Normal"/>
    <w:link w:val="BalloonTextChar"/>
    <w:uiPriority w:val="99"/>
    <w:semiHidden/>
    <w:unhideWhenUsed/>
    <w:rsid w:val="005517FA"/>
    <w:rPr>
      <w:rFonts w:ascii="Tahoma" w:hAnsi="Tahoma" w:cs="Tahoma"/>
      <w:sz w:val="16"/>
      <w:szCs w:val="16"/>
    </w:rPr>
  </w:style>
  <w:style w:type="character" w:customStyle="1" w:styleId="BalloonTextChar">
    <w:name w:val="Balloon Text Char"/>
    <w:basedOn w:val="DefaultParagraphFont"/>
    <w:link w:val="BalloonText"/>
    <w:uiPriority w:val="99"/>
    <w:semiHidden/>
    <w:rsid w:val="005517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603"/>
    <w:rPr>
      <w:sz w:val="24"/>
      <w:szCs w:val="24"/>
    </w:rPr>
  </w:style>
  <w:style w:type="paragraph" w:styleId="Heading1">
    <w:name w:val="heading 1"/>
    <w:basedOn w:val="Normal"/>
    <w:next w:val="Normal"/>
    <w:link w:val="Heading1Char"/>
    <w:uiPriority w:val="9"/>
    <w:qFormat/>
    <w:rsid w:val="0010560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0560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0560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0560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0560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0560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05603"/>
    <w:pPr>
      <w:spacing w:before="240" w:after="60"/>
      <w:outlineLvl w:val="6"/>
    </w:pPr>
  </w:style>
  <w:style w:type="paragraph" w:styleId="Heading8">
    <w:name w:val="heading 8"/>
    <w:basedOn w:val="Normal"/>
    <w:next w:val="Normal"/>
    <w:link w:val="Heading8Char"/>
    <w:uiPriority w:val="9"/>
    <w:semiHidden/>
    <w:unhideWhenUsed/>
    <w:qFormat/>
    <w:rsid w:val="00105603"/>
    <w:pPr>
      <w:spacing w:before="240" w:after="60"/>
      <w:outlineLvl w:val="7"/>
    </w:pPr>
    <w:rPr>
      <w:i/>
      <w:iCs/>
    </w:rPr>
  </w:style>
  <w:style w:type="paragraph" w:styleId="Heading9">
    <w:name w:val="heading 9"/>
    <w:basedOn w:val="Normal"/>
    <w:next w:val="Normal"/>
    <w:link w:val="Heading9Char"/>
    <w:uiPriority w:val="9"/>
    <w:semiHidden/>
    <w:unhideWhenUsed/>
    <w:qFormat/>
    <w:rsid w:val="0010560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letype">
    <w:name w:val="Teletype"/>
    <w:rsid w:val="00F54AAE"/>
    <w:rPr>
      <w:rFonts w:ascii="DejaVu Sans Mono" w:eastAsia="DejaVu Sans" w:hAnsi="DejaVu Sans Mono" w:cs="DejaVu Sans Mono"/>
    </w:rPr>
  </w:style>
  <w:style w:type="paragraph" w:styleId="Bibliography">
    <w:name w:val="Bibliography"/>
    <w:basedOn w:val="Normal"/>
    <w:next w:val="Normal"/>
    <w:uiPriority w:val="37"/>
    <w:unhideWhenUsed/>
    <w:rsid w:val="002839DA"/>
    <w:pPr>
      <w:spacing w:after="240"/>
    </w:pPr>
  </w:style>
  <w:style w:type="paragraph" w:styleId="ListParagraph">
    <w:name w:val="List Paragraph"/>
    <w:basedOn w:val="Normal"/>
    <w:uiPriority w:val="34"/>
    <w:qFormat/>
    <w:rsid w:val="00105603"/>
    <w:pPr>
      <w:ind w:left="720"/>
      <w:contextualSpacing/>
    </w:pPr>
  </w:style>
  <w:style w:type="table" w:styleId="TableGrid">
    <w:name w:val="Table Grid"/>
    <w:basedOn w:val="TableNormal"/>
    <w:uiPriority w:val="59"/>
    <w:rsid w:val="0052707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0560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0560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0560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05603"/>
    <w:rPr>
      <w:b/>
      <w:bCs/>
      <w:sz w:val="28"/>
      <w:szCs w:val="28"/>
    </w:rPr>
  </w:style>
  <w:style w:type="character" w:customStyle="1" w:styleId="Heading5Char">
    <w:name w:val="Heading 5 Char"/>
    <w:basedOn w:val="DefaultParagraphFont"/>
    <w:link w:val="Heading5"/>
    <w:uiPriority w:val="9"/>
    <w:semiHidden/>
    <w:rsid w:val="00105603"/>
    <w:rPr>
      <w:b/>
      <w:bCs/>
      <w:i/>
      <w:iCs/>
      <w:sz w:val="26"/>
      <w:szCs w:val="26"/>
    </w:rPr>
  </w:style>
  <w:style w:type="character" w:customStyle="1" w:styleId="Heading6Char">
    <w:name w:val="Heading 6 Char"/>
    <w:basedOn w:val="DefaultParagraphFont"/>
    <w:link w:val="Heading6"/>
    <w:uiPriority w:val="9"/>
    <w:semiHidden/>
    <w:rsid w:val="00105603"/>
    <w:rPr>
      <w:b/>
      <w:bCs/>
    </w:rPr>
  </w:style>
  <w:style w:type="character" w:customStyle="1" w:styleId="Heading7Char">
    <w:name w:val="Heading 7 Char"/>
    <w:basedOn w:val="DefaultParagraphFont"/>
    <w:link w:val="Heading7"/>
    <w:uiPriority w:val="9"/>
    <w:semiHidden/>
    <w:rsid w:val="00105603"/>
    <w:rPr>
      <w:sz w:val="24"/>
      <w:szCs w:val="24"/>
    </w:rPr>
  </w:style>
  <w:style w:type="character" w:customStyle="1" w:styleId="Heading8Char">
    <w:name w:val="Heading 8 Char"/>
    <w:basedOn w:val="DefaultParagraphFont"/>
    <w:link w:val="Heading8"/>
    <w:uiPriority w:val="9"/>
    <w:semiHidden/>
    <w:rsid w:val="00105603"/>
    <w:rPr>
      <w:i/>
      <w:iCs/>
      <w:sz w:val="24"/>
      <w:szCs w:val="24"/>
    </w:rPr>
  </w:style>
  <w:style w:type="character" w:customStyle="1" w:styleId="Heading9Char">
    <w:name w:val="Heading 9 Char"/>
    <w:basedOn w:val="DefaultParagraphFont"/>
    <w:link w:val="Heading9"/>
    <w:uiPriority w:val="9"/>
    <w:semiHidden/>
    <w:rsid w:val="00105603"/>
    <w:rPr>
      <w:rFonts w:asciiTheme="majorHAnsi" w:eastAsiaTheme="majorEastAsia" w:hAnsiTheme="majorHAnsi"/>
    </w:rPr>
  </w:style>
  <w:style w:type="paragraph" w:styleId="Title">
    <w:name w:val="Title"/>
    <w:basedOn w:val="Normal"/>
    <w:next w:val="Normal"/>
    <w:link w:val="TitleChar"/>
    <w:uiPriority w:val="10"/>
    <w:qFormat/>
    <w:rsid w:val="0010560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0560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0560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05603"/>
    <w:rPr>
      <w:rFonts w:asciiTheme="majorHAnsi" w:eastAsiaTheme="majorEastAsia" w:hAnsiTheme="majorHAnsi"/>
      <w:sz w:val="24"/>
      <w:szCs w:val="24"/>
    </w:rPr>
  </w:style>
  <w:style w:type="character" w:styleId="Strong">
    <w:name w:val="Strong"/>
    <w:basedOn w:val="DefaultParagraphFont"/>
    <w:uiPriority w:val="22"/>
    <w:qFormat/>
    <w:rsid w:val="00105603"/>
    <w:rPr>
      <w:b/>
      <w:bCs/>
    </w:rPr>
  </w:style>
  <w:style w:type="character" w:styleId="Emphasis">
    <w:name w:val="Emphasis"/>
    <w:basedOn w:val="DefaultParagraphFont"/>
    <w:uiPriority w:val="20"/>
    <w:qFormat/>
    <w:rsid w:val="00105603"/>
    <w:rPr>
      <w:rFonts w:asciiTheme="minorHAnsi" w:hAnsiTheme="minorHAnsi"/>
      <w:b/>
      <w:i/>
      <w:iCs/>
    </w:rPr>
  </w:style>
  <w:style w:type="paragraph" w:styleId="NoSpacing">
    <w:name w:val="No Spacing"/>
    <w:basedOn w:val="Normal"/>
    <w:uiPriority w:val="1"/>
    <w:qFormat/>
    <w:rsid w:val="00105603"/>
    <w:rPr>
      <w:szCs w:val="32"/>
    </w:rPr>
  </w:style>
  <w:style w:type="paragraph" w:styleId="Quote">
    <w:name w:val="Quote"/>
    <w:basedOn w:val="Normal"/>
    <w:next w:val="Normal"/>
    <w:link w:val="QuoteChar"/>
    <w:uiPriority w:val="29"/>
    <w:qFormat/>
    <w:rsid w:val="00105603"/>
    <w:rPr>
      <w:i/>
    </w:rPr>
  </w:style>
  <w:style w:type="character" w:customStyle="1" w:styleId="QuoteChar">
    <w:name w:val="Quote Char"/>
    <w:basedOn w:val="DefaultParagraphFont"/>
    <w:link w:val="Quote"/>
    <w:uiPriority w:val="29"/>
    <w:rsid w:val="00105603"/>
    <w:rPr>
      <w:i/>
      <w:sz w:val="24"/>
      <w:szCs w:val="24"/>
    </w:rPr>
  </w:style>
  <w:style w:type="paragraph" w:styleId="IntenseQuote">
    <w:name w:val="Intense Quote"/>
    <w:basedOn w:val="Normal"/>
    <w:next w:val="Normal"/>
    <w:link w:val="IntenseQuoteChar"/>
    <w:uiPriority w:val="30"/>
    <w:qFormat/>
    <w:rsid w:val="00105603"/>
    <w:pPr>
      <w:ind w:left="720" w:right="720"/>
    </w:pPr>
    <w:rPr>
      <w:b/>
      <w:i/>
      <w:szCs w:val="22"/>
    </w:rPr>
  </w:style>
  <w:style w:type="character" w:customStyle="1" w:styleId="IntenseQuoteChar">
    <w:name w:val="Intense Quote Char"/>
    <w:basedOn w:val="DefaultParagraphFont"/>
    <w:link w:val="IntenseQuote"/>
    <w:uiPriority w:val="30"/>
    <w:rsid w:val="00105603"/>
    <w:rPr>
      <w:b/>
      <w:i/>
      <w:sz w:val="24"/>
    </w:rPr>
  </w:style>
  <w:style w:type="character" w:styleId="SubtleEmphasis">
    <w:name w:val="Subtle Emphasis"/>
    <w:uiPriority w:val="19"/>
    <w:qFormat/>
    <w:rsid w:val="00105603"/>
    <w:rPr>
      <w:i/>
      <w:color w:val="5A5A5A" w:themeColor="text1" w:themeTint="A5"/>
    </w:rPr>
  </w:style>
  <w:style w:type="character" w:styleId="IntenseEmphasis">
    <w:name w:val="Intense Emphasis"/>
    <w:basedOn w:val="DefaultParagraphFont"/>
    <w:uiPriority w:val="21"/>
    <w:qFormat/>
    <w:rsid w:val="00105603"/>
    <w:rPr>
      <w:b/>
      <w:i/>
      <w:sz w:val="24"/>
      <w:szCs w:val="24"/>
      <w:u w:val="single"/>
    </w:rPr>
  </w:style>
  <w:style w:type="character" w:styleId="SubtleReference">
    <w:name w:val="Subtle Reference"/>
    <w:basedOn w:val="DefaultParagraphFont"/>
    <w:uiPriority w:val="31"/>
    <w:qFormat/>
    <w:rsid w:val="00105603"/>
    <w:rPr>
      <w:sz w:val="24"/>
      <w:szCs w:val="24"/>
      <w:u w:val="single"/>
    </w:rPr>
  </w:style>
  <w:style w:type="character" w:styleId="IntenseReference">
    <w:name w:val="Intense Reference"/>
    <w:basedOn w:val="DefaultParagraphFont"/>
    <w:uiPriority w:val="32"/>
    <w:qFormat/>
    <w:rsid w:val="00105603"/>
    <w:rPr>
      <w:b/>
      <w:sz w:val="24"/>
      <w:u w:val="single"/>
    </w:rPr>
  </w:style>
  <w:style w:type="character" w:styleId="BookTitle">
    <w:name w:val="Book Title"/>
    <w:basedOn w:val="DefaultParagraphFont"/>
    <w:uiPriority w:val="33"/>
    <w:qFormat/>
    <w:rsid w:val="0010560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05603"/>
    <w:pPr>
      <w:outlineLvl w:val="9"/>
    </w:pPr>
  </w:style>
  <w:style w:type="paragraph" w:styleId="Header">
    <w:name w:val="header"/>
    <w:basedOn w:val="Normal"/>
    <w:link w:val="HeaderChar"/>
    <w:uiPriority w:val="99"/>
    <w:unhideWhenUsed/>
    <w:rsid w:val="00354131"/>
    <w:pPr>
      <w:tabs>
        <w:tab w:val="center" w:pos="4677"/>
        <w:tab w:val="right" w:pos="9355"/>
      </w:tabs>
    </w:pPr>
  </w:style>
  <w:style w:type="character" w:customStyle="1" w:styleId="HeaderChar">
    <w:name w:val="Header Char"/>
    <w:basedOn w:val="DefaultParagraphFont"/>
    <w:link w:val="Header"/>
    <w:uiPriority w:val="99"/>
    <w:rsid w:val="00354131"/>
    <w:rPr>
      <w:sz w:val="24"/>
      <w:szCs w:val="24"/>
    </w:rPr>
  </w:style>
  <w:style w:type="paragraph" w:styleId="Footer">
    <w:name w:val="footer"/>
    <w:basedOn w:val="Normal"/>
    <w:link w:val="FooterChar"/>
    <w:uiPriority w:val="99"/>
    <w:unhideWhenUsed/>
    <w:rsid w:val="00354131"/>
    <w:pPr>
      <w:tabs>
        <w:tab w:val="center" w:pos="4677"/>
        <w:tab w:val="right" w:pos="9355"/>
      </w:tabs>
    </w:pPr>
  </w:style>
  <w:style w:type="character" w:customStyle="1" w:styleId="FooterChar">
    <w:name w:val="Footer Char"/>
    <w:basedOn w:val="DefaultParagraphFont"/>
    <w:link w:val="Footer"/>
    <w:uiPriority w:val="99"/>
    <w:rsid w:val="00354131"/>
    <w:rPr>
      <w:sz w:val="24"/>
      <w:szCs w:val="24"/>
    </w:rPr>
  </w:style>
  <w:style w:type="character" w:styleId="PlaceholderText">
    <w:name w:val="Placeholder Text"/>
    <w:basedOn w:val="DefaultParagraphFont"/>
    <w:uiPriority w:val="99"/>
    <w:semiHidden/>
    <w:rsid w:val="00F23900"/>
    <w:rPr>
      <w:color w:val="808080"/>
    </w:rPr>
  </w:style>
  <w:style w:type="paragraph" w:styleId="BalloonText">
    <w:name w:val="Balloon Text"/>
    <w:basedOn w:val="Normal"/>
    <w:link w:val="BalloonTextChar"/>
    <w:uiPriority w:val="99"/>
    <w:semiHidden/>
    <w:unhideWhenUsed/>
    <w:rsid w:val="005517FA"/>
    <w:rPr>
      <w:rFonts w:ascii="Tahoma" w:hAnsi="Tahoma" w:cs="Tahoma"/>
      <w:sz w:val="16"/>
      <w:szCs w:val="16"/>
    </w:rPr>
  </w:style>
  <w:style w:type="character" w:customStyle="1" w:styleId="BalloonTextChar">
    <w:name w:val="Balloon Text Char"/>
    <w:basedOn w:val="DefaultParagraphFont"/>
    <w:link w:val="BalloonText"/>
    <w:uiPriority w:val="99"/>
    <w:semiHidden/>
    <w:rsid w:val="005517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jp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oleObject" Target="embeddings/oleObject5.bin"/><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14220</Words>
  <Characters>77219</Characters>
  <Application>Microsoft Office Word</Application>
  <DocSecurity>0</DocSecurity>
  <Lines>2087</Lines>
  <Paragraphs>1101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dc:creator>
  <cp:keywords/>
  <dc:description/>
  <cp:lastModifiedBy>LCAYAS</cp:lastModifiedBy>
  <cp:revision>64</cp:revision>
  <dcterms:created xsi:type="dcterms:W3CDTF">2018-04-12T13:19:00Z</dcterms:created>
  <dcterms:modified xsi:type="dcterms:W3CDTF">2019-01-23T03:19:00Z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id="I80eUAjo"/&gt;&lt;style id="http://www.zotero.org/styles/bmc-bioinformatics" locale="ru-RU" hasBibliography="1" bibliographyStyleHasBeenSet="1"/&gt;&lt;prefs&gt;&lt;pref name="fieldType" value="Field"/&gt;&lt;pref nam</vt:lpwstr>
  </property>
  <property fmtid="{D5CDD505-2E9C-101B-9397-08002B2CF9AE}" pid="3" name="ZOTERO_PREF_2">
    <vt:lpwstr>e="automaticJournalAbbreviations" value="true"/&gt;&lt;pref name="noteType" value="0"/&gt;&lt;/prefs&gt;&lt;/data&gt;</vt:lpwstr>
  </property>
</Properties>
</file>