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BE981" w14:textId="77777777" w:rsidR="009B744E" w:rsidRPr="002D35F6" w:rsidRDefault="009B744E" w:rsidP="009B744E">
      <w:pPr>
        <w:pStyle w:val="Title"/>
        <w:spacing w:after="0"/>
        <w:jc w:val="center"/>
        <w:rPr>
          <w:rFonts w:ascii="Arial" w:hAnsi="Arial" w:cs="Arial"/>
          <w:sz w:val="24"/>
          <w:szCs w:val="24"/>
        </w:rPr>
      </w:pPr>
      <w:r w:rsidRPr="002D35F6">
        <w:rPr>
          <w:rFonts w:ascii="Arial" w:hAnsi="Arial" w:cs="Arial"/>
          <w:sz w:val="24"/>
          <w:szCs w:val="24"/>
        </w:rPr>
        <w:t>Supplemental Information</w:t>
      </w:r>
    </w:p>
    <w:p w14:paraId="6C49CCE2" w14:textId="77777777" w:rsidR="009B744E" w:rsidRPr="002D35F6" w:rsidRDefault="009B744E" w:rsidP="009B744E">
      <w:pPr>
        <w:spacing w:after="0"/>
        <w:rPr>
          <w:rFonts w:ascii="Arial" w:hAnsi="Arial" w:cs="Arial"/>
          <w:b/>
          <w:color w:val="2E74B5" w:themeColor="accent1" w:themeShade="BF"/>
          <w:sz w:val="24"/>
          <w:szCs w:val="24"/>
        </w:rPr>
      </w:pPr>
      <w:r w:rsidRPr="002D35F6">
        <w:rPr>
          <w:rFonts w:ascii="Arial" w:hAnsi="Arial" w:cs="Arial"/>
          <w:b/>
          <w:color w:val="2E74B5" w:themeColor="accent1" w:themeShade="BF"/>
          <w:sz w:val="24"/>
          <w:szCs w:val="24"/>
        </w:rPr>
        <w:t>Influence of Data-Processing Strategies on Normalized Lipid Levels using an Open-Source LC-HRMS/MS Lipidomics Workflow</w:t>
      </w:r>
    </w:p>
    <w:p w14:paraId="6645DDD4" w14:textId="77777777" w:rsidR="00DC4AD5" w:rsidRPr="002D35F6" w:rsidRDefault="002458C2" w:rsidP="009B744E">
      <w:pPr>
        <w:rPr>
          <w:rFonts w:ascii="Arial" w:hAnsi="Arial" w:cs="Arial"/>
          <w:sz w:val="24"/>
          <w:szCs w:val="24"/>
        </w:rPr>
      </w:pPr>
    </w:p>
    <w:p w14:paraId="215C053B" w14:textId="77777777" w:rsidR="009B744E" w:rsidRPr="002D35F6" w:rsidRDefault="009B744E" w:rsidP="009B744E">
      <w:pPr>
        <w:pStyle w:val="Heading2"/>
        <w:spacing w:before="0"/>
        <w:rPr>
          <w:rFonts w:ascii="Arial" w:eastAsia="PMingLiU" w:hAnsi="Arial" w:cs="Arial"/>
          <w:b w:val="0"/>
          <w:bCs w:val="0"/>
          <w:color w:val="auto"/>
          <w:sz w:val="24"/>
          <w:szCs w:val="24"/>
        </w:rPr>
      </w:pPr>
      <w:r w:rsidRPr="002D35F6">
        <w:rPr>
          <w:rFonts w:ascii="Arial" w:eastAsia="PMingLiU" w:hAnsi="Arial" w:cs="Arial"/>
          <w:b w:val="0"/>
          <w:bCs w:val="0"/>
          <w:color w:val="auto"/>
          <w:sz w:val="24"/>
          <w:szCs w:val="24"/>
        </w:rPr>
        <w:t>Jeremy Paul Koelmel, PhD; Jason A. Cochran, High School; Candice Z. Ulmer, PhD; Allison J. Levy, BS; Rainey E. Patterson, PhD; Berkley C. Olsen, BS; Richard A. Yost, PhD; John A. Bowden, PhD; Timothy J. Garrett, PhD</w:t>
      </w:r>
    </w:p>
    <w:p w14:paraId="62415B88" w14:textId="77777777" w:rsidR="009B744E" w:rsidRPr="002D35F6" w:rsidRDefault="009B744E" w:rsidP="009B744E">
      <w:pPr>
        <w:spacing w:after="0"/>
        <w:rPr>
          <w:rFonts w:ascii="Arial" w:hAnsi="Arial" w:cs="Arial"/>
          <w:sz w:val="24"/>
          <w:szCs w:val="24"/>
        </w:rPr>
      </w:pPr>
    </w:p>
    <w:p w14:paraId="00616BF8"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Author Emails:</w:t>
      </w:r>
    </w:p>
    <w:p w14:paraId="3477AA5D" w14:textId="3842EFA4" w:rsidR="009B744E" w:rsidRPr="002D35F6" w:rsidRDefault="009B744E" w:rsidP="009B744E">
      <w:pPr>
        <w:spacing w:after="0"/>
        <w:rPr>
          <w:rFonts w:ascii="Arial" w:hAnsi="Arial" w:cs="Arial"/>
          <w:sz w:val="24"/>
          <w:szCs w:val="24"/>
        </w:rPr>
      </w:pPr>
      <w:r w:rsidRPr="002D35F6">
        <w:rPr>
          <w:rFonts w:ascii="Arial" w:hAnsi="Arial" w:cs="Arial"/>
          <w:sz w:val="24"/>
          <w:szCs w:val="24"/>
        </w:rPr>
        <w:t>Jeremy Koelmel &lt;jeremykoelmel@</w:t>
      </w:r>
      <w:r w:rsidR="00880E82">
        <w:rPr>
          <w:rFonts w:ascii="Arial" w:hAnsi="Arial" w:cs="Arial"/>
          <w:sz w:val="24"/>
          <w:szCs w:val="24"/>
        </w:rPr>
        <w:t>gmail.com</w:t>
      </w:r>
      <w:r w:rsidRPr="002D35F6">
        <w:rPr>
          <w:rFonts w:ascii="Arial" w:hAnsi="Arial" w:cs="Arial"/>
          <w:sz w:val="24"/>
          <w:szCs w:val="24"/>
        </w:rPr>
        <w:t xml:space="preserve">&gt; </w:t>
      </w:r>
    </w:p>
    <w:p w14:paraId="6DCF7E23"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 xml:space="preserve">Jason Cochran &lt;aceman905671@ufl.edu&gt; </w:t>
      </w:r>
    </w:p>
    <w:p w14:paraId="4C26F076"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Candice Ulmer &lt;czulmer@gmail.com&gt;</w:t>
      </w:r>
    </w:p>
    <w:p w14:paraId="0CE3C081"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Allison Levy &lt;allisonjlevy@chem.ufl.edu&gt;</w:t>
      </w:r>
    </w:p>
    <w:p w14:paraId="185CBBFB"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Rainey Patterson &lt;rpgarland@eastman.com&gt;</w:t>
      </w:r>
    </w:p>
    <w:p w14:paraId="38A4389E"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Berkley Olsen &lt;berkley0@phhp.ufl.edu&gt;</w:t>
      </w:r>
    </w:p>
    <w:p w14:paraId="0F1CD43A"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Richard Yost &lt;ryost@chem.ufl.edu&gt;</w:t>
      </w:r>
    </w:p>
    <w:p w14:paraId="60066BD7"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John Bowden &lt;john.bowden@ufl.edu&gt;</w:t>
      </w:r>
    </w:p>
    <w:p w14:paraId="71640ED7" w14:textId="77777777" w:rsidR="009B744E" w:rsidRPr="002D35F6" w:rsidRDefault="009B744E" w:rsidP="009B744E">
      <w:pPr>
        <w:spacing w:after="0"/>
        <w:rPr>
          <w:rFonts w:ascii="Arial" w:hAnsi="Arial" w:cs="Arial"/>
          <w:sz w:val="24"/>
          <w:szCs w:val="24"/>
        </w:rPr>
      </w:pPr>
      <w:r w:rsidRPr="002D35F6">
        <w:rPr>
          <w:rFonts w:ascii="Arial" w:hAnsi="Arial" w:cs="Arial"/>
          <w:sz w:val="24"/>
          <w:szCs w:val="24"/>
        </w:rPr>
        <w:t>Timothy Garrett &lt;tgarrett@ufl.edu&gt;</w:t>
      </w:r>
    </w:p>
    <w:p w14:paraId="269A31FD" w14:textId="77777777" w:rsidR="009B744E" w:rsidRPr="002D35F6" w:rsidRDefault="009B744E" w:rsidP="009B744E">
      <w:pPr>
        <w:spacing w:after="0"/>
        <w:rPr>
          <w:rFonts w:ascii="Arial" w:hAnsi="Arial" w:cs="Arial"/>
          <w:sz w:val="24"/>
          <w:szCs w:val="24"/>
        </w:rPr>
      </w:pPr>
    </w:p>
    <w:p w14:paraId="047C6F56" w14:textId="77777777" w:rsidR="009B744E" w:rsidRPr="002D35F6" w:rsidRDefault="009B744E" w:rsidP="009B744E">
      <w:pPr>
        <w:rPr>
          <w:rFonts w:ascii="Arial" w:hAnsi="Arial" w:cs="Arial"/>
          <w:b/>
          <w:sz w:val="24"/>
          <w:szCs w:val="24"/>
        </w:rPr>
      </w:pPr>
      <w:r w:rsidRPr="002D35F6">
        <w:rPr>
          <w:rFonts w:ascii="Arial" w:hAnsi="Arial" w:cs="Arial"/>
          <w:b/>
          <w:sz w:val="24"/>
          <w:szCs w:val="24"/>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05"/>
      </w:tblGrid>
      <w:tr w:rsidR="009B744E" w:rsidRPr="002D35F6" w14:paraId="4CFE54EA" w14:textId="77777777" w:rsidTr="00880E82">
        <w:tc>
          <w:tcPr>
            <w:tcW w:w="6745" w:type="dxa"/>
          </w:tcPr>
          <w:p w14:paraId="34C7E11A" w14:textId="77777777" w:rsidR="009B744E" w:rsidRPr="002D35F6" w:rsidRDefault="009B744E" w:rsidP="009B744E">
            <w:pPr>
              <w:rPr>
                <w:rFonts w:ascii="Arial" w:hAnsi="Arial" w:cs="Arial"/>
                <w:i/>
                <w:sz w:val="24"/>
                <w:szCs w:val="24"/>
              </w:rPr>
            </w:pPr>
            <w:r w:rsidRPr="002D35F6">
              <w:rPr>
                <w:rFonts w:ascii="Arial" w:hAnsi="Arial" w:cs="Arial"/>
                <w:i/>
                <w:sz w:val="24"/>
                <w:szCs w:val="24"/>
              </w:rPr>
              <w:t xml:space="preserve">Additional Text: </w:t>
            </w:r>
            <w:r w:rsidRPr="002D35F6">
              <w:rPr>
                <w:rFonts w:ascii="Arial" w:hAnsi="Arial" w:cs="Arial"/>
                <w:sz w:val="24"/>
                <w:szCs w:val="24"/>
              </w:rPr>
              <w:t>Detailed Methodologies</w:t>
            </w:r>
          </w:p>
        </w:tc>
        <w:tc>
          <w:tcPr>
            <w:tcW w:w="2605" w:type="dxa"/>
          </w:tcPr>
          <w:p w14:paraId="73137863" w14:textId="49E513D2" w:rsidR="009B744E" w:rsidRPr="002D35F6" w:rsidRDefault="00540345" w:rsidP="009B744E">
            <w:pPr>
              <w:rPr>
                <w:rFonts w:ascii="Arial" w:hAnsi="Arial" w:cs="Arial"/>
                <w:sz w:val="24"/>
                <w:szCs w:val="24"/>
              </w:rPr>
            </w:pPr>
            <w:r>
              <w:rPr>
                <w:rFonts w:ascii="Arial" w:hAnsi="Arial" w:cs="Arial"/>
                <w:sz w:val="24"/>
                <w:szCs w:val="24"/>
              </w:rPr>
              <w:t>pg 2</w:t>
            </w:r>
          </w:p>
        </w:tc>
      </w:tr>
      <w:tr w:rsidR="009B744E" w:rsidRPr="002D35F6" w14:paraId="73BF39E3" w14:textId="77777777" w:rsidTr="00880E82">
        <w:trPr>
          <w:trHeight w:val="377"/>
        </w:trPr>
        <w:tc>
          <w:tcPr>
            <w:tcW w:w="6745" w:type="dxa"/>
          </w:tcPr>
          <w:p w14:paraId="540C8506" w14:textId="77777777" w:rsidR="009B744E" w:rsidRPr="002D35F6" w:rsidRDefault="009B744E" w:rsidP="009B744E">
            <w:pPr>
              <w:rPr>
                <w:rFonts w:ascii="Arial" w:hAnsi="Arial" w:cs="Arial"/>
                <w:sz w:val="24"/>
                <w:szCs w:val="24"/>
              </w:rPr>
            </w:pPr>
            <w:r w:rsidRPr="002D35F6">
              <w:rPr>
                <w:rFonts w:ascii="Arial" w:hAnsi="Arial" w:cs="Arial"/>
                <w:i/>
                <w:sz w:val="24"/>
                <w:szCs w:val="24"/>
              </w:rPr>
              <w:t xml:space="preserve">Additional Text: </w:t>
            </w:r>
            <w:r w:rsidRPr="002D35F6">
              <w:rPr>
                <w:rFonts w:ascii="Arial" w:hAnsi="Arial" w:cs="Arial"/>
                <w:sz w:val="24"/>
                <w:szCs w:val="24"/>
              </w:rPr>
              <w:t>Annotations and AIF</w:t>
            </w:r>
          </w:p>
        </w:tc>
        <w:tc>
          <w:tcPr>
            <w:tcW w:w="2605" w:type="dxa"/>
          </w:tcPr>
          <w:p w14:paraId="7F582638" w14:textId="3F52AE82" w:rsidR="009B744E" w:rsidRPr="002D35F6" w:rsidRDefault="00540345" w:rsidP="009B744E">
            <w:pPr>
              <w:rPr>
                <w:rFonts w:ascii="Arial" w:hAnsi="Arial" w:cs="Arial"/>
                <w:sz w:val="24"/>
                <w:szCs w:val="24"/>
              </w:rPr>
            </w:pPr>
            <w:r>
              <w:rPr>
                <w:rFonts w:ascii="Arial" w:hAnsi="Arial" w:cs="Arial"/>
                <w:sz w:val="24"/>
                <w:szCs w:val="24"/>
              </w:rPr>
              <w:t>pg 6</w:t>
            </w:r>
          </w:p>
        </w:tc>
      </w:tr>
      <w:tr w:rsidR="009B744E" w:rsidRPr="002D35F6" w14:paraId="634A95F7" w14:textId="77777777" w:rsidTr="00880E82">
        <w:tc>
          <w:tcPr>
            <w:tcW w:w="6745" w:type="dxa"/>
          </w:tcPr>
          <w:p w14:paraId="0A1CA9F0" w14:textId="77777777" w:rsidR="009B744E" w:rsidRPr="002D35F6" w:rsidRDefault="009B744E" w:rsidP="009B744E">
            <w:pPr>
              <w:rPr>
                <w:rFonts w:ascii="Arial" w:hAnsi="Arial" w:cs="Arial"/>
                <w:sz w:val="24"/>
                <w:szCs w:val="24"/>
              </w:rPr>
            </w:pPr>
            <w:r w:rsidRPr="002D35F6">
              <w:rPr>
                <w:rFonts w:ascii="Arial" w:hAnsi="Arial" w:cs="Arial"/>
                <w:i/>
                <w:sz w:val="24"/>
                <w:szCs w:val="24"/>
              </w:rPr>
              <w:t xml:space="preserve">Additional Text: </w:t>
            </w:r>
            <w:r w:rsidRPr="002D35F6">
              <w:rPr>
                <w:rFonts w:ascii="Arial" w:hAnsi="Arial" w:cs="Arial"/>
                <w:sz w:val="24"/>
                <w:szCs w:val="24"/>
              </w:rPr>
              <w:t>Interlab and LipidMaps Comparison</w:t>
            </w:r>
          </w:p>
        </w:tc>
        <w:tc>
          <w:tcPr>
            <w:tcW w:w="2605" w:type="dxa"/>
          </w:tcPr>
          <w:p w14:paraId="08B00208" w14:textId="26FC8435" w:rsidR="009B744E" w:rsidRPr="002D35F6" w:rsidRDefault="00540345" w:rsidP="009B744E">
            <w:pPr>
              <w:rPr>
                <w:rFonts w:ascii="Arial" w:hAnsi="Arial" w:cs="Arial"/>
                <w:sz w:val="24"/>
                <w:szCs w:val="24"/>
              </w:rPr>
            </w:pPr>
            <w:r>
              <w:rPr>
                <w:rFonts w:ascii="Arial" w:hAnsi="Arial" w:cs="Arial"/>
                <w:sz w:val="24"/>
                <w:szCs w:val="24"/>
              </w:rPr>
              <w:t>pg 10</w:t>
            </w:r>
          </w:p>
        </w:tc>
      </w:tr>
      <w:tr w:rsidR="009B744E" w:rsidRPr="002D35F6" w14:paraId="12456155" w14:textId="77777777" w:rsidTr="00880E82">
        <w:tc>
          <w:tcPr>
            <w:tcW w:w="6745" w:type="dxa"/>
          </w:tcPr>
          <w:p w14:paraId="3F681340" w14:textId="09E2D6A6" w:rsidR="009B744E" w:rsidRPr="002D35F6" w:rsidRDefault="009B744E" w:rsidP="009B744E">
            <w:pPr>
              <w:rPr>
                <w:rFonts w:ascii="Arial" w:hAnsi="Arial" w:cs="Arial"/>
                <w:i/>
                <w:sz w:val="24"/>
                <w:szCs w:val="24"/>
              </w:rPr>
            </w:pPr>
            <w:r w:rsidRPr="002D35F6">
              <w:rPr>
                <w:rFonts w:ascii="Arial" w:hAnsi="Arial" w:cs="Arial"/>
                <w:i/>
                <w:sz w:val="24"/>
                <w:szCs w:val="24"/>
              </w:rPr>
              <w:t>Figures S1 –</w:t>
            </w:r>
            <w:r w:rsidR="00540345">
              <w:rPr>
                <w:rFonts w:ascii="Arial" w:hAnsi="Arial" w:cs="Arial"/>
                <w:i/>
                <w:sz w:val="24"/>
                <w:szCs w:val="24"/>
              </w:rPr>
              <w:t xml:space="preserve"> S5</w:t>
            </w:r>
          </w:p>
        </w:tc>
        <w:tc>
          <w:tcPr>
            <w:tcW w:w="2605" w:type="dxa"/>
          </w:tcPr>
          <w:p w14:paraId="16B75505" w14:textId="50F7C7E7" w:rsidR="009B744E" w:rsidRPr="002D35F6" w:rsidRDefault="00540345" w:rsidP="009B744E">
            <w:pPr>
              <w:rPr>
                <w:rFonts w:ascii="Arial" w:hAnsi="Arial" w:cs="Arial"/>
                <w:sz w:val="24"/>
                <w:szCs w:val="24"/>
              </w:rPr>
            </w:pPr>
            <w:r>
              <w:rPr>
                <w:rFonts w:ascii="Arial" w:hAnsi="Arial" w:cs="Arial"/>
                <w:sz w:val="24"/>
                <w:szCs w:val="24"/>
              </w:rPr>
              <w:t>pg 12</w:t>
            </w:r>
          </w:p>
        </w:tc>
      </w:tr>
      <w:tr w:rsidR="009B744E" w:rsidRPr="002D35F6" w14:paraId="1711FC59" w14:textId="77777777" w:rsidTr="00880E82">
        <w:tc>
          <w:tcPr>
            <w:tcW w:w="6745" w:type="dxa"/>
          </w:tcPr>
          <w:p w14:paraId="0AB3BC6B" w14:textId="77777777" w:rsidR="009B744E" w:rsidRPr="002D35F6" w:rsidRDefault="009B744E" w:rsidP="009B744E">
            <w:pPr>
              <w:rPr>
                <w:rFonts w:ascii="Arial" w:hAnsi="Arial" w:cs="Arial"/>
                <w:i/>
                <w:sz w:val="24"/>
                <w:szCs w:val="24"/>
              </w:rPr>
            </w:pPr>
            <w:r w:rsidRPr="002D35F6">
              <w:rPr>
                <w:rFonts w:ascii="Arial" w:hAnsi="Arial" w:cs="Arial"/>
                <w:i/>
                <w:sz w:val="24"/>
                <w:szCs w:val="24"/>
              </w:rPr>
              <w:t>Table S1 – S3</w:t>
            </w:r>
          </w:p>
        </w:tc>
        <w:tc>
          <w:tcPr>
            <w:tcW w:w="2605" w:type="dxa"/>
          </w:tcPr>
          <w:p w14:paraId="2C5013BD" w14:textId="08A304F6" w:rsidR="009B744E" w:rsidRPr="002D35F6" w:rsidRDefault="00540345" w:rsidP="009B744E">
            <w:pPr>
              <w:rPr>
                <w:rFonts w:ascii="Arial" w:hAnsi="Arial" w:cs="Arial"/>
                <w:sz w:val="24"/>
                <w:szCs w:val="24"/>
              </w:rPr>
            </w:pPr>
            <w:r>
              <w:rPr>
                <w:rFonts w:ascii="Arial" w:hAnsi="Arial" w:cs="Arial"/>
                <w:sz w:val="24"/>
                <w:szCs w:val="24"/>
              </w:rPr>
              <w:t>pg 17</w:t>
            </w:r>
          </w:p>
        </w:tc>
      </w:tr>
    </w:tbl>
    <w:p w14:paraId="280AAF23" w14:textId="77777777" w:rsidR="009B744E" w:rsidRPr="002D35F6" w:rsidRDefault="009B744E" w:rsidP="009B744E">
      <w:pPr>
        <w:rPr>
          <w:rFonts w:ascii="Arial" w:hAnsi="Arial" w:cs="Arial"/>
          <w:sz w:val="24"/>
          <w:szCs w:val="24"/>
        </w:rPr>
      </w:pPr>
    </w:p>
    <w:p w14:paraId="3CED8C29" w14:textId="77777777" w:rsidR="009B744E" w:rsidRPr="002D35F6" w:rsidRDefault="009B744E" w:rsidP="009B744E">
      <w:pPr>
        <w:rPr>
          <w:rFonts w:ascii="Arial" w:hAnsi="Arial" w:cs="Arial"/>
          <w:sz w:val="24"/>
          <w:szCs w:val="24"/>
        </w:rPr>
      </w:pPr>
      <w:r w:rsidRPr="002D35F6">
        <w:rPr>
          <w:rFonts w:ascii="Arial" w:hAnsi="Arial" w:cs="Arial"/>
          <w:sz w:val="24"/>
          <w:szCs w:val="24"/>
        </w:rPr>
        <w:t>Note: The LipidMatch Normalizer (LMN) manual, software and tutorial videos can be found at:</w:t>
      </w:r>
    </w:p>
    <w:p w14:paraId="0026CE73" w14:textId="77777777" w:rsidR="009B744E" w:rsidRPr="002D35F6" w:rsidRDefault="009B744E" w:rsidP="009B744E">
      <w:pPr>
        <w:rPr>
          <w:rFonts w:ascii="Arial" w:hAnsi="Arial" w:cs="Arial"/>
          <w:sz w:val="24"/>
          <w:szCs w:val="24"/>
        </w:rPr>
      </w:pPr>
      <w:r w:rsidRPr="002D35F6">
        <w:rPr>
          <w:rFonts w:ascii="Arial" w:hAnsi="Arial" w:cs="Arial"/>
          <w:sz w:val="24"/>
          <w:szCs w:val="24"/>
        </w:rPr>
        <w:t>SECIM.UFL.EDU/SECIM-TOOLS/</w:t>
      </w:r>
    </w:p>
    <w:p w14:paraId="6BCAC52D" w14:textId="77777777" w:rsidR="009B744E" w:rsidRPr="002D35F6" w:rsidRDefault="009B744E" w:rsidP="009B744E">
      <w:pPr>
        <w:rPr>
          <w:rFonts w:ascii="Arial" w:hAnsi="Arial" w:cs="Arial"/>
          <w:sz w:val="24"/>
          <w:szCs w:val="24"/>
        </w:rPr>
      </w:pPr>
      <w:r w:rsidRPr="002D35F6">
        <w:rPr>
          <w:rFonts w:ascii="Arial" w:hAnsi="Arial" w:cs="Arial"/>
          <w:sz w:val="24"/>
          <w:szCs w:val="24"/>
        </w:rPr>
        <w:br w:type="page"/>
      </w:r>
    </w:p>
    <w:p w14:paraId="2DE30E7B" w14:textId="5F2DC327" w:rsidR="002D35F6" w:rsidRDefault="000B37CB" w:rsidP="000B37CB">
      <w:pPr>
        <w:spacing w:after="0" w:line="480" w:lineRule="auto"/>
        <w:rPr>
          <w:rFonts w:ascii="Arial" w:hAnsi="Arial" w:cs="Arial"/>
          <w:i/>
          <w:sz w:val="24"/>
          <w:szCs w:val="24"/>
        </w:rPr>
      </w:pPr>
      <w:r>
        <w:rPr>
          <w:rFonts w:ascii="Arial" w:hAnsi="Arial" w:cs="Arial"/>
          <w:i/>
          <w:sz w:val="24"/>
          <w:szCs w:val="24"/>
        </w:rPr>
        <w:lastRenderedPageBreak/>
        <w:t xml:space="preserve">Methods: </w:t>
      </w:r>
      <w:r w:rsidR="002D35F6" w:rsidRPr="002D35F6">
        <w:rPr>
          <w:rFonts w:ascii="Arial" w:hAnsi="Arial" w:cs="Arial"/>
          <w:i/>
          <w:sz w:val="24"/>
          <w:szCs w:val="24"/>
        </w:rPr>
        <w:t>Mass Spectrometric Parameters and Scan Modes</w:t>
      </w:r>
    </w:p>
    <w:p w14:paraId="79A48D20" w14:textId="77777777" w:rsidR="000B37CB" w:rsidRPr="002D35F6" w:rsidRDefault="000B37CB" w:rsidP="000B37CB">
      <w:pPr>
        <w:spacing w:after="0" w:line="480" w:lineRule="auto"/>
        <w:rPr>
          <w:rFonts w:ascii="Arial" w:hAnsi="Arial" w:cs="Arial"/>
          <w:i/>
          <w:sz w:val="24"/>
          <w:szCs w:val="24"/>
        </w:rPr>
      </w:pPr>
    </w:p>
    <w:p w14:paraId="7AAF54B4" w14:textId="31470987" w:rsidR="002D35F6" w:rsidRPr="002D35F6" w:rsidRDefault="002D35F6" w:rsidP="000B37CB">
      <w:pPr>
        <w:spacing w:after="0" w:line="480" w:lineRule="auto"/>
        <w:rPr>
          <w:rFonts w:ascii="Arial" w:hAnsi="Arial" w:cs="Arial"/>
          <w:sz w:val="24"/>
          <w:szCs w:val="24"/>
        </w:rPr>
      </w:pPr>
      <w:r w:rsidRPr="002D35F6">
        <w:rPr>
          <w:rFonts w:ascii="Arial" w:hAnsi="Arial" w:cs="Arial"/>
          <w:sz w:val="24"/>
          <w:szCs w:val="24"/>
        </w:rPr>
        <w:t>Three replicate injections were run in both positive and negative polarity employing alternating full and all-ion fragmentation (AIF) scans at a resolution of 70,000 (FWHM) at m/z 200. In addition, 15 injections employing targeted MS/MS data acquisition were performed, with the inclusion list (supplemental file Supplemental_Targeted_List.xlsx) for fragmentation containing lipids identifi</w:t>
      </w:r>
      <w:r w:rsidR="00FE0F33">
        <w:rPr>
          <w:rFonts w:ascii="Arial" w:hAnsi="Arial" w:cs="Arial"/>
          <w:sz w:val="24"/>
          <w:szCs w:val="24"/>
        </w:rPr>
        <w:t>ed by the LIPID MAPS consortium</w:t>
      </w:r>
      <w:r w:rsidRPr="002D35F6">
        <w:rPr>
          <w:rFonts w:ascii="Arial" w:hAnsi="Arial" w:cs="Arial"/>
          <w:sz w:val="24"/>
          <w:szCs w:val="24"/>
        </w:rPr>
        <w:t>. The ion optic settings for the mass spectrometer included: analyzer temperature of 30 °C and S-Lens radio frequency level of 35 V. The ionization conditions included a sheath gas flow of 30, auxiliary gas flow of 5, and sweep gas flow of 1 arbitrary units, and a spray voltage of 3.5 kV, and capillary temperature of 250 °C.  For positive ion mode, lock masses of diisooctyl phthalate (m/z 391.2842) and polysiloxanes (m/z 371.1012 and 445.1200) were used, while no lock masses were used in negative ion mode. Both AIF and targeted MS/MS injections were used for lipid identification, while full scan data were used for feature finding and relative quantification. The UHPLC gradient use in this experiment is shown in Table S1, while the mass spectrometric parameters are shown in Table S2.</w:t>
      </w:r>
    </w:p>
    <w:p w14:paraId="33517D4B" w14:textId="77777777" w:rsidR="002D35F6" w:rsidRPr="002D35F6" w:rsidRDefault="002D35F6" w:rsidP="000B37CB">
      <w:pPr>
        <w:spacing w:after="0" w:line="480" w:lineRule="auto"/>
        <w:rPr>
          <w:rFonts w:ascii="Arial" w:hAnsi="Arial" w:cs="Arial"/>
          <w:sz w:val="24"/>
          <w:szCs w:val="24"/>
        </w:rPr>
      </w:pPr>
    </w:p>
    <w:p w14:paraId="5840827B" w14:textId="77777777" w:rsidR="002D35F6" w:rsidRPr="002D35F6" w:rsidRDefault="002D35F6" w:rsidP="000B37CB">
      <w:pPr>
        <w:spacing w:after="0" w:line="480" w:lineRule="auto"/>
        <w:rPr>
          <w:rFonts w:ascii="Arial" w:hAnsi="Arial" w:cs="Arial"/>
          <w:i/>
          <w:sz w:val="24"/>
          <w:szCs w:val="24"/>
        </w:rPr>
      </w:pPr>
      <w:r w:rsidRPr="002D35F6">
        <w:rPr>
          <w:rFonts w:ascii="Arial" w:hAnsi="Arial" w:cs="Arial"/>
          <w:i/>
          <w:sz w:val="24"/>
          <w:szCs w:val="24"/>
        </w:rPr>
        <w:br w:type="page"/>
      </w:r>
    </w:p>
    <w:p w14:paraId="3DDA9987" w14:textId="5F14268C" w:rsidR="002D35F6" w:rsidRDefault="000B37CB" w:rsidP="000B37CB">
      <w:pPr>
        <w:spacing w:after="0" w:line="480" w:lineRule="auto"/>
        <w:rPr>
          <w:rFonts w:ascii="Arial" w:hAnsi="Arial" w:cs="Arial"/>
          <w:i/>
          <w:sz w:val="24"/>
          <w:szCs w:val="24"/>
        </w:rPr>
      </w:pPr>
      <w:r>
        <w:rPr>
          <w:rFonts w:ascii="Arial" w:hAnsi="Arial" w:cs="Arial"/>
          <w:i/>
          <w:sz w:val="24"/>
          <w:szCs w:val="24"/>
        </w:rPr>
        <w:lastRenderedPageBreak/>
        <w:t xml:space="preserve">Methods: </w:t>
      </w:r>
      <w:r w:rsidR="002D35F6">
        <w:rPr>
          <w:rFonts w:ascii="Arial" w:hAnsi="Arial" w:cs="Arial"/>
          <w:i/>
          <w:sz w:val="24"/>
          <w:szCs w:val="24"/>
        </w:rPr>
        <w:t>Lipidomics Workflow</w:t>
      </w:r>
    </w:p>
    <w:p w14:paraId="064098A7" w14:textId="77777777" w:rsidR="002D35F6" w:rsidRPr="002D35F6" w:rsidRDefault="002D35F6" w:rsidP="000B37CB">
      <w:pPr>
        <w:spacing w:after="0" w:line="480" w:lineRule="auto"/>
        <w:rPr>
          <w:rFonts w:ascii="Arial" w:hAnsi="Arial" w:cs="Arial"/>
          <w:i/>
          <w:sz w:val="24"/>
          <w:szCs w:val="24"/>
        </w:rPr>
      </w:pPr>
    </w:p>
    <w:p w14:paraId="772CF284" w14:textId="64F0F360" w:rsidR="002D35F6" w:rsidRDefault="002D35F6" w:rsidP="000B37CB">
      <w:pPr>
        <w:spacing w:after="0" w:line="480" w:lineRule="auto"/>
        <w:jc w:val="both"/>
        <w:rPr>
          <w:rFonts w:ascii="Arial" w:hAnsi="Arial" w:cs="Arial"/>
          <w:color w:val="000000" w:themeColor="text1"/>
          <w:sz w:val="24"/>
          <w:szCs w:val="24"/>
        </w:rPr>
      </w:pPr>
      <w:r w:rsidRPr="002D35F6">
        <w:rPr>
          <w:rFonts w:ascii="Arial" w:hAnsi="Arial" w:cs="Arial"/>
          <w:color w:val="000000" w:themeColor="text1"/>
          <w:sz w:val="24"/>
          <w:szCs w:val="24"/>
        </w:rPr>
        <w:t xml:space="preserve">A two-step process was used for feature detection. First features and their respective </w:t>
      </w:r>
      <w:r w:rsidRPr="002D35F6">
        <w:rPr>
          <w:rFonts w:ascii="Arial" w:hAnsi="Arial" w:cs="Arial"/>
          <w:i/>
          <w:color w:val="000000" w:themeColor="text1"/>
          <w:sz w:val="24"/>
          <w:szCs w:val="24"/>
        </w:rPr>
        <w:t>m/z</w:t>
      </w:r>
      <w:r w:rsidRPr="002D35F6">
        <w:rPr>
          <w:rFonts w:ascii="Arial" w:hAnsi="Arial" w:cs="Arial"/>
          <w:color w:val="000000" w:themeColor="text1"/>
          <w:sz w:val="24"/>
          <w:szCs w:val="24"/>
        </w:rPr>
        <w:t>, retention time, and peak heights across samples were detected using an MZmine workflow consisting of mass detection, chromatogram building, chromatogram deconvolution using local minimum, isotopic peak grouping, and alignment and gap filling of features (the batch mode is in</w:t>
      </w:r>
      <w:r w:rsidRPr="002D35F6">
        <w:rPr>
          <w:rFonts w:ascii="Arial" w:hAnsi="Arial" w:cs="Arial"/>
          <w:sz w:val="24"/>
          <w:szCs w:val="24"/>
        </w:rPr>
        <w:t xml:space="preserve"> the su</w:t>
      </w:r>
      <w:r w:rsidRPr="002D35F6">
        <w:rPr>
          <w:rFonts w:ascii="Arial" w:hAnsi="Arial" w:cs="Arial"/>
          <w:color w:val="000000" w:themeColor="text1"/>
          <w:sz w:val="24"/>
          <w:szCs w:val="24"/>
        </w:rPr>
        <w:t xml:space="preserve">pplemental 2017_9_11_LMN_Software.zip file; 2017_8_01_MZMine_Batch_Step1.xml). This step is untargeted, in that no information on expected peaks is utilized. In this work, the untargeted step for feature detection included a solvent blank and three replicate injections of SRM 1950 in both positive and negative polarity. The resulting feature table from the untargeted step was filtered using a modified blank feature filtering (BFF) </w:t>
      </w:r>
      <w:r w:rsidRPr="002D35F6">
        <w:rPr>
          <w:rFonts w:ascii="Arial" w:hAnsi="Arial" w:cs="Arial"/>
          <w:color w:val="000000" w:themeColor="text1"/>
          <w:sz w:val="24"/>
          <w:szCs w:val="24"/>
        </w:rPr>
        <w:fldChar w:fldCharType="begin"/>
      </w:r>
      <w:r w:rsidR="00E03C21">
        <w:rPr>
          <w:rFonts w:ascii="Arial" w:hAnsi="Arial" w:cs="Arial"/>
          <w:color w:val="000000" w:themeColor="text1"/>
          <w:sz w:val="24"/>
          <w:szCs w:val="24"/>
        </w:rPr>
        <w:instrText xml:space="preserve"> ADDIN ZOTERO_ITEM CSL_CITATION {"citationID":"kco452gc","properties":{"formattedCitation":"[1]","plainCitation":"[1]","noteIndex":0},"citationItems":[{"id":1878,"uris":["http://zotero.org/users/998006/items/Z93FWK44"],"uri":["http://zotero.org/users/998006/items/Z93FWK44"],"itemData":{"id":1878,"type":"article-journal","title":"Improved experimental data processing for UHPLC–HRMS/MS lipidomics applied to nonalcoholic fatty liver disease","container-title":"Metabolomics","page":"142","volume":"13","issue":"11","source":"link.springer.com","abstract":"IntroductionUntargeted metabolomics workflows include numerous points where variance and systematic errors can be introduced. Due to the diversity of the lipidome, manual peak picking and quantitation using molecule specific internal standards is unrealistic, and therefore quality peak picking algorithms and further feature processing and normalization algorithms are important. Subsequent normalization, data filtering, statistical analysis, and biological interpretation are simplified when quality data acquisition and feature processing are employed.ObjectivesMetrics for QC are important throughout the workflow. The robust workflow presented here provides techniques to ensure that QC checks are implemented throughout sample preparation, data acquisition, pre-processing, and analysis.MethodsThe untargeted lipidomics workflow includes sample standardization prior to acquisition, blocks of QC standards and blanks run at systematic intervals between randomized blocks of experimental data, blank feature filtering (BFF) to remove features not originating from the sample, and QC analysis of data acquisition and processing.ResultsThe workflow was successfully applied to mouse liver samples, which were investigated to discern lipidomic changes throughout the development of nonalcoholic fatty liver disease (NAFLD). The workflow, including a novel filtering method, BFF, allows improved confidence in results and conclusions for lipidomic applications.ConclusionUsing a mouse model developed for the study of the transition of NAFLD from an early stage known as simple steatosis, to the later stage, nonalcoholic steatohepatitis, in combination with our novel workflow, we have identified phosphatidylcholines, phosphatidylethanolamines, and triacylglycerols that may contribute to disease onset and/or progression.","DOI":"10.1007/s11306-017-1280-1","ISSN":"1573-3882, 1573-3890","journalAbbreviation":"Metabolomics","language":"en","author":[{"family":"Patterson","given":"R. E."},{"family":"Kirpich","given":"A. S."},{"family":"Koelmel","given":"J. P."},{"family":"Kalavalapalli","given":"S."},{"family":"Morse","given":"A. M."},{"family":"Cusi","given":"K."},{"family":"Sunny","given":"N. E."},{"family":"McIntyre","given":"L. M."},{"family":"Garrett","given":"T. J."},{"family":"Yost","given":"R. A."}],"issued":{"date-parts":[["2017",11,1]]}}}],"schema":"https://github.com/citation-style-language/schema/raw/master/csl-citation.json"} </w:instrText>
      </w:r>
      <w:r w:rsidRPr="002D35F6">
        <w:rPr>
          <w:rFonts w:ascii="Arial" w:hAnsi="Arial" w:cs="Arial"/>
          <w:color w:val="000000" w:themeColor="text1"/>
          <w:sz w:val="24"/>
          <w:szCs w:val="24"/>
        </w:rPr>
        <w:fldChar w:fldCharType="separate"/>
      </w:r>
      <w:r w:rsidR="00E03C21" w:rsidRPr="00E03C21">
        <w:rPr>
          <w:rFonts w:ascii="Arial" w:hAnsi="Arial" w:cs="Arial"/>
          <w:sz w:val="24"/>
        </w:rPr>
        <w:t>[1]</w:t>
      </w:r>
      <w:r w:rsidRPr="002D35F6">
        <w:rPr>
          <w:rFonts w:ascii="Arial" w:hAnsi="Arial" w:cs="Arial"/>
          <w:color w:val="000000" w:themeColor="text1"/>
          <w:sz w:val="24"/>
          <w:szCs w:val="24"/>
        </w:rPr>
        <w:fldChar w:fldCharType="end"/>
      </w:r>
      <w:r w:rsidRPr="002D35F6">
        <w:rPr>
          <w:rFonts w:ascii="Arial" w:hAnsi="Arial" w:cs="Arial"/>
          <w:color w:val="000000" w:themeColor="text1"/>
          <w:sz w:val="24"/>
          <w:szCs w:val="24"/>
        </w:rPr>
        <w:t xml:space="preserve"> approach, where the minimum intensity of the replicate injections had to be at least five fold greater than the blank intensity. The BFF method dramatically reduces the number of peaks which are not from biological origin, and has been shown to better detect true positives and negatives as compared to other filtering approaches.</w:t>
      </w:r>
      <w:r w:rsidRPr="002D35F6">
        <w:rPr>
          <w:rFonts w:ascii="Arial" w:hAnsi="Arial" w:cs="Arial"/>
          <w:color w:val="000000" w:themeColor="text1"/>
          <w:sz w:val="24"/>
          <w:szCs w:val="24"/>
        </w:rPr>
        <w:fldChar w:fldCharType="begin"/>
      </w:r>
      <w:r w:rsidR="00E03C21">
        <w:rPr>
          <w:rFonts w:ascii="Arial" w:hAnsi="Arial" w:cs="Arial"/>
          <w:color w:val="000000" w:themeColor="text1"/>
          <w:sz w:val="24"/>
          <w:szCs w:val="24"/>
        </w:rPr>
        <w:instrText xml:space="preserve"> ADDIN ZOTERO_ITEM CSL_CITATION {"citationID":"T75Zc9JK","properties":{"formattedCitation":"[1]","plainCitation":"[1]","noteIndex":0},"citationItems":[{"id":1878,"uris":["http://zotero.org/users/998006/items/Z93FWK44"],"uri":["http://zotero.org/users/998006/items/Z93FWK44"],"itemData":{"id":1878,"type":"article-journal","title":"Improved experimental data processing for UHPLC–HRMS/MS lipidomics applied to nonalcoholic fatty liver disease","container-title":"Metabolomics","page":"142","volume":"13","issue":"11","source":"link.springer.com","abstract":"IntroductionUntargeted metabolomics workflows include numerous points where variance and systematic errors can be introduced. Due to the diversity of the lipidome, manual peak picking and quantitation using molecule specific internal standards is unrealistic, and therefore quality peak picking algorithms and further feature processing and normalization algorithms are important. Subsequent normalization, data filtering, statistical analysis, and biological interpretation are simplified when quality data acquisition and feature processing are employed.ObjectivesMetrics for QC are important throughout the workflow. The robust workflow presented here provides techniques to ensure that QC checks are implemented throughout sample preparation, data acquisition, pre-processing, and analysis.MethodsThe untargeted lipidomics workflow includes sample standardization prior to acquisition, blocks of QC standards and blanks run at systematic intervals between randomized blocks of experimental data, blank feature filtering (BFF) to remove features not originating from the sample, and QC analysis of data acquisition and processing.ResultsThe workflow was successfully applied to mouse liver samples, which were investigated to discern lipidomic changes throughout the development of nonalcoholic fatty liver disease (NAFLD). The workflow, including a novel filtering method, BFF, allows improved confidence in results and conclusions for lipidomic applications.ConclusionUsing a mouse model developed for the study of the transition of NAFLD from an early stage known as simple steatosis, to the later stage, nonalcoholic steatohepatitis, in combination with our novel workflow, we have identified phosphatidylcholines, phosphatidylethanolamines, and triacylglycerols that may contribute to disease onset and/or progression.","DOI":"10.1007/s11306-017-1280-1","ISSN":"1573-3882, 1573-3890","journalAbbreviation":"Metabolomics","language":"en","author":[{"family":"Patterson","given":"R. E."},{"family":"Kirpich","given":"A. S."},{"family":"Koelmel","given":"J. P."},{"family":"Kalavalapalli","given":"S."},{"family":"Morse","given":"A. M."},{"family":"Cusi","given":"K."},{"family":"Sunny","given":"N. E."},{"family":"McIntyre","given":"L. M."},{"family":"Garrett","given":"T. J."},{"family":"Yost","given":"R. A."}],"issued":{"date-parts":[["2017",11,1]]}}}],"schema":"https://github.com/citation-style-language/schema/raw/master/csl-citation.json"} </w:instrText>
      </w:r>
      <w:r w:rsidRPr="002D35F6">
        <w:rPr>
          <w:rFonts w:ascii="Arial" w:hAnsi="Arial" w:cs="Arial"/>
          <w:color w:val="000000" w:themeColor="text1"/>
          <w:sz w:val="24"/>
          <w:szCs w:val="24"/>
        </w:rPr>
        <w:fldChar w:fldCharType="separate"/>
      </w:r>
      <w:r w:rsidR="00E03C21" w:rsidRPr="00E03C21">
        <w:rPr>
          <w:rFonts w:ascii="Arial" w:hAnsi="Arial" w:cs="Arial"/>
          <w:sz w:val="24"/>
        </w:rPr>
        <w:t>[1]</w:t>
      </w:r>
      <w:r w:rsidRPr="002D35F6">
        <w:rPr>
          <w:rFonts w:ascii="Arial" w:hAnsi="Arial" w:cs="Arial"/>
          <w:color w:val="000000" w:themeColor="text1"/>
          <w:sz w:val="24"/>
          <w:szCs w:val="24"/>
        </w:rPr>
        <w:fldChar w:fldCharType="end"/>
      </w:r>
    </w:p>
    <w:p w14:paraId="71A2230E" w14:textId="77777777" w:rsidR="000B37CB" w:rsidRPr="002D35F6" w:rsidRDefault="000B37CB" w:rsidP="000B37CB">
      <w:pPr>
        <w:spacing w:after="0" w:line="480" w:lineRule="auto"/>
        <w:jc w:val="both"/>
        <w:rPr>
          <w:rFonts w:ascii="Arial" w:hAnsi="Arial" w:cs="Arial"/>
          <w:color w:val="000000" w:themeColor="text1"/>
          <w:sz w:val="24"/>
          <w:szCs w:val="24"/>
        </w:rPr>
      </w:pPr>
    </w:p>
    <w:p w14:paraId="20DF0E75" w14:textId="33912E0F" w:rsidR="002D35F6" w:rsidRDefault="002D35F6" w:rsidP="000B37CB">
      <w:pPr>
        <w:spacing w:after="0" w:line="480" w:lineRule="auto"/>
        <w:jc w:val="both"/>
        <w:rPr>
          <w:rFonts w:ascii="Arial" w:hAnsi="Arial" w:cs="Arial"/>
          <w:color w:val="000000" w:themeColor="text1"/>
          <w:sz w:val="24"/>
          <w:szCs w:val="24"/>
        </w:rPr>
      </w:pPr>
      <w:r w:rsidRPr="002D35F6">
        <w:rPr>
          <w:rFonts w:ascii="Arial" w:hAnsi="Arial" w:cs="Arial"/>
          <w:color w:val="000000" w:themeColor="text1"/>
          <w:sz w:val="24"/>
          <w:szCs w:val="24"/>
        </w:rPr>
        <w:t xml:space="preserve">After filtering, the median peak height and peak retention time from the SRM 1950 replicate injections were used to develop a targeted peak list.  In the second step, a targeted list of peak </w:t>
      </w:r>
      <w:r w:rsidRPr="002D35F6">
        <w:rPr>
          <w:rFonts w:ascii="Arial" w:hAnsi="Arial" w:cs="Arial"/>
          <w:i/>
          <w:color w:val="000000" w:themeColor="text1"/>
          <w:sz w:val="24"/>
          <w:szCs w:val="24"/>
        </w:rPr>
        <w:t>m/z</w:t>
      </w:r>
      <w:r w:rsidRPr="002D35F6">
        <w:rPr>
          <w:rFonts w:ascii="Arial" w:hAnsi="Arial" w:cs="Arial"/>
          <w:color w:val="000000" w:themeColor="text1"/>
          <w:sz w:val="24"/>
          <w:szCs w:val="24"/>
        </w:rPr>
        <w:t xml:space="preserve"> and retention time values was generated from the previous step, and the internal standard </w:t>
      </w:r>
      <w:r w:rsidRPr="002D35F6">
        <w:rPr>
          <w:rFonts w:ascii="Arial" w:hAnsi="Arial" w:cs="Arial"/>
          <w:i/>
          <w:color w:val="000000" w:themeColor="text1"/>
          <w:sz w:val="24"/>
          <w:szCs w:val="24"/>
        </w:rPr>
        <w:t>m/z</w:t>
      </w:r>
      <w:r w:rsidRPr="002D35F6">
        <w:rPr>
          <w:rFonts w:ascii="Arial" w:hAnsi="Arial" w:cs="Arial"/>
          <w:color w:val="000000" w:themeColor="text1"/>
          <w:sz w:val="24"/>
          <w:szCs w:val="24"/>
        </w:rPr>
        <w:t xml:space="preserve"> values and retention time values were appended to this list. An MZmine workflow consisting of mass detection, targeted peak detection, chromatogram deconvolution, alignment, and gap filling was used (the batch mode is in</w:t>
      </w:r>
      <w:r w:rsidRPr="002D35F6">
        <w:rPr>
          <w:rFonts w:ascii="Arial" w:hAnsi="Arial" w:cs="Arial"/>
          <w:sz w:val="24"/>
          <w:szCs w:val="24"/>
        </w:rPr>
        <w:t xml:space="preserve"> </w:t>
      </w:r>
      <w:r w:rsidRPr="002D35F6">
        <w:rPr>
          <w:rFonts w:ascii="Arial" w:hAnsi="Arial" w:cs="Arial"/>
          <w:sz w:val="24"/>
          <w:szCs w:val="24"/>
        </w:rPr>
        <w:lastRenderedPageBreak/>
        <w:t>the su</w:t>
      </w:r>
      <w:r w:rsidRPr="002D35F6">
        <w:rPr>
          <w:rFonts w:ascii="Arial" w:hAnsi="Arial" w:cs="Arial"/>
          <w:color w:val="000000" w:themeColor="text1"/>
          <w:sz w:val="24"/>
          <w:szCs w:val="24"/>
        </w:rPr>
        <w:t xml:space="preserve">pplemental 2017_9_11_LMN_Software.zip file; 2017_8_01_MZMine_Batch_Step2.xml). </w:t>
      </w:r>
    </w:p>
    <w:p w14:paraId="63A0C565" w14:textId="77777777" w:rsidR="000B37CB" w:rsidRPr="000B37CB" w:rsidRDefault="000B37CB" w:rsidP="000B37CB">
      <w:pPr>
        <w:spacing w:after="0" w:line="480" w:lineRule="auto"/>
        <w:jc w:val="both"/>
        <w:rPr>
          <w:rFonts w:ascii="Arial" w:hAnsi="Arial" w:cs="Arial"/>
          <w:color w:val="000000" w:themeColor="text1"/>
          <w:sz w:val="24"/>
          <w:szCs w:val="24"/>
        </w:rPr>
      </w:pPr>
    </w:p>
    <w:p w14:paraId="283A4F36" w14:textId="77777777" w:rsidR="002D35F6" w:rsidRPr="002D35F6" w:rsidRDefault="002D35F6" w:rsidP="000B37CB">
      <w:pPr>
        <w:spacing w:after="0" w:line="480" w:lineRule="auto"/>
        <w:jc w:val="both"/>
        <w:rPr>
          <w:rFonts w:ascii="Arial" w:hAnsi="Arial" w:cs="Arial"/>
          <w:color w:val="000000" w:themeColor="text1"/>
          <w:sz w:val="24"/>
          <w:szCs w:val="24"/>
        </w:rPr>
      </w:pPr>
      <w:r w:rsidRPr="000B37CB">
        <w:rPr>
          <w:rFonts w:ascii="Arial" w:hAnsi="Arial" w:cs="Arial"/>
          <w:color w:val="000000" w:themeColor="text1"/>
          <w:sz w:val="24"/>
          <w:szCs w:val="24"/>
        </w:rPr>
        <w:t xml:space="preserve">Reprocessing the data using a targeted peak list determined from a smaller sample set has two advantages, especially for application to larger datasets. One advantage is that this workflow significantly reduces data processing time for large datasets, while the other advantage is that peak picking and integration using a targeted peak list is more consistent across samples than aligning features from an untargeted workflow. For example, if there are six pooled samples which should be representative of the features present in 100 samples, these pooled samples are the only samples that need to be run through the initial MZmine workflow. Then a target list can be generated after blank filtration and subsequently used to target features across all 100 samples. Note that in this study only three samples were analyzed, and hence all samples were used to determine the targeted peak list. The median of retention time and </w:t>
      </w:r>
      <w:r w:rsidRPr="000B37CB">
        <w:rPr>
          <w:rFonts w:ascii="Arial" w:hAnsi="Arial" w:cs="Arial"/>
          <w:i/>
          <w:color w:val="000000" w:themeColor="text1"/>
          <w:sz w:val="24"/>
          <w:szCs w:val="24"/>
        </w:rPr>
        <w:t>m/z</w:t>
      </w:r>
      <w:r w:rsidRPr="000B37CB">
        <w:rPr>
          <w:rFonts w:ascii="Arial" w:hAnsi="Arial" w:cs="Arial"/>
          <w:color w:val="000000" w:themeColor="text1"/>
          <w:sz w:val="24"/>
          <w:szCs w:val="24"/>
        </w:rPr>
        <w:t xml:space="preserve"> values across all samples was used rather than the average, as often overlapping peaks lead to average </w:t>
      </w:r>
      <w:r w:rsidRPr="000B37CB">
        <w:rPr>
          <w:rFonts w:ascii="Arial" w:hAnsi="Arial" w:cs="Arial"/>
          <w:i/>
          <w:color w:val="000000" w:themeColor="text1"/>
          <w:sz w:val="24"/>
          <w:szCs w:val="24"/>
        </w:rPr>
        <w:t>m/z</w:t>
      </w:r>
      <w:r w:rsidRPr="000B37CB">
        <w:rPr>
          <w:rFonts w:ascii="Arial" w:hAnsi="Arial" w:cs="Arial"/>
          <w:color w:val="000000" w:themeColor="text1"/>
          <w:sz w:val="24"/>
          <w:szCs w:val="24"/>
        </w:rPr>
        <w:t xml:space="preserve"> and retention time values which are actually between the two</w:t>
      </w:r>
      <w:r w:rsidRPr="002D35F6">
        <w:rPr>
          <w:rFonts w:ascii="Arial" w:hAnsi="Arial" w:cs="Arial"/>
          <w:color w:val="000000" w:themeColor="text1"/>
          <w:sz w:val="24"/>
          <w:szCs w:val="24"/>
        </w:rPr>
        <w:t xml:space="preserve"> peaks and neither represents the first or second peak. For cases in which there are odd sample numbers, the median will always represent the location of a true peak. For cases in which there are  even sample numbers, the median will represent the average of two peaks and therefore the value at the i</w:t>
      </w:r>
      <w:r w:rsidRPr="002D35F6">
        <w:rPr>
          <w:rFonts w:ascii="Arial" w:hAnsi="Arial" w:cs="Arial"/>
          <w:color w:val="000000" w:themeColor="text1"/>
          <w:sz w:val="24"/>
          <w:szCs w:val="24"/>
          <w:vertAlign w:val="superscript"/>
        </w:rPr>
        <w:t>th</w:t>
      </w:r>
      <w:r w:rsidRPr="002D35F6">
        <w:rPr>
          <w:rFonts w:ascii="Arial" w:hAnsi="Arial" w:cs="Arial"/>
          <w:color w:val="000000" w:themeColor="text1"/>
          <w:sz w:val="24"/>
          <w:szCs w:val="24"/>
        </w:rPr>
        <w:t xml:space="preserve"> position of the ranked values can be used, where i = n/2, and n is the total number of samples. </w:t>
      </w:r>
    </w:p>
    <w:p w14:paraId="5FFD80A4" w14:textId="77777777" w:rsidR="002D35F6" w:rsidRPr="002D35F6" w:rsidRDefault="002D35F6" w:rsidP="000B37CB">
      <w:pPr>
        <w:spacing w:after="0" w:line="480" w:lineRule="auto"/>
        <w:jc w:val="both"/>
        <w:rPr>
          <w:rFonts w:ascii="Arial" w:hAnsi="Arial" w:cs="Arial"/>
          <w:color w:val="000000" w:themeColor="text1"/>
          <w:sz w:val="24"/>
          <w:szCs w:val="24"/>
        </w:rPr>
      </w:pPr>
    </w:p>
    <w:p w14:paraId="1B3CEBFF" w14:textId="75588B07" w:rsidR="002D35F6" w:rsidRPr="002D35F6" w:rsidRDefault="002D35F6" w:rsidP="000B37CB">
      <w:pPr>
        <w:spacing w:after="0" w:line="480" w:lineRule="auto"/>
        <w:jc w:val="both"/>
        <w:rPr>
          <w:rFonts w:ascii="Arial" w:hAnsi="Arial" w:cs="Arial"/>
          <w:color w:val="000000" w:themeColor="text1"/>
          <w:sz w:val="24"/>
          <w:szCs w:val="24"/>
        </w:rPr>
      </w:pPr>
      <w:r w:rsidRPr="002D35F6">
        <w:rPr>
          <w:rFonts w:ascii="Arial" w:hAnsi="Arial" w:cs="Arial"/>
          <w:color w:val="000000" w:themeColor="text1"/>
          <w:sz w:val="24"/>
          <w:szCs w:val="24"/>
        </w:rPr>
        <w:lastRenderedPageBreak/>
        <w:t xml:space="preserve">Once the final peak list with retention time, </w:t>
      </w:r>
      <w:r w:rsidRPr="002D35F6">
        <w:rPr>
          <w:rFonts w:ascii="Arial" w:hAnsi="Arial" w:cs="Arial"/>
          <w:i/>
          <w:color w:val="000000" w:themeColor="text1"/>
          <w:sz w:val="24"/>
          <w:szCs w:val="24"/>
        </w:rPr>
        <w:t>m/z</w:t>
      </w:r>
      <w:r w:rsidRPr="002D35F6">
        <w:rPr>
          <w:rFonts w:ascii="Arial" w:hAnsi="Arial" w:cs="Arial"/>
          <w:color w:val="000000" w:themeColor="text1"/>
          <w:sz w:val="24"/>
          <w:szCs w:val="24"/>
        </w:rPr>
        <w:t xml:space="preserve">, peak area, and peak heights were obtained, the data were annotated using LipidMatch (Figure 1). LipidMatch </w:t>
      </w:r>
      <w:r w:rsidRPr="002D35F6">
        <w:rPr>
          <w:rFonts w:ascii="Arial" w:hAnsi="Arial" w:cs="Arial"/>
          <w:color w:val="000000" w:themeColor="text1"/>
          <w:sz w:val="24"/>
          <w:szCs w:val="24"/>
        </w:rPr>
        <w:fldChar w:fldCharType="begin"/>
      </w:r>
      <w:r w:rsidR="00E03C21">
        <w:rPr>
          <w:rFonts w:ascii="Arial" w:hAnsi="Arial" w:cs="Arial"/>
          <w:color w:val="000000" w:themeColor="text1"/>
          <w:sz w:val="24"/>
          <w:szCs w:val="24"/>
        </w:rPr>
        <w:instrText xml:space="preserve"> ADDIN ZOTERO_ITEM CSL_CITATION {"citationID":"5IRvVHSr","properties":{"formattedCitation":"[2]","plainCitation":"[2]","noteIndex":0},"citationItems":[{"id":"xzBunb5e/xSV4665C","uris":["http://zotero.org/users/998006/items/NW4NFESF"],"uri":["http://zotero.org/users/998006/items/NW4NFESF"],"itemData":{"id":1725,"type":"article-journal","title":"LipidMatch: an automated workflow for rule-based lipid identification using untargeted high-resolution tandem mass spectrometry data","container-title":"BMC Bioinformatics","page":"331","volume":"18","source":"BioMed Central","abstract":"Lipids are ubiquitous and serve numerous biological functions; thus lipids have been shown to have great potential as candidates for elucidating biomarkers and pathway perturbations associated with disease. Methods expanding coverage of the lipidome increase the likelihood of biomarker discovery and could lead to more comprehensive understanding of disease etiology.","DOI":"10.1186/s12859-017-1744-3","ISSN":"1471-2105","shortTitle":"LipidMatch","journalAbbreviation":"BMC Bioinformatics","author":[{"family":"Koelmel","given":"Jeremy P."},{"family":"Kroeger","given":"Nicholas M."},{"family":"Ulmer","given":"Candice Z."},{"family":"Bowden","given":"John A."},{"family":"Patterson","given":"Rainey E."},{"family":"Cochran","given":"Jason A."},{"family":"Beecher","given":"Christopher W. W."},{"family":"Garrett","given":"Timothy J."},{"family":"Yost","given":"Richard A."}],"issued":{"date-parts":[["2017",7,10]]}}}],"schema":"https://github.com/citation-style-language/schema/raw/master/csl-citation.json"} </w:instrText>
      </w:r>
      <w:r w:rsidRPr="002D35F6">
        <w:rPr>
          <w:rFonts w:ascii="Arial" w:hAnsi="Arial" w:cs="Arial"/>
          <w:color w:val="000000" w:themeColor="text1"/>
          <w:sz w:val="24"/>
          <w:szCs w:val="24"/>
        </w:rPr>
        <w:fldChar w:fldCharType="separate"/>
      </w:r>
      <w:r w:rsidR="00E03C21" w:rsidRPr="00E03C21">
        <w:rPr>
          <w:rFonts w:ascii="Arial" w:hAnsi="Arial" w:cs="Arial"/>
          <w:sz w:val="24"/>
        </w:rPr>
        <w:t>[2]</w:t>
      </w:r>
      <w:r w:rsidRPr="002D35F6">
        <w:rPr>
          <w:rFonts w:ascii="Arial" w:hAnsi="Arial" w:cs="Arial"/>
          <w:color w:val="000000" w:themeColor="text1"/>
          <w:sz w:val="24"/>
          <w:szCs w:val="24"/>
        </w:rPr>
        <w:fldChar w:fldCharType="end"/>
      </w:r>
      <w:r w:rsidRPr="002D35F6">
        <w:rPr>
          <w:rFonts w:ascii="Arial" w:hAnsi="Arial" w:cs="Arial"/>
          <w:color w:val="000000" w:themeColor="text1"/>
          <w:sz w:val="24"/>
          <w:szCs w:val="24"/>
        </w:rPr>
        <w:t xml:space="preserve"> identification was performed using all ion fragmentation data (AIF) and targeted MS/MS data acquisition using precursor ions from lipids determined by the LIPID MAPS consortium </w:t>
      </w:r>
      <w:r w:rsidRPr="002D35F6">
        <w:rPr>
          <w:rFonts w:ascii="Arial" w:hAnsi="Arial" w:cs="Arial"/>
          <w:color w:val="000000" w:themeColor="text1"/>
          <w:sz w:val="24"/>
          <w:szCs w:val="24"/>
        </w:rPr>
        <w:fldChar w:fldCharType="begin"/>
      </w:r>
      <w:r w:rsidR="00E03C21">
        <w:rPr>
          <w:rFonts w:ascii="Arial" w:hAnsi="Arial" w:cs="Arial"/>
          <w:color w:val="000000" w:themeColor="text1"/>
          <w:sz w:val="24"/>
          <w:szCs w:val="24"/>
        </w:rPr>
        <w:instrText xml:space="preserve"> ADDIN ZOTERO_ITEM CSL_CITATION {"citationID":"lET1EdXF","properties":{"formattedCitation":"[3]","plainCitation":"[3]","noteIndex":0},"citationItems":[{"id":1209,"uris":["http://zotero.org/users/998006/items/ZX5R6T5K"],"uri":["http://zotero.org/users/998006/items/ZX5R6T5K"],"itemData":{"id":1209,"type":"article-journal","title":"Lipidomics reveals a remarkable diversity of lipids in human plasma,","container-title":"Journal of Lipid Research","page":"3299-3305","volume":"51","issue":"11","source":"www.jlr.org","abstract":"The focus of the present study was to define the human plasma lipidome and to establish novel analytical methodologies to quantify the large spectrum of plasma lipids. Partial lipid analysis is now a regular part of every patient's blood test and physicians readily and regularly prescribe drugs that alter the levels of major plasma lipids such as cholesterol and triglycerides. Plasma contains many thousands of distinct lipid molecular species that fall into six main categories including fatty acyls, glycerolipids, glycerophospholipids, sphingolipids, sterols, and prenols. The physiological contributions of these diverse lipids and how their levels change in response to therapy remain largely unknown. As a first step toward answering these questions, we provide herein an in-depth lipidomics analysis of a pooled human plasma obtained from healthy individuals after overnight fasting and with a gender balance and an ethnic distribution that is representative of the US population. In total, we quantitatively assessed the levels of over 500 distinct molecular species distributed among the main lipid categories. As more information is obtained regarding the roles of individual lipids in health and disease, it seems likely that future blood tests will include an ever increasing number of these lipid molecules.","DOI":"10.1194/jlr.M009449","ISSN":"0022-2275, 1539-7262","note":"PMID: 20671299","journalAbbreviation":"J. Lipid Res.","language":"en","author":[{"family":"Quehenberger","given":"Oswald"},{"family":"Armando","given":"Aaron M."},{"family":"Brown","given":"Alex H."},{"family":"Milne","given":"Stephen B."},{"family":"Myers","given":"David S."},{"family":"Merrill","given":"Alfred H."},{"family":"Bandyopadhyay","given":"Sibali"},{"family":"Jones","given":"Kristin N."},{"family":"Kelly","given":"Samuel"},{"family":"Shaner","given":"Rebecca L."},{"family":"Sullards","given":"Cameron M."},{"family":"Wang","given":"Elaine"},{"family":"Murphy","given":"Robert C."},{"family":"Barkley","given":"Robert M."},{"family":"Leiker","given":"Thomas J."},{"family":"Raetz","given":"Christian R. H."},{"family":"Guan","given":"Ziqiang"},{"family":"Laird","given":"Gregory M."},{"family":"Six","given":"David A."},{"family":"Russell","given":"David W."},{"family":"McDonald","given":"Jeffrey G."},{"family":"Subramaniam","given":"Shankar"},{"family":"Fahy","given":"Eoin"},{"family":"Dennis","given":"Edward A."}],"issued":{"date-parts":[["2010",11,1]]}}}],"schema":"https://github.com/citation-style-language/schema/raw/master/csl-citation.json"} </w:instrText>
      </w:r>
      <w:r w:rsidRPr="002D35F6">
        <w:rPr>
          <w:rFonts w:ascii="Arial" w:hAnsi="Arial" w:cs="Arial"/>
          <w:color w:val="000000" w:themeColor="text1"/>
          <w:sz w:val="24"/>
          <w:szCs w:val="24"/>
        </w:rPr>
        <w:fldChar w:fldCharType="separate"/>
      </w:r>
      <w:r w:rsidR="00E03C21" w:rsidRPr="00E03C21">
        <w:rPr>
          <w:rFonts w:ascii="Arial" w:hAnsi="Arial" w:cs="Arial"/>
          <w:sz w:val="24"/>
        </w:rPr>
        <w:t>[3]</w:t>
      </w:r>
      <w:r w:rsidRPr="002D35F6">
        <w:rPr>
          <w:rFonts w:ascii="Arial" w:hAnsi="Arial" w:cs="Arial"/>
          <w:color w:val="000000" w:themeColor="text1"/>
          <w:sz w:val="24"/>
          <w:szCs w:val="24"/>
        </w:rPr>
        <w:fldChar w:fldCharType="end"/>
      </w:r>
      <w:r w:rsidRPr="002D35F6">
        <w:rPr>
          <w:rFonts w:ascii="Arial" w:hAnsi="Arial" w:cs="Arial"/>
          <w:color w:val="000000" w:themeColor="text1"/>
          <w:sz w:val="24"/>
          <w:szCs w:val="24"/>
        </w:rPr>
        <w:t xml:space="preserve">.  If multiple lipids are annotated for a single feature, the lipid annotations are then ranked by the sum of fragment intensity. </w:t>
      </w:r>
    </w:p>
    <w:p w14:paraId="0B365601" w14:textId="77777777" w:rsidR="002D35F6" w:rsidRPr="002D35F6" w:rsidRDefault="002D35F6" w:rsidP="000B37CB">
      <w:pPr>
        <w:spacing w:after="0" w:line="480" w:lineRule="auto"/>
        <w:jc w:val="both"/>
        <w:rPr>
          <w:rFonts w:ascii="Arial" w:hAnsi="Arial" w:cs="Arial"/>
          <w:color w:val="000000" w:themeColor="text1"/>
          <w:sz w:val="24"/>
          <w:szCs w:val="24"/>
        </w:rPr>
      </w:pPr>
    </w:p>
    <w:p w14:paraId="6C6082D6" w14:textId="0B07B4DE" w:rsidR="002D35F6" w:rsidRDefault="002D35F6" w:rsidP="000B37CB">
      <w:pPr>
        <w:spacing w:after="0" w:line="480" w:lineRule="auto"/>
        <w:jc w:val="both"/>
        <w:rPr>
          <w:rFonts w:ascii="Arial" w:hAnsi="Arial" w:cs="Arial"/>
          <w:color w:val="000000" w:themeColor="text1"/>
          <w:sz w:val="24"/>
          <w:szCs w:val="24"/>
        </w:rPr>
      </w:pPr>
      <w:r w:rsidRPr="002D35F6">
        <w:rPr>
          <w:rFonts w:ascii="Arial" w:hAnsi="Arial" w:cs="Arial"/>
          <w:color w:val="000000" w:themeColor="text1"/>
          <w:sz w:val="24"/>
          <w:szCs w:val="24"/>
        </w:rPr>
        <w:t>The annotated feature table was further reduced to molecular species in positive and negative ion mode using a new R script available at &lt;secim.ufl.edu/secim-tools/&gt; in the LipidMatch additional tools folder and in the supplemental information (2017_9_11_LMN_Software.zip). The algorithm selects the top most abundant ion excluding sodium (for reasons discussed in the Results and Discussion section) and can also be used to combine negative and positive polarity datasets (preferentially choosing negative ions over positive ions of the same lipid molecule due to lower background and more accurate identifications in negative ion mode).</w:t>
      </w:r>
    </w:p>
    <w:p w14:paraId="41B25216" w14:textId="77777777" w:rsidR="000B37CB" w:rsidRPr="002D35F6" w:rsidRDefault="000B37CB" w:rsidP="000B37CB">
      <w:pPr>
        <w:spacing w:after="0" w:line="480" w:lineRule="auto"/>
        <w:jc w:val="both"/>
        <w:rPr>
          <w:rFonts w:ascii="Arial" w:hAnsi="Arial" w:cs="Arial"/>
          <w:color w:val="000000" w:themeColor="text1"/>
          <w:sz w:val="24"/>
          <w:szCs w:val="24"/>
        </w:rPr>
      </w:pPr>
    </w:p>
    <w:p w14:paraId="4D88340B" w14:textId="77777777" w:rsidR="002D35F6" w:rsidRPr="002D35F6" w:rsidRDefault="002D35F6" w:rsidP="000B37CB">
      <w:pPr>
        <w:spacing w:after="0" w:line="480" w:lineRule="auto"/>
        <w:jc w:val="both"/>
        <w:rPr>
          <w:rFonts w:ascii="Arial" w:hAnsi="Arial" w:cs="Arial"/>
          <w:color w:val="000000" w:themeColor="text1"/>
          <w:sz w:val="24"/>
          <w:szCs w:val="24"/>
        </w:rPr>
      </w:pPr>
      <w:r w:rsidRPr="002D35F6">
        <w:rPr>
          <w:rFonts w:ascii="Arial" w:hAnsi="Arial" w:cs="Arial"/>
          <w:color w:val="000000" w:themeColor="text1"/>
          <w:sz w:val="24"/>
          <w:szCs w:val="24"/>
        </w:rPr>
        <w:t xml:space="preserve">The finalized feature tables in negative and positive ion polarity with unique lipid molecular species was uploaded into LipidMatch Normalizer (LMN) for relative quantification. A table containing the internal standard name and corresponding concentrations (nmol lipid per mL plasma) was created and uploaded. </w:t>
      </w:r>
    </w:p>
    <w:p w14:paraId="7D415DD6" w14:textId="77777777" w:rsidR="002D35F6" w:rsidRPr="002D35F6" w:rsidRDefault="002D35F6" w:rsidP="002D35F6">
      <w:pPr>
        <w:rPr>
          <w:rFonts w:ascii="Arial" w:hAnsi="Arial" w:cs="Arial"/>
          <w:sz w:val="24"/>
          <w:szCs w:val="24"/>
        </w:rPr>
      </w:pPr>
    </w:p>
    <w:p w14:paraId="4FB9E4C2" w14:textId="6345A976" w:rsidR="000B37CB" w:rsidRDefault="000B37CB" w:rsidP="002D35F6">
      <w:pPr>
        <w:spacing w:after="0" w:line="480" w:lineRule="auto"/>
        <w:rPr>
          <w:rFonts w:ascii="Arial" w:hAnsi="Arial" w:cs="Arial"/>
          <w:sz w:val="24"/>
          <w:szCs w:val="24"/>
        </w:rPr>
      </w:pPr>
      <w:r>
        <w:rPr>
          <w:rFonts w:ascii="Arial" w:hAnsi="Arial" w:cs="Arial"/>
          <w:sz w:val="24"/>
          <w:szCs w:val="24"/>
        </w:rPr>
        <w:br w:type="page"/>
      </w:r>
    </w:p>
    <w:p w14:paraId="0282FB33" w14:textId="2DD3B5F1" w:rsidR="002D35F6" w:rsidRPr="00C5651C" w:rsidRDefault="000B37CB" w:rsidP="00C5651C">
      <w:pPr>
        <w:spacing w:after="0" w:line="480" w:lineRule="auto"/>
        <w:rPr>
          <w:rFonts w:ascii="Arial" w:hAnsi="Arial" w:cs="Arial"/>
          <w:i/>
          <w:sz w:val="24"/>
          <w:szCs w:val="24"/>
        </w:rPr>
      </w:pPr>
      <w:r w:rsidRPr="00C5651C">
        <w:rPr>
          <w:rFonts w:ascii="Arial" w:hAnsi="Arial" w:cs="Arial"/>
          <w:i/>
          <w:sz w:val="24"/>
          <w:szCs w:val="24"/>
        </w:rPr>
        <w:lastRenderedPageBreak/>
        <w:t xml:space="preserve">Results and Discussion: </w:t>
      </w:r>
    </w:p>
    <w:p w14:paraId="265D5831" w14:textId="77777777" w:rsidR="00C5651C" w:rsidRDefault="00C5651C" w:rsidP="00C5651C">
      <w:pPr>
        <w:spacing w:after="0" w:line="480" w:lineRule="auto"/>
        <w:jc w:val="both"/>
        <w:rPr>
          <w:rFonts w:ascii="Arial" w:hAnsi="Arial" w:cs="Arial"/>
          <w:i/>
          <w:color w:val="000000" w:themeColor="text1"/>
          <w:sz w:val="24"/>
          <w:szCs w:val="24"/>
        </w:rPr>
      </w:pPr>
      <w:r w:rsidRPr="00C5651C">
        <w:rPr>
          <w:rFonts w:ascii="Arial" w:hAnsi="Arial" w:cs="Arial"/>
          <w:i/>
          <w:color w:val="000000" w:themeColor="text1"/>
          <w:sz w:val="24"/>
          <w:szCs w:val="24"/>
        </w:rPr>
        <w:t>Lipid annotation, coverage, and comparison of normalized values to other studies</w:t>
      </w:r>
    </w:p>
    <w:p w14:paraId="73EE3809" w14:textId="77777777" w:rsidR="00C5651C" w:rsidRPr="00C5651C" w:rsidRDefault="00C5651C" w:rsidP="00C5651C">
      <w:pPr>
        <w:spacing w:after="0" w:line="480" w:lineRule="auto"/>
        <w:jc w:val="both"/>
        <w:rPr>
          <w:rFonts w:ascii="Arial" w:hAnsi="Arial" w:cs="Arial"/>
          <w:i/>
          <w:color w:val="000000" w:themeColor="text1"/>
          <w:sz w:val="24"/>
          <w:szCs w:val="24"/>
        </w:rPr>
      </w:pPr>
    </w:p>
    <w:p w14:paraId="660D237E" w14:textId="2B5EF5B0" w:rsidR="00C5651C" w:rsidRPr="00C5651C" w:rsidRDefault="00C5651C" w:rsidP="00C5651C">
      <w:pPr>
        <w:tabs>
          <w:tab w:val="left" w:pos="3030"/>
        </w:tabs>
        <w:spacing w:after="0" w:line="480" w:lineRule="auto"/>
        <w:jc w:val="both"/>
        <w:rPr>
          <w:rFonts w:ascii="Arial" w:hAnsi="Arial" w:cs="Arial"/>
          <w:color w:val="000000" w:themeColor="text1"/>
          <w:sz w:val="24"/>
          <w:szCs w:val="24"/>
        </w:rPr>
      </w:pPr>
      <w:r w:rsidRPr="00C5651C">
        <w:rPr>
          <w:rFonts w:ascii="Arial" w:hAnsi="Arial" w:cs="Arial"/>
          <w:color w:val="000000" w:themeColor="text1"/>
          <w:sz w:val="24"/>
          <w:szCs w:val="24"/>
        </w:rPr>
        <w:t xml:space="preserve">A total of 129 unique lipid molecular species across 16 lipid types were identified in negative ion mode, of which 122 had appropriate internal standards for relative quantification (with phosphatidylinositols not having a class specific internal standard). In positive ion mode, 225 unique lipid molecular species across 20 lipid types were identified (the majority of ions ionize more efficiently in positive ion mode as compared to negative ion mode), with 185 normalized using appropriate class representative internal standards. Lipid types were defined as lipid classes as described in LipidMaps </w:t>
      </w:r>
      <w:r w:rsidRPr="00C5651C">
        <w:rPr>
          <w:rFonts w:ascii="Arial" w:hAnsi="Arial" w:cs="Arial"/>
          <w:color w:val="000000" w:themeColor="text1"/>
          <w:sz w:val="24"/>
          <w:szCs w:val="24"/>
        </w:rPr>
        <w:fldChar w:fldCharType="begin"/>
      </w:r>
      <w:r w:rsidR="00E03C21">
        <w:rPr>
          <w:rFonts w:ascii="Arial" w:hAnsi="Arial" w:cs="Arial"/>
          <w:color w:val="000000" w:themeColor="text1"/>
          <w:sz w:val="24"/>
          <w:szCs w:val="24"/>
        </w:rPr>
        <w:instrText xml:space="preserve"> ADDIN ZOTERO_ITEM CSL_CITATION {"citationID":"0LASrLE8","properties":{"formattedCitation":"[4]","plainCitation":"[4]","noteIndex":0},"citationItems":[{"id":2465,"uris":["http://zotero.org/users/998006/items/GH6W58YW"],"uri":["http://zotero.org/users/998006/items/GH6W58YW"],"itemData":{"id":2465,"type":"article-journal","title":"LIPID MAPS online tools for lipid research","container-title":"Nucleic Acids Research","page":"W606-W612","volume":"35","issue":"Web Server issue","source":"PubMed Central","abstract":"The LIPID MAPS consortium has developed a number of online tools for performing tasks such as drawing lipid structures and predicting possible structures from mass spectrometry (MS) data. A simple online interface has been developed to enable an end-user to rapidly generate a variety of lipid chemical structures, along with corresponding systematic names and ontological information. The structure-drawing tools are available for six categories of lipids: (i) fatty acyls, (ii) glycerolipids, (iii) glycerophospholipids, (iv) cardiolipins, (v) sphingolipids and (vi) sterols. Within each category, the structure-drawing tools support the specification of various parameters such as chain lengths at a specific sn position, head groups, double bond positions and stereochemistry to generate a specific lipid structure. The structure-drawing tools have also been integrated with a second set of online tools which predict possible lipid structures from precursor-ion and product-ion MS experimental data. The MS prediction tools are available for three categories of lipids: (i) mono/di/triacylglycerols, (ii) glycerophospholipids and (iii) cardiolipins. The LIPID MAPS online tools are publicly available at www.lipidmaps.org/tools/.","DOI":"10.1093/nar/gkm324","ISSN":"0305-1048","note":"PMID: 17584797\nPMCID: PMC1933166","journalAbbreviation":"Nucleic Acids Res","author":[{"family":"Fahy","given":"Eoin"},{"family":"Sud","given":"Manish"},{"family":"Cotter","given":"Dawn"},{"family":"Subramaniam","given":"Shankar"}],"issued":{"date-parts":[["2007",7]]}}}],"schema":"https://github.com/citation-style-language/schema/raw/master/csl-citation.json"} </w:instrText>
      </w:r>
      <w:r w:rsidRPr="00C5651C">
        <w:rPr>
          <w:rFonts w:ascii="Arial" w:hAnsi="Arial" w:cs="Arial"/>
          <w:color w:val="000000" w:themeColor="text1"/>
          <w:sz w:val="24"/>
          <w:szCs w:val="24"/>
        </w:rPr>
        <w:fldChar w:fldCharType="separate"/>
      </w:r>
      <w:r w:rsidR="00E03C21" w:rsidRPr="00E03C21">
        <w:rPr>
          <w:rFonts w:ascii="Arial" w:hAnsi="Arial" w:cs="Arial"/>
          <w:sz w:val="24"/>
        </w:rPr>
        <w:t>[4]</w:t>
      </w:r>
      <w:r w:rsidRPr="00C5651C">
        <w:rPr>
          <w:rFonts w:ascii="Arial" w:hAnsi="Arial" w:cs="Arial"/>
          <w:color w:val="000000" w:themeColor="text1"/>
          <w:sz w:val="24"/>
          <w:szCs w:val="24"/>
        </w:rPr>
        <w:fldChar w:fldCharType="end"/>
      </w:r>
      <w:r w:rsidRPr="00C5651C">
        <w:rPr>
          <w:rFonts w:ascii="Arial" w:hAnsi="Arial" w:cs="Arial"/>
          <w:color w:val="000000" w:themeColor="text1"/>
          <w:sz w:val="24"/>
          <w:szCs w:val="24"/>
        </w:rPr>
        <w:t>, although chain modifications and linkages (for example, ether-lipids and oxidations) were considered a single lipid type, no matter how many occurrences were observed across different lipid classes. The output tables with concentrations calculated for SRM 1950 data acquired in positive and negative mode using LMN and peak areas can be found in the supplementary LMN_Software.zip file under Example_Files. Note that the number of identifications in the example files refer to all lipid ions (including multiple adducts representing a single lipid molecules), and hence is higher than the number of unique lipids described above. These outputs are the .csv files generated via LMN, and include the LMN normalization rank, and the internal standard species and adduct used for normalization for each feature. Annotations in column 9 of the tables were obtained from LipidMatch, with an annotation beginning with "1_" representing identifications by targeted MS/MS, and "2_" by AIF. The majority of annotations were obtained using all ion fragmentation (AIF), with the remainder identified using targeted MS/MS.</w:t>
      </w:r>
    </w:p>
    <w:p w14:paraId="211794DB" w14:textId="77777777" w:rsidR="00C5651C" w:rsidRPr="00C5651C" w:rsidRDefault="00C5651C" w:rsidP="00C5651C">
      <w:pPr>
        <w:spacing w:after="0" w:line="480" w:lineRule="auto"/>
        <w:jc w:val="both"/>
        <w:rPr>
          <w:rFonts w:ascii="Arial" w:hAnsi="Arial" w:cs="Arial"/>
          <w:color w:val="000000" w:themeColor="text1"/>
          <w:sz w:val="24"/>
          <w:szCs w:val="24"/>
        </w:rPr>
      </w:pPr>
    </w:p>
    <w:p w14:paraId="20B6679B" w14:textId="77777777" w:rsidR="00C5651C" w:rsidRPr="00C5651C" w:rsidRDefault="00C5651C" w:rsidP="00C5651C">
      <w:pPr>
        <w:spacing w:after="0" w:line="480" w:lineRule="auto"/>
        <w:jc w:val="both"/>
        <w:rPr>
          <w:rFonts w:ascii="Arial" w:hAnsi="Arial" w:cs="Arial"/>
          <w:color w:val="000000" w:themeColor="text1"/>
          <w:sz w:val="24"/>
          <w:szCs w:val="24"/>
        </w:rPr>
      </w:pPr>
      <w:r w:rsidRPr="00C5651C">
        <w:rPr>
          <w:rFonts w:ascii="Arial" w:hAnsi="Arial" w:cs="Arial"/>
          <w:color w:val="000000" w:themeColor="text1"/>
          <w:sz w:val="24"/>
          <w:szCs w:val="24"/>
        </w:rPr>
        <w:t xml:space="preserve">In AIF, the precursor-fragment relationship is lost due to the wide isolation window, which allows all ions within the </w:t>
      </w:r>
      <w:r w:rsidRPr="00C5651C">
        <w:rPr>
          <w:rFonts w:ascii="Arial" w:hAnsi="Arial" w:cs="Arial"/>
          <w:i/>
          <w:color w:val="000000" w:themeColor="text1"/>
          <w:sz w:val="24"/>
          <w:szCs w:val="24"/>
        </w:rPr>
        <w:t>m/z</w:t>
      </w:r>
      <w:r w:rsidRPr="00C5651C">
        <w:rPr>
          <w:rFonts w:ascii="Arial" w:hAnsi="Arial" w:cs="Arial"/>
          <w:color w:val="000000" w:themeColor="text1"/>
          <w:sz w:val="24"/>
          <w:szCs w:val="24"/>
        </w:rPr>
        <w:t xml:space="preserve"> range of interest to be fragmented. This can lead to a drastic increase in false positives as fatty acid fragments and class specific fragments observed from various non-isobaric species may be used to confirm the identification of a non-existent species. LipidMatch filters fragments using a correlation cutoff (with a user-modifiable default of 0.6) obtained from a linear regression of the elution profile of the precursor against the fragment ions. This AIF algorithm is advantageous in correctly annotating closely eluting peaks, as compared to using data-dependent scans (Supplemental Figure S2). Due to the high number of fragmentation scans in AIF for any precursor, the elution profile of the reconstructed mass chromatogram of the fragment specific to one overlapping isomer, but not the other, can be used to annotate the closely eluting peaks (Figure S2). On the contrary, in data-dependent approaches, only a single scan is often obtained across two overlapping elution profiles of isomers, and therefore it can be difficult to discern which chromatographic peak belongs to which isomer. </w:t>
      </w:r>
    </w:p>
    <w:p w14:paraId="10B17B2E" w14:textId="77777777" w:rsidR="00C5651C" w:rsidRPr="00C5651C" w:rsidRDefault="00C5651C" w:rsidP="00C5651C">
      <w:pPr>
        <w:spacing w:after="0" w:line="480" w:lineRule="auto"/>
        <w:jc w:val="both"/>
        <w:rPr>
          <w:rFonts w:ascii="Arial" w:hAnsi="Arial" w:cs="Arial"/>
          <w:color w:val="000000" w:themeColor="text1"/>
          <w:sz w:val="24"/>
          <w:szCs w:val="24"/>
        </w:rPr>
      </w:pPr>
    </w:p>
    <w:p w14:paraId="03CF4D56" w14:textId="5CF342E2" w:rsidR="00C5651C" w:rsidRPr="00C5651C" w:rsidRDefault="00C5651C" w:rsidP="00C5651C">
      <w:pPr>
        <w:spacing w:after="0" w:line="480" w:lineRule="auto"/>
        <w:jc w:val="both"/>
        <w:rPr>
          <w:rFonts w:ascii="Arial" w:hAnsi="Arial" w:cs="Arial"/>
          <w:color w:val="000000" w:themeColor="text1"/>
          <w:sz w:val="24"/>
          <w:szCs w:val="24"/>
        </w:rPr>
      </w:pPr>
      <w:r w:rsidRPr="00C5651C">
        <w:rPr>
          <w:rFonts w:ascii="Arial" w:hAnsi="Arial" w:cs="Arial"/>
          <w:color w:val="000000" w:themeColor="text1"/>
          <w:sz w:val="24"/>
          <w:szCs w:val="24"/>
        </w:rPr>
        <w:t xml:space="preserve">Example elution profiles of precursors and respective fragments are shown in </w:t>
      </w:r>
      <w:r w:rsidR="00E36543">
        <w:rPr>
          <w:rFonts w:ascii="Arial" w:hAnsi="Arial" w:cs="Arial"/>
          <w:color w:val="000000" w:themeColor="text1"/>
          <w:sz w:val="24"/>
          <w:szCs w:val="24"/>
        </w:rPr>
        <w:t>Figure S3</w:t>
      </w:r>
      <w:r w:rsidRPr="00C5651C">
        <w:rPr>
          <w:rFonts w:ascii="Arial" w:hAnsi="Arial" w:cs="Arial"/>
          <w:color w:val="000000" w:themeColor="text1"/>
          <w:sz w:val="24"/>
          <w:szCs w:val="24"/>
        </w:rPr>
        <w:t xml:space="preserve"> for PC(16:0_20:4) and PC(18:2_20:4) identified in positive and negative ion mode, respectively. For PC(16:0_20:4) all precursor and fragment peaks elute with a similar profile at 7.6 minutes, while for PC(18:2_20:4) all precursors and fragments elute with a similar profile at 7.1 minutes. Overlapping elution profiles in the AIF reconstructed mass chromatograms are due to numerous lipids of different precursor mass containing the same fatty acyl constituents. For example, note that the shared arachidonic acid (20:4) </w:t>
      </w:r>
      <w:r w:rsidRPr="00C5651C">
        <w:rPr>
          <w:rFonts w:ascii="Arial" w:hAnsi="Arial" w:cs="Arial"/>
          <w:color w:val="000000" w:themeColor="text1"/>
          <w:sz w:val="24"/>
          <w:szCs w:val="24"/>
        </w:rPr>
        <w:lastRenderedPageBreak/>
        <w:t>leads to the same fragmentation elution profile for NL R</w:t>
      </w:r>
      <w:r w:rsidRPr="00C5651C">
        <w:rPr>
          <w:rFonts w:ascii="Arial" w:hAnsi="Arial" w:cs="Arial"/>
          <w:color w:val="000000" w:themeColor="text1"/>
          <w:sz w:val="24"/>
          <w:szCs w:val="24"/>
          <w:vertAlign w:val="subscript"/>
        </w:rPr>
        <w:t>1</w:t>
      </w:r>
      <w:r w:rsidRPr="00C5651C">
        <w:rPr>
          <w:rFonts w:ascii="Arial" w:hAnsi="Arial" w:cs="Arial"/>
          <w:color w:val="000000" w:themeColor="text1"/>
          <w:sz w:val="24"/>
          <w:szCs w:val="24"/>
        </w:rPr>
        <w:t>COOH, LPC(R</w:t>
      </w:r>
      <w:r w:rsidRPr="00C5651C">
        <w:rPr>
          <w:rFonts w:ascii="Arial" w:hAnsi="Arial" w:cs="Arial"/>
          <w:color w:val="000000" w:themeColor="text1"/>
          <w:sz w:val="24"/>
          <w:szCs w:val="24"/>
          <w:vertAlign w:val="subscript"/>
        </w:rPr>
        <w:t>2</w:t>
      </w:r>
      <w:r w:rsidRPr="00C5651C">
        <w:rPr>
          <w:rFonts w:ascii="Arial" w:hAnsi="Arial" w:cs="Arial"/>
          <w:color w:val="000000" w:themeColor="text1"/>
          <w:sz w:val="24"/>
          <w:szCs w:val="24"/>
        </w:rPr>
        <w:t>)+H, and R</w:t>
      </w:r>
      <w:r w:rsidRPr="00C5651C">
        <w:rPr>
          <w:rFonts w:ascii="Arial" w:hAnsi="Arial" w:cs="Arial"/>
          <w:color w:val="000000" w:themeColor="text1"/>
          <w:sz w:val="24"/>
          <w:szCs w:val="24"/>
          <w:vertAlign w:val="subscript"/>
        </w:rPr>
        <w:t>2</w:t>
      </w:r>
      <w:r w:rsidRPr="00C5651C">
        <w:rPr>
          <w:rFonts w:ascii="Arial" w:hAnsi="Arial" w:cs="Arial"/>
          <w:color w:val="000000" w:themeColor="text1"/>
          <w:sz w:val="24"/>
          <w:szCs w:val="24"/>
        </w:rPr>
        <w:t>COO</w:t>
      </w:r>
      <w:r w:rsidRPr="00C5651C">
        <w:rPr>
          <w:rFonts w:ascii="Arial" w:hAnsi="Arial" w:cs="Arial"/>
          <w:color w:val="000000" w:themeColor="text1"/>
          <w:sz w:val="24"/>
          <w:szCs w:val="24"/>
          <w:vertAlign w:val="superscript"/>
        </w:rPr>
        <w:t>-</w:t>
      </w:r>
      <w:r w:rsidRPr="00C5651C">
        <w:rPr>
          <w:rFonts w:ascii="Arial" w:hAnsi="Arial" w:cs="Arial"/>
          <w:color w:val="000000" w:themeColor="text1"/>
          <w:sz w:val="24"/>
          <w:szCs w:val="24"/>
        </w:rPr>
        <w:t xml:space="preserve"> in </w:t>
      </w:r>
      <w:r w:rsidR="00E36543">
        <w:rPr>
          <w:rFonts w:ascii="Arial" w:hAnsi="Arial" w:cs="Arial"/>
          <w:color w:val="000000" w:themeColor="text1"/>
          <w:sz w:val="24"/>
          <w:szCs w:val="24"/>
        </w:rPr>
        <w:t>Figure S3</w:t>
      </w:r>
      <w:r w:rsidRPr="00C5651C">
        <w:rPr>
          <w:rFonts w:ascii="Arial" w:hAnsi="Arial" w:cs="Arial"/>
          <w:color w:val="000000" w:themeColor="text1"/>
          <w:sz w:val="24"/>
          <w:szCs w:val="24"/>
        </w:rPr>
        <w:t xml:space="preserve">. This indicates why it is important to employ correlation of elution profiles of precursors and fragments in AIF to reconstruct the precursor-fragment relationship, rather than only identifying lipids based on the occurrence of their respective fragments in the retention time region they elute. Ideally, if employing AIF, targeted MS/MS or data-dependent MS/MS is also employed (for example on a pooled sample) to help confirm annotations and increase coverage. One of the limitations of AIF is an increase in false negatives because lipid ions may not meet correlation thresholds required for identification if there is an overlap in fatty acyl or head group fragments in the MS/MS spectra. This overlap occurs often due to the shared moieties across different lipid types and within lipid types. Greater separation achieved in chromatography (or using other techniques in combination or separately such as ion mobility) can limit this overlap in shared fragment ion, and hence reduce false negatives in AIF. </w:t>
      </w:r>
    </w:p>
    <w:p w14:paraId="42D68381" w14:textId="77777777" w:rsidR="00C5651C" w:rsidRPr="00C5651C" w:rsidRDefault="00C5651C" w:rsidP="00C5651C">
      <w:pPr>
        <w:spacing w:after="0" w:line="480" w:lineRule="auto"/>
        <w:jc w:val="both"/>
        <w:rPr>
          <w:rFonts w:ascii="Arial" w:hAnsi="Arial" w:cs="Arial"/>
          <w:color w:val="000000" w:themeColor="text1"/>
          <w:sz w:val="24"/>
          <w:szCs w:val="24"/>
        </w:rPr>
      </w:pPr>
    </w:p>
    <w:p w14:paraId="3A7FCC99" w14:textId="77777777" w:rsidR="00C5651C" w:rsidRPr="00C5651C" w:rsidRDefault="00C5651C" w:rsidP="00C5651C">
      <w:pPr>
        <w:spacing w:after="0" w:line="480" w:lineRule="auto"/>
        <w:jc w:val="both"/>
        <w:rPr>
          <w:rFonts w:ascii="Arial" w:hAnsi="Arial" w:cs="Arial"/>
          <w:color w:val="000000" w:themeColor="text1"/>
          <w:sz w:val="24"/>
          <w:szCs w:val="24"/>
        </w:rPr>
      </w:pPr>
      <w:r w:rsidRPr="00C5651C">
        <w:rPr>
          <w:rFonts w:ascii="Arial" w:hAnsi="Arial" w:cs="Arial"/>
          <w:color w:val="000000" w:themeColor="text1"/>
          <w:sz w:val="24"/>
          <w:szCs w:val="24"/>
        </w:rPr>
        <w:t xml:space="preserve">Of all lipids identified in negative ion mode, 98 features were uniquely identified by AIF, 20 uniquely identified using targeted MS/MS, and 11 identified by both AIF and targeted MS/MS. In positive ion mode, 85 features were uniquely identified by AIF, 88 by targeted MS/MS, and 52 by both. Of the features annotated both by AIF and targeted MS/MS, 100 % had the same annotation (top ranked, considering plasmenyl and plasmanyl species differing by one saturation the same) in negative ion mode, and 87 % had the same annotation in positive ion mode. Of those in positive ion mode with differing annotations between AIF and targeted MS/MS, the annotations only differed by fatty acid composition, not by lipid class and total carbons and degrees of unsaturations. The majority (6 of 7) of </w:t>
      </w:r>
      <w:r w:rsidRPr="00C5651C">
        <w:rPr>
          <w:rFonts w:ascii="Arial" w:hAnsi="Arial" w:cs="Arial"/>
          <w:color w:val="000000" w:themeColor="text1"/>
          <w:sz w:val="24"/>
          <w:szCs w:val="24"/>
        </w:rPr>
        <w:lastRenderedPageBreak/>
        <w:t xml:space="preserve">the features with differing annotations using AIF versus targeted MS/MS were annotated as TGs, which are known to be difficult to annotate due to significant overlap of isomers in the retention time regime.  These results suggest that annotation of AIF data using LipidMatch provides similar results to traditional MS/MS approaches, and has low false positives, especially at the level of sum composition and lipid class. </w:t>
      </w:r>
    </w:p>
    <w:p w14:paraId="41A30756" w14:textId="77777777" w:rsidR="00C5651C" w:rsidRPr="00C5651C" w:rsidRDefault="00C5651C" w:rsidP="00C5651C">
      <w:pPr>
        <w:spacing w:after="0" w:line="480" w:lineRule="auto"/>
        <w:rPr>
          <w:rFonts w:ascii="Arial" w:hAnsi="Arial" w:cs="Arial"/>
          <w:sz w:val="24"/>
          <w:szCs w:val="24"/>
        </w:rPr>
      </w:pPr>
    </w:p>
    <w:p w14:paraId="00AA794B" w14:textId="64088B4E" w:rsidR="00C5651C" w:rsidRPr="00C5651C" w:rsidRDefault="00C5651C" w:rsidP="00C5651C">
      <w:pPr>
        <w:spacing w:after="0" w:line="480" w:lineRule="auto"/>
        <w:rPr>
          <w:rFonts w:ascii="Arial" w:hAnsi="Arial" w:cs="Arial"/>
          <w:sz w:val="24"/>
          <w:szCs w:val="24"/>
        </w:rPr>
      </w:pPr>
      <w:r w:rsidRPr="00C5651C">
        <w:rPr>
          <w:rFonts w:ascii="Arial" w:hAnsi="Arial" w:cs="Arial"/>
          <w:sz w:val="24"/>
          <w:szCs w:val="24"/>
        </w:rPr>
        <w:br w:type="page"/>
      </w:r>
    </w:p>
    <w:p w14:paraId="23285A96" w14:textId="77777777" w:rsidR="00C5651C" w:rsidRPr="00C5651C" w:rsidRDefault="00C5651C" w:rsidP="00C5651C">
      <w:pPr>
        <w:spacing w:after="0" w:line="480" w:lineRule="auto"/>
        <w:rPr>
          <w:rFonts w:ascii="Arial" w:hAnsi="Arial" w:cs="Arial"/>
          <w:i/>
          <w:sz w:val="24"/>
          <w:szCs w:val="24"/>
        </w:rPr>
      </w:pPr>
      <w:r w:rsidRPr="00C5651C">
        <w:rPr>
          <w:rFonts w:ascii="Arial" w:hAnsi="Arial" w:cs="Arial"/>
          <w:i/>
          <w:sz w:val="24"/>
          <w:szCs w:val="24"/>
        </w:rPr>
        <w:lastRenderedPageBreak/>
        <w:t xml:space="preserve">Results and Discussion: </w:t>
      </w:r>
    </w:p>
    <w:p w14:paraId="279F8012" w14:textId="77777777" w:rsidR="00C5651C" w:rsidRPr="00C5651C" w:rsidRDefault="00C5651C" w:rsidP="00C5651C">
      <w:pPr>
        <w:spacing w:after="0" w:line="480" w:lineRule="auto"/>
        <w:jc w:val="both"/>
        <w:rPr>
          <w:rFonts w:ascii="Arial" w:hAnsi="Arial" w:cs="Arial"/>
          <w:i/>
          <w:color w:val="000000" w:themeColor="text1"/>
          <w:sz w:val="24"/>
          <w:szCs w:val="24"/>
        </w:rPr>
      </w:pPr>
      <w:r w:rsidRPr="00C5651C">
        <w:rPr>
          <w:rFonts w:ascii="Arial" w:hAnsi="Arial" w:cs="Arial"/>
          <w:i/>
          <w:color w:val="000000" w:themeColor="text1"/>
          <w:sz w:val="24"/>
          <w:szCs w:val="24"/>
        </w:rPr>
        <w:t>Comparison of relative concentrations to previous measurements on NIST SRM 1950</w:t>
      </w:r>
    </w:p>
    <w:p w14:paraId="19E35254" w14:textId="5625447B" w:rsidR="00C5651C" w:rsidRDefault="00C5651C" w:rsidP="00C5651C">
      <w:pPr>
        <w:spacing w:after="0" w:line="480" w:lineRule="auto"/>
        <w:jc w:val="both"/>
        <w:rPr>
          <w:rFonts w:ascii="Arial" w:hAnsi="Arial" w:cs="Arial"/>
          <w:color w:val="000000" w:themeColor="text1"/>
          <w:sz w:val="24"/>
          <w:szCs w:val="24"/>
        </w:rPr>
      </w:pPr>
      <w:r w:rsidRPr="00C5651C">
        <w:rPr>
          <w:rFonts w:ascii="Arial" w:hAnsi="Arial" w:cs="Arial"/>
          <w:color w:val="000000" w:themeColor="text1"/>
          <w:sz w:val="24"/>
          <w:szCs w:val="24"/>
        </w:rPr>
        <w:t xml:space="preserve">Final normalized values in nmol/mL were compared to both the NIST inter-laboratory study </w:t>
      </w:r>
      <w:r w:rsidRPr="00C5651C">
        <w:rPr>
          <w:rFonts w:ascii="Arial" w:hAnsi="Arial" w:cs="Arial"/>
          <w:color w:val="000000" w:themeColor="text1"/>
          <w:sz w:val="24"/>
          <w:szCs w:val="24"/>
        </w:rPr>
        <w:fldChar w:fldCharType="begin"/>
      </w:r>
      <w:r w:rsidR="00E03C21">
        <w:rPr>
          <w:rFonts w:ascii="Arial" w:hAnsi="Arial" w:cs="Arial"/>
          <w:color w:val="000000" w:themeColor="text1"/>
          <w:sz w:val="24"/>
          <w:szCs w:val="24"/>
        </w:rPr>
        <w:instrText xml:space="preserve"> ADDIN ZOTERO_ITEM CSL_CITATION {"citationID":"kds31bAk","properties":{"formattedCitation":"[5]","plainCitation":"[5]","noteIndex":0},"citationItems":[{"id":2278,"uris":["http://zotero.org/users/998006/items/2N9DQ2V6"],"uri":["http://zotero.org/users/998006/items/2N9DQ2V6"],"itemData":{"id":2278,"type":"article-journal","title":"Harmonizing lipidomics: NIST interlaboratory comparison exercise for lipidomics using SRM 1950-Metabolites in Frozen Human Plasma","container-title":"Journal of Lipid Research","page":"2275-2288","volume":"58","issue":"12","source":"PubMed","abstract":"As the lipidomics field continues to advance, self-evaluation within the community is critical. Here, we performed an interlaboratory comparison exercise for lipidomics using Standard Reference Material (SRM) 1950-Metabolites in Frozen Human Plasma, a commercially available reference material. The interlaboratory study comprised 31 diverse laboratories, with each laboratory using a different lipidomics workflow. A total of 1,527 unique lipids were measured across all laboratories and consensus location estimates and associated uncertainties were determined for 339 of these lipids measured at the sum composition level by five or more participating laboratories. These evaluated lipids detected in SRM 1950 serve as community-wide benchmarks for intra- and interlaboratory quality control and method validation. These analyses were performed using nonstandardized laboratory-independent workflows. The consensus locations were also compared with a previous examination of SRM 1950 by the LIPID MAPS consortium. While the central theme of the interlaboratory study was to provide values to help harmonize lipids, lipid mediators, and precursor measurements across the community, it was also initiated to stimulate a discussion regarding areas in need of improvement.","DOI":"10.1194/jlr.M079012","ISSN":"1539-7262","note":"PMID: 28986437\nPMCID: PMC5711491","shortTitle":"Harmonizing lipidomics","journalAbbreviation":"J. Lipid Res.","language":"eng","author":[{"family":"Bowden","given":"John A."},{"family":"Heckert","given":"Alan"},{"family":"Ulmer","given":"Candice Z."},{"family":"Jones","given":"Christina M."},{"family":"Koelmel","given":"Jeremy P."},{"family":"Abdullah","given":"Laila"},{"family":"Ahonen","given":"Linda"},{"family":"Alnouti","given":"Yazen"},{"family":"Armando","given":"Aaron M."},{"family":"Asara","given":"John M."},{"family":"Bamba","given":"Takeshi"},{"family":"Barr","given":"John R."},{"family":"Bergquist","given":"Jonas"},{"family":"Borchers","given":"Christoph H."},{"family":"Brandsma","given":"Joost"},{"family":"Breitkopf","given":"Susanne B."},{"family":"Cajka","given":"Tomas"},{"family":"Cazenave-Gassiot","given":"Amaury"},{"family":"Checa","given":"Antonio"},{"family":"Cinel","given":"Michelle A."},{"family":"Colas","given":"Romain A."},{"family":"Cremers","given":"Serge"},{"family":"Dennis","given":"Edward A."},{"family":"Evans","given":"James E."},{"family":"Fauland","given":"Alexander"},{"family":"Fiehn","given":"Oliver"},{"family":"Gardner","given":"Michael S."},{"family":"Garrett","given":"Timothy J."},{"family":"Gotlinger","given":"Katherine H."},{"family":"Han","given":"Jun"},{"family":"Huang","given":"Yingying"},{"family":"Neo","given":"Aveline Huipeng"},{"family":"Hyötyläinen","given":"Tuulia"},{"family":"Izumi","given":"Yoshihiro"},{"family":"Jiang","given":"Hongfeng"},{"family":"Jiang","given":"Houli"},{"family":"Jiang","given":"Jiang"},{"family":"Kachman","given":"Maureen"},{"family":"Kiyonami","given":"Reiko"},{"family":"Klavins","given":"Kristaps"},{"family":"Klose","given":"Christian"},{"family":"Köfeler","given":"Harald C."},{"family":"Kolmert","given":"Johan"},{"family":"Koal","given":"Therese"},{"family":"Koster","given":"Grielof"},{"family":"Kuklenyik","given":"Zsuzsanna"},{"family":"Kurland","given":"Irwin J."},{"family":"Leadley","given":"Michael"},{"family":"Lin","given":"Karen"},{"family":"Maddipati","given":"Krishna Rao"},{"family":"McDougall","given":"Danielle"},{"family":"Meikle","given":"Peter J."},{"family":"Mellett","given":"Natalie A."},{"family":"Monnin","given":"Cian"},{"family":"Moseley","given":"M. Arthur"},{"family":"Nandakumar","given":"Renu"},{"family":"Oresic","given":"Matej"},{"family":"Patterson","given":"Rainey"},{"family":"Peake","given":"David"},{"family":"Pierce","given":"Jason S."},{"family":"Post","given":"Martin"},{"family":"Postle","given":"Anthony D."},{"family":"Pugh","given":"Rebecca"},{"family":"Qiu","given":"Yunping"},{"family":"Quehenberger","given":"Oswald"},{"family":"Ramrup","given":"Parsram"},{"family":"Rees","given":"Jon"},{"family":"Rembiesa","given":"Barbara"},{"family":"Reynaud","given":"Denis"},{"family":"Roth","given":"Mary R."},{"family":"Sales","given":"Susanne"},{"family":"Schuhmann","given":"Kai"},{"family":"Schwartzman","given":"Michal Laniado"},{"family":"Serhan","given":"Charles N."},{"family":"Shevchenko","given":"Andrej"},{"family":"Somerville","given":"Stephen E."},{"family":"St John-Williams","given":"Lisa"},{"family":"Surma","given":"Michal A."},{"family":"Takeda","given":"Hiroaki"},{"family":"Thakare","given":"Rhishikesh"},{"family":"Thompson","given":"J. Will"},{"family":"Torta","given":"Federico"},{"family":"Triebl","given":"Alexander"},{"family":"Trötzmüller","given":"Martin"},{"family":"Ubhayasekera","given":"S. J. Kumari"},{"family":"Vuckovic","given":"Dajana"},{"family":"Weir","given":"Jacquelyn M."},{"family":"Welti","given":"Ruth"},{"family":"Wenk","given":"Markus R."},{"family":"Wheelock","given":"Craig E."},{"family":"Yao","given":"Libin"},{"family":"Yuan","given":"Min"},{"family":"Zhao","given":"Xueqing Heather"},{"family":"Zhou","given":"Senlin"}],"issued":{"date-parts":[["2017",12]]}}}],"schema":"https://github.com/citation-style-language/schema/raw/master/csl-citation.json"} </w:instrText>
      </w:r>
      <w:r w:rsidRPr="00C5651C">
        <w:rPr>
          <w:rFonts w:ascii="Arial" w:hAnsi="Arial" w:cs="Arial"/>
          <w:color w:val="000000" w:themeColor="text1"/>
          <w:sz w:val="24"/>
          <w:szCs w:val="24"/>
        </w:rPr>
        <w:fldChar w:fldCharType="separate"/>
      </w:r>
      <w:r w:rsidR="00E03C21" w:rsidRPr="00E03C21">
        <w:rPr>
          <w:rFonts w:ascii="Arial" w:hAnsi="Arial" w:cs="Arial"/>
          <w:sz w:val="24"/>
        </w:rPr>
        <w:t>[5]</w:t>
      </w:r>
      <w:r w:rsidRPr="00C5651C">
        <w:rPr>
          <w:rFonts w:ascii="Arial" w:hAnsi="Arial" w:cs="Arial"/>
          <w:color w:val="000000" w:themeColor="text1"/>
          <w:sz w:val="24"/>
          <w:szCs w:val="24"/>
        </w:rPr>
        <w:fldChar w:fldCharType="end"/>
      </w:r>
      <w:r w:rsidRPr="00C5651C">
        <w:rPr>
          <w:rFonts w:ascii="Arial" w:hAnsi="Arial" w:cs="Arial"/>
          <w:color w:val="000000" w:themeColor="text1"/>
          <w:sz w:val="24"/>
          <w:szCs w:val="24"/>
        </w:rPr>
        <w:t xml:space="preserve"> and the LIPID MAPS consortium analysis of NIST SRM 1950 </w:t>
      </w:r>
      <w:r w:rsidRPr="00C5651C">
        <w:rPr>
          <w:rFonts w:ascii="Arial" w:hAnsi="Arial" w:cs="Arial"/>
          <w:color w:val="000000" w:themeColor="text1"/>
          <w:sz w:val="24"/>
          <w:szCs w:val="24"/>
        </w:rPr>
        <w:fldChar w:fldCharType="begin"/>
      </w:r>
      <w:r w:rsidR="00E03C21">
        <w:rPr>
          <w:rFonts w:ascii="Arial" w:hAnsi="Arial" w:cs="Arial"/>
          <w:color w:val="000000" w:themeColor="text1"/>
          <w:sz w:val="24"/>
          <w:szCs w:val="24"/>
        </w:rPr>
        <w:instrText xml:space="preserve"> ADDIN ZOTERO_ITEM CSL_CITATION {"citationID":"DH9kf3Qe","properties":{"formattedCitation":"[3]","plainCitation":"[3]","noteIndex":0},"citationItems":[{"id":1209,"uris":["http://zotero.org/users/998006/items/ZX5R6T5K"],"uri":["http://zotero.org/users/998006/items/ZX5R6T5K"],"itemData":{"id":1209,"type":"article-journal","title":"Lipidomics reveals a remarkable diversity of lipids in human plasma,","container-title":"Journal of Lipid Research","page":"3299-3305","volume":"51","issue":"11","source":"www.jlr.org","abstract":"The focus of the present study was to define the human plasma lipidome and to establish novel analytical methodologies to quantify the large spectrum of plasma lipids. Partial lipid analysis is now a regular part of every patient's blood test and physicians readily and regularly prescribe drugs that alter the levels of major plasma lipids such as cholesterol and triglycerides. Plasma contains many thousands of distinct lipid molecular species that fall into six main categories including fatty acyls, glycerolipids, glycerophospholipids, sphingolipids, sterols, and prenols. The physiological contributions of these diverse lipids and how their levels change in response to therapy remain largely unknown. As a first step toward answering these questions, we provide herein an in-depth lipidomics analysis of a pooled human plasma obtained from healthy individuals after overnight fasting and with a gender balance and an ethnic distribution that is representative of the US population. In total, we quantitatively assessed the levels of over 500 distinct molecular species distributed among the main lipid categories. As more information is obtained regarding the roles of individual lipids in health and disease, it seems likely that future blood tests will include an ever increasing number of these lipid molecules.","DOI":"10.1194/jlr.M009449","ISSN":"0022-2275, 1539-7262","note":"PMID: 20671299","journalAbbreviation":"J. Lipid Res.","language":"en","author":[{"family":"Quehenberger","given":"Oswald"},{"family":"Armando","given":"Aaron M."},{"family":"Brown","given":"Alex H."},{"family":"Milne","given":"Stephen B."},{"family":"Myers","given":"David S."},{"family":"Merrill","given":"Alfred H."},{"family":"Bandyopadhyay","given":"Sibali"},{"family":"Jones","given":"Kristin N."},{"family":"Kelly","given":"Samuel"},{"family":"Shaner","given":"Rebecca L."},{"family":"Sullards","given":"Cameron M."},{"family":"Wang","given":"Elaine"},{"family":"Murphy","given":"Robert C."},{"family":"Barkley","given":"Robert M."},{"family":"Leiker","given":"Thomas J."},{"family":"Raetz","given":"Christian R. H."},{"family":"Guan","given":"Ziqiang"},{"family":"Laird","given":"Gregory M."},{"family":"Six","given":"David A."},{"family":"Russell","given":"David W."},{"family":"McDonald","given":"Jeffrey G."},{"family":"Subramaniam","given":"Shankar"},{"family":"Fahy","given":"Eoin"},{"family":"Dennis","given":"Edward A."}],"issued":{"date-parts":[["2010",11,1]]}}}],"schema":"https://github.com/citation-style-language/schema/raw/master/csl-citation.json"} </w:instrText>
      </w:r>
      <w:r w:rsidRPr="00C5651C">
        <w:rPr>
          <w:rFonts w:ascii="Arial" w:hAnsi="Arial" w:cs="Arial"/>
          <w:color w:val="000000" w:themeColor="text1"/>
          <w:sz w:val="24"/>
          <w:szCs w:val="24"/>
        </w:rPr>
        <w:fldChar w:fldCharType="separate"/>
      </w:r>
      <w:r w:rsidR="00E03C21" w:rsidRPr="00E03C21">
        <w:rPr>
          <w:rFonts w:ascii="Arial" w:hAnsi="Arial" w:cs="Arial"/>
          <w:sz w:val="24"/>
        </w:rPr>
        <w:t>[3]</w:t>
      </w:r>
      <w:r w:rsidRPr="00C5651C">
        <w:rPr>
          <w:rFonts w:ascii="Arial" w:hAnsi="Arial" w:cs="Arial"/>
          <w:color w:val="000000" w:themeColor="text1"/>
          <w:sz w:val="24"/>
          <w:szCs w:val="24"/>
        </w:rPr>
        <w:fldChar w:fldCharType="end"/>
      </w:r>
      <w:r w:rsidRPr="00C5651C">
        <w:rPr>
          <w:rFonts w:ascii="Arial" w:hAnsi="Arial" w:cs="Arial"/>
          <w:color w:val="000000" w:themeColor="text1"/>
          <w:sz w:val="24"/>
          <w:szCs w:val="24"/>
        </w:rPr>
        <w:t xml:space="preserve">. The values diverged significantly between all three studies for lipids summed at the level of carbons and double bonds (Supplemental Table S4 and Table S5, Supplemental_Comparison.xslx), emphasizing that single point calibration using class representative internal standards in reverse phase is a normalization method and not quantitative. Hence, the advantages of internal standard based normalization are a reduction in variance of measurements and better statistics as discussed in the prior paragraph, but values are not absolute amounts which can be comparable across laboratories and techniques. But other approaches using LMN could be considered semi-quantitative. Because standards and analytes co-elute in separation techniques such as SFC and HILIC, the application of LipidMatch Normalizer along with appropriate correction factors for ionization efficiencies could be semi-quantitative. The median of the absolute relative percent difference (as calculated in Formula 1) for lipids overlapping between this study and the LIPID MAPS study was 138 % with an interquartile range of 274 %. The median percent difference between this study and the NIST inter-laboratory study was 89 %, with an interquartile range of 100 %. The median percent difference between the LIPID MAPS study and NIST inter-laboratory study was 119 % with an interquartile range of 376 %. </w:t>
      </w:r>
    </w:p>
    <w:p w14:paraId="7DF01849" w14:textId="77777777" w:rsidR="00C5651C" w:rsidRPr="00C5651C" w:rsidRDefault="00C5651C" w:rsidP="00C5651C">
      <w:pPr>
        <w:spacing w:after="0" w:line="480" w:lineRule="auto"/>
        <w:jc w:val="both"/>
        <w:rPr>
          <w:rFonts w:ascii="Arial" w:hAnsi="Arial" w:cs="Arial"/>
          <w:color w:val="000000" w:themeColor="text1"/>
          <w:sz w:val="24"/>
          <w:szCs w:val="24"/>
        </w:rPr>
      </w:pPr>
    </w:p>
    <w:p w14:paraId="40DA3137" w14:textId="77777777" w:rsidR="00C5651C" w:rsidRDefault="00C5651C" w:rsidP="00C5651C">
      <w:pPr>
        <w:spacing w:after="0" w:line="480" w:lineRule="auto"/>
        <w:jc w:val="both"/>
        <w:rPr>
          <w:rFonts w:ascii="Arial" w:hAnsi="Arial" w:cs="Arial"/>
          <w:color w:val="000000" w:themeColor="text1"/>
          <w:sz w:val="24"/>
          <w:szCs w:val="24"/>
        </w:rPr>
      </w:pPr>
      <w:r w:rsidRPr="00C5651C">
        <w:rPr>
          <w:rFonts w:ascii="Arial" w:hAnsi="Arial" w:cs="Arial"/>
          <w:color w:val="000000" w:themeColor="text1"/>
          <w:sz w:val="24"/>
          <w:szCs w:val="24"/>
        </w:rPr>
        <w:lastRenderedPageBreak/>
        <w:t xml:space="preserve">The strongest agreement between studies was for this study and the LIPID MAPS study on triglycerides (TGs) (13 % absolute median percent difference, IQR of 25 %), this study and the inter-laboratory study for sphingomyelins (27 % absolute median percent difference, IQR of 87 %), and the LIPID MAPS and inter-laboratory study for ceramides (33 % absolute median percent difference, IQR of 66 %). The most drastic differences between these studies and other studies where when class specific internal standards were not available. For example, when triglycerides were used to normalize cholesterol esters values were over 3-orders of magnitude lower than expected. </w:t>
      </w:r>
    </w:p>
    <w:p w14:paraId="43750560" w14:textId="50A464D4" w:rsidR="004C498F" w:rsidRDefault="004C498F" w:rsidP="00C5651C">
      <w:pPr>
        <w:spacing w:after="0" w:line="480" w:lineRule="auto"/>
        <w:jc w:val="both"/>
        <w:rPr>
          <w:rFonts w:ascii="Arial" w:hAnsi="Arial" w:cs="Arial"/>
          <w:i/>
          <w:color w:val="000000" w:themeColor="text1"/>
          <w:sz w:val="24"/>
          <w:szCs w:val="24"/>
        </w:rPr>
      </w:pPr>
    </w:p>
    <w:p w14:paraId="6E253FCF" w14:textId="77777777" w:rsidR="00E03C21" w:rsidRDefault="00E03C21">
      <w:pPr>
        <w:spacing w:after="0" w:line="259" w:lineRule="auto"/>
        <w:rPr>
          <w:rFonts w:ascii="Arial" w:hAnsi="Arial" w:cs="Arial"/>
          <w:i/>
          <w:color w:val="000000" w:themeColor="text1"/>
          <w:sz w:val="24"/>
          <w:szCs w:val="24"/>
        </w:rPr>
      </w:pPr>
      <w:r>
        <w:rPr>
          <w:rFonts w:ascii="Arial" w:hAnsi="Arial" w:cs="Arial"/>
          <w:i/>
          <w:color w:val="000000" w:themeColor="text1"/>
          <w:sz w:val="24"/>
          <w:szCs w:val="24"/>
        </w:rPr>
        <w:br w:type="page"/>
      </w:r>
    </w:p>
    <w:p w14:paraId="4DBD024A" w14:textId="3EE18E84" w:rsidR="00E03C21" w:rsidRDefault="00E03C21" w:rsidP="00C5651C">
      <w:pPr>
        <w:spacing w:after="0" w:line="480" w:lineRule="auto"/>
        <w:jc w:val="both"/>
        <w:rPr>
          <w:rFonts w:ascii="Arial" w:hAnsi="Arial" w:cs="Arial"/>
          <w:i/>
          <w:color w:val="000000" w:themeColor="text1"/>
          <w:sz w:val="24"/>
          <w:szCs w:val="24"/>
        </w:rPr>
      </w:pPr>
      <w:r>
        <w:rPr>
          <w:rFonts w:ascii="Arial" w:hAnsi="Arial" w:cs="Arial"/>
          <w:i/>
          <w:color w:val="000000" w:themeColor="text1"/>
          <w:sz w:val="24"/>
          <w:szCs w:val="24"/>
        </w:rPr>
        <w:lastRenderedPageBreak/>
        <w:t>References:</w:t>
      </w:r>
    </w:p>
    <w:p w14:paraId="04C99CFE" w14:textId="77777777" w:rsidR="00E03C21" w:rsidRPr="00E03C21" w:rsidRDefault="00E03C21" w:rsidP="00E03C21">
      <w:pPr>
        <w:pStyle w:val="Bibliography"/>
        <w:rPr>
          <w:rFonts w:ascii="Arial" w:hAnsi="Arial" w:cs="Arial"/>
          <w:sz w:val="24"/>
        </w:rPr>
      </w:pPr>
      <w:r>
        <w:rPr>
          <w:rFonts w:ascii="Arial" w:hAnsi="Arial" w:cs="Arial"/>
          <w:i/>
          <w:color w:val="000000" w:themeColor="text1"/>
        </w:rPr>
        <w:fldChar w:fldCharType="begin"/>
      </w:r>
      <w:r>
        <w:rPr>
          <w:rFonts w:ascii="Arial" w:hAnsi="Arial" w:cs="Arial"/>
          <w:i/>
          <w:color w:val="000000" w:themeColor="text1"/>
        </w:rPr>
        <w:instrText xml:space="preserve"> ADDIN ZOTERO_BIBL {"uncited":[],"omitted":[],"custom":[]} CSL_BIBLIOGRAPHY </w:instrText>
      </w:r>
      <w:r>
        <w:rPr>
          <w:rFonts w:ascii="Arial" w:hAnsi="Arial" w:cs="Arial"/>
          <w:i/>
          <w:color w:val="000000" w:themeColor="text1"/>
        </w:rPr>
        <w:fldChar w:fldCharType="separate"/>
      </w:r>
      <w:r w:rsidRPr="00E03C21">
        <w:rPr>
          <w:rFonts w:ascii="Arial" w:hAnsi="Arial" w:cs="Arial"/>
          <w:sz w:val="24"/>
        </w:rPr>
        <w:t>1. Patterson RE, Kirpich AS, Koelmel JP, Kalavalapalli S, Morse AM, Cusi K, et al. Improved experimental data processing for UHPLC–HRMS/MS lipidomics applied to nonalcoholic fatty liver disease. Metabolomics. 2017;13:142.</w:t>
      </w:r>
    </w:p>
    <w:p w14:paraId="4598761E" w14:textId="77777777" w:rsidR="00E03C21" w:rsidRPr="00E03C21" w:rsidRDefault="00E03C21" w:rsidP="00E03C21">
      <w:pPr>
        <w:pStyle w:val="Bibliography"/>
        <w:rPr>
          <w:rFonts w:ascii="Arial" w:hAnsi="Arial" w:cs="Arial"/>
          <w:sz w:val="24"/>
        </w:rPr>
      </w:pPr>
      <w:r w:rsidRPr="00E03C21">
        <w:rPr>
          <w:rFonts w:ascii="Arial" w:hAnsi="Arial" w:cs="Arial"/>
          <w:sz w:val="24"/>
        </w:rPr>
        <w:t>2. Koelmel JP, Kroeger NM, Ulmer CZ, Bowden JA, Patterson RE, Cochran JA, et al. LipidMatch: an automated workflow for rule-based lipid identification using untargeted high-resolution tandem mass spectrometry data. BMC Bioinformatics. 2017;18:331.</w:t>
      </w:r>
    </w:p>
    <w:p w14:paraId="04F83F6F" w14:textId="77777777" w:rsidR="00E03C21" w:rsidRPr="00E03C21" w:rsidRDefault="00E03C21" w:rsidP="00E03C21">
      <w:pPr>
        <w:pStyle w:val="Bibliography"/>
        <w:rPr>
          <w:rFonts w:ascii="Arial" w:hAnsi="Arial" w:cs="Arial"/>
          <w:sz w:val="24"/>
        </w:rPr>
      </w:pPr>
      <w:r w:rsidRPr="00E03C21">
        <w:rPr>
          <w:rFonts w:ascii="Arial" w:hAnsi="Arial" w:cs="Arial"/>
          <w:sz w:val="24"/>
        </w:rPr>
        <w:t>3. Quehenberger O, Armando AM, Brown AH, Milne SB, Myers DS, Merrill AH, et al. Lipidomics reveals a remarkable diversity of lipids in human plasma,. J Lipid Res. 2010;51:3299–305.</w:t>
      </w:r>
    </w:p>
    <w:p w14:paraId="42A63355" w14:textId="77777777" w:rsidR="00E03C21" w:rsidRPr="00E03C21" w:rsidRDefault="00E03C21" w:rsidP="00E03C21">
      <w:pPr>
        <w:pStyle w:val="Bibliography"/>
        <w:rPr>
          <w:rFonts w:ascii="Arial" w:hAnsi="Arial" w:cs="Arial"/>
          <w:sz w:val="24"/>
        </w:rPr>
      </w:pPr>
      <w:r w:rsidRPr="00E03C21">
        <w:rPr>
          <w:rFonts w:ascii="Arial" w:hAnsi="Arial" w:cs="Arial"/>
          <w:sz w:val="24"/>
        </w:rPr>
        <w:t>4. Fahy E, Sud M, Cotter D, Subramaniam S. LIPID MAPS online tools for lipid research. Nucleic Acids Res. 2007;35 Web Server issue:W606–12.</w:t>
      </w:r>
    </w:p>
    <w:p w14:paraId="7D0C0B95" w14:textId="77777777" w:rsidR="00E03C21" w:rsidRPr="00E03C21" w:rsidRDefault="00E03C21" w:rsidP="00E03C21">
      <w:pPr>
        <w:pStyle w:val="Bibliography"/>
        <w:rPr>
          <w:rFonts w:ascii="Arial" w:hAnsi="Arial" w:cs="Arial"/>
          <w:sz w:val="24"/>
        </w:rPr>
      </w:pPr>
      <w:r w:rsidRPr="00E03C21">
        <w:rPr>
          <w:rFonts w:ascii="Arial" w:hAnsi="Arial" w:cs="Arial"/>
          <w:sz w:val="24"/>
        </w:rPr>
        <w:t>5. Bowden JA, Heckert A, Ulmer CZ, Jones CM, Koelmel JP, Abdullah L, et al. Harmonizing lipidomics: NIST interlaboratory comparison exercise for lipidomics using SRM 1950-Metabolites in Frozen Human Plasma. J Lipid Res. 2017;58:2275–88.</w:t>
      </w:r>
    </w:p>
    <w:p w14:paraId="0E829BA7" w14:textId="7C00A0CC" w:rsidR="00E03C21" w:rsidRDefault="00E03C21" w:rsidP="00C5651C">
      <w:pPr>
        <w:spacing w:after="0" w:line="480" w:lineRule="auto"/>
        <w:jc w:val="both"/>
        <w:rPr>
          <w:rFonts w:ascii="Arial" w:hAnsi="Arial" w:cs="Arial"/>
          <w:i/>
          <w:color w:val="000000" w:themeColor="text1"/>
          <w:sz w:val="24"/>
          <w:szCs w:val="24"/>
        </w:rPr>
      </w:pPr>
      <w:r>
        <w:rPr>
          <w:rFonts w:ascii="Arial" w:hAnsi="Arial" w:cs="Arial"/>
          <w:i/>
          <w:color w:val="000000" w:themeColor="text1"/>
          <w:sz w:val="24"/>
          <w:szCs w:val="24"/>
        </w:rPr>
        <w:fldChar w:fldCharType="end"/>
      </w:r>
    </w:p>
    <w:p w14:paraId="7A217CA2" w14:textId="77777777" w:rsidR="00E03C21" w:rsidRDefault="00E03C21">
      <w:pPr>
        <w:spacing w:after="0" w:line="259" w:lineRule="auto"/>
        <w:rPr>
          <w:rFonts w:ascii="Arial" w:hAnsi="Arial" w:cs="Arial"/>
          <w:i/>
          <w:color w:val="000000" w:themeColor="text1"/>
          <w:sz w:val="24"/>
          <w:szCs w:val="24"/>
        </w:rPr>
      </w:pPr>
      <w:r>
        <w:rPr>
          <w:rFonts w:ascii="Arial" w:hAnsi="Arial" w:cs="Arial"/>
          <w:i/>
          <w:color w:val="000000" w:themeColor="text1"/>
          <w:sz w:val="24"/>
          <w:szCs w:val="24"/>
        </w:rPr>
        <w:br w:type="page"/>
      </w:r>
    </w:p>
    <w:p w14:paraId="7B5BFB34" w14:textId="260DCA95" w:rsidR="004C498F" w:rsidRPr="004C498F" w:rsidRDefault="004C498F" w:rsidP="00C5651C">
      <w:pPr>
        <w:spacing w:after="0" w:line="480" w:lineRule="auto"/>
        <w:jc w:val="both"/>
        <w:rPr>
          <w:rFonts w:ascii="Arial" w:hAnsi="Arial" w:cs="Arial"/>
          <w:i/>
          <w:color w:val="000000" w:themeColor="text1"/>
          <w:sz w:val="24"/>
          <w:szCs w:val="24"/>
        </w:rPr>
      </w:pPr>
      <w:r w:rsidRPr="004C498F">
        <w:rPr>
          <w:rFonts w:ascii="Arial" w:hAnsi="Arial" w:cs="Arial"/>
          <w:i/>
          <w:color w:val="000000" w:themeColor="text1"/>
          <w:sz w:val="24"/>
          <w:szCs w:val="24"/>
        </w:rPr>
        <w:lastRenderedPageBreak/>
        <w:t>Supplemental Figure</w:t>
      </w:r>
      <w:r>
        <w:rPr>
          <w:rFonts w:ascii="Arial" w:hAnsi="Arial" w:cs="Arial"/>
          <w:i/>
          <w:color w:val="000000" w:themeColor="text1"/>
          <w:sz w:val="24"/>
          <w:szCs w:val="24"/>
        </w:rPr>
        <w:t>s</w:t>
      </w:r>
      <w:r w:rsidRPr="004C498F">
        <w:rPr>
          <w:rFonts w:ascii="Arial" w:hAnsi="Arial" w:cs="Arial"/>
          <w:i/>
          <w:color w:val="000000" w:themeColor="text1"/>
          <w:sz w:val="24"/>
          <w:szCs w:val="24"/>
        </w:rPr>
        <w:t>:</w:t>
      </w:r>
    </w:p>
    <w:p w14:paraId="5BDADF1F" w14:textId="77777777" w:rsidR="00C14937" w:rsidRDefault="00E36543" w:rsidP="00E36543">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a)</w:t>
      </w:r>
      <w:r>
        <w:rPr>
          <w:noProof/>
        </w:rPr>
        <w:drawing>
          <wp:inline distT="0" distB="0" distL="0" distR="0" wp14:anchorId="075A4E7D" wp14:editId="42184A16">
            <wp:extent cx="3289875" cy="182118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
                    <a:stretch>
                      <a:fillRect/>
                    </a:stretch>
                  </pic:blipFill>
                  <pic:spPr>
                    <a:xfrm>
                      <a:off x="0" y="0"/>
                      <a:ext cx="3305310" cy="1829724"/>
                    </a:xfrm>
                    <a:prstGeom prst="rect">
                      <a:avLst/>
                    </a:prstGeom>
                  </pic:spPr>
                </pic:pic>
              </a:graphicData>
            </a:graphic>
          </wp:inline>
        </w:drawing>
      </w:r>
    </w:p>
    <w:p w14:paraId="36D51550" w14:textId="76AE8D30" w:rsidR="00C5651C" w:rsidRDefault="00E36543" w:rsidP="00E36543">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b)</w:t>
      </w:r>
      <w:r>
        <w:rPr>
          <w:noProof/>
        </w:rPr>
        <w:drawing>
          <wp:inline distT="0" distB="0" distL="0" distR="0" wp14:anchorId="12844D58" wp14:editId="291D15D2">
            <wp:extent cx="3314700" cy="1834924"/>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
                    <a:stretch>
                      <a:fillRect/>
                    </a:stretch>
                  </pic:blipFill>
                  <pic:spPr>
                    <a:xfrm>
                      <a:off x="0" y="0"/>
                      <a:ext cx="3350456" cy="1854717"/>
                    </a:xfrm>
                    <a:prstGeom prst="rect">
                      <a:avLst/>
                    </a:prstGeom>
                  </pic:spPr>
                </pic:pic>
              </a:graphicData>
            </a:graphic>
          </wp:inline>
        </w:drawing>
      </w:r>
    </w:p>
    <w:p w14:paraId="412273EC" w14:textId="77777777" w:rsidR="00E36543" w:rsidRPr="00E36543" w:rsidRDefault="00E36543" w:rsidP="00E36543">
      <w:pPr>
        <w:spacing w:after="0" w:line="240" w:lineRule="auto"/>
        <w:jc w:val="both"/>
        <w:rPr>
          <w:rFonts w:ascii="Arial" w:hAnsi="Arial" w:cs="Arial"/>
          <w:color w:val="000000" w:themeColor="text1"/>
          <w:sz w:val="24"/>
          <w:szCs w:val="24"/>
        </w:rPr>
      </w:pPr>
      <w:r w:rsidRPr="00E36543">
        <w:rPr>
          <w:rFonts w:ascii="Arial" w:hAnsi="Arial" w:cs="Arial"/>
          <w:color w:val="000000" w:themeColor="text1"/>
          <w:sz w:val="24"/>
          <w:szCs w:val="24"/>
        </w:rPr>
        <w:t xml:space="preserve">Figure S1a: Fold change (greater than 1) versus percent difference calculated using the average in the formula: </w:t>
      </w:r>
    </w:p>
    <w:p w14:paraId="61C5F19C" w14:textId="283C3ED0" w:rsidR="00E36543" w:rsidRDefault="00E36543" w:rsidP="00E36543">
      <w:pPr>
        <w:spacing w:after="0" w:line="240" w:lineRule="auto"/>
        <w:jc w:val="both"/>
        <w:rPr>
          <w:rFonts w:ascii="Arial" w:hAnsi="Arial" w:cs="Arial"/>
          <w:i/>
          <w:iCs/>
          <w:color w:val="000000" w:themeColor="text1"/>
          <w:sz w:val="24"/>
          <w:szCs w:val="24"/>
        </w:rPr>
      </w:pPr>
      <w:r w:rsidRPr="00E36543">
        <w:rPr>
          <w:rFonts w:ascii="Arial" w:hAnsi="Arial" w:cs="Arial"/>
          <w:i/>
          <w:iCs/>
          <w:color w:val="000000" w:themeColor="text1"/>
          <w:sz w:val="24"/>
          <w:szCs w:val="24"/>
        </w:rPr>
        <w:t>R</w:t>
      </w:r>
      <m:oMath>
        <m:r>
          <w:rPr>
            <w:rFonts w:ascii="Cambria Math" w:hAnsi="Cambria Math" w:cs="Arial"/>
            <w:color w:val="000000" w:themeColor="text1"/>
            <w:sz w:val="24"/>
            <w:szCs w:val="24"/>
          </w:rPr>
          <m:t>elativ</m:t>
        </m:r>
        <m:r>
          <m:rPr>
            <m:sty m:val="p"/>
          </m:rPr>
          <w:rPr>
            <w:rFonts w:ascii="Cambria Math" w:hAnsi="Cambria Math" w:cs="Arial"/>
            <w:color w:val="000000" w:themeColor="text1"/>
            <w:sz w:val="24"/>
            <w:szCs w:val="24"/>
          </w:rPr>
          <m:t>e</m:t>
        </m:r>
        <m:r>
          <w:rPr>
            <w:rFonts w:ascii="Cambria Math" w:hAnsi="Cambria Math" w:cs="Arial"/>
            <w:color w:val="000000" w:themeColor="text1"/>
            <w:sz w:val="24"/>
            <w:szCs w:val="24"/>
          </w:rPr>
          <m:t> percent difference</m:t>
        </m:r>
        <m:r>
          <m:rPr>
            <m:sty m:val="p"/>
          </m:rPr>
          <w:rPr>
            <w:rFonts w:ascii="Cambria Math" w:hAnsi="Cambria Math" w:cs="Arial"/>
            <w:color w:val="000000" w:themeColor="text1"/>
            <w:sz w:val="24"/>
            <w:szCs w:val="24"/>
          </w:rPr>
          <m:t>=</m:t>
        </m:r>
        <m:f>
          <m:fPr>
            <m:ctrlPr>
              <w:rPr>
                <w:rFonts w:ascii="Cambria Math" w:hAnsi="Cambria Math" w:cs="Arial"/>
                <w:i/>
                <w:iCs/>
                <w:color w:val="000000" w:themeColor="text1"/>
                <w:sz w:val="24"/>
                <w:szCs w:val="24"/>
              </w:rPr>
            </m:ctrlPr>
          </m:fPr>
          <m:num>
            <m:r>
              <w:rPr>
                <w:rFonts w:ascii="Cambria Math" w:hAnsi="Cambria Math" w:cs="Arial"/>
                <w:color w:val="000000" w:themeColor="text1"/>
                <w:sz w:val="24"/>
                <w:szCs w:val="24"/>
              </w:rPr>
              <m:t>x-y</m:t>
            </m:r>
          </m:num>
          <m:den>
            <m:d>
              <m:dPr>
                <m:begChr m:val=""/>
                <m:ctrlPr>
                  <w:rPr>
                    <w:rFonts w:ascii="Cambria Math" w:hAnsi="Cambria Math" w:cs="Arial"/>
                    <w:i/>
                    <w:iCs/>
                    <w:color w:val="000000" w:themeColor="text1"/>
                    <w:sz w:val="24"/>
                    <w:szCs w:val="24"/>
                  </w:rPr>
                </m:ctrlPr>
              </m:dPr>
              <m:e>
                <m:r>
                  <m:rPr>
                    <m:sty m:val="p"/>
                  </m:rPr>
                  <w:rPr>
                    <w:rFonts w:ascii="Cambria Math" w:hAnsi="Cambria Math" w:cs="Arial"/>
                    <w:color w:val="000000" w:themeColor="text1"/>
                    <w:sz w:val="24"/>
                    <w:szCs w:val="24"/>
                  </w:rPr>
                  <m:t>Avg(</m:t>
                </m:r>
                <m:r>
                  <w:rPr>
                    <w:rFonts w:ascii="Cambria Math" w:hAnsi="Cambria Math" w:cs="Arial"/>
                    <w:color w:val="000000" w:themeColor="text1"/>
                    <w:sz w:val="24"/>
                    <w:szCs w:val="24"/>
                  </w:rPr>
                  <m:t>x</m:t>
                </m:r>
                <m:r>
                  <m:rPr>
                    <m:sty m:val="p"/>
                  </m:rPr>
                  <w:rPr>
                    <w:rFonts w:ascii="Cambria Math" w:hAnsi="Cambria Math" w:cs="Arial"/>
                    <w:color w:val="000000" w:themeColor="text1"/>
                    <w:sz w:val="24"/>
                    <w:szCs w:val="24"/>
                  </w:rPr>
                  <m:t>,</m:t>
                </m:r>
                <m:r>
                  <w:rPr>
                    <w:rFonts w:ascii="Cambria Math" w:hAnsi="Cambria Math" w:cs="Arial"/>
                    <w:color w:val="000000" w:themeColor="text1"/>
                    <w:sz w:val="24"/>
                    <w:szCs w:val="24"/>
                  </w:rPr>
                  <m:t>y</m:t>
                </m:r>
              </m:e>
            </m:d>
          </m:den>
        </m:f>
        <m:r>
          <w:rPr>
            <w:rFonts w:ascii="Cambria Math" w:hAnsi="Cambria Math" w:cs="Arial"/>
            <w:color w:val="000000" w:themeColor="text1"/>
            <w:sz w:val="24"/>
            <w:szCs w:val="24"/>
          </w:rPr>
          <m:t>× 100</m:t>
        </m:r>
      </m:oMath>
    </w:p>
    <w:p w14:paraId="6F6CD281" w14:textId="77777777" w:rsidR="00E36543" w:rsidRDefault="00E36543" w:rsidP="00E36543">
      <w:pPr>
        <w:spacing w:after="0" w:line="240" w:lineRule="auto"/>
        <w:jc w:val="both"/>
        <w:rPr>
          <w:rFonts w:ascii="Arial" w:hAnsi="Arial" w:cs="Arial"/>
          <w:i/>
          <w:iCs/>
          <w:color w:val="000000" w:themeColor="text1"/>
          <w:sz w:val="24"/>
          <w:szCs w:val="24"/>
        </w:rPr>
      </w:pPr>
    </w:p>
    <w:p w14:paraId="3B49CA86" w14:textId="77777777" w:rsidR="00E36543" w:rsidRPr="00E36543" w:rsidRDefault="00E36543" w:rsidP="00E36543">
      <w:pPr>
        <w:spacing w:after="0" w:line="240" w:lineRule="auto"/>
        <w:jc w:val="both"/>
        <w:rPr>
          <w:rFonts w:ascii="Arial" w:hAnsi="Arial" w:cs="Arial"/>
          <w:color w:val="000000" w:themeColor="text1"/>
          <w:sz w:val="24"/>
          <w:szCs w:val="24"/>
        </w:rPr>
      </w:pPr>
      <w:r w:rsidRPr="00E36543">
        <w:rPr>
          <w:rFonts w:ascii="Arial" w:hAnsi="Arial" w:cs="Arial"/>
          <w:color w:val="000000" w:themeColor="text1"/>
          <w:sz w:val="24"/>
          <w:szCs w:val="24"/>
        </w:rPr>
        <w:t xml:space="preserve">Figure S1b: Fold change (greater than 1) versus percent difference calculated using the minimum in the formula: </w:t>
      </w:r>
    </w:p>
    <w:p w14:paraId="18EB54DE" w14:textId="468A7D0E" w:rsidR="00E36543" w:rsidRPr="00E36543" w:rsidRDefault="00E36543" w:rsidP="00E36543">
      <w:pPr>
        <w:spacing w:after="0" w:line="240" w:lineRule="auto"/>
        <w:jc w:val="both"/>
        <w:rPr>
          <w:rFonts w:ascii="Arial" w:hAnsi="Arial" w:cs="Arial"/>
          <w:color w:val="000000" w:themeColor="text1"/>
          <w:sz w:val="24"/>
          <w:szCs w:val="24"/>
        </w:rPr>
      </w:pPr>
      <w:r w:rsidRPr="00E36543">
        <w:rPr>
          <w:rFonts w:ascii="Arial" w:hAnsi="Arial" w:cs="Arial"/>
          <w:i/>
          <w:iCs/>
          <w:color w:val="000000" w:themeColor="text1"/>
          <w:sz w:val="24"/>
          <w:szCs w:val="24"/>
        </w:rPr>
        <w:t>R</w:t>
      </w:r>
      <m:oMath>
        <m:r>
          <w:rPr>
            <w:rFonts w:ascii="Cambria Math" w:hAnsi="Cambria Math" w:cs="Arial"/>
            <w:color w:val="000000" w:themeColor="text1"/>
            <w:sz w:val="24"/>
            <w:szCs w:val="24"/>
          </w:rPr>
          <m:t>elativ</m:t>
        </m:r>
        <m:r>
          <m:rPr>
            <m:sty m:val="p"/>
          </m:rPr>
          <w:rPr>
            <w:rFonts w:ascii="Cambria Math" w:hAnsi="Cambria Math" w:cs="Arial"/>
            <w:color w:val="000000" w:themeColor="text1"/>
            <w:sz w:val="24"/>
            <w:szCs w:val="24"/>
          </w:rPr>
          <m:t>e</m:t>
        </m:r>
        <m:r>
          <w:rPr>
            <w:rFonts w:ascii="Cambria Math" w:hAnsi="Cambria Math" w:cs="Arial"/>
            <w:color w:val="000000" w:themeColor="text1"/>
            <w:sz w:val="24"/>
            <w:szCs w:val="24"/>
          </w:rPr>
          <m:t> percent difference</m:t>
        </m:r>
        <m:r>
          <m:rPr>
            <m:sty m:val="p"/>
          </m:rPr>
          <w:rPr>
            <w:rFonts w:ascii="Cambria Math" w:hAnsi="Cambria Math" w:cs="Arial"/>
            <w:color w:val="000000" w:themeColor="text1"/>
            <w:sz w:val="24"/>
            <w:szCs w:val="24"/>
          </w:rPr>
          <m:t>=</m:t>
        </m:r>
        <m:f>
          <m:fPr>
            <m:ctrlPr>
              <w:rPr>
                <w:rFonts w:ascii="Cambria Math" w:hAnsi="Cambria Math" w:cs="Arial"/>
                <w:i/>
                <w:iCs/>
                <w:color w:val="000000" w:themeColor="text1"/>
                <w:sz w:val="24"/>
                <w:szCs w:val="24"/>
              </w:rPr>
            </m:ctrlPr>
          </m:fPr>
          <m:num>
            <m:r>
              <w:rPr>
                <w:rFonts w:ascii="Cambria Math" w:hAnsi="Cambria Math" w:cs="Arial"/>
                <w:color w:val="000000" w:themeColor="text1"/>
                <w:sz w:val="24"/>
                <w:szCs w:val="24"/>
              </w:rPr>
              <m:t>x-y</m:t>
            </m:r>
          </m:num>
          <m:den>
            <m:d>
              <m:dPr>
                <m:begChr m:val=""/>
                <m:ctrlPr>
                  <w:rPr>
                    <w:rFonts w:ascii="Cambria Math" w:hAnsi="Cambria Math" w:cs="Arial"/>
                    <w:i/>
                    <w:iCs/>
                    <w:color w:val="000000" w:themeColor="text1"/>
                    <w:sz w:val="24"/>
                    <w:szCs w:val="24"/>
                  </w:rPr>
                </m:ctrlPr>
              </m:dPr>
              <m:e>
                <m:r>
                  <m:rPr>
                    <m:sty m:val="p"/>
                  </m:rPr>
                  <w:rPr>
                    <w:rFonts w:ascii="Cambria Math" w:hAnsi="Cambria Math" w:cs="Arial"/>
                    <w:color w:val="000000" w:themeColor="text1"/>
                    <w:sz w:val="24"/>
                    <w:szCs w:val="24"/>
                  </w:rPr>
                  <m:t>min(</m:t>
                </m:r>
                <m:r>
                  <w:rPr>
                    <w:rFonts w:ascii="Cambria Math" w:hAnsi="Cambria Math" w:cs="Arial"/>
                    <w:color w:val="000000" w:themeColor="text1"/>
                    <w:sz w:val="24"/>
                    <w:szCs w:val="24"/>
                  </w:rPr>
                  <m:t>x</m:t>
                </m:r>
                <m:r>
                  <m:rPr>
                    <m:sty m:val="p"/>
                  </m:rPr>
                  <w:rPr>
                    <w:rFonts w:ascii="Cambria Math" w:hAnsi="Cambria Math" w:cs="Arial"/>
                    <w:color w:val="000000" w:themeColor="text1"/>
                    <w:sz w:val="24"/>
                    <w:szCs w:val="24"/>
                  </w:rPr>
                  <m:t>,</m:t>
                </m:r>
                <m:r>
                  <w:rPr>
                    <w:rFonts w:ascii="Cambria Math" w:hAnsi="Cambria Math" w:cs="Arial"/>
                    <w:color w:val="000000" w:themeColor="text1"/>
                    <w:sz w:val="24"/>
                    <w:szCs w:val="24"/>
                  </w:rPr>
                  <m:t>y</m:t>
                </m:r>
              </m:e>
            </m:d>
          </m:den>
        </m:f>
        <m:r>
          <w:rPr>
            <w:rFonts w:ascii="Cambria Math" w:hAnsi="Cambria Math" w:cs="Arial"/>
            <w:color w:val="000000" w:themeColor="text1"/>
            <w:sz w:val="24"/>
            <w:szCs w:val="24"/>
          </w:rPr>
          <m:t>× 100</m:t>
        </m:r>
      </m:oMath>
    </w:p>
    <w:p w14:paraId="2A427F1D" w14:textId="77777777" w:rsidR="00E36543" w:rsidRPr="00E36543" w:rsidRDefault="00E36543" w:rsidP="00E36543">
      <w:pPr>
        <w:spacing w:after="0" w:line="480" w:lineRule="auto"/>
        <w:jc w:val="both"/>
        <w:rPr>
          <w:rFonts w:ascii="Arial" w:hAnsi="Arial" w:cs="Arial"/>
          <w:color w:val="000000" w:themeColor="text1"/>
          <w:sz w:val="24"/>
          <w:szCs w:val="24"/>
        </w:rPr>
      </w:pPr>
    </w:p>
    <w:p w14:paraId="3B8C3BF2" w14:textId="77777777" w:rsidR="00E36543" w:rsidRDefault="00E36543" w:rsidP="00E36543">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br w:type="page"/>
      </w:r>
    </w:p>
    <w:p w14:paraId="0890982B" w14:textId="2F39129F" w:rsidR="00E36543" w:rsidRDefault="00E36543" w:rsidP="00E36543">
      <w:pPr>
        <w:spacing w:after="0" w:line="480" w:lineRule="auto"/>
        <w:jc w:val="both"/>
        <w:rPr>
          <w:rFonts w:ascii="Arial" w:hAnsi="Arial" w:cs="Arial"/>
          <w:color w:val="000000" w:themeColor="text1"/>
          <w:sz w:val="24"/>
          <w:szCs w:val="24"/>
        </w:rPr>
      </w:pPr>
      <w:r>
        <w:rPr>
          <w:rFonts w:ascii="Arial" w:hAnsi="Arial" w:cs="Arial"/>
          <w:noProof/>
          <w:color w:val="000000" w:themeColor="text1"/>
          <w:sz w:val="24"/>
          <w:szCs w:val="24"/>
        </w:rPr>
        <w:lastRenderedPageBreak/>
        <w:drawing>
          <wp:inline distT="0" distB="0" distL="0" distR="0" wp14:anchorId="261B3425" wp14:editId="75995208">
            <wp:extent cx="4735830" cy="34691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3468" cy="3474755"/>
                    </a:xfrm>
                    <a:prstGeom prst="rect">
                      <a:avLst/>
                    </a:prstGeom>
                    <a:noFill/>
                  </pic:spPr>
                </pic:pic>
              </a:graphicData>
            </a:graphic>
          </wp:inline>
        </w:drawing>
      </w:r>
    </w:p>
    <w:p w14:paraId="517667CC" w14:textId="1691FDB4" w:rsidR="00E36543" w:rsidRPr="00E36543" w:rsidRDefault="00E36543" w:rsidP="00C14937">
      <w:pPr>
        <w:spacing w:after="0" w:line="240" w:lineRule="auto"/>
        <w:jc w:val="both"/>
        <w:rPr>
          <w:rFonts w:ascii="Arial" w:hAnsi="Arial" w:cs="Arial"/>
          <w:color w:val="000000" w:themeColor="text1"/>
          <w:sz w:val="24"/>
          <w:szCs w:val="24"/>
        </w:rPr>
      </w:pPr>
      <w:r w:rsidRPr="00E36543">
        <w:rPr>
          <w:rFonts w:ascii="Arial" w:hAnsi="Arial" w:cs="Arial"/>
          <w:color w:val="000000" w:themeColor="text1"/>
          <w:sz w:val="24"/>
          <w:szCs w:val="24"/>
        </w:rPr>
        <w:t xml:space="preserve">Figure S2: Depiction of MS/MS scans using AIF (red and yellow) and using DDA (white) for two lipid isomers (A and B). An advantage of AIF over data-dependent MS/MS for annotation is that via deconvolution, the correct peak can be assigned to the correct lipid (Figure S1a). In DDA in Figure S1a, if only one MS/MS scan is obtained, there is not enough information to correctly assign which lipid isomer belongs to which peak. If both isomers completely overlap, AIF cannot be used to distinguish the isomers. </w:t>
      </w:r>
    </w:p>
    <w:p w14:paraId="0DE4991F" w14:textId="0D124905" w:rsidR="00C14937" w:rsidRDefault="00C14937" w:rsidP="00E36543">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br w:type="page"/>
      </w:r>
    </w:p>
    <w:p w14:paraId="1187FB4B" w14:textId="2F011D42" w:rsidR="00E36543" w:rsidRDefault="00FE0F33" w:rsidP="00E36543">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pict w14:anchorId="653DD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14.75pt">
            <v:imagedata r:id="rId10" o:title="Figure3"/>
          </v:shape>
        </w:pict>
      </w:r>
    </w:p>
    <w:p w14:paraId="10885AB3" w14:textId="1D435DF9" w:rsid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 xml:space="preserve">Figure </w:t>
      </w:r>
      <w:r>
        <w:rPr>
          <w:rFonts w:ascii="Arial" w:hAnsi="Arial" w:cs="Arial"/>
          <w:color w:val="000000" w:themeColor="text1"/>
          <w:sz w:val="24"/>
          <w:szCs w:val="24"/>
        </w:rPr>
        <w:t>S</w:t>
      </w:r>
      <w:r w:rsidRPr="00C14937">
        <w:rPr>
          <w:rFonts w:ascii="Arial" w:hAnsi="Arial" w:cs="Arial"/>
          <w:color w:val="000000" w:themeColor="text1"/>
          <w:sz w:val="24"/>
          <w:szCs w:val="24"/>
        </w:rPr>
        <w:t>3: Examples of extracted mass chromatograms for the precursors and fragments of PC(16:0_20:4) and PC(18:2_20:4) as protonated and formate adducts in positive and negative mode, respectively. Fragmentation was obtained by AIF and shows correlation of the elution profile of precursor and fragments for both species. The bold retention time values represent the precursor or precursor fragments, while non-bold represent fragments from the precursor in the adjacent panel.</w:t>
      </w:r>
    </w:p>
    <w:p w14:paraId="58CC33DC" w14:textId="4DD8CDA2" w:rsidR="00C14937" w:rsidRDefault="00C14937" w:rsidP="00C149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br w:type="page"/>
      </w:r>
    </w:p>
    <w:p w14:paraId="1155A263" w14:textId="77777777" w:rsidR="00C14937" w:rsidRDefault="00C14937" w:rsidP="00C14937">
      <w:pPr>
        <w:spacing w:after="0" w:line="240" w:lineRule="auto"/>
        <w:jc w:val="both"/>
        <w:rPr>
          <w:rFonts w:ascii="Arial" w:hAnsi="Arial" w:cs="Arial"/>
          <w:color w:val="000000" w:themeColor="text1"/>
          <w:sz w:val="24"/>
          <w:szCs w:val="24"/>
        </w:rPr>
      </w:pPr>
      <w:r>
        <w:rPr>
          <w:rFonts w:ascii="Arial" w:hAnsi="Arial" w:cs="Arial"/>
          <w:noProof/>
          <w:color w:val="000000" w:themeColor="text1"/>
          <w:sz w:val="24"/>
          <w:szCs w:val="24"/>
        </w:rPr>
        <w:lastRenderedPageBreak/>
        <w:drawing>
          <wp:inline distT="0" distB="0" distL="0" distR="0" wp14:anchorId="0F050F8F" wp14:editId="1C85D86F">
            <wp:extent cx="3892550" cy="759459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6329" cy="7601965"/>
                    </a:xfrm>
                    <a:prstGeom prst="rect">
                      <a:avLst/>
                    </a:prstGeom>
                    <a:noFill/>
                  </pic:spPr>
                </pic:pic>
              </a:graphicData>
            </a:graphic>
          </wp:inline>
        </w:drawing>
      </w:r>
    </w:p>
    <w:p w14:paraId="75EFAE85" w14:textId="2D4D9FA7" w:rsid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Figure S</w:t>
      </w:r>
      <w:r>
        <w:rPr>
          <w:rFonts w:ascii="Arial" w:hAnsi="Arial" w:cs="Arial"/>
          <w:color w:val="000000" w:themeColor="text1"/>
          <w:sz w:val="24"/>
          <w:szCs w:val="24"/>
        </w:rPr>
        <w:t>4</w:t>
      </w:r>
      <w:r w:rsidRPr="00C14937">
        <w:rPr>
          <w:rFonts w:ascii="Arial" w:hAnsi="Arial" w:cs="Arial"/>
          <w:color w:val="000000" w:themeColor="text1"/>
          <w:sz w:val="24"/>
          <w:szCs w:val="24"/>
        </w:rPr>
        <w:t>: Extracted ion chromatograms (EICs) and</w:t>
      </w:r>
      <w:r>
        <w:rPr>
          <w:rFonts w:ascii="Arial" w:hAnsi="Arial" w:cs="Arial"/>
          <w:color w:val="000000" w:themeColor="text1"/>
          <w:sz w:val="24"/>
          <w:szCs w:val="24"/>
        </w:rPr>
        <w:t xml:space="preserve"> peak integration by MZmine of </w:t>
      </w:r>
      <w:r w:rsidRPr="00C14937">
        <w:rPr>
          <w:rFonts w:ascii="Arial" w:hAnsi="Arial" w:cs="Arial"/>
          <w:color w:val="000000" w:themeColor="text1"/>
          <w:sz w:val="24"/>
          <w:szCs w:val="24"/>
        </w:rPr>
        <w:t xml:space="preserve">the triglycerides (TGs) with the most (Figure </w:t>
      </w:r>
      <w:r>
        <w:rPr>
          <w:rFonts w:ascii="Arial" w:hAnsi="Arial" w:cs="Arial"/>
          <w:color w:val="000000" w:themeColor="text1"/>
          <w:sz w:val="24"/>
          <w:szCs w:val="24"/>
        </w:rPr>
        <w:t>4</w:t>
      </w:r>
      <w:r w:rsidRPr="00C14937">
        <w:rPr>
          <w:rFonts w:ascii="Arial" w:hAnsi="Arial" w:cs="Arial"/>
          <w:color w:val="000000" w:themeColor="text1"/>
          <w:sz w:val="24"/>
          <w:szCs w:val="24"/>
        </w:rPr>
        <w:t xml:space="preserve">a) and least (Figure </w:t>
      </w:r>
      <w:r>
        <w:rPr>
          <w:rFonts w:ascii="Arial" w:hAnsi="Arial" w:cs="Arial"/>
          <w:color w:val="000000" w:themeColor="text1"/>
          <w:sz w:val="24"/>
          <w:szCs w:val="24"/>
        </w:rPr>
        <w:t xml:space="preserve">4b) percent </w:t>
      </w:r>
      <w:r w:rsidRPr="00C14937">
        <w:rPr>
          <w:rFonts w:ascii="Arial" w:hAnsi="Arial" w:cs="Arial"/>
          <w:color w:val="000000" w:themeColor="text1"/>
          <w:sz w:val="24"/>
          <w:szCs w:val="24"/>
        </w:rPr>
        <w:t>difference when comparing quantitation using peak height versus peak area.</w:t>
      </w:r>
      <w:r>
        <w:rPr>
          <w:rFonts w:ascii="Arial" w:hAnsi="Arial" w:cs="Arial"/>
          <w:color w:val="000000" w:themeColor="text1"/>
          <w:sz w:val="24"/>
          <w:szCs w:val="24"/>
        </w:rPr>
        <w:br w:type="page"/>
      </w:r>
    </w:p>
    <w:p w14:paraId="15F2A6E2" w14:textId="214E6829" w:rsidR="00C14937" w:rsidRDefault="00C14937" w:rsidP="00C14937">
      <w:pPr>
        <w:spacing w:after="0" w:line="240" w:lineRule="auto"/>
        <w:jc w:val="both"/>
        <w:rPr>
          <w:rFonts w:ascii="Arial" w:hAnsi="Arial" w:cs="Arial"/>
          <w:color w:val="000000" w:themeColor="text1"/>
          <w:sz w:val="24"/>
          <w:szCs w:val="24"/>
        </w:rPr>
      </w:pPr>
      <w:r>
        <w:rPr>
          <w:rFonts w:ascii="Arial" w:hAnsi="Arial" w:cs="Arial"/>
          <w:noProof/>
          <w:color w:val="000000" w:themeColor="text1"/>
          <w:sz w:val="24"/>
          <w:szCs w:val="24"/>
        </w:rPr>
        <w:lastRenderedPageBreak/>
        <w:drawing>
          <wp:inline distT="0" distB="0" distL="0" distR="0" wp14:anchorId="62F58912" wp14:editId="2EC6F269">
            <wp:extent cx="5724525" cy="594423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5944235"/>
                    </a:xfrm>
                    <a:prstGeom prst="rect">
                      <a:avLst/>
                    </a:prstGeom>
                    <a:noFill/>
                  </pic:spPr>
                </pic:pic>
              </a:graphicData>
            </a:graphic>
          </wp:inline>
        </w:drawing>
      </w:r>
    </w:p>
    <w:p w14:paraId="7E0CC80B" w14:textId="2BE32A63" w:rsid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Figure S</w:t>
      </w:r>
      <w:r>
        <w:rPr>
          <w:rFonts w:ascii="Arial" w:hAnsi="Arial" w:cs="Arial"/>
          <w:color w:val="000000" w:themeColor="text1"/>
          <w:sz w:val="24"/>
          <w:szCs w:val="24"/>
        </w:rPr>
        <w:t>5</w:t>
      </w:r>
      <w:r w:rsidRPr="00C14937">
        <w:rPr>
          <w:rFonts w:ascii="Arial" w:hAnsi="Arial" w:cs="Arial"/>
          <w:color w:val="000000" w:themeColor="text1"/>
          <w:sz w:val="24"/>
          <w:szCs w:val="24"/>
        </w:rPr>
        <w:t>: Extracted ion chromatograms (EICs) of PC(16:0_20:5) and PC(18:0_20:4) (the predominant peak at 7.16 and 8.34, respectively). Peaks had similar looking EICs in negative and positive mode, but very different percent differences in concentration between the two polarities, although the same molecular lipid was used for quantification.</w:t>
      </w:r>
    </w:p>
    <w:p w14:paraId="44DDD0C3" w14:textId="3B0213D6" w:rsidR="00C14937" w:rsidRDefault="00C14937" w:rsidP="00C149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br w:type="page"/>
      </w:r>
    </w:p>
    <w:p w14:paraId="7B3E013E" w14:textId="0C3BCA37" w:rsidR="00C14937" w:rsidRDefault="00C14937" w:rsidP="00C14937">
      <w:pPr>
        <w:spacing w:after="0" w:line="480" w:lineRule="auto"/>
        <w:jc w:val="both"/>
        <w:rPr>
          <w:rFonts w:ascii="Arial" w:hAnsi="Arial" w:cs="Arial"/>
          <w:i/>
          <w:color w:val="000000" w:themeColor="text1"/>
          <w:sz w:val="24"/>
          <w:szCs w:val="24"/>
        </w:rPr>
      </w:pPr>
      <w:r w:rsidRPr="004C498F">
        <w:rPr>
          <w:rFonts w:ascii="Arial" w:hAnsi="Arial" w:cs="Arial"/>
          <w:i/>
          <w:color w:val="000000" w:themeColor="text1"/>
          <w:sz w:val="24"/>
          <w:szCs w:val="24"/>
        </w:rPr>
        <w:lastRenderedPageBreak/>
        <w:t xml:space="preserve">Supplemental </w:t>
      </w:r>
      <w:r>
        <w:rPr>
          <w:rFonts w:ascii="Arial" w:hAnsi="Arial" w:cs="Arial"/>
          <w:i/>
          <w:color w:val="000000" w:themeColor="text1"/>
          <w:sz w:val="24"/>
          <w:szCs w:val="24"/>
        </w:rPr>
        <w:t>Tables</w:t>
      </w:r>
      <w:r w:rsidRPr="004C498F">
        <w:rPr>
          <w:rFonts w:ascii="Arial" w:hAnsi="Arial" w:cs="Arial"/>
          <w:i/>
          <w:color w:val="000000" w:themeColor="text1"/>
          <w:sz w:val="24"/>
          <w:szCs w:val="24"/>
        </w:rPr>
        <w:t>:</w:t>
      </w:r>
    </w:p>
    <w:p w14:paraId="5D7264FB" w14:textId="77777777" w:rsidR="00C14937" w:rsidRPr="004C498F" w:rsidRDefault="00C14937" w:rsidP="00C14937">
      <w:pPr>
        <w:spacing w:after="0" w:line="480" w:lineRule="auto"/>
        <w:jc w:val="both"/>
        <w:rPr>
          <w:rFonts w:ascii="Arial" w:hAnsi="Arial" w:cs="Arial"/>
          <w:i/>
          <w:color w:val="000000" w:themeColor="text1"/>
          <w:sz w:val="24"/>
          <w:szCs w:val="24"/>
        </w:rPr>
      </w:pPr>
    </w:p>
    <w:p w14:paraId="67A45D9A" w14:textId="01C155C4" w:rsidR="00C14937" w:rsidRDefault="00C14937" w:rsidP="00C14937">
      <w:pPr>
        <w:spacing w:after="0" w:line="240" w:lineRule="auto"/>
        <w:jc w:val="both"/>
        <w:rPr>
          <w:rFonts w:ascii="Arial" w:hAnsi="Arial" w:cs="Arial"/>
          <w:color w:val="000000" w:themeColor="text1"/>
          <w:sz w:val="24"/>
          <w:szCs w:val="24"/>
        </w:rPr>
      </w:pPr>
      <w:r>
        <w:rPr>
          <w:noProof/>
        </w:rPr>
        <w:drawing>
          <wp:inline distT="0" distB="0" distL="0" distR="0" wp14:anchorId="40B9D402" wp14:editId="32D9C697">
            <wp:extent cx="5943600" cy="718820"/>
            <wp:effectExtent l="0" t="0" r="0" b="5080"/>
            <wp:docPr id="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5943600" cy="718820"/>
                    </a:xfrm>
                    <a:prstGeom prst="rect">
                      <a:avLst/>
                    </a:prstGeom>
                  </pic:spPr>
                </pic:pic>
              </a:graphicData>
            </a:graphic>
          </wp:inline>
        </w:drawing>
      </w:r>
    </w:p>
    <w:p w14:paraId="2DF0E368" w14:textId="612BBC09" w:rsid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 xml:space="preserve">Table S-1: Gradient for reverse phase liquid chromatography of lipids. Mobile phase C consisted of 60:40 acetonitrile:water and mobile phase D consisted of 90:8:2 isopropanol:acetonitrile:water, with both containing 0.1% formic acid 10 mM ammonium formate. The flow rate was 500 µL/min.  </w:t>
      </w:r>
    </w:p>
    <w:p w14:paraId="3FB96B1C" w14:textId="77777777" w:rsidR="00C14937" w:rsidRDefault="00C14937" w:rsidP="00C14937">
      <w:pPr>
        <w:spacing w:after="0" w:line="240" w:lineRule="auto"/>
        <w:jc w:val="both"/>
        <w:rPr>
          <w:rFonts w:ascii="Arial" w:hAnsi="Arial" w:cs="Arial"/>
          <w:color w:val="000000" w:themeColor="text1"/>
          <w:sz w:val="24"/>
          <w:szCs w:val="24"/>
        </w:rPr>
      </w:pPr>
    </w:p>
    <w:p w14:paraId="474EE8EA" w14:textId="77777777" w:rsidR="00C14937" w:rsidRDefault="00C14937" w:rsidP="00C14937">
      <w:pPr>
        <w:spacing w:after="0" w:line="240" w:lineRule="auto"/>
        <w:jc w:val="both"/>
        <w:rPr>
          <w:rFonts w:ascii="Arial" w:hAnsi="Arial" w:cs="Arial"/>
          <w:color w:val="000000" w:themeColor="text1"/>
          <w:sz w:val="24"/>
          <w:szCs w:val="24"/>
        </w:rPr>
      </w:pPr>
    </w:p>
    <w:p w14:paraId="394A2762" w14:textId="77777777" w:rsidR="00C14937" w:rsidRDefault="00C14937" w:rsidP="00C14937">
      <w:pPr>
        <w:spacing w:after="0" w:line="240" w:lineRule="auto"/>
        <w:jc w:val="both"/>
        <w:rPr>
          <w:rFonts w:ascii="Arial" w:hAnsi="Arial" w:cs="Arial"/>
          <w:color w:val="000000" w:themeColor="text1"/>
          <w:sz w:val="24"/>
          <w:szCs w:val="24"/>
        </w:rPr>
      </w:pPr>
    </w:p>
    <w:p w14:paraId="6CD5B44A" w14:textId="77777777" w:rsidR="00C14937" w:rsidRDefault="00C14937" w:rsidP="00C14937">
      <w:pPr>
        <w:spacing w:after="0" w:line="240" w:lineRule="auto"/>
        <w:jc w:val="both"/>
        <w:rPr>
          <w:rFonts w:ascii="Arial" w:hAnsi="Arial" w:cs="Arial"/>
          <w:color w:val="000000" w:themeColor="text1"/>
          <w:sz w:val="24"/>
          <w:szCs w:val="24"/>
        </w:rPr>
      </w:pPr>
    </w:p>
    <w:p w14:paraId="65D9845A" w14:textId="77777777" w:rsidR="00C14937" w:rsidRDefault="00C14937" w:rsidP="00C14937">
      <w:pPr>
        <w:spacing w:after="0" w:line="240" w:lineRule="auto"/>
        <w:jc w:val="both"/>
        <w:rPr>
          <w:rFonts w:ascii="Arial" w:hAnsi="Arial" w:cs="Arial"/>
          <w:color w:val="000000" w:themeColor="text1"/>
          <w:sz w:val="24"/>
          <w:szCs w:val="24"/>
        </w:rPr>
      </w:pPr>
    </w:p>
    <w:p w14:paraId="64B75DCA" w14:textId="3D362AE2" w:rsidR="00C14937" w:rsidRDefault="00C14937" w:rsidP="00C14937">
      <w:pPr>
        <w:spacing w:after="0" w:line="240" w:lineRule="auto"/>
        <w:jc w:val="both"/>
        <w:rPr>
          <w:rFonts w:ascii="Arial" w:hAnsi="Arial" w:cs="Arial"/>
          <w:color w:val="000000" w:themeColor="text1"/>
          <w:sz w:val="24"/>
          <w:szCs w:val="24"/>
        </w:rPr>
      </w:pPr>
      <w:r>
        <w:rPr>
          <w:noProof/>
        </w:rPr>
        <w:drawing>
          <wp:inline distT="0" distB="0" distL="0" distR="0" wp14:anchorId="6217EEA0" wp14:editId="6288D449">
            <wp:extent cx="4997450" cy="1636198"/>
            <wp:effectExtent l="0" t="0" r="0" b="254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stretch>
                      <a:fillRect/>
                    </a:stretch>
                  </pic:blipFill>
                  <pic:spPr>
                    <a:xfrm>
                      <a:off x="0" y="0"/>
                      <a:ext cx="5008827" cy="1639923"/>
                    </a:xfrm>
                    <a:prstGeom prst="rect">
                      <a:avLst/>
                    </a:prstGeom>
                  </pic:spPr>
                </pic:pic>
              </a:graphicData>
            </a:graphic>
          </wp:inline>
        </w:drawing>
      </w:r>
    </w:p>
    <w:p w14:paraId="3644D374" w14:textId="53F89036" w:rsid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 xml:space="preserve">Table S-2: Mass spectrum scan parameters. Acronyms are automatic gain control (AGC), all-ion fragmentation (AIF), normalized collision energy (NCE), and targeted tandem mass spectrometry (Targeted MS2).  </w:t>
      </w:r>
    </w:p>
    <w:p w14:paraId="7103F420" w14:textId="69DC6966" w:rsidR="00C14937" w:rsidRDefault="00C14937" w:rsidP="00C149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br w:type="page"/>
      </w:r>
    </w:p>
    <w:p w14:paraId="47C46737" w14:textId="19AF4343" w:rsid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lastRenderedPageBreak/>
        <w:t>Table S3: The relative percent difference between quantificat</w:t>
      </w:r>
      <w:r>
        <w:rPr>
          <w:rFonts w:ascii="Arial" w:hAnsi="Arial" w:cs="Arial"/>
          <w:color w:val="000000" w:themeColor="text1"/>
          <w:sz w:val="24"/>
          <w:szCs w:val="24"/>
        </w:rPr>
        <w:t xml:space="preserve">ion using different methods or </w:t>
      </w:r>
      <w:r w:rsidRPr="00C14937">
        <w:rPr>
          <w:rFonts w:ascii="Arial" w:hAnsi="Arial" w:cs="Arial"/>
          <w:color w:val="000000" w:themeColor="text1"/>
          <w:sz w:val="24"/>
          <w:szCs w:val="24"/>
        </w:rPr>
        <w:t>ions</w:t>
      </w:r>
    </w:p>
    <w:p w14:paraId="73B42F30" w14:textId="77777777" w:rsidR="00C14937" w:rsidRDefault="00C14937" w:rsidP="00C14937">
      <w:pPr>
        <w:spacing w:after="0" w:line="240" w:lineRule="auto"/>
        <w:jc w:val="both"/>
        <w:rPr>
          <w:rFonts w:ascii="Arial" w:hAnsi="Arial" w:cs="Arial"/>
          <w:color w:val="000000" w:themeColor="text1"/>
          <w:sz w:val="24"/>
          <w:szCs w:val="24"/>
        </w:rPr>
      </w:pPr>
    </w:p>
    <w:p w14:paraId="62833A13" w14:textId="445837F0" w:rsidR="00C14937" w:rsidRDefault="00C14937" w:rsidP="00C14937">
      <w:pPr>
        <w:spacing w:after="0" w:line="240" w:lineRule="auto"/>
        <w:jc w:val="both"/>
        <w:rPr>
          <w:rFonts w:ascii="Arial" w:hAnsi="Arial" w:cs="Arial"/>
          <w:color w:val="000000" w:themeColor="text1"/>
          <w:sz w:val="24"/>
          <w:szCs w:val="24"/>
        </w:rPr>
      </w:pPr>
      <w:r>
        <w:rPr>
          <w:noProof/>
        </w:rPr>
        <w:drawing>
          <wp:inline distT="0" distB="0" distL="0" distR="0" wp14:anchorId="0766BF11" wp14:editId="39062694">
            <wp:extent cx="5943600" cy="5419725"/>
            <wp:effectExtent l="0" t="0" r="0"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5943600" cy="5419725"/>
                    </a:xfrm>
                    <a:prstGeom prst="rect">
                      <a:avLst/>
                    </a:prstGeom>
                  </pic:spPr>
                </pic:pic>
              </a:graphicData>
            </a:graphic>
          </wp:inline>
        </w:drawing>
      </w:r>
    </w:p>
    <w:p w14:paraId="3C02C4AC" w14:textId="77777777" w:rsidR="00C14937" w:rsidRDefault="00C14937" w:rsidP="00C14937">
      <w:pPr>
        <w:spacing w:after="0" w:line="240" w:lineRule="auto"/>
        <w:jc w:val="both"/>
        <w:rPr>
          <w:rFonts w:ascii="Arial" w:hAnsi="Arial" w:cs="Arial"/>
          <w:color w:val="000000" w:themeColor="text1"/>
          <w:sz w:val="24"/>
          <w:szCs w:val="24"/>
        </w:rPr>
      </w:pPr>
    </w:p>
    <w:p w14:paraId="2599459D"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Please see the table of acronyms for lipids.</w:t>
      </w:r>
    </w:p>
    <w:p w14:paraId="04105DA6"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*The number of species identified by both methods or ions</w:t>
      </w:r>
    </w:p>
    <w:p w14:paraId="02E552F8"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 xml:space="preserve">**The average ± standard deviation of the absolute relative percent difference </w:t>
      </w:r>
    </w:p>
    <w:p w14:paraId="32ACA745"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***The median relative percent difference (see formula * for calculation of difference)</w:t>
      </w:r>
    </w:p>
    <w:p w14:paraId="2499DE3C"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****The following ratios were used: smooth/not, height/area, pos/neg, and major/[M+Na]</w:t>
      </w:r>
      <w:r w:rsidRPr="00C14937">
        <w:rPr>
          <w:rFonts w:ascii="Arial" w:hAnsi="Arial" w:cs="Arial"/>
          <w:color w:val="000000" w:themeColor="text1"/>
          <w:sz w:val="24"/>
          <w:szCs w:val="24"/>
          <w:vertAlign w:val="superscript"/>
        </w:rPr>
        <w:t>+</w:t>
      </w:r>
    </w:p>
    <w:p w14:paraId="7177EDD8" w14:textId="22342F79" w:rsidR="00C14937" w:rsidRDefault="00C14937" w:rsidP="00C14937">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br w:type="page"/>
      </w:r>
    </w:p>
    <w:p w14:paraId="799C9599" w14:textId="45F54847" w:rsid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lastRenderedPageBreak/>
        <w:t>Table S3: The relative percent difference between quantifica</w:t>
      </w:r>
      <w:r>
        <w:rPr>
          <w:rFonts w:ascii="Arial" w:hAnsi="Arial" w:cs="Arial"/>
          <w:color w:val="000000" w:themeColor="text1"/>
          <w:sz w:val="24"/>
          <w:szCs w:val="24"/>
        </w:rPr>
        <w:t>tion using different methods or</w:t>
      </w:r>
      <w:r w:rsidRPr="00C14937">
        <w:rPr>
          <w:rFonts w:ascii="Arial" w:hAnsi="Arial" w:cs="Arial"/>
          <w:color w:val="000000" w:themeColor="text1"/>
          <w:sz w:val="24"/>
          <w:szCs w:val="24"/>
        </w:rPr>
        <w:t xml:space="preserve"> ions</w:t>
      </w:r>
      <w:r>
        <w:rPr>
          <w:rFonts w:ascii="Arial" w:hAnsi="Arial" w:cs="Arial"/>
          <w:color w:val="000000" w:themeColor="text1"/>
          <w:sz w:val="24"/>
          <w:szCs w:val="24"/>
        </w:rPr>
        <w:t xml:space="preserve"> (continued)</w:t>
      </w:r>
    </w:p>
    <w:p w14:paraId="10FC9BE5" w14:textId="77777777" w:rsidR="00C14937" w:rsidRDefault="00C14937" w:rsidP="00C14937">
      <w:pPr>
        <w:spacing w:after="0" w:line="240" w:lineRule="auto"/>
        <w:jc w:val="both"/>
        <w:rPr>
          <w:rFonts w:ascii="Arial" w:hAnsi="Arial" w:cs="Arial"/>
          <w:color w:val="000000" w:themeColor="text1"/>
          <w:sz w:val="24"/>
          <w:szCs w:val="24"/>
        </w:rPr>
      </w:pPr>
    </w:p>
    <w:p w14:paraId="6DE2AC73" w14:textId="0EB3CA12" w:rsidR="00C14937" w:rsidRDefault="00C14937" w:rsidP="00C14937">
      <w:pPr>
        <w:spacing w:after="0" w:line="240" w:lineRule="auto"/>
        <w:jc w:val="both"/>
        <w:rPr>
          <w:rFonts w:ascii="Arial" w:hAnsi="Arial" w:cs="Arial"/>
          <w:color w:val="000000" w:themeColor="text1"/>
          <w:sz w:val="24"/>
          <w:szCs w:val="24"/>
        </w:rPr>
      </w:pPr>
      <w:r>
        <w:rPr>
          <w:noProof/>
        </w:rPr>
        <w:drawing>
          <wp:inline distT="0" distB="0" distL="0" distR="0" wp14:anchorId="225BD295" wp14:editId="23D2D4FE">
            <wp:extent cx="5943600" cy="5324475"/>
            <wp:effectExtent l="0" t="0" r="0" b="952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stretch>
                      <a:fillRect/>
                    </a:stretch>
                  </pic:blipFill>
                  <pic:spPr>
                    <a:xfrm>
                      <a:off x="0" y="0"/>
                      <a:ext cx="5943600" cy="5324475"/>
                    </a:xfrm>
                    <a:prstGeom prst="rect">
                      <a:avLst/>
                    </a:prstGeom>
                  </pic:spPr>
                </pic:pic>
              </a:graphicData>
            </a:graphic>
          </wp:inline>
        </w:drawing>
      </w:r>
    </w:p>
    <w:p w14:paraId="6A41EA83" w14:textId="77777777" w:rsidR="00C14937" w:rsidRDefault="00C14937" w:rsidP="00C14937">
      <w:pPr>
        <w:spacing w:after="0" w:line="240" w:lineRule="auto"/>
        <w:jc w:val="both"/>
        <w:rPr>
          <w:rFonts w:ascii="Arial" w:hAnsi="Arial" w:cs="Arial"/>
          <w:color w:val="000000" w:themeColor="text1"/>
          <w:sz w:val="24"/>
          <w:szCs w:val="24"/>
        </w:rPr>
      </w:pPr>
    </w:p>
    <w:p w14:paraId="7FB32B20"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Please see the table of acronyms for lipids</w:t>
      </w:r>
    </w:p>
    <w:p w14:paraId="178A7326"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*The number of species identified by both m</w:t>
      </w:r>
      <w:bookmarkStart w:id="0" w:name="_GoBack"/>
      <w:bookmarkEnd w:id="0"/>
      <w:r w:rsidRPr="00C14937">
        <w:rPr>
          <w:rFonts w:ascii="Arial" w:hAnsi="Arial" w:cs="Arial"/>
          <w:color w:val="000000" w:themeColor="text1"/>
          <w:sz w:val="24"/>
          <w:szCs w:val="24"/>
        </w:rPr>
        <w:t>ethods or ions (for example there will be a peak</w:t>
      </w:r>
    </w:p>
    <w:p w14:paraId="35702A7C"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height and area for all lipids, but only certain lipids were identified in both polarities)</w:t>
      </w:r>
    </w:p>
    <w:p w14:paraId="2B1A9AEF"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 xml:space="preserve">**The average ± standard deviation of the absolute relative percent difference </w:t>
      </w:r>
    </w:p>
    <w:p w14:paraId="36B68C08" w14:textId="77777777"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***The median relative percent difference (see formula * for calculation of difference)</w:t>
      </w:r>
    </w:p>
    <w:p w14:paraId="32EFDD9C" w14:textId="1426D425" w:rsidR="00C14937" w:rsidRPr="00C14937" w:rsidRDefault="00C14937" w:rsidP="00C14937">
      <w:pPr>
        <w:spacing w:after="0" w:line="240" w:lineRule="auto"/>
        <w:jc w:val="both"/>
        <w:rPr>
          <w:rFonts w:ascii="Arial" w:hAnsi="Arial" w:cs="Arial"/>
          <w:color w:val="000000" w:themeColor="text1"/>
          <w:sz w:val="24"/>
          <w:szCs w:val="24"/>
        </w:rPr>
      </w:pPr>
      <w:r w:rsidRPr="00C14937">
        <w:rPr>
          <w:rFonts w:ascii="Arial" w:hAnsi="Arial" w:cs="Arial"/>
          <w:color w:val="000000" w:themeColor="text1"/>
          <w:sz w:val="24"/>
          <w:szCs w:val="24"/>
        </w:rPr>
        <w:t>****The following ratios were used: smooth/not, height/area, pos/neg, and major/[M+Na]+</w:t>
      </w:r>
    </w:p>
    <w:p w14:paraId="470E0475" w14:textId="77777777" w:rsidR="00C14937" w:rsidRPr="00E36543" w:rsidRDefault="00C14937" w:rsidP="00C14937">
      <w:pPr>
        <w:spacing w:after="0" w:line="240" w:lineRule="auto"/>
        <w:jc w:val="both"/>
        <w:rPr>
          <w:rFonts w:ascii="Arial" w:hAnsi="Arial" w:cs="Arial"/>
          <w:color w:val="000000" w:themeColor="text1"/>
          <w:sz w:val="24"/>
          <w:szCs w:val="24"/>
        </w:rPr>
      </w:pPr>
    </w:p>
    <w:sectPr w:rsidR="00C14937" w:rsidRPr="00E36543">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551FC" w14:textId="77777777" w:rsidR="002458C2" w:rsidRDefault="002458C2" w:rsidP="00540345">
      <w:pPr>
        <w:spacing w:after="0" w:line="240" w:lineRule="auto"/>
      </w:pPr>
      <w:r>
        <w:separator/>
      </w:r>
    </w:p>
  </w:endnote>
  <w:endnote w:type="continuationSeparator" w:id="0">
    <w:p w14:paraId="792E8DF9" w14:textId="77777777" w:rsidR="002458C2" w:rsidRDefault="002458C2" w:rsidP="0054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19502"/>
      <w:docPartObj>
        <w:docPartGallery w:val="Page Numbers (Bottom of Page)"/>
        <w:docPartUnique/>
      </w:docPartObj>
    </w:sdtPr>
    <w:sdtEndPr>
      <w:rPr>
        <w:noProof/>
      </w:rPr>
    </w:sdtEndPr>
    <w:sdtContent>
      <w:p w14:paraId="6CA6E4C5" w14:textId="1D3E5666" w:rsidR="00540345" w:rsidRDefault="00540345">
        <w:pPr>
          <w:pStyle w:val="Footer"/>
          <w:jc w:val="right"/>
        </w:pPr>
        <w:r>
          <w:fldChar w:fldCharType="begin"/>
        </w:r>
        <w:r>
          <w:instrText xml:space="preserve"> PAGE   \* MERGEFORMAT </w:instrText>
        </w:r>
        <w:r>
          <w:fldChar w:fldCharType="separate"/>
        </w:r>
        <w:r w:rsidR="00FE0F33">
          <w:rPr>
            <w:noProof/>
          </w:rPr>
          <w:t>1</w:t>
        </w:r>
        <w:r>
          <w:rPr>
            <w:noProof/>
          </w:rPr>
          <w:fldChar w:fldCharType="end"/>
        </w:r>
      </w:p>
    </w:sdtContent>
  </w:sdt>
  <w:p w14:paraId="05167464" w14:textId="67DB8C6B" w:rsidR="00540345" w:rsidRDefault="00540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61AC0" w14:textId="77777777" w:rsidR="002458C2" w:rsidRDefault="002458C2" w:rsidP="00540345">
      <w:pPr>
        <w:spacing w:after="0" w:line="240" w:lineRule="auto"/>
      </w:pPr>
      <w:r>
        <w:separator/>
      </w:r>
    </w:p>
  </w:footnote>
  <w:footnote w:type="continuationSeparator" w:id="0">
    <w:p w14:paraId="362B5A0A" w14:textId="77777777" w:rsidR="002458C2" w:rsidRDefault="002458C2" w:rsidP="005403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44E"/>
    <w:rsid w:val="000B37CB"/>
    <w:rsid w:val="002458C2"/>
    <w:rsid w:val="002D35F6"/>
    <w:rsid w:val="0047470B"/>
    <w:rsid w:val="004C498F"/>
    <w:rsid w:val="00540345"/>
    <w:rsid w:val="00723314"/>
    <w:rsid w:val="00880E82"/>
    <w:rsid w:val="0092195B"/>
    <w:rsid w:val="009B744E"/>
    <w:rsid w:val="009B7EF2"/>
    <w:rsid w:val="00B0512E"/>
    <w:rsid w:val="00C14937"/>
    <w:rsid w:val="00C5651C"/>
    <w:rsid w:val="00E03C21"/>
    <w:rsid w:val="00E36543"/>
    <w:rsid w:val="00EE424D"/>
    <w:rsid w:val="00F760A7"/>
    <w:rsid w:val="00FE0F33"/>
    <w:rsid w:val="00FF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784AF"/>
  <w15:chartTrackingRefBased/>
  <w15:docId w15:val="{407A9545-5FD4-4826-9455-BCDA122A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937"/>
    <w:pPr>
      <w:spacing w:after="200" w:line="276" w:lineRule="auto"/>
    </w:pPr>
    <w:rPr>
      <w:rFonts w:eastAsia="PMingLiU"/>
    </w:rPr>
  </w:style>
  <w:style w:type="paragraph" w:styleId="Heading2">
    <w:name w:val="heading 2"/>
    <w:basedOn w:val="Normal"/>
    <w:next w:val="Normal"/>
    <w:link w:val="Heading2Char"/>
    <w:uiPriority w:val="9"/>
    <w:unhideWhenUsed/>
    <w:qFormat/>
    <w:rsid w:val="009B744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B74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B744E"/>
    <w:rPr>
      <w:rFonts w:asciiTheme="majorHAnsi" w:eastAsiaTheme="majorEastAsia" w:hAnsiTheme="majorHAnsi" w:cstheme="majorBidi"/>
      <w:color w:val="323E4F" w:themeColor="text2" w:themeShade="BF"/>
      <w:spacing w:val="5"/>
      <w:kern w:val="28"/>
      <w:sz w:val="52"/>
      <w:szCs w:val="52"/>
    </w:rPr>
  </w:style>
  <w:style w:type="character" w:customStyle="1" w:styleId="Heading2Char">
    <w:name w:val="Heading 2 Char"/>
    <w:basedOn w:val="DefaultParagraphFont"/>
    <w:link w:val="Heading2"/>
    <w:uiPriority w:val="9"/>
    <w:rsid w:val="009B744E"/>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rsid w:val="009B74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744E"/>
    <w:rPr>
      <w:color w:val="0563C1" w:themeColor="hyperlink"/>
      <w:u w:val="single"/>
    </w:rPr>
  </w:style>
  <w:style w:type="character" w:styleId="CommentReference">
    <w:name w:val="annotation reference"/>
    <w:basedOn w:val="DefaultParagraphFont"/>
    <w:uiPriority w:val="99"/>
    <w:semiHidden/>
    <w:unhideWhenUsed/>
    <w:rsid w:val="002D35F6"/>
    <w:rPr>
      <w:sz w:val="16"/>
      <w:szCs w:val="16"/>
    </w:rPr>
  </w:style>
  <w:style w:type="paragraph" w:styleId="CommentText">
    <w:name w:val="annotation text"/>
    <w:basedOn w:val="Normal"/>
    <w:link w:val="CommentTextChar"/>
    <w:uiPriority w:val="99"/>
    <w:semiHidden/>
    <w:unhideWhenUsed/>
    <w:rsid w:val="002D35F6"/>
    <w:pPr>
      <w:spacing w:line="240" w:lineRule="auto"/>
    </w:pPr>
    <w:rPr>
      <w:sz w:val="20"/>
      <w:szCs w:val="20"/>
    </w:rPr>
  </w:style>
  <w:style w:type="character" w:customStyle="1" w:styleId="CommentTextChar">
    <w:name w:val="Comment Text Char"/>
    <w:basedOn w:val="DefaultParagraphFont"/>
    <w:link w:val="CommentText"/>
    <w:uiPriority w:val="99"/>
    <w:semiHidden/>
    <w:rsid w:val="002D35F6"/>
    <w:rPr>
      <w:rFonts w:eastAsia="PMingLiU"/>
      <w:sz w:val="20"/>
      <w:szCs w:val="20"/>
    </w:rPr>
  </w:style>
  <w:style w:type="paragraph" w:styleId="CommentSubject">
    <w:name w:val="annotation subject"/>
    <w:basedOn w:val="CommentText"/>
    <w:next w:val="CommentText"/>
    <w:link w:val="CommentSubjectChar"/>
    <w:uiPriority w:val="99"/>
    <w:semiHidden/>
    <w:unhideWhenUsed/>
    <w:rsid w:val="002D35F6"/>
    <w:rPr>
      <w:b/>
      <w:bCs/>
    </w:rPr>
  </w:style>
  <w:style w:type="character" w:customStyle="1" w:styleId="CommentSubjectChar">
    <w:name w:val="Comment Subject Char"/>
    <w:basedOn w:val="CommentTextChar"/>
    <w:link w:val="CommentSubject"/>
    <w:uiPriority w:val="99"/>
    <w:semiHidden/>
    <w:rsid w:val="002D35F6"/>
    <w:rPr>
      <w:rFonts w:eastAsia="PMingLiU"/>
      <w:b/>
      <w:bCs/>
      <w:sz w:val="20"/>
      <w:szCs w:val="20"/>
    </w:rPr>
  </w:style>
  <w:style w:type="paragraph" w:styleId="BalloonText">
    <w:name w:val="Balloon Text"/>
    <w:basedOn w:val="Normal"/>
    <w:link w:val="BalloonTextChar"/>
    <w:uiPriority w:val="99"/>
    <w:semiHidden/>
    <w:unhideWhenUsed/>
    <w:rsid w:val="002D35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5F6"/>
    <w:rPr>
      <w:rFonts w:ascii="Segoe UI" w:eastAsia="PMingLiU" w:hAnsi="Segoe UI" w:cs="Segoe UI"/>
      <w:sz w:val="18"/>
      <w:szCs w:val="18"/>
    </w:rPr>
  </w:style>
  <w:style w:type="paragraph" w:styleId="Header">
    <w:name w:val="header"/>
    <w:basedOn w:val="Normal"/>
    <w:link w:val="HeaderChar"/>
    <w:uiPriority w:val="99"/>
    <w:unhideWhenUsed/>
    <w:rsid w:val="00540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345"/>
    <w:rPr>
      <w:rFonts w:eastAsia="PMingLiU"/>
    </w:rPr>
  </w:style>
  <w:style w:type="paragraph" w:styleId="Footer">
    <w:name w:val="footer"/>
    <w:basedOn w:val="Normal"/>
    <w:link w:val="FooterChar"/>
    <w:uiPriority w:val="99"/>
    <w:unhideWhenUsed/>
    <w:rsid w:val="00540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345"/>
    <w:rPr>
      <w:rFonts w:eastAsia="PMingLiU"/>
    </w:rPr>
  </w:style>
  <w:style w:type="paragraph" w:styleId="Bibliography">
    <w:name w:val="Bibliography"/>
    <w:basedOn w:val="Normal"/>
    <w:next w:val="Normal"/>
    <w:uiPriority w:val="37"/>
    <w:unhideWhenUsed/>
    <w:rsid w:val="00E03C21"/>
    <w:pPr>
      <w:spacing w:after="240" w:line="240" w:lineRule="auto"/>
    </w:pPr>
  </w:style>
  <w:style w:type="paragraph" w:styleId="Revision">
    <w:name w:val="Revision"/>
    <w:hidden/>
    <w:uiPriority w:val="99"/>
    <w:semiHidden/>
    <w:rsid w:val="00723314"/>
    <w:pPr>
      <w:spacing w:line="240" w:lineRule="auto"/>
    </w:pPr>
    <w:rPr>
      <w:rFonts w:eastAsia="PMingLi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7422">
      <w:bodyDiv w:val="1"/>
      <w:marLeft w:val="0"/>
      <w:marRight w:val="0"/>
      <w:marTop w:val="0"/>
      <w:marBottom w:val="0"/>
      <w:divBdr>
        <w:top w:val="none" w:sz="0" w:space="0" w:color="auto"/>
        <w:left w:val="none" w:sz="0" w:space="0" w:color="auto"/>
        <w:bottom w:val="none" w:sz="0" w:space="0" w:color="auto"/>
        <w:right w:val="none" w:sz="0" w:space="0" w:color="auto"/>
      </w:divBdr>
    </w:div>
    <w:div w:id="429814282">
      <w:bodyDiv w:val="1"/>
      <w:marLeft w:val="0"/>
      <w:marRight w:val="0"/>
      <w:marTop w:val="0"/>
      <w:marBottom w:val="0"/>
      <w:divBdr>
        <w:top w:val="none" w:sz="0" w:space="0" w:color="auto"/>
        <w:left w:val="none" w:sz="0" w:space="0" w:color="auto"/>
        <w:bottom w:val="none" w:sz="0" w:space="0" w:color="auto"/>
        <w:right w:val="none" w:sz="0" w:space="0" w:color="auto"/>
      </w:divBdr>
    </w:div>
    <w:div w:id="521012384">
      <w:bodyDiv w:val="1"/>
      <w:marLeft w:val="0"/>
      <w:marRight w:val="0"/>
      <w:marTop w:val="0"/>
      <w:marBottom w:val="0"/>
      <w:divBdr>
        <w:top w:val="none" w:sz="0" w:space="0" w:color="auto"/>
        <w:left w:val="none" w:sz="0" w:space="0" w:color="auto"/>
        <w:bottom w:val="none" w:sz="0" w:space="0" w:color="auto"/>
        <w:right w:val="none" w:sz="0" w:space="0" w:color="auto"/>
      </w:divBdr>
    </w:div>
    <w:div w:id="800654212">
      <w:bodyDiv w:val="1"/>
      <w:marLeft w:val="0"/>
      <w:marRight w:val="0"/>
      <w:marTop w:val="0"/>
      <w:marBottom w:val="0"/>
      <w:divBdr>
        <w:top w:val="none" w:sz="0" w:space="0" w:color="auto"/>
        <w:left w:val="none" w:sz="0" w:space="0" w:color="auto"/>
        <w:bottom w:val="none" w:sz="0" w:space="0" w:color="auto"/>
        <w:right w:val="none" w:sz="0" w:space="0" w:color="auto"/>
      </w:divBdr>
    </w:div>
    <w:div w:id="805509010">
      <w:bodyDiv w:val="1"/>
      <w:marLeft w:val="0"/>
      <w:marRight w:val="0"/>
      <w:marTop w:val="0"/>
      <w:marBottom w:val="0"/>
      <w:divBdr>
        <w:top w:val="none" w:sz="0" w:space="0" w:color="auto"/>
        <w:left w:val="none" w:sz="0" w:space="0" w:color="auto"/>
        <w:bottom w:val="none" w:sz="0" w:space="0" w:color="auto"/>
        <w:right w:val="none" w:sz="0" w:space="0" w:color="auto"/>
      </w:divBdr>
    </w:div>
    <w:div w:id="1006322175">
      <w:bodyDiv w:val="1"/>
      <w:marLeft w:val="0"/>
      <w:marRight w:val="0"/>
      <w:marTop w:val="0"/>
      <w:marBottom w:val="0"/>
      <w:divBdr>
        <w:top w:val="none" w:sz="0" w:space="0" w:color="auto"/>
        <w:left w:val="none" w:sz="0" w:space="0" w:color="auto"/>
        <w:bottom w:val="none" w:sz="0" w:space="0" w:color="auto"/>
        <w:right w:val="none" w:sz="0" w:space="0" w:color="auto"/>
      </w:divBdr>
    </w:div>
    <w:div w:id="143714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67045-2F28-47A9-9B5D-109CA2DCE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6247</Words>
  <Characters>35610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Koelmel</dc:creator>
  <cp:keywords/>
  <dc:description/>
  <cp:lastModifiedBy>Garrett,Timothy J</cp:lastModifiedBy>
  <cp:revision>2</cp:revision>
  <dcterms:created xsi:type="dcterms:W3CDTF">2019-04-08T14:45:00Z</dcterms:created>
  <dcterms:modified xsi:type="dcterms:W3CDTF">2019-04-08T14:45:00Z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id="xzBunb5e"/&gt;&lt;style id="http://www.zotero.org/styles/bmc-bioinformatics" hasBibliography="1" bibliographyStyleHasBeenSet="1"/&gt;&lt;prefs&gt;&lt;pref name="fieldType" value="Field"/&gt;&lt;/prefs&gt;&lt;/data&gt;</vt:lpwstr>
  </property>
</Properties>
</file>