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95" w:type="dxa"/>
        <w:jc w:val="center"/>
        <w:tblCellMar>
          <w:left w:w="70" w:type="dxa"/>
          <w:right w:w="70" w:type="dxa"/>
        </w:tblCellMar>
        <w:tblLook w:val="04A0" w:firstRow="1" w:lastRow="0" w:firstColumn="1" w:lastColumn="0" w:noHBand="0" w:noVBand="1"/>
      </w:tblPr>
      <w:tblGrid>
        <w:gridCol w:w="9095"/>
      </w:tblGrid>
      <w:tr w:rsidR="003922ED" w:rsidRPr="00414A76" w14:paraId="4C87ABF6" w14:textId="77777777" w:rsidTr="00414A76">
        <w:trPr>
          <w:trHeight w:val="309"/>
          <w:jc w:val="center"/>
        </w:trPr>
        <w:tc>
          <w:tcPr>
            <w:tcW w:w="90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AF6B7" w14:textId="6E13A56B" w:rsidR="003922ED" w:rsidRPr="00B36C98" w:rsidRDefault="003922ED" w:rsidP="00072E6F">
            <w:pPr>
              <w:spacing w:after="0" w:line="240" w:lineRule="auto"/>
              <w:rPr>
                <w:rFonts w:ascii="Times New Roman" w:eastAsia="Times New Roman" w:hAnsi="Times New Roman" w:cs="Times New Roman"/>
                <w:b/>
                <w:bCs/>
                <w:i/>
                <w:iCs/>
                <w:color w:val="000000"/>
                <w:lang w:val="en-GB" w:eastAsia="it-IT"/>
              </w:rPr>
            </w:pPr>
            <w:r w:rsidRPr="00B36C98">
              <w:rPr>
                <w:rFonts w:ascii="Times New Roman" w:eastAsia="Times New Roman" w:hAnsi="Times New Roman" w:cs="Times New Roman"/>
                <w:b/>
                <w:bCs/>
                <w:i/>
                <w:iCs/>
                <w:color w:val="000000"/>
                <w:lang w:val="en-GB" w:eastAsia="it-IT"/>
              </w:rPr>
              <w:t xml:space="preserve">Genes* highlighted by </w:t>
            </w:r>
            <w:r w:rsidR="00DC7A1A">
              <w:rPr>
                <w:rFonts w:ascii="Times New Roman" w:eastAsia="Times New Roman" w:hAnsi="Times New Roman" w:cs="Times New Roman"/>
                <w:b/>
                <w:bCs/>
                <w:i/>
                <w:iCs/>
                <w:color w:val="000000"/>
                <w:lang w:val="en-GB" w:eastAsia="it-IT"/>
              </w:rPr>
              <w:t>PANEV</w:t>
            </w:r>
            <w:r w:rsidR="00DC7A1A" w:rsidRPr="00B36C98">
              <w:rPr>
                <w:rFonts w:ascii="Times New Roman" w:eastAsia="Times New Roman" w:hAnsi="Times New Roman" w:cs="Times New Roman"/>
                <w:b/>
                <w:bCs/>
                <w:i/>
                <w:iCs/>
                <w:color w:val="000000"/>
                <w:lang w:val="en-GB" w:eastAsia="it-IT"/>
              </w:rPr>
              <w:t xml:space="preserve"> </w:t>
            </w:r>
            <w:r w:rsidRPr="00B36C98">
              <w:rPr>
                <w:rFonts w:ascii="Times New Roman" w:eastAsia="Times New Roman" w:hAnsi="Times New Roman" w:cs="Times New Roman"/>
                <w:b/>
                <w:bCs/>
                <w:i/>
                <w:iCs/>
                <w:color w:val="000000"/>
                <w:lang w:val="en-GB" w:eastAsia="it-IT"/>
              </w:rPr>
              <w:t>and consistent with main result in</w:t>
            </w:r>
            <w:r w:rsidR="00072E6F">
              <w:rPr>
                <w:rFonts w:ascii="Times New Roman" w:eastAsia="Times New Roman" w:hAnsi="Times New Roman" w:cs="Times New Roman"/>
                <w:b/>
                <w:bCs/>
                <w:i/>
                <w:iCs/>
                <w:color w:val="000000"/>
                <w:lang w:val="en-GB" w:eastAsia="it-IT"/>
              </w:rPr>
              <w:t xml:space="preserve"> reference</w:t>
            </w:r>
            <w:r>
              <w:rPr>
                <w:rFonts w:ascii="Times New Roman" w:hAnsi="Times New Roman" w:cs="Times New Roman"/>
                <w:lang w:val="en-GB"/>
              </w:rPr>
              <w:t xml:space="preserve"> </w:t>
            </w:r>
            <w:r w:rsidRPr="00B36C98">
              <w:rPr>
                <w:rFonts w:ascii="Times New Roman" w:eastAsia="Times New Roman" w:hAnsi="Times New Roman" w:cs="Times New Roman"/>
                <w:b/>
                <w:bCs/>
                <w:i/>
                <w:iCs/>
                <w:color w:val="000000"/>
                <w:lang w:val="en-GB" w:eastAsia="it-IT"/>
              </w:rPr>
              <w:t>study</w:t>
            </w:r>
          </w:p>
        </w:tc>
      </w:tr>
      <w:tr w:rsidR="003922ED" w:rsidRPr="00414A76" w14:paraId="33E14C1B" w14:textId="77777777" w:rsidTr="00414A76">
        <w:trPr>
          <w:trHeight w:val="619"/>
          <w:jc w:val="center"/>
        </w:trPr>
        <w:tc>
          <w:tcPr>
            <w:tcW w:w="9095" w:type="dxa"/>
            <w:tcBorders>
              <w:top w:val="nil"/>
              <w:left w:val="dotted" w:sz="4" w:space="0" w:color="auto"/>
              <w:bottom w:val="dotted" w:sz="4" w:space="0" w:color="auto"/>
              <w:right w:val="dotted" w:sz="4" w:space="0" w:color="auto"/>
            </w:tcBorders>
            <w:shd w:val="clear" w:color="auto" w:fill="auto"/>
            <w:vAlign w:val="center"/>
            <w:hideMark/>
          </w:tcPr>
          <w:p w14:paraId="0BDCE246" w14:textId="5607850C" w:rsidR="003922ED" w:rsidRPr="00B36C98" w:rsidRDefault="003922ED" w:rsidP="001F5FE5">
            <w:pPr>
              <w:spacing w:after="0" w:line="240" w:lineRule="auto"/>
              <w:rPr>
                <w:rFonts w:ascii="Times New Roman" w:eastAsia="Times New Roman" w:hAnsi="Times New Roman" w:cs="Times New Roman"/>
                <w:i/>
                <w:iCs/>
                <w:color w:val="000000"/>
                <w:lang w:val="en-GB" w:eastAsia="it-IT"/>
              </w:rPr>
            </w:pPr>
            <w:bookmarkStart w:id="0" w:name="OLE_LINK1"/>
            <w:r w:rsidRPr="00B36C98">
              <w:rPr>
                <w:rFonts w:ascii="Times New Roman" w:eastAsia="Times New Roman" w:hAnsi="Times New Roman" w:cs="Times New Roman"/>
                <w:i/>
                <w:iCs/>
                <w:color w:val="000000"/>
                <w:lang w:val="en-GB" w:eastAsia="it-IT"/>
              </w:rPr>
              <w:t xml:space="preserve">PTPN11, BCAR1, MYL2 </w:t>
            </w:r>
            <w:r w:rsidRPr="00B36C98">
              <w:rPr>
                <w:rFonts w:ascii="Times New Roman" w:eastAsia="Times New Roman" w:hAnsi="Times New Roman" w:cs="Times New Roman"/>
                <w:iCs/>
                <w:color w:val="000000"/>
                <w:lang w:val="en-GB" w:eastAsia="it-IT"/>
              </w:rPr>
              <w:t>and</w:t>
            </w:r>
            <w:r w:rsidRPr="00B36C98">
              <w:rPr>
                <w:rFonts w:ascii="Times New Roman" w:eastAsia="Times New Roman" w:hAnsi="Times New Roman" w:cs="Times New Roman"/>
                <w:i/>
                <w:iCs/>
                <w:color w:val="000000"/>
                <w:lang w:val="en-GB" w:eastAsia="it-IT"/>
              </w:rPr>
              <w:t xml:space="preserve"> FYN</w:t>
            </w:r>
            <w:bookmarkEnd w:id="0"/>
          </w:p>
        </w:tc>
      </w:tr>
      <w:tr w:rsidR="003922ED" w:rsidRPr="00414A76" w14:paraId="2E15F561" w14:textId="77777777" w:rsidTr="00414A76">
        <w:trPr>
          <w:trHeight w:val="309"/>
          <w:jc w:val="center"/>
        </w:trPr>
        <w:tc>
          <w:tcPr>
            <w:tcW w:w="9095" w:type="dxa"/>
            <w:tcBorders>
              <w:top w:val="nil"/>
              <w:left w:val="nil"/>
              <w:bottom w:val="single" w:sz="4" w:space="0" w:color="auto"/>
              <w:right w:val="nil"/>
            </w:tcBorders>
            <w:shd w:val="clear" w:color="auto" w:fill="auto"/>
            <w:noWrap/>
            <w:vAlign w:val="center"/>
            <w:hideMark/>
          </w:tcPr>
          <w:p w14:paraId="653175E2" w14:textId="5F4EB045" w:rsidR="003922ED" w:rsidRPr="00B36C98" w:rsidRDefault="003922ED" w:rsidP="001F5FE5">
            <w:pPr>
              <w:spacing w:after="0" w:line="240" w:lineRule="auto"/>
              <w:rPr>
                <w:rFonts w:ascii="Times New Roman" w:eastAsia="Times New Roman" w:hAnsi="Times New Roman" w:cs="Times New Roman"/>
                <w:color w:val="000000"/>
                <w:lang w:val="en-GB" w:eastAsia="it-IT"/>
              </w:rPr>
            </w:pPr>
            <w:r w:rsidRPr="00B36C98">
              <w:rPr>
                <w:rFonts w:ascii="Times New Roman" w:eastAsia="Times New Roman" w:hAnsi="Times New Roman" w:cs="Times New Roman"/>
                <w:color w:val="000000"/>
                <w:lang w:val="en-GB" w:eastAsia="it-IT"/>
              </w:rPr>
              <w:t>*</w:t>
            </w:r>
            <w:r w:rsidRPr="00B36C98">
              <w:rPr>
                <w:lang w:val="en-GB"/>
              </w:rPr>
              <w:t xml:space="preserve"> </w:t>
            </w:r>
            <w:r w:rsidRPr="00B36C98">
              <w:rPr>
                <w:rFonts w:ascii="Times New Roman" w:hAnsi="Times New Roman" w:cs="Times New Roman"/>
                <w:lang w:val="en-GB"/>
              </w:rPr>
              <w:t xml:space="preserve">among the 7 </w:t>
            </w:r>
            <w:r w:rsidRPr="00B36C98">
              <w:rPr>
                <w:rFonts w:ascii="Times New Roman" w:eastAsia="Times New Roman" w:hAnsi="Times New Roman" w:cs="Times New Roman"/>
                <w:color w:val="000000"/>
                <w:lang w:val="en-GB" w:eastAsia="it-IT"/>
              </w:rPr>
              <w:t xml:space="preserve">genes validated both in replication and differential expression studies </w:t>
            </w:r>
            <w:r w:rsidR="00072E6F">
              <w:rPr>
                <w:rFonts w:ascii="Times New Roman" w:eastAsia="Times New Roman" w:hAnsi="Times New Roman" w:cs="Times New Roman"/>
                <w:color w:val="000000"/>
                <w:lang w:val="en-GB" w:eastAsia="it-IT"/>
              </w:rPr>
              <w:fldChar w:fldCharType="begin"/>
            </w:r>
            <w:r w:rsidR="00072E6F">
              <w:rPr>
                <w:rFonts w:ascii="Times New Roman" w:eastAsia="Times New Roman" w:hAnsi="Times New Roman" w:cs="Times New Roman"/>
                <w:color w:val="000000"/>
                <w:lang w:val="en-GB" w:eastAsia="it-IT"/>
              </w:rPr>
              <w:instrText xml:space="preserve"> ADDIN ZOTERO_ITEM CSL_CITATION {"citationID":"8gTZj6T5","properties":{"formattedCitation":"(Qiu et al., 2014)","plainCitation":"(Qiu et al., 2014)","noteIndex":0},"citationItems":[{"id":260,"uris":["http://zotero.org/users/local/PmBZs6Ey/items/Q4VTIPPE"],"uri":["http://zotero.org/users/local/PmBZs6Ey/items/Q4VTIPPE"],"itemData":{"id":260,"type":"article-journal","title":"Identification of novel risk genes associated with type 1 diabetes mellitus using a genome-wide gene-based association analysis","container-title":"Journal of Diabetes Investigation","page":"649-656","volume":"5","issue":"6","source":"PubMed","abstract":"AIMS/INTRODUCTION: Type 1 diabetes mellitus is a serious disorder characterized by destruction of pancreatic β-cells, culminating in absolute insulin deficiency. Genetic factors contribute to the susceptibility of type 1 diabetes mellitus. The aim of the present study was to identify more susceptibility genes of type 1 diabetes mellitus.\nMATERIALS AND METHODS: We carried out an initial gene-based genome-wide association study in a total of 4,075 type 1 diabetes mellitus cases and 2,604 controls by using the Gene-based Association Test using Extended Simes procedure. Furthermore, we carried out replication studies, differential expression analysis and functional annotation clustering analysis to support the significance of the identified susceptibility genes.\nRESULTS: We identified 452 genes associated with type 1 diabetes mellitus, even after adapting the genome-wide threshold for significance (P &lt; 9.05E-04). Among these genes, 171 were newly identified for type 1 diabetes mellitus, which were ignored in single-nucleotide polymorphism-based association analysis and were not previously reported. We found that 53 genes have supportive evidence from replication studies and/or differential expression studies. In particular, seven genes including four non-human leukocyte antigen (HLA) genes (RASIP1, STRN4, BCAR1 and MYL2) are replicated in at least one independent population and also differentially expressed in peripheral blood mononuclear cells or monocytes. Furthermore, the associated genes tend to enrich in immune-related pathways or Gene Ontology project terms.\nCONCLUSIONS: The present results suggest the high power of gene-based association analysis in detecting disease-susceptibility genes. Our findings provide more insights into the genetic basis of type 1 diabetes mellitus.","DOI":"10.1111/jdi.12228","ISSN":"2040-1116","journalAbbreviation":"J Diabetes Investig","language":"eng","author":[{"family":"Qiu","given":"Ying-Hua"},{"family":"Deng","given":"Fei-Yan"},{"family":"Li","given":"Min-Jing"},{"family":"Lei","given":"Shu-Feng"}],"issued":{"date-parts":[["2014",11]]}}}],"schema":"https://github.com/citation-style-language/schema/raw/master/csl-citation.json"} </w:instrText>
            </w:r>
            <w:r w:rsidR="00072E6F">
              <w:rPr>
                <w:rFonts w:ascii="Times New Roman" w:eastAsia="Times New Roman" w:hAnsi="Times New Roman" w:cs="Times New Roman"/>
                <w:color w:val="000000"/>
                <w:lang w:val="en-GB" w:eastAsia="it-IT"/>
              </w:rPr>
              <w:fldChar w:fldCharType="separate"/>
            </w:r>
            <w:r w:rsidR="00072E6F" w:rsidRPr="00072E6F">
              <w:rPr>
                <w:rFonts w:ascii="Times New Roman" w:hAnsi="Times New Roman" w:cs="Times New Roman"/>
                <w:lang w:val="en-GB"/>
              </w:rPr>
              <w:t>(</w:t>
            </w:r>
            <w:proofErr w:type="spellStart"/>
            <w:r w:rsidR="00072E6F" w:rsidRPr="00072E6F">
              <w:rPr>
                <w:rFonts w:ascii="Times New Roman" w:hAnsi="Times New Roman" w:cs="Times New Roman"/>
                <w:lang w:val="en-GB"/>
              </w:rPr>
              <w:t>Qiu</w:t>
            </w:r>
            <w:proofErr w:type="spellEnd"/>
            <w:r w:rsidR="00072E6F" w:rsidRPr="00072E6F">
              <w:rPr>
                <w:rFonts w:ascii="Times New Roman" w:hAnsi="Times New Roman" w:cs="Times New Roman"/>
                <w:lang w:val="en-GB"/>
              </w:rPr>
              <w:t xml:space="preserve"> et al., 2014)</w:t>
            </w:r>
            <w:r w:rsidR="00072E6F">
              <w:rPr>
                <w:rFonts w:ascii="Times New Roman" w:eastAsia="Times New Roman" w:hAnsi="Times New Roman" w:cs="Times New Roman"/>
                <w:color w:val="000000"/>
                <w:lang w:val="en-GB" w:eastAsia="it-IT"/>
              </w:rPr>
              <w:fldChar w:fldCharType="end"/>
            </w:r>
          </w:p>
          <w:p w14:paraId="35844348" w14:textId="77777777" w:rsidR="003922ED" w:rsidRPr="00B36C98" w:rsidRDefault="003922ED" w:rsidP="001F5FE5">
            <w:pPr>
              <w:spacing w:after="0" w:line="240" w:lineRule="auto"/>
              <w:rPr>
                <w:rFonts w:ascii="Times New Roman" w:eastAsia="Times New Roman" w:hAnsi="Times New Roman" w:cs="Times New Roman"/>
                <w:color w:val="000000"/>
                <w:lang w:val="en-GB" w:eastAsia="it-IT"/>
              </w:rPr>
            </w:pPr>
          </w:p>
        </w:tc>
      </w:tr>
      <w:tr w:rsidR="003922ED" w:rsidRPr="00414A76" w14:paraId="3004DC4A" w14:textId="77777777" w:rsidTr="00414A76">
        <w:trPr>
          <w:trHeight w:val="619"/>
          <w:jc w:val="center"/>
        </w:trPr>
        <w:tc>
          <w:tcPr>
            <w:tcW w:w="9095" w:type="dxa"/>
            <w:tcBorders>
              <w:top w:val="nil"/>
              <w:left w:val="single" w:sz="4" w:space="0" w:color="auto"/>
              <w:bottom w:val="single" w:sz="4" w:space="0" w:color="auto"/>
              <w:right w:val="single" w:sz="4" w:space="0" w:color="auto"/>
            </w:tcBorders>
            <w:shd w:val="clear" w:color="auto" w:fill="auto"/>
            <w:vAlign w:val="center"/>
            <w:hideMark/>
          </w:tcPr>
          <w:p w14:paraId="1B734403" w14:textId="086E574D" w:rsidR="003922ED" w:rsidRPr="00B36C98" w:rsidRDefault="003922ED" w:rsidP="00072E6F">
            <w:pPr>
              <w:spacing w:after="0" w:line="240" w:lineRule="auto"/>
              <w:rPr>
                <w:rFonts w:ascii="Times New Roman" w:eastAsia="Times New Roman" w:hAnsi="Times New Roman" w:cs="Times New Roman"/>
                <w:b/>
                <w:bCs/>
                <w:i/>
                <w:iCs/>
                <w:color w:val="000000"/>
                <w:lang w:val="en-GB" w:eastAsia="it-IT"/>
              </w:rPr>
            </w:pPr>
            <w:r w:rsidRPr="00B36C98">
              <w:rPr>
                <w:rFonts w:ascii="Times New Roman" w:eastAsia="Times New Roman" w:hAnsi="Times New Roman" w:cs="Times New Roman"/>
                <w:b/>
                <w:bCs/>
                <w:i/>
                <w:iCs/>
                <w:color w:val="000000"/>
                <w:lang w:val="en-GB" w:eastAsia="it-IT"/>
              </w:rPr>
              <w:t xml:space="preserve">Genes* highlighted by </w:t>
            </w:r>
            <w:r w:rsidR="00DC7A1A">
              <w:rPr>
                <w:rFonts w:ascii="Times New Roman" w:eastAsia="Times New Roman" w:hAnsi="Times New Roman" w:cs="Times New Roman"/>
                <w:b/>
                <w:bCs/>
                <w:i/>
                <w:iCs/>
                <w:color w:val="000000"/>
                <w:lang w:val="en-GB" w:eastAsia="it-IT"/>
              </w:rPr>
              <w:t>PANEV</w:t>
            </w:r>
            <w:r w:rsidRPr="00B36C98">
              <w:rPr>
                <w:rFonts w:ascii="Times New Roman" w:eastAsia="Times New Roman" w:hAnsi="Times New Roman" w:cs="Times New Roman"/>
                <w:b/>
                <w:bCs/>
                <w:i/>
                <w:iCs/>
                <w:color w:val="000000"/>
                <w:lang w:val="en-GB" w:eastAsia="it-IT"/>
              </w:rPr>
              <w:t xml:space="preserve">, reported in literature as being associated to the susceptibility to </w:t>
            </w:r>
            <w:r>
              <w:rPr>
                <w:rFonts w:ascii="Times New Roman" w:eastAsia="Times New Roman" w:hAnsi="Times New Roman" w:cs="Times New Roman"/>
                <w:b/>
                <w:bCs/>
                <w:i/>
                <w:iCs/>
                <w:color w:val="000000"/>
                <w:lang w:val="en-GB" w:eastAsia="it-IT"/>
              </w:rPr>
              <w:t>T1DM disease, but not discussed</w:t>
            </w:r>
            <w:r w:rsidRPr="00B36C98">
              <w:rPr>
                <w:rFonts w:ascii="Times New Roman" w:eastAsia="Times New Roman" w:hAnsi="Times New Roman" w:cs="Times New Roman"/>
                <w:b/>
                <w:bCs/>
                <w:i/>
                <w:iCs/>
                <w:color w:val="000000"/>
                <w:lang w:val="en-GB" w:eastAsia="it-IT"/>
              </w:rPr>
              <w:t xml:space="preserve"> in </w:t>
            </w:r>
            <w:r w:rsidR="00072E6F">
              <w:rPr>
                <w:rFonts w:ascii="Times New Roman" w:eastAsia="Times New Roman" w:hAnsi="Times New Roman" w:cs="Times New Roman"/>
                <w:b/>
                <w:bCs/>
                <w:i/>
                <w:iCs/>
                <w:color w:val="000000"/>
                <w:lang w:val="en-GB" w:eastAsia="it-IT"/>
              </w:rPr>
              <w:t>reference study</w:t>
            </w:r>
          </w:p>
        </w:tc>
      </w:tr>
      <w:tr w:rsidR="003922ED" w:rsidRPr="001179D5" w14:paraId="6E83B934" w14:textId="77777777" w:rsidTr="00414A76">
        <w:trPr>
          <w:trHeight w:val="1228"/>
          <w:jc w:val="center"/>
        </w:trPr>
        <w:tc>
          <w:tcPr>
            <w:tcW w:w="9095" w:type="dxa"/>
            <w:tcBorders>
              <w:top w:val="nil"/>
              <w:left w:val="dotted" w:sz="4" w:space="0" w:color="auto"/>
              <w:bottom w:val="dotted" w:sz="4" w:space="0" w:color="auto"/>
              <w:right w:val="dotted" w:sz="4" w:space="0" w:color="auto"/>
            </w:tcBorders>
            <w:shd w:val="clear" w:color="auto" w:fill="auto"/>
            <w:vAlign w:val="center"/>
            <w:hideMark/>
          </w:tcPr>
          <w:p w14:paraId="4583DB60" w14:textId="25427357" w:rsidR="003922ED" w:rsidRPr="00A90715" w:rsidRDefault="003922ED" w:rsidP="00A90715">
            <w:pPr>
              <w:spacing w:after="0" w:line="240" w:lineRule="auto"/>
              <w:rPr>
                <w:rFonts w:ascii="Times New Roman" w:eastAsia="Times New Roman" w:hAnsi="Times New Roman" w:cs="Times New Roman"/>
                <w:color w:val="000000"/>
                <w:lang w:val="en-GB" w:eastAsia="it-IT"/>
              </w:rPr>
            </w:pPr>
            <w:r w:rsidRPr="003922ED">
              <w:rPr>
                <w:rFonts w:ascii="Times New Roman" w:eastAsia="Times New Roman" w:hAnsi="Times New Roman" w:cs="Times New Roman"/>
                <w:i/>
                <w:iCs/>
                <w:color w:val="000000"/>
                <w:lang w:eastAsia="it-IT"/>
              </w:rPr>
              <w:t>ITPR3</w:t>
            </w:r>
            <w:r w:rsidR="00A90715">
              <w:rPr>
                <w:rFonts w:ascii="Times New Roman" w:eastAsia="Times New Roman" w:hAnsi="Times New Roman" w:cs="Times New Roman"/>
                <w:i/>
                <w:iCs/>
                <w:color w:val="000000"/>
                <w:lang w:eastAsia="it-IT"/>
              </w:rPr>
              <w:t xml:space="preserve"> </w:t>
            </w:r>
            <w:r w:rsidR="00A90715">
              <w:rPr>
                <w:rFonts w:ascii="Times New Roman" w:eastAsia="Times New Roman" w:hAnsi="Times New Roman" w:cs="Times New Roman"/>
                <w:i/>
                <w:iCs/>
                <w:color w:val="000000"/>
                <w:lang w:eastAsia="it-IT"/>
              </w:rPr>
              <w:fldChar w:fldCharType="begin"/>
            </w:r>
            <w:r w:rsidR="00A90715">
              <w:rPr>
                <w:rFonts w:ascii="Times New Roman" w:eastAsia="Times New Roman" w:hAnsi="Times New Roman" w:cs="Times New Roman"/>
                <w:i/>
                <w:iCs/>
                <w:color w:val="000000"/>
                <w:lang w:eastAsia="it-IT"/>
              </w:rPr>
              <w:instrText xml:space="preserve"> ADDIN ZOTERO_ITEM CSL_CITATION {"citationID":"xoBtTN7c","properties":{"formattedCitation":"(Qu et al., 2008)","plainCitation":"(Qu et al., 2008)","noteIndex":0},"citationItems":[{"id":352,"uris":["http://zotero.org/users/local/PmBZs6Ey/items/695EG62X"],"uri":["http://zotero.org/users/local/PmBZs6Ey/items/695EG62X"],"itemData":{"id":352,"type":"article-journal","title":"The association between type 1 diabetes and the ITPR3 gene polymorphism due to linkage disequilibrium with HLA class II","container-title":"Genes and Immunity","page":"264-266","volume":"9","issue":"3","source":"PubMed","abstract":"A fine mapping study of the MHC region in a Swedish case-control population sample reported a novel type 1 diabetes (T1D) association from the inositol 1-, 4-, 5-trisphosphate receptor type 3 gene (ITPR3) in a case-control study, reportedly independent of the HLA class II effect. We attempted to replicate this novel association in a family-based study of 1120 T1D families with at least one affected child, an approach immune to population stratification. We found association of the ITPR3 single nucleotide polymorphisms (SNPs) rs2296336 with T1D but in a direction opposite to that reported. Moreover, rs2296336 was in linkage disequilibrium (LD) with specific alleles of the HLA DQB1 gene. Conditional regression showed that all of the ITPR3 SNP T1D association could be accounted for by the DQB1 effect. Therefore, our findings do not support an obvious role of genetic variation of the ITPR3 gene in T1D risk.","DOI":"10.1038/gene.2008.12","ISSN":"1476-5470","journalAbbreviation":"Genes Immun.","language":"eng","author":[{"family":"Qu","given":"H.-Q."},{"family":"Marchand","given":"L."},{"family":"Szymborski","given":"A."},{"family":"Grabs","given":"R."},{"family":"Polychronakos","given":"C."}],"issued":{"date-parts":[["2008",4]]}}}],"schema":"https://github.com/citation-style-language/schema/raw/master/csl-citation.json"} </w:instrText>
            </w:r>
            <w:r w:rsidR="00A90715">
              <w:rPr>
                <w:rFonts w:ascii="Times New Roman" w:eastAsia="Times New Roman" w:hAnsi="Times New Roman" w:cs="Times New Roman"/>
                <w:i/>
                <w:iCs/>
                <w:color w:val="000000"/>
                <w:lang w:eastAsia="it-IT"/>
              </w:rPr>
              <w:fldChar w:fldCharType="separate"/>
            </w:r>
            <w:r w:rsidR="00A90715" w:rsidRPr="00A90715">
              <w:rPr>
                <w:rFonts w:ascii="Times New Roman" w:hAnsi="Times New Roman" w:cs="Times New Roman"/>
              </w:rPr>
              <w:t>(Qu et al., 2008)</w:t>
            </w:r>
            <w:r w:rsidR="00A90715">
              <w:rPr>
                <w:rFonts w:ascii="Times New Roman" w:eastAsia="Times New Roman" w:hAnsi="Times New Roman" w:cs="Times New Roman"/>
                <w:i/>
                <w:iCs/>
                <w:color w:val="000000"/>
                <w:lang w:eastAsia="it-IT"/>
              </w:rPr>
              <w:fldChar w:fldCharType="end"/>
            </w:r>
            <w:r w:rsidRPr="003922ED">
              <w:rPr>
                <w:rFonts w:ascii="Times New Roman" w:eastAsia="Times New Roman" w:hAnsi="Times New Roman" w:cs="Times New Roman"/>
                <w:iCs/>
                <w:color w:val="000000"/>
                <w:lang w:eastAsia="it-IT"/>
              </w:rPr>
              <w:t xml:space="preserve">, </w:t>
            </w:r>
            <w:r w:rsidRPr="003922ED">
              <w:rPr>
                <w:rFonts w:ascii="Times New Roman" w:eastAsia="Times New Roman" w:hAnsi="Times New Roman" w:cs="Times New Roman"/>
                <w:i/>
                <w:iCs/>
                <w:color w:val="000000"/>
                <w:lang w:eastAsia="it-IT"/>
              </w:rPr>
              <w:t xml:space="preserve">BAK1 </w:t>
            </w:r>
            <w:r w:rsidR="00A90715">
              <w:rPr>
                <w:rFonts w:ascii="Times New Roman" w:eastAsia="Times New Roman" w:hAnsi="Times New Roman" w:cs="Times New Roman"/>
                <w:i/>
                <w:iCs/>
                <w:color w:val="000000"/>
                <w:lang w:eastAsia="it-IT"/>
              </w:rPr>
              <w:fldChar w:fldCharType="begin"/>
            </w:r>
            <w:r w:rsidR="00A90715">
              <w:rPr>
                <w:rFonts w:ascii="Times New Roman" w:eastAsia="Times New Roman" w:hAnsi="Times New Roman" w:cs="Times New Roman"/>
                <w:i/>
                <w:iCs/>
                <w:color w:val="000000"/>
                <w:lang w:eastAsia="it-IT"/>
              </w:rPr>
              <w:instrText xml:space="preserve"> ADDIN ZOTERO_ITEM CSL_CITATION {"citationID":"MrgA3UC2","properties":{"formattedCitation":"(Qiu et al., 2014)","plainCitation":"(Qiu et al., 2014)","noteIndex":0},"citationItems":[{"id":260,"uris":["http://zotero.org/users/local/PmBZs6Ey/items/Q4VTIPPE"],"uri":["http://zotero.org/users/local/PmBZs6Ey/items/Q4VTIPPE"],"itemData":{"id":260,"type":"article-journal","title":"Identification of novel risk genes associated with type 1 diabetes mellitus using a genome-wide gene-based association analysis","container-title":"Journal of Diabetes Investigation","page":"649-656","volume":"5","issue":"6","source":"PubMed","abstract":"AIMS/INTRODUCTION: Type 1 diabetes mellitus is a serious disorder characterized by destruction of pancreatic β-cells, culminating in absolute insulin deficiency. Genetic factors contribute to the susceptibility of type 1 diabetes mellitus. The aim of the present study was to identify more susceptibility genes of type 1 diabetes mellitus.\nMATERIALS AND METHODS: We carried out an initial gene-based genome-wide association study in a total of 4,075 type 1 diabetes mellitus cases and 2,604 controls by using the Gene-based Association Test using Extended Simes procedure. Furthermore, we carried out replication studies, differential expression analysis and functional annotation clustering analysis to support the significance of the identified susceptibility genes.\nRESULTS: We identified 452 genes associated with type 1 diabetes mellitus, even after adapting the genome-wide threshold for significance (P &lt; 9.05E-04). Among these genes, 171 were newly identified for type 1 diabetes mellitus, which were ignored in single-nucleotide polymorphism-based association analysis and were not previously reported. We found that 53 genes have supportive evidence from replication studies and/or differential expression studies. In particular, seven genes including four non-human leukocyte antigen (HLA) genes (RASIP1, STRN4, BCAR1 and MYL2) are replicated in at least one independent population and also differentially expressed in peripheral blood mononuclear cells or monocytes. Furthermore, the associated genes tend to enrich in immune-related pathways or Gene Ontology project terms.\nCONCLUSIONS: The present results suggest the high power of gene-based association analysis in detecting disease-susceptibility genes. Our findings provide more insights into the genetic basis of type 1 diabetes mellitus.","DOI":"10.1111/jdi.12228","ISSN":"2040-1116","journalAbbreviation":"J Diabetes Investig","language":"eng","author":[{"family":"Qiu","given":"Ying-Hua"},{"family":"Deng","given":"Fei-Yan"},{"family":"Li","given":"Min-Jing"},{"family":"Lei","given":"Shu-Feng"}],"issued":{"date-parts":[["2014",11]]}}}],"schema":"https://github.com/citation-style-language/schema/raw/master/csl-citation.json"} </w:instrText>
            </w:r>
            <w:r w:rsidR="00A90715">
              <w:rPr>
                <w:rFonts w:ascii="Times New Roman" w:eastAsia="Times New Roman" w:hAnsi="Times New Roman" w:cs="Times New Roman"/>
                <w:i/>
                <w:iCs/>
                <w:color w:val="000000"/>
                <w:lang w:eastAsia="it-IT"/>
              </w:rPr>
              <w:fldChar w:fldCharType="separate"/>
            </w:r>
            <w:r w:rsidR="00A90715" w:rsidRPr="00A90715">
              <w:rPr>
                <w:rFonts w:ascii="Times New Roman" w:hAnsi="Times New Roman" w:cs="Times New Roman"/>
              </w:rPr>
              <w:t>(</w:t>
            </w:r>
            <w:proofErr w:type="spellStart"/>
            <w:r w:rsidR="00A90715" w:rsidRPr="00A90715">
              <w:rPr>
                <w:rFonts w:ascii="Times New Roman" w:hAnsi="Times New Roman" w:cs="Times New Roman"/>
              </w:rPr>
              <w:t>Qiu</w:t>
            </w:r>
            <w:proofErr w:type="spellEnd"/>
            <w:r w:rsidR="00A90715" w:rsidRPr="00A90715">
              <w:rPr>
                <w:rFonts w:ascii="Times New Roman" w:hAnsi="Times New Roman" w:cs="Times New Roman"/>
              </w:rPr>
              <w:t xml:space="preserve"> et al., 2014)</w:t>
            </w:r>
            <w:r w:rsidR="00A90715">
              <w:rPr>
                <w:rFonts w:ascii="Times New Roman" w:eastAsia="Times New Roman" w:hAnsi="Times New Roman" w:cs="Times New Roman"/>
                <w:i/>
                <w:iCs/>
                <w:color w:val="000000"/>
                <w:lang w:eastAsia="it-IT"/>
              </w:rPr>
              <w:fldChar w:fldCharType="end"/>
            </w:r>
            <w:r w:rsidRPr="003922ED">
              <w:rPr>
                <w:rFonts w:ascii="Times New Roman" w:eastAsia="Times New Roman" w:hAnsi="Times New Roman" w:cs="Times New Roman"/>
                <w:iCs/>
                <w:color w:val="000000"/>
                <w:lang w:eastAsia="it-IT"/>
              </w:rPr>
              <w:t xml:space="preserve">, </w:t>
            </w:r>
            <w:r w:rsidRPr="003922ED">
              <w:rPr>
                <w:rFonts w:ascii="Times New Roman" w:eastAsia="Times New Roman" w:hAnsi="Times New Roman" w:cs="Times New Roman"/>
                <w:i/>
                <w:iCs/>
                <w:color w:val="000000"/>
                <w:lang w:eastAsia="it-IT"/>
              </w:rPr>
              <w:t>IL10</w:t>
            </w:r>
            <w:r w:rsidR="00A90715">
              <w:rPr>
                <w:rFonts w:ascii="Times New Roman" w:eastAsia="Times New Roman" w:hAnsi="Times New Roman" w:cs="Times New Roman"/>
                <w:iCs/>
                <w:color w:val="000000"/>
                <w:lang w:eastAsia="it-IT"/>
              </w:rPr>
              <w:t xml:space="preserve"> </w:t>
            </w:r>
            <w:r w:rsidR="00A90715">
              <w:rPr>
                <w:rFonts w:ascii="Times New Roman" w:eastAsia="Times New Roman" w:hAnsi="Times New Roman" w:cs="Times New Roman"/>
                <w:iCs/>
                <w:color w:val="000000"/>
                <w:lang w:eastAsia="it-IT"/>
              </w:rPr>
              <w:fldChar w:fldCharType="begin"/>
            </w:r>
            <w:r w:rsidR="00A90715">
              <w:rPr>
                <w:rFonts w:ascii="Times New Roman" w:eastAsia="Times New Roman" w:hAnsi="Times New Roman" w:cs="Times New Roman"/>
                <w:iCs/>
                <w:color w:val="000000"/>
                <w:lang w:eastAsia="it-IT"/>
              </w:rPr>
              <w:instrText xml:space="preserve"> ADDIN ZOTERO_ITEM CSL_CITATION {"citationID":"A0b1O8ZG","properties":{"formattedCitation":"(Hong et al., 2009)","plainCitation":"(Hong et al., 2009)","noteIndex":0},"citationItems":[{"id":354,"uris":["http://zotero.org/users/local/PmBZs6Ey/items/G8APXC7U"],"uri":["http://zotero.org/users/local/PmBZs6Ey/items/G8APXC7U"],"itemData":{"id":354,"type":"article-journal","title":"Interleukin-10 prevents diet-induced insulin resistance by attenuating macrophage and cytokine response in skeletal muscle","container-title":"Diabetes","page":"2525-2535","volume":"58","issue":"11","source":"PubMed","abstract":"OBJECTIVE: Insulin resistance is a major characteristic of type 2 diabetes and is causally associated with obesity. Inflammation plays an important role in obesity-associated insulin resistance, but the underlying mechanism remains unclear. Interleukin (IL)-10 is an anti-inflammatory cytokine with lower circulating levels in obese subjects, and acute treatment with IL-10 prevents lipid-induced insulin resistance. We examined the role of IL-10 in glucose homeostasis using transgenic mice with muscle-specific overexpression of IL-10 (MCK-IL10).\nRESEARCH DESIGN AND METHODS: MCK-IL10 and wild-type mice were fed a high-fat diet (HFD) for 3 weeks, and insulin sensitivity was determined using hyperinsulinemic-euglycemic clamps in conscious mice. Biochemical and molecular analyses were performed in muscle to assess glucose metabolism, insulin signaling, and inflammatory responses.\nRESULTS: MCK-IL10 mice developed with no obvious anomaly and showed increased whole-body insulin sensitivity. After 3 weeks of HFD, MCK-IL10 mice developed comparable obesity to wild-type littermates but remained insulin sensitive in skeletal muscle. This was mostly due to significant increases in glucose metabolism, insulin receptor substrate-1, and Akt activity in muscle. HFD increased macrophage-specific CD68 and F4/80 levels in wild-type muscle th</w:instrText>
            </w:r>
            <w:r w:rsidR="00A90715" w:rsidRPr="00A90715">
              <w:rPr>
                <w:rFonts w:ascii="Times New Roman" w:eastAsia="Times New Roman" w:hAnsi="Times New Roman" w:cs="Times New Roman"/>
                <w:iCs/>
                <w:color w:val="000000"/>
                <w:lang w:val="en-GB" w:eastAsia="it-IT"/>
              </w:rPr>
              <w:instrText xml:space="preserve">at was associated with marked increases in tumor necrosis factor-alpha, IL-6, and C-C motif chemokine receptor-2 levels. In contrast, MCK-IL10 mice were protected from diet-induced inflammatory response in muscle.\nCONCLUSIONS: These results demonstrate that IL-10 increases insulin sensitivity and protects skeletal muscle from obesity-associated macrophage infiltration, increases in inflammatory cytokines, and their deleterious effects on insulin signaling and glucose metabolism. Our findings provide novel insights into the role of anti-inflammatory cytokine in the treatment of type 2 diabetes.","DOI":"10.2337/db08-1261","ISSN":"1939-327X","journalAbbreviation":"Diabetes","language":"eng","author":[{"family":"Hong","given":"Eun-Gyoung"},{"family":"Ko","given":"Hwi Jin"},{"family":"Cho","given":"You-Ree"},{"family":"Kim","given":"Hyo-Jeong"},{"family":"Ma","given":"Zhexi"},{"family":"Yu","given":"Tim Y."},{"family":"Friedline","given":"Randall H."},{"family":"Kurt-Jones","given":"Evelyn"},{"family":"Finberg","given":"Robert"},{"family":"Fischer","given":"Matthew A."},{"family":"Granger","given":"Erica L."},{"family":"Norbury","given":"Christopher C."},{"family":"Hauschka","given":"Stephen D."},{"family":"Philbrick","given":"William M."},{"family":"Lee","given":"Chun-Geun"},{"family":"Elias","given":"Jack A."},{"family":"Kim","given":"Jason K."}],"issued":{"date-parts":[["2009",11]]}}}],"schema":"https://github.com/citation-style-language/schema/raw/master/csl-citation.json"} </w:instrText>
            </w:r>
            <w:r w:rsidR="00A90715">
              <w:rPr>
                <w:rFonts w:ascii="Times New Roman" w:eastAsia="Times New Roman" w:hAnsi="Times New Roman" w:cs="Times New Roman"/>
                <w:iCs/>
                <w:color w:val="000000"/>
                <w:lang w:eastAsia="it-IT"/>
              </w:rPr>
              <w:fldChar w:fldCharType="separate"/>
            </w:r>
            <w:r w:rsidR="00A90715" w:rsidRPr="00A90715">
              <w:rPr>
                <w:rFonts w:ascii="Times New Roman" w:hAnsi="Times New Roman" w:cs="Times New Roman"/>
                <w:lang w:val="en-GB"/>
              </w:rPr>
              <w:t>(Hong et al., 2009)</w:t>
            </w:r>
            <w:r w:rsidR="00A90715">
              <w:rPr>
                <w:rFonts w:ascii="Times New Roman" w:eastAsia="Times New Roman" w:hAnsi="Times New Roman" w:cs="Times New Roman"/>
                <w:iCs/>
                <w:color w:val="000000"/>
                <w:lang w:eastAsia="it-IT"/>
              </w:rPr>
              <w:fldChar w:fldCharType="end"/>
            </w:r>
            <w:r w:rsidRPr="00A90715">
              <w:rPr>
                <w:rFonts w:ascii="Times New Roman" w:eastAsia="Times New Roman" w:hAnsi="Times New Roman" w:cs="Times New Roman"/>
                <w:iCs/>
                <w:color w:val="000000"/>
                <w:lang w:val="en-GB" w:eastAsia="it-IT"/>
              </w:rPr>
              <w:t xml:space="preserve">, </w:t>
            </w:r>
            <w:r w:rsidRPr="00A90715">
              <w:rPr>
                <w:rFonts w:ascii="Times New Roman" w:eastAsia="Times New Roman" w:hAnsi="Times New Roman" w:cs="Times New Roman"/>
                <w:i/>
                <w:iCs/>
                <w:color w:val="000000"/>
                <w:lang w:val="en-GB" w:eastAsia="it-IT"/>
              </w:rPr>
              <w:t>HMGB1</w:t>
            </w:r>
            <w:r w:rsidR="00A90715">
              <w:rPr>
                <w:rFonts w:ascii="Times New Roman" w:eastAsia="Times New Roman" w:hAnsi="Times New Roman" w:cs="Times New Roman"/>
                <w:iCs/>
                <w:color w:val="000000"/>
                <w:lang w:val="en-GB" w:eastAsia="it-IT"/>
              </w:rPr>
              <w:t xml:space="preserve"> </w:t>
            </w:r>
            <w:r w:rsidR="00A90715">
              <w:rPr>
                <w:rFonts w:ascii="Times New Roman" w:eastAsia="Times New Roman" w:hAnsi="Times New Roman" w:cs="Times New Roman"/>
                <w:iCs/>
                <w:color w:val="000000"/>
                <w:lang w:val="en-GB" w:eastAsia="it-IT"/>
              </w:rPr>
              <w:fldChar w:fldCharType="begin"/>
            </w:r>
            <w:r w:rsidR="00A90715">
              <w:rPr>
                <w:rFonts w:ascii="Times New Roman" w:eastAsia="Times New Roman" w:hAnsi="Times New Roman" w:cs="Times New Roman"/>
                <w:iCs/>
                <w:color w:val="000000"/>
                <w:lang w:val="en-GB" w:eastAsia="it-IT"/>
              </w:rPr>
              <w:instrText xml:space="preserve"> ADDIN ZOTERO_ITEM CSL_CITATION {"citationID":"mNBkEOJQ","properties":{"formattedCitation":"(Zhang et al., 2010)","plainCitation":"(Zhang et al., 2010)","noteIndex":0},"citationItems":[{"id":356,"uris":["http://zotero.org/users/local/PmBZs6Ey/items/J78QPQPP"],"uri":["http://zotero.org/users/local/PmBZs6Ey/items/J78QPQPP"],"itemData":{"id":356,"type":"article-journal","title":"HMGB1, an innate alarmin, in the pathogenesis of type 1 diabetes","container-title":"International Journal of Clinical and Experimental Pathology","page":"24-38","volume":"3","issue":"1","source":"PubMed Central","abstract":"HMGB1, an evolutionarily conserved chromosomal protein, was recently re-discovered to act as a “danger signal” (alarmin) to alert the innate immune system for the initiation of host defense or tissue repair. Extracellular HMGB1 can be either passively released from damaged/necrotic cells or secreted by activated immune cells. Upon stimulation, dendritic cells (DCs), macrophages and natural killer (NK) cells secrete high levels of HMGB1 into the intercellula</w:instrText>
            </w:r>
            <w:r w:rsidR="00A90715" w:rsidRPr="00B93A78">
              <w:rPr>
                <w:rFonts w:ascii="Times New Roman" w:eastAsia="Times New Roman" w:hAnsi="Times New Roman" w:cs="Times New Roman"/>
                <w:iCs/>
                <w:color w:val="000000"/>
                <w:lang w:val="en-GB" w:eastAsia="it-IT"/>
              </w:rPr>
              <w:instrText xml:space="preserve">r milieu. HMGB1 is potent to target DCs, macrophages, neutrophils and CD4+ T cells. It also upregulates the expression of BCL-XL by which it may prevent the elimination of activated immune cells. As a result, HMGB1 has been suggested to be implicated in the pathogenesis of autoimmune disorders such as systemic lupus erythematosus (SLE), rheumatoid arthritis (RA), and experimental allergic encephalomyelitis (EAE). Given the similarities of autoimmune response against beta cell self-antigens in type 1 diabetes (T1D), in this view we will discuss the possible implications of HMGB1 in T1D pathogenesis. Specifically, we will summarize and update the advancement of HMGB1 in the pathogenesis of autoimmune initiation and progression duringT1D development, as well as islet allograft rejection of diabetic patients after islet transplantation. Elucidation of the role for HMGB1 in T1D pathogenesis would not only enhance the understanding of disease etiology, but also have the potential to shed new insight into the development of therapeutic strategies for prevention or intervention of this disorder.","ISSN":"1936-2625","journalAbbreviation":"Int J Clin Exp Pathol","author":[{"family":"Zhang","given":"Shu"},{"family":"Zhong","given":"Jixin"},{"family":"Yang","given":"Ping"},{"family":"Gong","given":"Feili"},{"family":"Wang","given":"Cong-Yi"}],"issued":{"date-parts":[["2010",1,1]]}}}],"schema":"https://github.com/citation-style-language/schema/raw/master/csl-citation.json"} </w:instrText>
            </w:r>
            <w:r w:rsidR="00A90715">
              <w:rPr>
                <w:rFonts w:ascii="Times New Roman" w:eastAsia="Times New Roman" w:hAnsi="Times New Roman" w:cs="Times New Roman"/>
                <w:iCs/>
                <w:color w:val="000000"/>
                <w:lang w:val="en-GB" w:eastAsia="it-IT"/>
              </w:rPr>
              <w:fldChar w:fldCharType="separate"/>
            </w:r>
            <w:r w:rsidR="00A90715" w:rsidRPr="00B93A78">
              <w:rPr>
                <w:rFonts w:ascii="Times New Roman" w:hAnsi="Times New Roman" w:cs="Times New Roman"/>
                <w:lang w:val="en-GB"/>
              </w:rPr>
              <w:t>(Zhang et al., 2010)</w:t>
            </w:r>
            <w:r w:rsidR="00A90715">
              <w:rPr>
                <w:rFonts w:ascii="Times New Roman" w:eastAsia="Times New Roman" w:hAnsi="Times New Roman" w:cs="Times New Roman"/>
                <w:iCs/>
                <w:color w:val="000000"/>
                <w:lang w:val="en-GB" w:eastAsia="it-IT"/>
              </w:rPr>
              <w:fldChar w:fldCharType="end"/>
            </w:r>
            <w:r w:rsidRPr="00B93A78">
              <w:rPr>
                <w:rFonts w:ascii="Times New Roman" w:eastAsia="Times New Roman" w:hAnsi="Times New Roman" w:cs="Times New Roman"/>
                <w:iCs/>
                <w:color w:val="000000"/>
                <w:lang w:val="en-GB" w:eastAsia="it-IT"/>
              </w:rPr>
              <w:t xml:space="preserve">, </w:t>
            </w:r>
            <w:r w:rsidRPr="00B93A78">
              <w:rPr>
                <w:rFonts w:ascii="Times New Roman" w:eastAsia="Times New Roman" w:hAnsi="Times New Roman" w:cs="Times New Roman"/>
                <w:i/>
                <w:iCs/>
                <w:color w:val="000000"/>
                <w:lang w:val="en-GB" w:eastAsia="it-IT"/>
              </w:rPr>
              <w:t>MICA</w:t>
            </w:r>
            <w:r w:rsidR="00A90715" w:rsidRPr="00B93A78">
              <w:rPr>
                <w:rFonts w:ascii="Times New Roman" w:eastAsia="Times New Roman" w:hAnsi="Times New Roman" w:cs="Times New Roman"/>
                <w:iCs/>
                <w:color w:val="000000"/>
                <w:lang w:val="en-GB" w:eastAsia="it-IT"/>
              </w:rPr>
              <w:t xml:space="preserve"> </w:t>
            </w:r>
            <w:r w:rsidR="00A90715">
              <w:rPr>
                <w:rFonts w:ascii="Times New Roman" w:eastAsia="Times New Roman" w:hAnsi="Times New Roman" w:cs="Times New Roman"/>
                <w:iCs/>
                <w:color w:val="000000"/>
                <w:lang w:val="en-GB" w:eastAsia="it-IT"/>
              </w:rPr>
              <w:fldChar w:fldCharType="begin"/>
            </w:r>
            <w:r w:rsidR="00A90715" w:rsidRPr="00B93A78">
              <w:rPr>
                <w:rFonts w:ascii="Times New Roman" w:eastAsia="Times New Roman" w:hAnsi="Times New Roman" w:cs="Times New Roman"/>
                <w:iCs/>
                <w:color w:val="000000"/>
                <w:lang w:val="en-GB" w:eastAsia="it-IT"/>
              </w:rPr>
              <w:instrText xml:space="preserve"> ADDIN ZOTERO_ITEM CSL_CITATION {"citationID":"jIfdw1VR","properties":{"formattedCitation":"(Park et al., 2001)","plainCitation":"(Park et al., 2001)","noteIndex":0},"citationItems":[{"id":359,"uris":["http://zotero.org/users/local/PmBZs6Ey/items/4WFW95NN"],"uri":["http://zotero.org/users/local/PmBZs6Ey/items/4WFW95NN"],"itemData":{"id":359,"type":"article-journal","title":"MICA polymorphism is associated with type 1 diabetes in the Korean population","container-title":"Diabetes Care","page":"33-38","volume":"24","issue":"1","source":"PubMed","abstract":"OBJECTIVE: Recent studies have demonstrated that MICA (major histocompatibility complex class I chain-related genes) on the short arm of the chromosome 6 are associated with susceptibility to various autoimmune diseases in Caucasians. The aim of our study was to investigate the role of MICA in type 1 diabetes susceptibility indepe</w:instrText>
            </w:r>
            <w:r w:rsidR="00A90715" w:rsidRPr="00A90715">
              <w:rPr>
                <w:rFonts w:ascii="Times New Roman" w:eastAsia="Times New Roman" w:hAnsi="Times New Roman" w:cs="Times New Roman"/>
                <w:iCs/>
                <w:color w:val="000000"/>
                <w:lang w:val="en-GB" w:eastAsia="it-IT"/>
              </w:rPr>
              <w:instrText xml:space="preserve">ndent of the HLA DR-DQ polymorphism in genetically distinct Koreans.\nRESEARCH DESIGN AND METHODS: A total of 119 patients selected from Korean Seoul type 1 diabetes registry and 134 nondiabetic unrelated control subjects were typed for exon 5 polymorphism of MICA in addition to HLA DR-DQ typing. A total of 52 simplex families of type 1 diabetes were also studied.\nRESULTS: The MICA microsatellite allele consisting of six repetitions of GCT/AGC (A6) was present at a significantly lower frequency in the diabetic patient group (Pc &lt; 0.01; Pc = P value after Bonferroni correction) than in the control population. The MICA microsatellite allele consisting of four repetitions (A4) was present at a higher frequency in diabetic patients (P &lt; 0.05). This deviated distribution was not changed even after controlling for the HLA DRB1-DQB1 haplotype. Transmission/disequilibrium test revealed significant deviation of transmission for alleles at the A6 polymorphism within the MICA gene (P &lt; 0.05).\nCONCLUSIONS: We could assess that the MICA gene might be associated with type 1 diabetes transracially independent of the HLA gene.","ISSN":"0149-5992","journalAbbreviation":"Diabetes Care","language":"eng","author":[{"family":"Park","given":"Y."},{"family":"Lee","given":"H."},{"family":"Sanjeevi","given":"C. B."},{"family":"Eisenbarth","given":"G. S."}],"issued":{"date-parts":[["2001",1]]}}}],"schema":"https://github.com/citation-style-language/schema/raw/master/csl-citation.json"} </w:instrText>
            </w:r>
            <w:r w:rsidR="00A90715">
              <w:rPr>
                <w:rFonts w:ascii="Times New Roman" w:eastAsia="Times New Roman" w:hAnsi="Times New Roman" w:cs="Times New Roman"/>
                <w:iCs/>
                <w:color w:val="000000"/>
                <w:lang w:val="en-GB" w:eastAsia="it-IT"/>
              </w:rPr>
              <w:fldChar w:fldCharType="separate"/>
            </w:r>
            <w:r w:rsidR="00A90715" w:rsidRPr="00A90715">
              <w:rPr>
                <w:rFonts w:ascii="Times New Roman" w:hAnsi="Times New Roman" w:cs="Times New Roman"/>
                <w:lang w:val="en-GB"/>
              </w:rPr>
              <w:t>(Park et al., 2001)</w:t>
            </w:r>
            <w:r w:rsidR="00A90715">
              <w:rPr>
                <w:rFonts w:ascii="Times New Roman" w:eastAsia="Times New Roman" w:hAnsi="Times New Roman" w:cs="Times New Roman"/>
                <w:iCs/>
                <w:color w:val="000000"/>
                <w:lang w:val="en-GB" w:eastAsia="it-IT"/>
              </w:rPr>
              <w:fldChar w:fldCharType="end"/>
            </w:r>
            <w:r w:rsidRPr="00A90715">
              <w:rPr>
                <w:rFonts w:ascii="Times New Roman" w:eastAsia="Times New Roman" w:hAnsi="Times New Roman" w:cs="Times New Roman"/>
                <w:iCs/>
                <w:color w:val="000000"/>
                <w:lang w:val="en-GB" w:eastAsia="it-IT"/>
              </w:rPr>
              <w:t xml:space="preserve">, </w:t>
            </w:r>
            <w:r w:rsidRPr="00A90715">
              <w:rPr>
                <w:rFonts w:ascii="Times New Roman" w:eastAsia="Times New Roman" w:hAnsi="Times New Roman" w:cs="Times New Roman"/>
                <w:i/>
                <w:iCs/>
                <w:color w:val="000000"/>
                <w:lang w:val="en-GB" w:eastAsia="it-IT"/>
              </w:rPr>
              <w:t>CDK2</w:t>
            </w:r>
            <w:r w:rsidR="00A90715" w:rsidRPr="00A90715">
              <w:rPr>
                <w:rFonts w:ascii="Times New Roman" w:eastAsia="Times New Roman" w:hAnsi="Times New Roman" w:cs="Times New Roman"/>
                <w:color w:val="000000"/>
                <w:lang w:val="en-GB" w:eastAsia="it-IT"/>
              </w:rPr>
              <w:t xml:space="preserve"> </w:t>
            </w:r>
            <w:r w:rsidR="00A90715">
              <w:rPr>
                <w:rFonts w:ascii="Times New Roman" w:eastAsia="Times New Roman" w:hAnsi="Times New Roman" w:cs="Times New Roman"/>
                <w:color w:val="000000"/>
                <w:lang w:val="en-GB" w:eastAsia="it-IT"/>
              </w:rPr>
              <w:fldChar w:fldCharType="begin"/>
            </w:r>
            <w:r w:rsidR="00A90715">
              <w:rPr>
                <w:rFonts w:ascii="Times New Roman" w:eastAsia="Times New Roman" w:hAnsi="Times New Roman" w:cs="Times New Roman"/>
                <w:color w:val="000000"/>
                <w:lang w:val="en-GB" w:eastAsia="it-IT"/>
              </w:rPr>
              <w:instrText xml:space="preserve"> ADDIN ZOTERO_ITEM CSL_CITATION {"citationID":"pyxtYdRk","properties":{"formattedCitation":"(Kim et al., 2017)","plainCitation":"(Kim et al., 2017)","noteIndex":0},"citationItems":[{"id":274,"uris":["http://zotero.org/users/local/PmBZs6Ey/items/2DB9ESKC"],"uri":["http://zotero.org/users/local/PmBZs6Ey/items/2DB9ESKC"],"itemData":{"id":274,"type":"article-journal","title":"Loss of cyclin dependent kinase 2 in the pancreas links primary β-cell dysfunction to progressive depletion of β-cell mass and diabetes","container-title":"Journal of Biological Chemistry","page":"jbc.M116.754077","source":"www.jbc.org","abstract":"The failure of pancreatic islet β-cells is a major contributor to the etiology of Type 2 diabetes. β-cell dysfunction and declining β-cell mass are two mechanisms that contribute to this failure, although it is unclear if they are molecularly linked. Here, we show that the cell cycle regulator, cyclin-dependent kinase 2 (Cdk2), couples primary β-cell dysfunction to the progressive deterioration of β-cell mass in diabetes. Mice with pancreas-specific deletion of Cdk2 are glucose intolerant primarily due to defects in glucose-stimulated insulin secretion. Accompanying this loss of secretion are defects in β-cell metabolism and perturbed mitochondrial structure. Persistent insulin secretion defects culminate in progressive deficits in β-cell proliferation, reduced β-cell mass and diabetes. These outcomes may be mediated directly by the loss of Cdk2, which binds to and phosphorylates the transcription factor Foxo1 in a glucose-dependent manner. Further, we identified a requirement for Cdk2 in the compensatory increases in β-cell mass that occur in response to age- and diet-induced stress. Thus, Cdk2 serves as an important nexus linking primary β-cell dysfunction to progressive β-cell mass deterioration in diabetes.","DOI":"10.1074/jbc.M116.754077","ISSN":"0021-9258, 1083-351X","journalAbbreviation":"J. Biol. Chem.","language":"en","author":[{"family":"Kim","given":"So Yoon"},{"family":"Lee","given":"Ji-Hyeon"},{"family":"Merrins","given":"Matthew J."},{"family":"Gavrilova","given":"Oksana"},{"family":"Bisteau","given":"Xavier"},{"family":"Kaldis","given":"Philipp"},{"family":"Satin","given":"Leslie S."},{"family":"Rane","given":"Sushil G."}],"issued":{"date-parts":[["2017",1,18]]}}}],"schema":"https://github.com/citation-style-language/schema/raw/master/csl-citation.json"} </w:instrText>
            </w:r>
            <w:r w:rsidR="00A90715">
              <w:rPr>
                <w:rFonts w:ascii="Times New Roman" w:eastAsia="Times New Roman" w:hAnsi="Times New Roman" w:cs="Times New Roman"/>
                <w:color w:val="000000"/>
                <w:lang w:val="en-GB" w:eastAsia="it-IT"/>
              </w:rPr>
              <w:fldChar w:fldCharType="separate"/>
            </w:r>
            <w:r w:rsidR="00A90715" w:rsidRPr="00A90715">
              <w:rPr>
                <w:rFonts w:ascii="Times New Roman" w:hAnsi="Times New Roman" w:cs="Times New Roman"/>
                <w:lang w:val="en-GB"/>
              </w:rPr>
              <w:t>(Kim et al., 2017)</w:t>
            </w:r>
            <w:r w:rsidR="00A90715">
              <w:rPr>
                <w:rFonts w:ascii="Times New Roman" w:eastAsia="Times New Roman" w:hAnsi="Times New Roman" w:cs="Times New Roman"/>
                <w:color w:val="000000"/>
                <w:lang w:val="en-GB" w:eastAsia="it-IT"/>
              </w:rPr>
              <w:fldChar w:fldCharType="end"/>
            </w:r>
            <w:r w:rsidRPr="00A90715">
              <w:rPr>
                <w:rFonts w:ascii="Times New Roman" w:eastAsia="Times New Roman" w:hAnsi="Times New Roman" w:cs="Times New Roman"/>
                <w:color w:val="000000"/>
                <w:lang w:val="en-GB" w:eastAsia="it-IT"/>
              </w:rPr>
              <w:t xml:space="preserve">, </w:t>
            </w:r>
            <w:r w:rsidRPr="00A90715">
              <w:rPr>
                <w:rFonts w:ascii="Times New Roman" w:eastAsia="Times New Roman" w:hAnsi="Times New Roman" w:cs="Times New Roman"/>
                <w:i/>
                <w:iCs/>
                <w:color w:val="000000"/>
                <w:lang w:val="en-GB" w:eastAsia="it-IT"/>
              </w:rPr>
              <w:t>MADCAM1</w:t>
            </w:r>
            <w:r w:rsidR="00A90715">
              <w:rPr>
                <w:rFonts w:ascii="Times New Roman" w:eastAsia="Times New Roman" w:hAnsi="Times New Roman" w:cs="Times New Roman"/>
                <w:color w:val="000000"/>
                <w:lang w:val="en-GB" w:eastAsia="it-IT"/>
              </w:rPr>
              <w:t xml:space="preserve"> </w:t>
            </w:r>
            <w:r w:rsidR="00A90715">
              <w:rPr>
                <w:rFonts w:ascii="Times New Roman" w:eastAsia="Times New Roman" w:hAnsi="Times New Roman" w:cs="Times New Roman"/>
                <w:color w:val="000000"/>
                <w:lang w:val="en-GB" w:eastAsia="it-IT"/>
              </w:rPr>
              <w:fldChar w:fldCharType="begin"/>
            </w:r>
            <w:r w:rsidR="001179D5">
              <w:rPr>
                <w:rFonts w:ascii="Times New Roman" w:eastAsia="Times New Roman" w:hAnsi="Times New Roman" w:cs="Times New Roman"/>
                <w:color w:val="000000"/>
                <w:lang w:val="en-GB" w:eastAsia="it-IT"/>
              </w:rPr>
              <w:instrText xml:space="preserve"> ADDIN ZOTERO_ITEM CSL_CITATION {"citationID":"ahbskpeD","properties":{"formattedCitation":"(Phillips et al., 2005, 5)","plainCitation":"(Phillips et al., 2005, 5)","dontUpdate":true,"noteIndex":0},"citationItems":[{"id":312,"uris":["http://zotero.org/users/local/PmBZs6Ey/items/ZA5CUL3K"],"uri":["http://zotero.org/users/local/PmBZs6Ey/items/ZA5CUL3K"],"itemData":{"id":312,"type":"article-journal","title":"MAdCAM-1 is needed for diabetes development mediated by the T cell clone, BDC-2·5","container-title":"Immunology","page":"525-531","volume":"116","issue":"4","source":"PubMed Central","abstract":"The NOD-derived islet-reactive CD4+ T cell clone, BDC-2·5, is able to transfer diabetes to neonatal non-obese diabetic (NOD) mice but is unable to transfer disease to either adult NOD or NOD scid recipients. Transfer of diabetes to adult recipients by BDC-2·5 is only accomplished by cotransfer of CD8+ T cells from a diabetic donor. To understand why this CD4+ T cell clone is able to mediate diabetes in neonatal but not the adult recipients we examined the ability of the clone to traffic in the different recipients. Our studies showed that MAdCAM-1 has a very different expression pattern in the neonatal and adult pancreas. Blockade of this addressin prevents the clone from transferring diabetes to neonatal mice, suggesting that the differential pancreatic expression of MAdCAM-1 in neonatal and adult pancreas provides an explanation of the differences in diabetes development.","DOI":"10.1111/j.1365-2567.2005.02254.x","ISSN":"0019-2805","journalAbbreviation":"Immunology","author":[{"family":"Phillips","given":"Jenny M"},{"family":"Haskins","given":"Kathryn"},{"family":"Cooke","given":"Anne"}],"issued":{"date-parts":[["2005",12]]}},"locator":"5"}],"schema":"https://github.com/citation-style-language/schema/raw/master/csl-citation.json"} </w:instrText>
            </w:r>
            <w:r w:rsidR="00A90715">
              <w:rPr>
                <w:rFonts w:ascii="Times New Roman" w:eastAsia="Times New Roman" w:hAnsi="Times New Roman" w:cs="Times New Roman"/>
                <w:color w:val="000000"/>
                <w:lang w:val="en-GB" w:eastAsia="it-IT"/>
              </w:rPr>
              <w:fldChar w:fldCharType="separate"/>
            </w:r>
            <w:r w:rsidR="00A90715">
              <w:rPr>
                <w:rFonts w:ascii="Times New Roman" w:hAnsi="Times New Roman" w:cs="Times New Roman"/>
              </w:rPr>
              <w:t>(Phillips et al., 2005</w:t>
            </w:r>
            <w:r w:rsidR="00A90715" w:rsidRPr="00A90715">
              <w:rPr>
                <w:rFonts w:ascii="Times New Roman" w:hAnsi="Times New Roman" w:cs="Times New Roman"/>
              </w:rPr>
              <w:t>)</w:t>
            </w:r>
            <w:r w:rsidR="00A90715">
              <w:rPr>
                <w:rFonts w:ascii="Times New Roman" w:eastAsia="Times New Roman" w:hAnsi="Times New Roman" w:cs="Times New Roman"/>
                <w:color w:val="000000"/>
                <w:lang w:val="en-GB" w:eastAsia="it-IT"/>
              </w:rPr>
              <w:fldChar w:fldCharType="end"/>
            </w:r>
            <w:r w:rsidRPr="00A90715">
              <w:rPr>
                <w:rFonts w:ascii="Times New Roman" w:eastAsia="Times New Roman" w:hAnsi="Times New Roman" w:cs="Times New Roman"/>
                <w:iCs/>
                <w:color w:val="000000"/>
                <w:lang w:val="en-GB" w:eastAsia="it-IT"/>
              </w:rPr>
              <w:t xml:space="preserve">, </w:t>
            </w:r>
            <w:r w:rsidRPr="00A90715">
              <w:rPr>
                <w:rFonts w:ascii="Times New Roman" w:eastAsia="Times New Roman" w:hAnsi="Times New Roman" w:cs="Times New Roman"/>
                <w:i/>
                <w:iCs/>
                <w:color w:val="000000"/>
                <w:lang w:val="en-GB" w:eastAsia="it-IT"/>
              </w:rPr>
              <w:t>STAT4</w:t>
            </w:r>
            <w:r w:rsidR="00A90715">
              <w:rPr>
                <w:rFonts w:ascii="Times New Roman" w:eastAsia="Times New Roman" w:hAnsi="Times New Roman" w:cs="Times New Roman"/>
                <w:color w:val="000000"/>
                <w:lang w:val="en-GB" w:eastAsia="it-IT"/>
              </w:rPr>
              <w:t xml:space="preserve"> </w:t>
            </w:r>
            <w:r w:rsidR="00A90715">
              <w:rPr>
                <w:rFonts w:ascii="Times New Roman" w:eastAsia="Times New Roman" w:hAnsi="Times New Roman" w:cs="Times New Roman"/>
                <w:color w:val="000000"/>
                <w:lang w:val="en-GB" w:eastAsia="it-IT"/>
              </w:rPr>
              <w:fldChar w:fldCharType="begin"/>
            </w:r>
            <w:r w:rsidR="00A90715">
              <w:rPr>
                <w:rFonts w:ascii="Times New Roman" w:eastAsia="Times New Roman" w:hAnsi="Times New Roman" w:cs="Times New Roman"/>
                <w:color w:val="000000"/>
                <w:lang w:val="en-GB" w:eastAsia="it-IT"/>
              </w:rPr>
              <w:instrText xml:space="preserve"> ADDIN ZOTERO_ITEM CSL_CITATION {"citationID":"7yFSEpJT","properties":{"formattedCitation":"(Bi et al., 2013)","plainCitation":"(Bi et al., 2013)","noteIndex":0},"citationItems":[{"id":315,"uris":["http://zotero.org/users/local/PmBZs6Ey/items/R9ZAD86J"],"uri":["http://zotero.org/users/local/PmBZs6Ey/items/R9ZAD86J"],"itemData":{"id":315,"type":"article-journal","title":"Association study of STAT4 polymorphisms and type 1 diabetes in Northeastern Chinese Han population","container-title":"Tissue Antigens","page":"137-140","volume":"81","issue":"3","source":"onlinelibrary.wiley.com","DOI":"10.1111/tan.12057","ISSN":"1399-0039","language":"en","author":[{"family":"Bi","given":"C."},{"family":"Li","given":"B."},{"family":"Cheng","given":"Z."},{"family":"Hu","given":"Y."},{"family":"Fang","given":"Z."},{"family":"Zhai","given":"A."}],"issued":{"date-parts":[["2013",3,1]]}}}],"schema":"https://github.com/citation-style-language/schema/raw/master/csl-citation.json"} </w:instrText>
            </w:r>
            <w:r w:rsidR="00A90715">
              <w:rPr>
                <w:rFonts w:ascii="Times New Roman" w:eastAsia="Times New Roman" w:hAnsi="Times New Roman" w:cs="Times New Roman"/>
                <w:color w:val="000000"/>
                <w:lang w:val="en-GB" w:eastAsia="it-IT"/>
              </w:rPr>
              <w:fldChar w:fldCharType="separate"/>
            </w:r>
            <w:r w:rsidR="00A90715" w:rsidRPr="00A90715">
              <w:rPr>
                <w:rFonts w:ascii="Times New Roman" w:hAnsi="Times New Roman" w:cs="Times New Roman"/>
              </w:rPr>
              <w:t>(Bi et al., 2013)</w:t>
            </w:r>
            <w:r w:rsidR="00A90715">
              <w:rPr>
                <w:rFonts w:ascii="Times New Roman" w:eastAsia="Times New Roman" w:hAnsi="Times New Roman" w:cs="Times New Roman"/>
                <w:color w:val="000000"/>
                <w:lang w:val="en-GB" w:eastAsia="it-IT"/>
              </w:rPr>
              <w:fldChar w:fldCharType="end"/>
            </w:r>
            <w:r w:rsidRPr="00A90715">
              <w:rPr>
                <w:rFonts w:ascii="Times New Roman" w:eastAsia="Times New Roman" w:hAnsi="Times New Roman" w:cs="Times New Roman"/>
                <w:color w:val="000000"/>
                <w:lang w:val="en-GB" w:eastAsia="it-IT"/>
              </w:rPr>
              <w:t xml:space="preserve">, </w:t>
            </w:r>
            <w:r w:rsidRPr="00A90715">
              <w:rPr>
                <w:rFonts w:ascii="Times New Roman" w:eastAsia="Times New Roman" w:hAnsi="Times New Roman" w:cs="Times New Roman"/>
                <w:i/>
                <w:color w:val="000000"/>
                <w:lang w:val="en-GB" w:eastAsia="it-IT"/>
              </w:rPr>
              <w:t>BCL2A1</w:t>
            </w:r>
            <w:r w:rsidR="00A90715">
              <w:rPr>
                <w:rFonts w:ascii="Times New Roman" w:eastAsia="Times New Roman" w:hAnsi="Times New Roman" w:cs="Times New Roman"/>
                <w:color w:val="000000"/>
                <w:lang w:val="en-GB" w:eastAsia="it-IT"/>
              </w:rPr>
              <w:t xml:space="preserve"> </w:t>
            </w:r>
            <w:r w:rsidR="00A90715">
              <w:rPr>
                <w:rFonts w:ascii="Times New Roman" w:eastAsia="Times New Roman" w:hAnsi="Times New Roman" w:cs="Times New Roman"/>
                <w:color w:val="000000"/>
                <w:lang w:val="en-GB" w:eastAsia="it-IT"/>
              </w:rPr>
              <w:fldChar w:fldCharType="begin"/>
            </w:r>
            <w:r w:rsidR="00A90715">
              <w:rPr>
                <w:rFonts w:ascii="Times New Roman" w:eastAsia="Times New Roman" w:hAnsi="Times New Roman" w:cs="Times New Roman"/>
                <w:color w:val="000000"/>
                <w:lang w:val="en-GB" w:eastAsia="it-IT"/>
              </w:rPr>
              <w:instrText xml:space="preserve"> ADDIN ZOTERO_ITEM CSL_CITATION {"citationID":"9GdQamFc","properties":{"formattedCitation":"(Beyan et al., 2010)","plainCitation":"(Beyan et al., 2010)","noteIndex":0},"citationItems":[{"id":349,"uris":["http://zotero.org/users/local/PmBZs6Ey/items/F4HLCSR9"],"uri":["http://zotero.org/users/local/PmBZs6Ey/items/F4HLCSR9"],"itemData":{"id":349,"type":"article-journal","title":"Monocyte gene-expression profiles associated with childhood-onset type 1 diabetes and disease risk: a study of identical twins","container-title":"Diabetes","page":"1751-1755","volume":"59","issue":"7","source":"PubMed Central","abstract":"OBJECTIVE\nMonocytes in childhood-onset type 1 diabetes show distinct gene expression. We hypothesize that monocyte activation in monozygotic (MZ) twin pairs discordant for childhood-onset type 1 diabetes could reflect distinct stages of the disease process including diabetes susceptibility (differences between twins, both diabetic and nondiabetic, and control subjects) and/or disease progression (differences between diabetic and nondiabetic twins).\n\nRESEARCH DESIGN AND METHODS\nWe studied patterns of inflammatory gene expression in peripheral blood monocytes of MZ twin pairs (n = 10 pairs) discordant for childhood-onset type 1 diabetes, normal control twin pairs (n = 10 pairs), and healthy control subjects (n = 51) using quantitative-PCR (Q-PCR). We tested the 24 genes previously observed by whole genome analyses and verified by Q-PCR in autoimmune diabetes and performed a hierarchical cluster analysis.\n\nRESULTS\nOf 24 genes abnormally expressed in childhood-onset type 1 diabetes, we revalidated abnormal expression in 16 of them in diabetic twins including distinct sets of downregulated (P &lt; 0.03) and upregulated (P &lt; 0.02) genes. Of these 16 genes, 13 were abnormally expressed in nondiabetic twins, implicating these genes in diabetes susceptibility (P &lt; 0.044 for all). Cluster analysis of monocyte gene-expression in nondiabetic twins identified two distinct, mutually exclusive clusters, while diabetic twins had a network of positively correlated genes.\n\nCONCLUSIONS\nPatients with childhood-onset type 1 diabetes show abnormal monocyte gene–expression levels with an altered gene–expression network due to gene-environment interaction. Importantly, perturbed gene–expression clusters were also detected in nondiabetic twins, implicating monocyte abnormalities in susceptibility to diabetes.","DOI":"10.2337/db09-1433","ISSN":"0012-1797","title-short":"Monocyte Gene-Expression Profiles Associated With Childhood-Onset Type 1 Diabetes and Disease Risk","journalAbbreviation":"Diabetes","author":[{"family":"Beyan","given":"Huriya"},{"family":"Drexhage","given":"Roosmarijn C."},{"family":"Heul Nieuwenhuijsen","given":"Leonie","non-dropping-particle":"van der"},{"family":"Wit","given":"Harm","non-dropping-particle":"de"},{"family":"Padmos","given":"Roosmarijn C."},{"family":"Schloot","given":"Nanette C."},{"family":"Drexhage","given":"Hemmo A."},{"family":"Leslie","given":"Richard David"}],"issued":{"date-parts":[["2010",7]]}}}],"schema":"https://github.com/citation-style-language/schema/raw/master/csl-citation.json"} </w:instrText>
            </w:r>
            <w:r w:rsidR="00A90715">
              <w:rPr>
                <w:rFonts w:ascii="Times New Roman" w:eastAsia="Times New Roman" w:hAnsi="Times New Roman" w:cs="Times New Roman"/>
                <w:color w:val="000000"/>
                <w:lang w:val="en-GB" w:eastAsia="it-IT"/>
              </w:rPr>
              <w:fldChar w:fldCharType="separate"/>
            </w:r>
            <w:r w:rsidR="00A90715" w:rsidRPr="00A90715">
              <w:rPr>
                <w:rFonts w:ascii="Times New Roman" w:hAnsi="Times New Roman" w:cs="Times New Roman"/>
              </w:rPr>
              <w:t>(</w:t>
            </w:r>
            <w:proofErr w:type="spellStart"/>
            <w:r w:rsidR="00A90715" w:rsidRPr="00A90715">
              <w:rPr>
                <w:rFonts w:ascii="Times New Roman" w:hAnsi="Times New Roman" w:cs="Times New Roman"/>
              </w:rPr>
              <w:t>Beyan</w:t>
            </w:r>
            <w:proofErr w:type="spellEnd"/>
            <w:r w:rsidR="00A90715" w:rsidRPr="00A90715">
              <w:rPr>
                <w:rFonts w:ascii="Times New Roman" w:hAnsi="Times New Roman" w:cs="Times New Roman"/>
              </w:rPr>
              <w:t xml:space="preserve"> et al., 2010)</w:t>
            </w:r>
            <w:r w:rsidR="00A90715">
              <w:rPr>
                <w:rFonts w:ascii="Times New Roman" w:eastAsia="Times New Roman" w:hAnsi="Times New Roman" w:cs="Times New Roman"/>
                <w:color w:val="000000"/>
                <w:lang w:val="en-GB" w:eastAsia="it-IT"/>
              </w:rPr>
              <w:fldChar w:fldCharType="end"/>
            </w:r>
            <w:r w:rsidRPr="00A90715">
              <w:rPr>
                <w:rFonts w:ascii="Times New Roman" w:eastAsia="Times New Roman" w:hAnsi="Times New Roman" w:cs="Times New Roman"/>
                <w:color w:val="000000"/>
                <w:lang w:val="en-GB" w:eastAsia="it-IT"/>
              </w:rPr>
              <w:t xml:space="preserve">, </w:t>
            </w:r>
            <w:r w:rsidRPr="00A90715">
              <w:rPr>
                <w:rFonts w:ascii="Times New Roman" w:eastAsia="Times New Roman" w:hAnsi="Times New Roman" w:cs="Times New Roman"/>
                <w:i/>
                <w:color w:val="000000"/>
                <w:lang w:val="en-GB" w:eastAsia="it-IT"/>
              </w:rPr>
              <w:t>SMAD7</w:t>
            </w:r>
            <w:r w:rsidRPr="00A90715">
              <w:rPr>
                <w:rFonts w:ascii="Times New Roman" w:eastAsia="Times New Roman" w:hAnsi="Times New Roman" w:cs="Times New Roman"/>
                <w:color w:val="000000"/>
                <w:lang w:val="en-GB" w:eastAsia="it-IT"/>
              </w:rPr>
              <w:t xml:space="preserve"> </w:t>
            </w:r>
            <w:r w:rsidR="00A90715">
              <w:rPr>
                <w:rFonts w:ascii="Times New Roman" w:eastAsia="Times New Roman" w:hAnsi="Times New Roman" w:cs="Times New Roman"/>
                <w:color w:val="000000"/>
                <w:lang w:val="en-GB" w:eastAsia="it-IT"/>
              </w:rPr>
              <w:fldChar w:fldCharType="begin"/>
            </w:r>
            <w:r w:rsidR="00A90715">
              <w:rPr>
                <w:rFonts w:ascii="Times New Roman" w:eastAsia="Times New Roman" w:hAnsi="Times New Roman" w:cs="Times New Roman"/>
                <w:color w:val="000000"/>
                <w:lang w:val="en-GB" w:eastAsia="it-IT"/>
              </w:rPr>
              <w:instrText xml:space="preserve"> ADDIN ZOTERO_ITEM CSL_CITATION {"citationID":"YDjKPzIp","properties":{"formattedCitation":"(Chen et al., 2011)","plainCitation":"(Chen et al., 2011)","noteIndex":0},"citationItems":[{"id":704,"uris":["http://zotero.org/users/local/PmBZs6Ey/items/FJG38UTU"],"uri":["http://zotero.org/users/local/PmBZs6Ey/items/FJG38UTU"],"itemData":{"id":704,"type":"article-journal","title":"The protective role of Smad7 in diabetic kidney disease: mechanism and therapeutic potential","container-title":"Diabetes","page":"590-601","volume":"60","issue":"2","source":"PubMed","abstract":"OBJECTIVE: Although Smad3 has been considered as a downstream mediator of transforming growth factor-β (TGF-β) signaling in diabetes complications, the role of Smad7 in diabetes remains largely unclear. The current study tests the hypothesis that Smad7 may play a protective role and has therapeutic potential for diabetic kidney disease.\nRESEARCH DESIGN AND METHODS: Protective role of Smad7 in diabetic kidney disease was examined in streptozotocin-induced diabetic mice that have Smad7 gene knockout (KO) and in diabetic rats given Smad7 gene transfer using an ultrasound-microbubble-mediated technique.\nRESULTS: We found that mice deficient for Smad7 developed more severe diabetic kidney injury than wild-type mice as evidenced by a significant increase in microalbuminuria, renal fibrosis (collagen I, IV, and fibronectin), and renal inflammation (interleukin-1β [IL-1β], tumor necrosis factor-α [TNF-α], monocyte chemoattractant protein-1 [MCP-1], intracellular adhesion molecule-1 [ICAM-1], and macrophages). Further studies revealed that enhanced renal fibrosis and inflammation in Smad7 KO mice with diabetes were associated with increased activation of both TGF-β/Smad2/3 and nuclear factor-κB (NF-κB) signaling pathways. To develop a therapeutic potential for diabetic kidney disease, Smad7 gene was transferred into the kidney in diabetic rats by an ultrasound-microbubble-mediated technique. Although overexpression of renal Smad7 had no effect on levels of blood glucose, it significantly attenuated the development of microalbuminuria, TGF-β/Smad3-mediated renal fibrosis such as collagen I and IV and fibronectin accumulation and NF-κB/p65-driven renal inflammation including IL-1β, TNF-α, MCP-1, and ICAM-1 expression and macrophage infiltration in diabetic rats.\nCONCLUSIONS: Smad7 plays a protective role in diabetic renal injury. Overexpression of Smad7 may represent a novel therapy for the diabetic kidney complication.","DOI":"10.2337/db10-0403","ISSN":"1939-327X","note":"PMID: 20980457\nPMCID: PMC3028360","title-short":"The protective role of Smad7 in diabetic kidney disease","journalAbbreviation":"Diabetes","language":"eng","author":[{"family":"Chen","given":"Hai Yong"},{"family":"Huang","given":"Xiao R."},{"family":"Wang","given":"Wansheng"},{"family":"Li","given":"Jin Hua"},{"family":"Heuchel","given":"Rainer L."},{"family":"Chung","given":"Arthur C. K."},{"family":"Lan","given":"Hui Yao"}],"issued":{"date-parts":[["2011",2]]}}}],"schema":"https://github.com/citation-style-language/schema/raw/master/csl-citation.json"} </w:instrText>
            </w:r>
            <w:r w:rsidR="00A90715">
              <w:rPr>
                <w:rFonts w:ascii="Times New Roman" w:eastAsia="Times New Roman" w:hAnsi="Times New Roman" w:cs="Times New Roman"/>
                <w:color w:val="000000"/>
                <w:lang w:val="en-GB" w:eastAsia="it-IT"/>
              </w:rPr>
              <w:fldChar w:fldCharType="separate"/>
            </w:r>
            <w:r w:rsidR="00A90715" w:rsidRPr="00A90715">
              <w:rPr>
                <w:rFonts w:ascii="Times New Roman" w:hAnsi="Times New Roman" w:cs="Times New Roman"/>
                <w:lang w:val="en-GB"/>
              </w:rPr>
              <w:t>(Chen et al., 2011)</w:t>
            </w:r>
            <w:r w:rsidR="00A90715">
              <w:rPr>
                <w:rFonts w:ascii="Times New Roman" w:eastAsia="Times New Roman" w:hAnsi="Times New Roman" w:cs="Times New Roman"/>
                <w:color w:val="000000"/>
                <w:lang w:val="en-GB" w:eastAsia="it-IT"/>
              </w:rPr>
              <w:fldChar w:fldCharType="end"/>
            </w:r>
            <w:r w:rsidR="001179D5">
              <w:rPr>
                <w:rFonts w:ascii="Times New Roman" w:eastAsia="Times New Roman" w:hAnsi="Times New Roman" w:cs="Times New Roman"/>
                <w:color w:val="000000"/>
                <w:lang w:val="en-GB" w:eastAsia="it-IT"/>
              </w:rPr>
              <w:t xml:space="preserve">, </w:t>
            </w:r>
            <w:r w:rsidR="001179D5" w:rsidRPr="001179D5">
              <w:rPr>
                <w:rFonts w:ascii="Times New Roman" w:eastAsia="Times New Roman" w:hAnsi="Times New Roman" w:cs="Times New Roman"/>
                <w:i/>
                <w:color w:val="000000"/>
                <w:lang w:val="en-GB" w:eastAsia="it-IT"/>
              </w:rPr>
              <w:t>RXRB</w:t>
            </w:r>
            <w:r w:rsidR="001179D5">
              <w:rPr>
                <w:rFonts w:ascii="Times New Roman" w:eastAsia="Times New Roman" w:hAnsi="Times New Roman" w:cs="Times New Roman"/>
                <w:color w:val="000000"/>
                <w:lang w:val="en-GB" w:eastAsia="it-IT"/>
              </w:rPr>
              <w:t xml:space="preserve"> </w:t>
            </w:r>
            <w:r w:rsidR="001179D5">
              <w:rPr>
                <w:rFonts w:ascii="Times New Roman" w:eastAsia="Times New Roman" w:hAnsi="Times New Roman" w:cs="Times New Roman"/>
                <w:color w:val="000000"/>
                <w:lang w:val="en-GB" w:eastAsia="it-IT"/>
              </w:rPr>
              <w:fldChar w:fldCharType="begin"/>
            </w:r>
            <w:r w:rsidR="001179D5">
              <w:rPr>
                <w:rFonts w:ascii="Times New Roman" w:eastAsia="Times New Roman" w:hAnsi="Times New Roman" w:cs="Times New Roman"/>
                <w:color w:val="000000"/>
                <w:lang w:val="en-GB" w:eastAsia="it-IT"/>
              </w:rPr>
              <w:instrText xml:space="preserve"> ADDIN ZOTERO_ITEM CSL_CITATION {"citationID":"F5vBgVqB","properties":{"formattedCitation":"(Rajsbaum et al., 2002)","plainCitation":"(Rajsbaum et al., 2002)","noteIndex":0},"citationItems":[{"id":1236,"uris":["http://zotero.org/users/local/PmBZs6Ey/items/C3YQAXW8"],"uri":["http://zotero.org/users/local/PmBZs6Ey/items/C3YQAXW8"],"itemData":{"id":1236,"type":"article-journal","title":"Linkage disequilibrium between HLA-DPB1 alleles and retinoid X receptor β haplotypes","container-title":"Human Immunology","page":"771-778","volume":"63","issue":"9","source":"ScienceDirect","abstract":"The human retinoid X receptor β (RXRB) gene maps to the major histocompatibility complex (MHC) region, between KE4 and COL11A2, approximately 130-kb centromeric to HLA-DPB1. We have recently reported a new polymerase chain reaction–restriction fragment length polymorphism (PCR-RFLP) method to detect the G to T single nucleotide polymorphism (SNP) located seven nucleotides after the tenth exon of the RXRB gene, or 3′end+7 position according to existing nomenclature. We also reported strong linkage disequilibrium between the HLA-DPB1*0401 and RXRB+7*T alleles. In the present study, we describe two PCR-RFLP methods to detect additional SNPs in the RXRB gene, T to A, at exon10+378 and A to T at 3′end+140. This new methodology permitted the unambiguous assignment of three distinct SNPs at RXRB exon10+378, 3′end+7 and 3′end+140 to form an “RXRB haplotype.” The data generated from this study were used to determine linkage disequilibrium between several MHC markers and the RXRB alleles and haplotypes. Family studies revealed significant linkage disequilibrium between the RXRB alleles and a number of HLA-DPB1 alleles.","DOI":"10.1016/S0198-8859(02)00427-5","ISSN":"0198-8859","journalAbbreviation":"Human Immunology","author":[{"family":"Rajsbaum","given":"Ricardo"},{"family":"Fici","given":"Dolores"},{"family":"Boggs","given":"Deborah A"},{"family":"Fraser","given":"Patricia A"},{"family":"Flores-Villanueva","given":"Pedro O"},{"family":"Awdeh","given":"Zuheir L"}],"issued":{"date-parts":[["2002",9,1]]}}}],"schema":"https://github.com/citation-style-language/schema/raw/master/csl-citation.json"} </w:instrText>
            </w:r>
            <w:r w:rsidR="001179D5">
              <w:rPr>
                <w:rFonts w:ascii="Times New Roman" w:eastAsia="Times New Roman" w:hAnsi="Times New Roman" w:cs="Times New Roman"/>
                <w:color w:val="000000"/>
                <w:lang w:val="en-GB" w:eastAsia="it-IT"/>
              </w:rPr>
              <w:fldChar w:fldCharType="separate"/>
            </w:r>
            <w:r w:rsidR="001179D5" w:rsidRPr="001179D5">
              <w:rPr>
                <w:rFonts w:ascii="Times New Roman" w:hAnsi="Times New Roman" w:cs="Times New Roman"/>
              </w:rPr>
              <w:t>(</w:t>
            </w:r>
            <w:proofErr w:type="spellStart"/>
            <w:r w:rsidR="001179D5" w:rsidRPr="001179D5">
              <w:rPr>
                <w:rFonts w:ascii="Times New Roman" w:hAnsi="Times New Roman" w:cs="Times New Roman"/>
              </w:rPr>
              <w:t>Rajsbaum</w:t>
            </w:r>
            <w:proofErr w:type="spellEnd"/>
            <w:r w:rsidR="001179D5" w:rsidRPr="001179D5">
              <w:rPr>
                <w:rFonts w:ascii="Times New Roman" w:hAnsi="Times New Roman" w:cs="Times New Roman"/>
              </w:rPr>
              <w:t xml:space="preserve"> et al., 2002)</w:t>
            </w:r>
            <w:r w:rsidR="001179D5">
              <w:rPr>
                <w:rFonts w:ascii="Times New Roman" w:eastAsia="Times New Roman" w:hAnsi="Times New Roman" w:cs="Times New Roman"/>
                <w:color w:val="000000"/>
                <w:lang w:val="en-GB" w:eastAsia="it-IT"/>
              </w:rPr>
              <w:fldChar w:fldCharType="end"/>
            </w:r>
          </w:p>
        </w:tc>
      </w:tr>
      <w:tr w:rsidR="003922ED" w:rsidRPr="00414A76" w14:paraId="431DABF6" w14:textId="77777777" w:rsidTr="00414A76">
        <w:trPr>
          <w:trHeight w:val="309"/>
          <w:jc w:val="center"/>
        </w:trPr>
        <w:tc>
          <w:tcPr>
            <w:tcW w:w="9095" w:type="dxa"/>
            <w:tcBorders>
              <w:top w:val="nil"/>
              <w:left w:val="nil"/>
              <w:bottom w:val="nil"/>
              <w:right w:val="nil"/>
            </w:tcBorders>
            <w:shd w:val="clear" w:color="auto" w:fill="auto"/>
            <w:vAlign w:val="center"/>
            <w:hideMark/>
          </w:tcPr>
          <w:p w14:paraId="4E64FD18" w14:textId="2EA14B8D" w:rsidR="003922ED" w:rsidRPr="00B36C98" w:rsidRDefault="003922ED" w:rsidP="001F5FE5">
            <w:pPr>
              <w:spacing w:after="0" w:line="240" w:lineRule="auto"/>
              <w:rPr>
                <w:rFonts w:ascii="Times New Roman" w:eastAsia="Times New Roman" w:hAnsi="Times New Roman" w:cs="Times New Roman"/>
                <w:color w:val="000000"/>
                <w:lang w:val="en-GB" w:eastAsia="it-IT"/>
              </w:rPr>
            </w:pPr>
            <w:r w:rsidRPr="00B36C98">
              <w:rPr>
                <w:rFonts w:ascii="Times New Roman" w:eastAsia="Times New Roman" w:hAnsi="Times New Roman" w:cs="Times New Roman"/>
                <w:color w:val="000000"/>
                <w:lang w:val="en-GB" w:eastAsia="it-IT"/>
              </w:rPr>
              <w:t xml:space="preserve">* among the </w:t>
            </w:r>
            <w:r>
              <w:rPr>
                <w:rFonts w:ascii="Times New Roman" w:eastAsia="Times New Roman" w:hAnsi="Times New Roman" w:cs="Times New Roman"/>
                <w:color w:val="000000"/>
                <w:lang w:val="en-GB" w:eastAsia="it-IT"/>
              </w:rPr>
              <w:t>53</w:t>
            </w:r>
            <w:r w:rsidRPr="00B36C98">
              <w:rPr>
                <w:rFonts w:ascii="Times New Roman" w:eastAsia="Times New Roman" w:hAnsi="Times New Roman" w:cs="Times New Roman"/>
                <w:color w:val="000000"/>
                <w:lang w:val="en-GB" w:eastAsia="it-IT"/>
              </w:rPr>
              <w:t xml:space="preserve"> genes validated in replication studies or in differential expression studies</w:t>
            </w:r>
            <w:r>
              <w:rPr>
                <w:rFonts w:ascii="Times New Roman" w:eastAsia="Times New Roman" w:hAnsi="Times New Roman" w:cs="Times New Roman"/>
                <w:color w:val="000000"/>
                <w:lang w:val="en-GB" w:eastAsia="it-IT"/>
              </w:rPr>
              <w:t xml:space="preserve"> </w:t>
            </w:r>
            <w:r w:rsidR="00072E6F">
              <w:rPr>
                <w:rFonts w:ascii="Times New Roman" w:eastAsia="Times New Roman" w:hAnsi="Times New Roman" w:cs="Times New Roman"/>
                <w:color w:val="000000"/>
                <w:lang w:val="en-GB" w:eastAsia="it-IT"/>
              </w:rPr>
              <w:fldChar w:fldCharType="begin"/>
            </w:r>
            <w:r w:rsidR="00072E6F">
              <w:rPr>
                <w:rFonts w:ascii="Times New Roman" w:eastAsia="Times New Roman" w:hAnsi="Times New Roman" w:cs="Times New Roman"/>
                <w:color w:val="000000"/>
                <w:lang w:val="en-GB" w:eastAsia="it-IT"/>
              </w:rPr>
              <w:instrText xml:space="preserve"> ADDIN ZOTERO_ITEM CSL_CITATION {"citationID":"SK5lNEhG","properties":{"formattedCitation":"(Qiu et al., 2014)","plainCitation":"(Qiu et al., 2014)","noteIndex":0},"citationItems":[{"id":260,"uris":["http://zotero.org/users/local/PmBZs6Ey/items/Q4VTIPPE"],"uri":["http://zotero.org/users/local/PmBZs6Ey/items/Q4VTIPPE"],"itemData":{"id":260,"type":"article-journal","title":"Identification of novel risk genes associated with type 1 diabetes mellitus using a genome-wide gene-based association analysis","container-title":"Journal of Diabetes Investigation","page":"649-656","volume":"5","issue":"6","source":"PubMed","abstract":"AIMS/INTRODUCTION: Type 1 diabetes mellitus is a serious disorder characterized by destruction of pancreatic β-cells, culminating in absolute insulin deficiency. Genetic factors contribute to the susceptibility of type 1 diabetes mellitus. The aim of the present study was to identify more susceptibility genes of type 1 diabetes mellitus.\nMATERIALS AND METHODS: We carried out an initial gene-based genome-wide association study in a total of 4,075 type 1 diabetes mellitus cases and 2,604 controls by using the Gene-based Association Test using Extended Simes procedure. Furthermore, we carried out replication studies, differential expression analysis and functional annotation clustering analysis to support the significance of the identified susceptibility genes.\nRESULTS: We identified 452 genes associated with type 1 diabetes mellitus, even after adapting the genome-wide threshold for significance (P &lt; 9.05E-04). Among these genes, 171 were newly identified for type 1 diabetes mellitus, which were ignored in single-nucleotide polymorphism-based association analysis and were not previously reported. We found that 53 genes have supportive evidence from replication studies and/or differential expression studies. In particular, seven genes including four non-human leukocyte antigen (HLA) genes (RASIP1, STRN4, BCAR1 and MYL2) are replicated in at least one independent population and also differentially expressed in peripheral blood mononuclear cells or monocytes. Furthermore, the associated genes tend to enrich in immune-related pathways or Gene Ontology project terms.\nCONCLUSIONS: The present results suggest the high power of gene-based association analysis in detecting disease-susceptibility genes. Our findings provide more insights into the genetic basis of type 1 diabetes mellitus.","DOI":"10.1111/jdi.12228","ISSN":"2040-1116","journalAbbreviation":"J Diabetes Investig","language":"eng","author":[{"family":"Qiu","given":"Ying-Hua"},{"family":"Deng","given":"Fei-Yan"},{"family":"Li","given":"Min-Jing"},{"family":"Lei","given":"Shu-Feng"}],"issued":{"date-parts":[["2014",11]]}}}],"schema":"https://github.com/citation-style-language/schema/raw/master/csl-citation.json"} </w:instrText>
            </w:r>
            <w:r w:rsidR="00072E6F">
              <w:rPr>
                <w:rFonts w:ascii="Times New Roman" w:eastAsia="Times New Roman" w:hAnsi="Times New Roman" w:cs="Times New Roman"/>
                <w:color w:val="000000"/>
                <w:lang w:val="en-GB" w:eastAsia="it-IT"/>
              </w:rPr>
              <w:fldChar w:fldCharType="separate"/>
            </w:r>
            <w:r w:rsidR="00072E6F" w:rsidRPr="00072E6F">
              <w:rPr>
                <w:rFonts w:ascii="Times New Roman" w:hAnsi="Times New Roman" w:cs="Times New Roman"/>
                <w:lang w:val="en-GB"/>
              </w:rPr>
              <w:t>(</w:t>
            </w:r>
            <w:proofErr w:type="spellStart"/>
            <w:r w:rsidR="00072E6F" w:rsidRPr="00072E6F">
              <w:rPr>
                <w:rFonts w:ascii="Times New Roman" w:hAnsi="Times New Roman" w:cs="Times New Roman"/>
                <w:lang w:val="en-GB"/>
              </w:rPr>
              <w:t>Qiu</w:t>
            </w:r>
            <w:proofErr w:type="spellEnd"/>
            <w:r w:rsidR="00072E6F" w:rsidRPr="00072E6F">
              <w:rPr>
                <w:rFonts w:ascii="Times New Roman" w:hAnsi="Times New Roman" w:cs="Times New Roman"/>
                <w:lang w:val="en-GB"/>
              </w:rPr>
              <w:t xml:space="preserve"> et al., 2014)</w:t>
            </w:r>
            <w:r w:rsidR="00072E6F">
              <w:rPr>
                <w:rFonts w:ascii="Times New Roman" w:eastAsia="Times New Roman" w:hAnsi="Times New Roman" w:cs="Times New Roman"/>
                <w:color w:val="000000"/>
                <w:lang w:val="en-GB" w:eastAsia="it-IT"/>
              </w:rPr>
              <w:fldChar w:fldCharType="end"/>
            </w:r>
            <w:r w:rsidRPr="00B36C98">
              <w:rPr>
                <w:rFonts w:ascii="Times New Roman" w:eastAsia="Times New Roman" w:hAnsi="Times New Roman" w:cs="Times New Roman"/>
                <w:color w:val="000000"/>
                <w:lang w:val="en-GB" w:eastAsia="it-IT"/>
              </w:rPr>
              <w:t> </w:t>
            </w:r>
          </w:p>
          <w:p w14:paraId="134E6FA4" w14:textId="77777777" w:rsidR="003922ED" w:rsidRPr="00B36C98" w:rsidRDefault="003922ED" w:rsidP="001F5FE5">
            <w:pPr>
              <w:spacing w:after="0" w:line="240" w:lineRule="auto"/>
              <w:rPr>
                <w:rFonts w:ascii="Times New Roman" w:eastAsia="Times New Roman" w:hAnsi="Times New Roman" w:cs="Times New Roman"/>
                <w:color w:val="000000"/>
                <w:lang w:val="en-GB" w:eastAsia="it-IT"/>
              </w:rPr>
            </w:pPr>
          </w:p>
        </w:tc>
      </w:tr>
      <w:tr w:rsidR="003922ED" w:rsidRPr="00414A76" w14:paraId="0CFDB3BD" w14:textId="77777777" w:rsidTr="00414A76">
        <w:trPr>
          <w:trHeight w:val="619"/>
          <w:jc w:val="center"/>
        </w:trPr>
        <w:tc>
          <w:tcPr>
            <w:tcW w:w="9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ADDD9" w14:textId="6A87C60F" w:rsidR="003922ED" w:rsidRPr="00B36C98" w:rsidRDefault="003922ED" w:rsidP="004F10D5">
            <w:pPr>
              <w:spacing w:after="0" w:line="240" w:lineRule="auto"/>
              <w:rPr>
                <w:rFonts w:ascii="Times New Roman" w:eastAsia="Times New Roman" w:hAnsi="Times New Roman" w:cs="Times New Roman"/>
                <w:b/>
                <w:bCs/>
                <w:i/>
                <w:iCs/>
                <w:color w:val="000000"/>
                <w:lang w:val="en-GB" w:eastAsia="it-IT"/>
              </w:rPr>
            </w:pPr>
            <w:r w:rsidRPr="00B36C98">
              <w:rPr>
                <w:rFonts w:ascii="Times New Roman" w:eastAsia="Times New Roman" w:hAnsi="Times New Roman" w:cs="Times New Roman"/>
                <w:b/>
                <w:bCs/>
                <w:i/>
                <w:iCs/>
                <w:color w:val="000000"/>
                <w:lang w:val="en-GB" w:eastAsia="it-IT"/>
              </w:rPr>
              <w:t xml:space="preserve">Genes* not highlighted by </w:t>
            </w:r>
            <w:r w:rsidR="00DC7A1A">
              <w:rPr>
                <w:rFonts w:ascii="Times New Roman" w:eastAsia="Times New Roman" w:hAnsi="Times New Roman" w:cs="Times New Roman"/>
                <w:b/>
                <w:bCs/>
                <w:i/>
                <w:iCs/>
                <w:color w:val="000000"/>
                <w:lang w:val="en-GB" w:eastAsia="it-IT"/>
              </w:rPr>
              <w:t>PANEV</w:t>
            </w:r>
            <w:r w:rsidRPr="00B36C98">
              <w:rPr>
                <w:rFonts w:ascii="Times New Roman" w:eastAsia="Times New Roman" w:hAnsi="Times New Roman" w:cs="Times New Roman"/>
                <w:b/>
                <w:bCs/>
                <w:i/>
                <w:iCs/>
                <w:color w:val="000000"/>
                <w:lang w:val="en-GB" w:eastAsia="it-IT"/>
              </w:rPr>
              <w:t>, since falling inside no-investigated pathways</w:t>
            </w:r>
          </w:p>
        </w:tc>
      </w:tr>
      <w:tr w:rsidR="003922ED" w:rsidRPr="00414A76" w14:paraId="1D63C752" w14:textId="77777777" w:rsidTr="00414A76">
        <w:trPr>
          <w:trHeight w:val="717"/>
          <w:jc w:val="center"/>
        </w:trPr>
        <w:tc>
          <w:tcPr>
            <w:tcW w:w="9095" w:type="dxa"/>
            <w:tcBorders>
              <w:top w:val="nil"/>
              <w:left w:val="dotted" w:sz="4" w:space="0" w:color="auto"/>
              <w:bottom w:val="dotted" w:sz="4" w:space="0" w:color="auto"/>
              <w:right w:val="dotted" w:sz="4" w:space="0" w:color="auto"/>
            </w:tcBorders>
            <w:shd w:val="clear" w:color="auto" w:fill="auto"/>
            <w:vAlign w:val="center"/>
            <w:hideMark/>
          </w:tcPr>
          <w:p w14:paraId="7BE50E55" w14:textId="77777777" w:rsidR="003922ED" w:rsidRPr="00B36C98" w:rsidRDefault="003922ED" w:rsidP="001F5FE5">
            <w:pPr>
              <w:spacing w:after="0" w:line="240" w:lineRule="auto"/>
              <w:rPr>
                <w:rFonts w:ascii="Times New Roman" w:eastAsia="Times New Roman" w:hAnsi="Times New Roman" w:cs="Times New Roman"/>
                <w:i/>
                <w:iCs/>
                <w:color w:val="000000"/>
                <w:lang w:val="en-GB" w:eastAsia="it-IT"/>
              </w:rPr>
            </w:pPr>
            <w:r w:rsidRPr="00B36C98">
              <w:rPr>
                <w:rFonts w:ascii="Times New Roman" w:eastAsia="Times New Roman" w:hAnsi="Times New Roman" w:cs="Times New Roman"/>
                <w:i/>
                <w:iCs/>
                <w:color w:val="000000"/>
                <w:lang w:val="en-GB" w:eastAsia="it-IT"/>
              </w:rPr>
              <w:t>BRAP</w:t>
            </w:r>
            <w:r w:rsidRPr="00B36C98">
              <w:rPr>
                <w:rFonts w:ascii="Times New Roman" w:eastAsia="Times New Roman" w:hAnsi="Times New Roman" w:cs="Times New Roman"/>
                <w:color w:val="000000"/>
                <w:lang w:val="en-GB" w:eastAsia="it-IT"/>
              </w:rPr>
              <w:t xml:space="preserve">, </w:t>
            </w:r>
            <w:r w:rsidRPr="00B36C98">
              <w:rPr>
                <w:rFonts w:ascii="Times New Roman" w:eastAsia="Times New Roman" w:hAnsi="Times New Roman" w:cs="Times New Roman"/>
                <w:i/>
                <w:iCs/>
                <w:color w:val="000000"/>
                <w:lang w:val="en-GB" w:eastAsia="it-IT"/>
              </w:rPr>
              <w:t>FUT2, GNS, HIPK1, NUPR1, OR2B3, HIST1H4E, HIST1H2BF, OR2B3, OR2B6, OR2J2, OR5V1, SULT1A1</w:t>
            </w:r>
          </w:p>
        </w:tc>
      </w:tr>
      <w:tr w:rsidR="003922ED" w:rsidRPr="00414A76" w14:paraId="331766F5" w14:textId="77777777" w:rsidTr="00414A76">
        <w:trPr>
          <w:trHeight w:val="309"/>
          <w:jc w:val="center"/>
        </w:trPr>
        <w:tc>
          <w:tcPr>
            <w:tcW w:w="9095" w:type="dxa"/>
            <w:tcBorders>
              <w:top w:val="nil"/>
              <w:left w:val="nil"/>
              <w:bottom w:val="nil"/>
              <w:right w:val="nil"/>
            </w:tcBorders>
            <w:shd w:val="clear" w:color="auto" w:fill="auto"/>
            <w:noWrap/>
            <w:vAlign w:val="center"/>
            <w:hideMark/>
          </w:tcPr>
          <w:p w14:paraId="17E252C2" w14:textId="34B9958F" w:rsidR="003922ED" w:rsidRPr="00B36C98" w:rsidRDefault="003922ED" w:rsidP="001F5FE5">
            <w:pPr>
              <w:spacing w:after="0" w:line="240" w:lineRule="auto"/>
              <w:rPr>
                <w:rFonts w:ascii="Times New Roman" w:eastAsia="Times New Roman" w:hAnsi="Times New Roman" w:cs="Times New Roman"/>
                <w:color w:val="000000"/>
                <w:lang w:val="en-GB" w:eastAsia="it-IT"/>
              </w:rPr>
            </w:pPr>
            <w:r w:rsidRPr="00B36C98">
              <w:rPr>
                <w:rFonts w:ascii="Times New Roman" w:eastAsia="Times New Roman" w:hAnsi="Times New Roman" w:cs="Times New Roman"/>
                <w:color w:val="000000"/>
                <w:lang w:val="en-GB" w:eastAsia="it-IT"/>
              </w:rPr>
              <w:t>*</w:t>
            </w:r>
            <w:r w:rsidRPr="00B36C98">
              <w:rPr>
                <w:lang w:val="en-GB"/>
              </w:rPr>
              <w:t xml:space="preserve"> </w:t>
            </w:r>
            <w:r w:rsidRPr="00B36C98">
              <w:rPr>
                <w:rFonts w:ascii="Times New Roman" w:eastAsia="Times New Roman" w:hAnsi="Times New Roman" w:cs="Times New Roman"/>
                <w:color w:val="000000"/>
                <w:lang w:val="en-GB" w:eastAsia="it-IT"/>
              </w:rPr>
              <w:t xml:space="preserve">among 166 out of 171 newly genes in reference study </w:t>
            </w:r>
            <w:r w:rsidR="00072E6F">
              <w:rPr>
                <w:rFonts w:ascii="Times New Roman" w:eastAsia="Times New Roman" w:hAnsi="Times New Roman" w:cs="Times New Roman"/>
                <w:color w:val="000000"/>
                <w:lang w:val="en-GB" w:eastAsia="it-IT"/>
              </w:rPr>
              <w:fldChar w:fldCharType="begin"/>
            </w:r>
            <w:r w:rsidR="00072E6F">
              <w:rPr>
                <w:rFonts w:ascii="Times New Roman" w:eastAsia="Times New Roman" w:hAnsi="Times New Roman" w:cs="Times New Roman"/>
                <w:color w:val="000000"/>
                <w:lang w:val="en-GB" w:eastAsia="it-IT"/>
              </w:rPr>
              <w:instrText xml:space="preserve"> ADDIN ZOTERO_ITEM CSL_CITATION {"citationID":"6MLH9WFv","properties":{"formattedCitation":"(Qiu et al., 2014)","plainCitation":"(Qiu et al., 2014)","noteIndex":0},"citationItems":[{"id":260,"uris":["http://zotero.org/users/local/PmBZs6Ey/items/Q4VTIPPE"],"uri":["http://zotero.org/users/local/PmBZs6Ey/items/Q4VTIPPE"],"itemData":{"id":260,"type":"article-journal","title":"Identification of novel risk genes associated with type 1 diabetes mellitus using a genome-wide gene-based association analysis","container-title":"Journal of Diabetes Investigation","page":"649-656","volume":"5","issue":"6","source":"PubMed","abstract":"AIMS/INTRODUCTION: Type 1 diabetes mellitus is a serious disorder characterized by destruction of pancreatic β-cells, culminating in absolute insulin deficiency. Genetic factors contribute to the susceptibility of type 1 diabetes mellitus. The aim of the present study was to identify more susceptibility genes of type 1 diabetes mellitus.\nMATERIALS AND METHODS: We carried out an initial gene-based genome-wide association study in a total of 4,075 type 1 diabetes mellitus cases and 2,604 controls by using the Gene-based Association Test using Extended Simes procedure. Furthermore, we carried out replication studies, differential expression analysis and functional annotation clustering analysis to support the significance of the identified susceptibility genes.\nRESULTS: We identified 452 genes associated with type 1 diabetes mellitus, even after adapting the genome-wide threshold for significance (P &lt; 9.05E-04). Among these genes, 171 were newly identified for type 1 diabetes mellitus, which were ignored in single-nucleotide polymorphism-based association analysis and were not previously reported. We found that 53 genes have supportive evidence from replication studies and/or differential expression studies. In particular, seven genes including four non-human leukocyte antigen (HLA) genes (RASIP1, STRN4, BCAR1 and MYL2) are replicated in at least one independent population and also differentially expressed in peripheral blood mononuclear cells or monocytes. Furthermore, the associated genes tend to enrich in immune-related pathways or Gene Ontology project terms.\nCONCLUSIONS: The present results suggest the high power of gene-based association analysis in detecting disease-susceptibility genes. Our findings provide more insights into the genetic basis of type 1 diabetes mellitus.","DOI":"10.1111/jdi.12228","ISSN":"2040-1116","journalAbbreviation":"J Diabetes Investig","language":"eng","author":[{"family":"Qiu","given":"Ying-Hua"},{"family":"Deng","given":"Fei-Yan"},{"family":"Li","given":"Min-Jing"},{"family":"Lei","given":"Shu-Feng"}],"issued":{"date-parts":[["2014",11]]}}}],"schema":"https://github.com/citation-style-language/schema/raw/master/csl-citation.json"} </w:instrText>
            </w:r>
            <w:r w:rsidR="00072E6F">
              <w:rPr>
                <w:rFonts w:ascii="Times New Roman" w:eastAsia="Times New Roman" w:hAnsi="Times New Roman" w:cs="Times New Roman"/>
                <w:color w:val="000000"/>
                <w:lang w:val="en-GB" w:eastAsia="it-IT"/>
              </w:rPr>
              <w:fldChar w:fldCharType="separate"/>
            </w:r>
            <w:r w:rsidR="00072E6F" w:rsidRPr="00072E6F">
              <w:rPr>
                <w:rFonts w:ascii="Times New Roman" w:hAnsi="Times New Roman" w:cs="Times New Roman"/>
                <w:lang w:val="en-GB"/>
              </w:rPr>
              <w:t>(</w:t>
            </w:r>
            <w:proofErr w:type="spellStart"/>
            <w:r w:rsidR="00072E6F" w:rsidRPr="00072E6F">
              <w:rPr>
                <w:rFonts w:ascii="Times New Roman" w:hAnsi="Times New Roman" w:cs="Times New Roman"/>
                <w:lang w:val="en-GB"/>
              </w:rPr>
              <w:t>Qiu</w:t>
            </w:r>
            <w:proofErr w:type="spellEnd"/>
            <w:r w:rsidR="00072E6F" w:rsidRPr="00072E6F">
              <w:rPr>
                <w:rFonts w:ascii="Times New Roman" w:hAnsi="Times New Roman" w:cs="Times New Roman"/>
                <w:lang w:val="en-GB"/>
              </w:rPr>
              <w:t xml:space="preserve"> et al., 2014)</w:t>
            </w:r>
            <w:r w:rsidR="00072E6F">
              <w:rPr>
                <w:rFonts w:ascii="Times New Roman" w:eastAsia="Times New Roman" w:hAnsi="Times New Roman" w:cs="Times New Roman"/>
                <w:color w:val="000000"/>
                <w:lang w:val="en-GB" w:eastAsia="it-IT"/>
              </w:rPr>
              <w:fldChar w:fldCharType="end"/>
            </w:r>
          </w:p>
          <w:p w14:paraId="608D9845" w14:textId="77777777" w:rsidR="003922ED" w:rsidRPr="00B36C98" w:rsidRDefault="003922ED" w:rsidP="001F5FE5">
            <w:pPr>
              <w:spacing w:after="0" w:line="240" w:lineRule="auto"/>
              <w:rPr>
                <w:rFonts w:ascii="Times New Roman" w:eastAsia="Times New Roman" w:hAnsi="Times New Roman" w:cs="Times New Roman"/>
                <w:color w:val="000000"/>
                <w:lang w:val="en-GB" w:eastAsia="it-IT"/>
              </w:rPr>
            </w:pPr>
          </w:p>
        </w:tc>
      </w:tr>
      <w:tr w:rsidR="003922ED" w:rsidRPr="00414A76" w14:paraId="559A71DF" w14:textId="77777777" w:rsidTr="00414A76">
        <w:trPr>
          <w:trHeight w:val="620"/>
          <w:jc w:val="center"/>
        </w:trPr>
        <w:tc>
          <w:tcPr>
            <w:tcW w:w="9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5A151" w14:textId="4FCB5D65" w:rsidR="003922ED" w:rsidRPr="00B36C98" w:rsidRDefault="003922ED" w:rsidP="004F10D5">
            <w:pPr>
              <w:spacing w:after="0" w:line="240" w:lineRule="auto"/>
              <w:rPr>
                <w:rFonts w:ascii="Times New Roman" w:eastAsia="Times New Roman" w:hAnsi="Times New Roman" w:cs="Times New Roman"/>
                <w:b/>
                <w:bCs/>
                <w:i/>
                <w:iCs/>
                <w:color w:val="000000"/>
                <w:lang w:val="en-GB" w:eastAsia="it-IT"/>
              </w:rPr>
            </w:pPr>
            <w:r w:rsidRPr="00B36C98">
              <w:rPr>
                <w:rFonts w:ascii="Times New Roman" w:eastAsia="Times New Roman" w:hAnsi="Times New Roman" w:cs="Times New Roman"/>
                <w:b/>
                <w:bCs/>
                <w:i/>
                <w:iCs/>
                <w:color w:val="000000"/>
                <w:lang w:val="en-GB" w:eastAsia="it-IT"/>
              </w:rPr>
              <w:t xml:space="preserve">Genes* not highlighted by </w:t>
            </w:r>
            <w:r w:rsidR="00DC7A1A">
              <w:rPr>
                <w:rFonts w:ascii="Times New Roman" w:eastAsia="Times New Roman" w:hAnsi="Times New Roman" w:cs="Times New Roman"/>
                <w:b/>
                <w:bCs/>
                <w:i/>
                <w:iCs/>
                <w:color w:val="000000"/>
                <w:lang w:val="en-GB" w:eastAsia="it-IT"/>
              </w:rPr>
              <w:t>PANEV</w:t>
            </w:r>
            <w:r w:rsidR="00DC7A1A" w:rsidRPr="00B36C98">
              <w:rPr>
                <w:rFonts w:ascii="Times New Roman" w:eastAsia="Times New Roman" w:hAnsi="Times New Roman" w:cs="Times New Roman"/>
                <w:b/>
                <w:bCs/>
                <w:i/>
                <w:iCs/>
                <w:color w:val="000000"/>
                <w:lang w:val="en-GB" w:eastAsia="it-IT"/>
              </w:rPr>
              <w:t xml:space="preserve"> </w:t>
            </w:r>
            <w:r w:rsidRPr="00B36C98">
              <w:rPr>
                <w:rFonts w:ascii="Times New Roman" w:eastAsia="Times New Roman" w:hAnsi="Times New Roman" w:cs="Times New Roman"/>
                <w:b/>
                <w:bCs/>
                <w:i/>
                <w:iCs/>
                <w:color w:val="000000"/>
                <w:lang w:val="en-GB" w:eastAsia="it-IT"/>
              </w:rPr>
              <w:t xml:space="preserve">since not yet assigned to any KEGG pathways </w:t>
            </w:r>
          </w:p>
        </w:tc>
      </w:tr>
      <w:tr w:rsidR="003922ED" w:rsidRPr="00414A76" w14:paraId="66506C82" w14:textId="77777777" w:rsidTr="00414A76">
        <w:trPr>
          <w:trHeight w:val="929"/>
          <w:jc w:val="center"/>
        </w:trPr>
        <w:tc>
          <w:tcPr>
            <w:tcW w:w="9095" w:type="dxa"/>
            <w:tcBorders>
              <w:top w:val="nil"/>
              <w:left w:val="dotted" w:sz="4" w:space="0" w:color="auto"/>
              <w:bottom w:val="dotted" w:sz="4" w:space="0" w:color="auto"/>
              <w:right w:val="dotted" w:sz="4" w:space="0" w:color="auto"/>
            </w:tcBorders>
            <w:shd w:val="clear" w:color="auto" w:fill="auto"/>
            <w:vAlign w:val="center"/>
            <w:hideMark/>
          </w:tcPr>
          <w:p w14:paraId="210F62DD" w14:textId="174F48BC" w:rsidR="003922ED" w:rsidRPr="00CF4E70" w:rsidRDefault="003922ED" w:rsidP="003C0C8E">
            <w:pPr>
              <w:spacing w:after="0" w:line="240" w:lineRule="auto"/>
              <w:rPr>
                <w:rFonts w:ascii="Times New Roman" w:eastAsia="Times New Roman" w:hAnsi="Times New Roman" w:cs="Times New Roman"/>
                <w:i/>
                <w:iCs/>
                <w:color w:val="000000"/>
                <w:lang w:val="en-GB" w:eastAsia="it-IT"/>
              </w:rPr>
            </w:pPr>
            <w:r w:rsidRPr="00CF4E70">
              <w:rPr>
                <w:rFonts w:ascii="Times New Roman" w:eastAsia="Times New Roman" w:hAnsi="Times New Roman" w:cs="Times New Roman"/>
                <w:i/>
                <w:iCs/>
                <w:color w:val="000000"/>
                <w:lang w:val="en-GB" w:eastAsia="it-IT"/>
              </w:rPr>
              <w:t>ADAD1</w:t>
            </w:r>
            <w:r w:rsidRPr="00CF4E70">
              <w:rPr>
                <w:rFonts w:ascii="Times New Roman" w:eastAsia="Times New Roman" w:hAnsi="Times New Roman" w:cs="Times New Roman"/>
                <w:iCs/>
                <w:color w:val="000000"/>
                <w:lang w:val="en-GB" w:eastAsia="it-IT"/>
              </w:rPr>
              <w:t xml:space="preserve">, </w:t>
            </w:r>
            <w:r w:rsidRPr="00CF4E70">
              <w:rPr>
                <w:rFonts w:ascii="Times New Roman" w:eastAsia="Times New Roman" w:hAnsi="Times New Roman" w:cs="Times New Roman"/>
                <w:i/>
                <w:iCs/>
                <w:color w:val="000000"/>
                <w:lang w:val="en-GB" w:eastAsia="it-IT"/>
              </w:rPr>
              <w:t>ASCL2</w:t>
            </w:r>
            <w:r w:rsidRPr="00CF4E70">
              <w:rPr>
                <w:rFonts w:ascii="Times New Roman" w:eastAsia="Times New Roman" w:hAnsi="Times New Roman" w:cs="Times New Roman"/>
                <w:iCs/>
                <w:color w:val="000000"/>
                <w:lang w:val="en-GB" w:eastAsia="it-IT"/>
              </w:rPr>
              <w:t xml:space="preserve">, </w:t>
            </w:r>
            <w:r w:rsidRPr="00CF4E70">
              <w:rPr>
                <w:rFonts w:ascii="Times New Roman" w:eastAsia="Times New Roman" w:hAnsi="Times New Roman" w:cs="Times New Roman"/>
                <w:i/>
                <w:iCs/>
                <w:color w:val="000000"/>
                <w:lang w:val="en-GB" w:eastAsia="it-IT"/>
              </w:rPr>
              <w:t>ATF7IP</w:t>
            </w:r>
            <w:r w:rsidRPr="00CF4E70">
              <w:rPr>
                <w:rFonts w:ascii="Times New Roman" w:eastAsia="Times New Roman" w:hAnsi="Times New Roman" w:cs="Times New Roman"/>
                <w:iCs/>
                <w:color w:val="000000"/>
                <w:lang w:val="en-GB" w:eastAsia="it-IT"/>
              </w:rPr>
              <w:t xml:space="preserve">, BTN3A3, C6orf227, </w:t>
            </w:r>
            <w:r w:rsidRPr="00CF4E70">
              <w:rPr>
                <w:rFonts w:ascii="Times New Roman" w:eastAsia="Times New Roman" w:hAnsi="Times New Roman" w:cs="Times New Roman"/>
                <w:i/>
                <w:iCs/>
                <w:color w:val="000000"/>
                <w:lang w:val="en-GB" w:eastAsia="it-IT"/>
              </w:rPr>
              <w:t>CABP1, CCDC101, CEACAM7,  CRYZL1, DEXI, ETF1P1, FAM46B, FAP, GCA, GGNBP1, GNL1, GP2, GUSBL1, HIST1H1A, HIST1H1T, HIST1H2BD, HIST1H3H, HIST1H4F, HIST1H4G, HIST1H4PS1, HLA-J, HORMAD2,  IKZF1, IKZF3, KIAA0528, KIFC1, KRT222, LHX9, LOC144481, LOC284749, MAMSTR, MICG, MIR548H3, MIR600, MPZL3, NCAPD2, NSL1, OLFML3, OR12D1P, ORMDL3, PHF1, PLBD1, PLEKHA1, PPP1R10, PPP1R11, PRR3, PRSS16, RASIP1, RING1, SBK1, SCGN, SLC17A1, SLC17A2, SLC17A3, SLC17A4, SPRR2E, STRN4, TAPBPL, TMEM129, TMEM170A, VPS52, ZBTB9, ZNF192, ZNF274, ZNF322A, ZNF323, ZPBP2, ZZEF1</w:t>
            </w:r>
          </w:p>
        </w:tc>
      </w:tr>
      <w:tr w:rsidR="003922ED" w:rsidRPr="00414A76" w14:paraId="40A3D070" w14:textId="77777777" w:rsidTr="00414A76">
        <w:trPr>
          <w:trHeight w:val="309"/>
          <w:jc w:val="center"/>
        </w:trPr>
        <w:tc>
          <w:tcPr>
            <w:tcW w:w="9095" w:type="dxa"/>
            <w:tcBorders>
              <w:top w:val="nil"/>
              <w:left w:val="nil"/>
              <w:bottom w:val="single" w:sz="4" w:space="0" w:color="auto"/>
              <w:right w:val="nil"/>
            </w:tcBorders>
            <w:shd w:val="clear" w:color="auto" w:fill="auto"/>
            <w:vAlign w:val="center"/>
            <w:hideMark/>
          </w:tcPr>
          <w:p w14:paraId="365FA838" w14:textId="3D9D869E" w:rsidR="003922ED" w:rsidRPr="00B36C98" w:rsidRDefault="003922ED" w:rsidP="001F5FE5">
            <w:pPr>
              <w:spacing w:after="0" w:line="240" w:lineRule="auto"/>
              <w:rPr>
                <w:rFonts w:ascii="Times New Roman" w:eastAsia="Times New Roman" w:hAnsi="Times New Roman" w:cs="Times New Roman"/>
                <w:color w:val="000000"/>
                <w:lang w:val="en-GB" w:eastAsia="it-IT"/>
              </w:rPr>
            </w:pPr>
            <w:r w:rsidRPr="00B36C98">
              <w:rPr>
                <w:rFonts w:ascii="Times New Roman" w:eastAsia="Times New Roman" w:hAnsi="Times New Roman" w:cs="Times New Roman"/>
                <w:color w:val="000000"/>
                <w:lang w:val="en-GB" w:eastAsia="it-IT"/>
              </w:rPr>
              <w:t>*</w:t>
            </w:r>
            <w:r w:rsidRPr="00B36C98">
              <w:rPr>
                <w:lang w:val="en-GB"/>
              </w:rPr>
              <w:t xml:space="preserve"> </w:t>
            </w:r>
            <w:r w:rsidRPr="00B36C98">
              <w:rPr>
                <w:rFonts w:ascii="Times New Roman" w:eastAsia="Times New Roman" w:hAnsi="Times New Roman" w:cs="Times New Roman"/>
                <w:color w:val="000000"/>
                <w:lang w:val="en-GB" w:eastAsia="it-IT"/>
              </w:rPr>
              <w:t xml:space="preserve">among 166 out of 171 newly genes in reference study </w:t>
            </w:r>
            <w:r w:rsidR="00072E6F">
              <w:rPr>
                <w:rFonts w:ascii="Times New Roman" w:eastAsia="Times New Roman" w:hAnsi="Times New Roman" w:cs="Times New Roman"/>
                <w:color w:val="000000"/>
                <w:lang w:val="en-GB" w:eastAsia="it-IT"/>
              </w:rPr>
              <w:fldChar w:fldCharType="begin"/>
            </w:r>
            <w:r w:rsidR="00072E6F">
              <w:rPr>
                <w:rFonts w:ascii="Times New Roman" w:eastAsia="Times New Roman" w:hAnsi="Times New Roman" w:cs="Times New Roman"/>
                <w:color w:val="000000"/>
                <w:lang w:val="en-GB" w:eastAsia="it-IT"/>
              </w:rPr>
              <w:instrText xml:space="preserve"> ADDIN ZOTERO_ITEM CSL_CITATION {"citationID":"z3l0Zgr0","properties":{"formattedCitation":"(Qiu et al., 2014)","plainCitation":"(Qiu et al., 2014)","noteIndex":0},"citationItems":[{"id":260,"uris":["http://zotero.org/users/local/PmBZs6Ey/items/Q4VTIPPE"],"uri":["http://zotero.org/users/local/PmBZs6Ey/items/Q4VTIPPE"],"itemData":{"id":260,"type":"article-journal","title":"Identification of novel risk genes associated with type 1 diabetes mellitus using a genome-wide gene-based association analysis","container-title":"Journal of Diabetes Investigation","page":"649-656","volume":"5","issue":"6","source":"PubMed","abstract":"AIMS/INTRODUCTION: Type 1 diabetes mellitus is a serious disorder characterized by destruction of pancreatic β-cells, culminating in absolute insulin deficiency. Genetic factors contribute to the susceptibility of type 1 diabetes mellitus. The aim of the present study was to identify more susceptibility genes of type 1 diabetes mellitus.\nMATERIALS AND METHODS: We carried out an initial gene-based genome-wide association study in a total of 4,075 type 1 diabetes mellitus cases and 2,604 controls by using the Gene-based Association Test using Extended Simes procedure. Furthermore, we carried out replication studies, differential expression analysis and functional annotation clustering analysis to support the significance of the identified susceptibility genes.\nRESULTS: We identified 452 genes associated with type 1 diabetes mellitus, even after adapting the genome-wide threshold for significance (P &lt; 9.05E-04). Among these genes, 171 were newly identified for type 1 diabetes mellitus, which were ignored in single-nucleotide polymorphism-based association analysis and were not previously reported. We found that 53 genes have supportive evidence from replication studies and/or differential expression studies. In particular, seven genes including four non-human leukocyte antigen (HLA) genes (RASIP1, STRN4, BCAR1 and MYL2) are replicated in at least one independent population and also differentially expressed in peripheral blood mononuclear cells or monocytes. Furthermore, the associated genes tend to enrich in immune-related pathways or Gene Ontology project terms.\nCONCLUSIONS: The present results suggest the high power of gene-based association analysis in detecting disease-susceptibility genes. Our findings provide more insights into the genetic basis of type 1 diabetes mellitus.","DOI":"10.1111/jdi.12228","ISSN":"2040-1116","journalAbbreviation":"J Diabetes Investig","language":"eng","author":[{"family":"Qiu","given":"Ying-Hua"},{"family":"Deng","given":"Fei-Yan"},{"family":"Li","given":"Min-Jing"},{"family":"Lei","given":"Shu-Feng"}],"issued":{"date-parts":[["2014",11]]}}}],"schema":"https://github.com/citation-style-language/schema/raw/master/csl-citation.json"} </w:instrText>
            </w:r>
            <w:r w:rsidR="00072E6F">
              <w:rPr>
                <w:rFonts w:ascii="Times New Roman" w:eastAsia="Times New Roman" w:hAnsi="Times New Roman" w:cs="Times New Roman"/>
                <w:color w:val="000000"/>
                <w:lang w:val="en-GB" w:eastAsia="it-IT"/>
              </w:rPr>
              <w:fldChar w:fldCharType="separate"/>
            </w:r>
            <w:r w:rsidR="00072E6F" w:rsidRPr="00072E6F">
              <w:rPr>
                <w:rFonts w:ascii="Times New Roman" w:hAnsi="Times New Roman" w:cs="Times New Roman"/>
                <w:lang w:val="en-GB"/>
              </w:rPr>
              <w:t>(</w:t>
            </w:r>
            <w:proofErr w:type="spellStart"/>
            <w:r w:rsidR="00072E6F" w:rsidRPr="00072E6F">
              <w:rPr>
                <w:rFonts w:ascii="Times New Roman" w:hAnsi="Times New Roman" w:cs="Times New Roman"/>
                <w:lang w:val="en-GB"/>
              </w:rPr>
              <w:t>Qiu</w:t>
            </w:r>
            <w:proofErr w:type="spellEnd"/>
            <w:r w:rsidR="00072E6F" w:rsidRPr="00072E6F">
              <w:rPr>
                <w:rFonts w:ascii="Times New Roman" w:hAnsi="Times New Roman" w:cs="Times New Roman"/>
                <w:lang w:val="en-GB"/>
              </w:rPr>
              <w:t xml:space="preserve"> et al., 2014)</w:t>
            </w:r>
            <w:r w:rsidR="00072E6F">
              <w:rPr>
                <w:rFonts w:ascii="Times New Roman" w:eastAsia="Times New Roman" w:hAnsi="Times New Roman" w:cs="Times New Roman"/>
                <w:color w:val="000000"/>
                <w:lang w:val="en-GB" w:eastAsia="it-IT"/>
              </w:rPr>
              <w:fldChar w:fldCharType="end"/>
            </w:r>
          </w:p>
          <w:p w14:paraId="0EC542E4" w14:textId="78F519FA" w:rsidR="00D37035" w:rsidRPr="00B36C98" w:rsidRDefault="00D37035" w:rsidP="001F5FE5">
            <w:pPr>
              <w:spacing w:after="0" w:line="240" w:lineRule="auto"/>
              <w:rPr>
                <w:rFonts w:ascii="Times New Roman" w:eastAsia="Times New Roman" w:hAnsi="Times New Roman" w:cs="Times New Roman"/>
                <w:color w:val="000000"/>
                <w:lang w:val="en-GB" w:eastAsia="it-IT"/>
              </w:rPr>
            </w:pPr>
          </w:p>
        </w:tc>
      </w:tr>
      <w:tr w:rsidR="00D37035" w:rsidRPr="00414A76" w14:paraId="510D8073" w14:textId="77777777" w:rsidTr="00414A76">
        <w:trPr>
          <w:trHeight w:val="620"/>
          <w:jc w:val="center"/>
        </w:trPr>
        <w:tc>
          <w:tcPr>
            <w:tcW w:w="9095" w:type="dxa"/>
            <w:tcBorders>
              <w:top w:val="single" w:sz="4" w:space="0" w:color="auto"/>
              <w:left w:val="single" w:sz="4" w:space="0" w:color="auto"/>
              <w:bottom w:val="single" w:sz="4" w:space="0" w:color="auto"/>
              <w:right w:val="single" w:sz="4" w:space="0" w:color="auto"/>
            </w:tcBorders>
            <w:shd w:val="clear" w:color="auto" w:fill="auto"/>
            <w:vAlign w:val="center"/>
          </w:tcPr>
          <w:p w14:paraId="26B6E21F" w14:textId="01A1CDDC" w:rsidR="00D37035" w:rsidRPr="00B36C98" w:rsidRDefault="00D37035" w:rsidP="001F5FE5">
            <w:pPr>
              <w:spacing w:after="0" w:line="240" w:lineRule="auto"/>
              <w:rPr>
                <w:rFonts w:ascii="Times New Roman" w:eastAsia="Times New Roman" w:hAnsi="Times New Roman" w:cs="Times New Roman"/>
                <w:color w:val="000000"/>
                <w:lang w:val="en-GB" w:eastAsia="it-IT"/>
              </w:rPr>
            </w:pPr>
            <w:r w:rsidRPr="00B36C98">
              <w:rPr>
                <w:rFonts w:ascii="Times New Roman" w:eastAsia="Times New Roman" w:hAnsi="Times New Roman" w:cs="Times New Roman"/>
                <w:b/>
                <w:bCs/>
                <w:i/>
                <w:iCs/>
                <w:color w:val="000000"/>
                <w:lang w:val="en-GB" w:eastAsia="it-IT"/>
              </w:rPr>
              <w:t xml:space="preserve">Genes* not highlighted by </w:t>
            </w:r>
            <w:r>
              <w:rPr>
                <w:rFonts w:ascii="Times New Roman" w:eastAsia="Times New Roman" w:hAnsi="Times New Roman" w:cs="Times New Roman"/>
                <w:b/>
                <w:bCs/>
                <w:i/>
                <w:iCs/>
                <w:color w:val="000000"/>
                <w:lang w:val="en-GB" w:eastAsia="it-IT"/>
              </w:rPr>
              <w:t>PANEV</w:t>
            </w:r>
            <w:r w:rsidRPr="00B36C98">
              <w:rPr>
                <w:rFonts w:ascii="Times New Roman" w:eastAsia="Times New Roman" w:hAnsi="Times New Roman" w:cs="Times New Roman"/>
                <w:b/>
                <w:bCs/>
                <w:i/>
                <w:iCs/>
                <w:color w:val="000000"/>
                <w:lang w:val="en-GB" w:eastAsia="it-IT"/>
              </w:rPr>
              <w:t xml:space="preserve"> since had no corresponding gene in KEGG databases</w:t>
            </w:r>
          </w:p>
        </w:tc>
      </w:tr>
      <w:tr w:rsidR="00D37035" w:rsidRPr="00414A76" w14:paraId="36687666" w14:textId="77777777" w:rsidTr="00414A76">
        <w:trPr>
          <w:trHeight w:val="309"/>
          <w:jc w:val="center"/>
        </w:trPr>
        <w:tc>
          <w:tcPr>
            <w:tcW w:w="9095" w:type="dxa"/>
            <w:tcBorders>
              <w:top w:val="single" w:sz="4" w:space="0" w:color="auto"/>
              <w:left w:val="dotted" w:sz="4" w:space="0" w:color="auto"/>
              <w:bottom w:val="dotted" w:sz="4" w:space="0" w:color="auto"/>
              <w:right w:val="dotted" w:sz="4" w:space="0" w:color="auto"/>
            </w:tcBorders>
            <w:shd w:val="clear" w:color="auto" w:fill="auto"/>
            <w:vAlign w:val="center"/>
          </w:tcPr>
          <w:p w14:paraId="0771DE43" w14:textId="716CB5C0" w:rsidR="00D37035" w:rsidRPr="00B36C98" w:rsidRDefault="00D37035" w:rsidP="001F5FE5">
            <w:pPr>
              <w:spacing w:after="0" w:line="240" w:lineRule="auto"/>
              <w:rPr>
                <w:rFonts w:ascii="Times New Roman" w:eastAsia="Times New Roman" w:hAnsi="Times New Roman" w:cs="Times New Roman"/>
                <w:color w:val="000000"/>
                <w:lang w:val="en-GB" w:eastAsia="it-IT"/>
              </w:rPr>
            </w:pPr>
            <w:r w:rsidRPr="00CF4E70">
              <w:rPr>
                <w:rFonts w:ascii="Times New Roman" w:eastAsia="Times New Roman" w:hAnsi="Times New Roman" w:cs="Times New Roman"/>
                <w:i/>
                <w:iCs/>
                <w:color w:val="000000"/>
                <w:lang w:val="en-GB" w:eastAsia="it-IT"/>
              </w:rPr>
              <w:t xml:space="preserve">GPR89P, HCG2P8, HCG4P3, HCG4P4, HCG4P9, HCGVIII-2, HCP5P2, LOC100127934, LOC100128077, LOC100128588, LOC100129387, LOC100130535, LOC100133214, LOC100270746, LOC100288130, LOC100506705, LOC100506979, LOC100507085, LOC340192, LOC402641, LYPLA2P1, OR2E1P, OR2U1P, OR2W6P, RPLP2P1, RPS10P1, RSPH1, SUMO2P, TRAJ57, TRAJ58, TRDD1, TRDD2, TRIM26, TRIM27, </w:t>
            </w:r>
            <w:bookmarkStart w:id="1" w:name="_GoBack"/>
            <w:bookmarkEnd w:id="1"/>
            <w:r w:rsidRPr="00CF4E70">
              <w:rPr>
                <w:rFonts w:ascii="Times New Roman" w:eastAsia="Times New Roman" w:hAnsi="Times New Roman" w:cs="Times New Roman"/>
                <w:i/>
                <w:iCs/>
                <w:color w:val="000000"/>
                <w:lang w:val="en-GB" w:eastAsia="it-IT"/>
              </w:rPr>
              <w:t>TRMEP1, TRNAA12, TRNAA19, TRNAA38, TRNAA40, TRNAA41, TRNAA5, TRNAF3, TRNAI1, TRNAI2, TRNAK43P, TRNAK8, TRNAL12, TRNAL47P, TRNAM15, TRNAM16, TRNAM4, TRNAM8, TRNAR10, TRNAS7, TRNAT11, TRNAT16, TRNAT7, TRNAV15, TRNAV27, TRNAV7, TRNAW2, TRNAY7, TRNAY8, UBD, VN1R14P</w:t>
            </w:r>
          </w:p>
        </w:tc>
      </w:tr>
      <w:tr w:rsidR="00D37035" w:rsidRPr="00414A76" w14:paraId="3D76B996" w14:textId="77777777" w:rsidTr="00414A76">
        <w:trPr>
          <w:trHeight w:val="309"/>
          <w:jc w:val="center"/>
        </w:trPr>
        <w:tc>
          <w:tcPr>
            <w:tcW w:w="9095" w:type="dxa"/>
            <w:tcBorders>
              <w:top w:val="dotted" w:sz="4" w:space="0" w:color="auto"/>
              <w:left w:val="nil"/>
              <w:bottom w:val="nil"/>
              <w:right w:val="nil"/>
            </w:tcBorders>
            <w:shd w:val="clear" w:color="auto" w:fill="auto"/>
            <w:vAlign w:val="center"/>
          </w:tcPr>
          <w:p w14:paraId="08158AB3" w14:textId="1B6DBC5A" w:rsidR="00D37035" w:rsidRPr="00CF4E70" w:rsidRDefault="00D37035" w:rsidP="001F5FE5">
            <w:pPr>
              <w:spacing w:after="0" w:line="240" w:lineRule="auto"/>
              <w:rPr>
                <w:rFonts w:ascii="Times New Roman" w:eastAsia="Times New Roman" w:hAnsi="Times New Roman" w:cs="Times New Roman"/>
                <w:i/>
                <w:iCs/>
                <w:color w:val="000000"/>
                <w:lang w:val="en-GB" w:eastAsia="it-IT"/>
              </w:rPr>
            </w:pPr>
            <w:r w:rsidRPr="00B36C98">
              <w:rPr>
                <w:rFonts w:ascii="Times New Roman" w:eastAsia="Times New Roman" w:hAnsi="Times New Roman" w:cs="Times New Roman"/>
                <w:color w:val="000000"/>
                <w:lang w:val="en-GB" w:eastAsia="it-IT"/>
              </w:rPr>
              <w:t>*</w:t>
            </w:r>
            <w:r w:rsidRPr="00B36C98">
              <w:rPr>
                <w:lang w:val="en-GB"/>
              </w:rPr>
              <w:t xml:space="preserve"> </w:t>
            </w:r>
            <w:r w:rsidRPr="00B36C98">
              <w:rPr>
                <w:rFonts w:ascii="Times New Roman" w:eastAsia="Times New Roman" w:hAnsi="Times New Roman" w:cs="Times New Roman"/>
                <w:color w:val="000000"/>
                <w:lang w:val="en-GB" w:eastAsia="it-IT"/>
              </w:rPr>
              <w:t>among 166 out of 171</w:t>
            </w:r>
            <w:r>
              <w:rPr>
                <w:rFonts w:ascii="Times New Roman" w:eastAsia="Times New Roman" w:hAnsi="Times New Roman" w:cs="Times New Roman"/>
                <w:color w:val="000000"/>
                <w:lang w:val="en-GB" w:eastAsia="it-IT"/>
              </w:rPr>
              <w:t xml:space="preserve"> newly genes in reference study</w:t>
            </w:r>
          </w:p>
        </w:tc>
      </w:tr>
    </w:tbl>
    <w:p w14:paraId="084F0330" w14:textId="4C5F2A49" w:rsidR="00D37035" w:rsidRDefault="00D37035" w:rsidP="006C5957">
      <w:pPr>
        <w:rPr>
          <w:rFonts w:ascii="Times New Roman" w:hAnsi="Times New Roman" w:cs="Times New Roman"/>
          <w:lang w:val="en-GB"/>
        </w:rPr>
      </w:pPr>
    </w:p>
    <w:p w14:paraId="79E6119A" w14:textId="0C640701" w:rsidR="00B93A78" w:rsidRPr="00B93A78" w:rsidRDefault="00B93A78" w:rsidP="006C5957">
      <w:pPr>
        <w:rPr>
          <w:rFonts w:ascii="Times New Roman" w:hAnsi="Times New Roman" w:cs="Times New Roman"/>
          <w:b/>
          <w:i/>
          <w:lang w:val="en-GB"/>
        </w:rPr>
      </w:pPr>
      <w:r w:rsidRPr="00B93A78">
        <w:rPr>
          <w:rFonts w:ascii="Times New Roman" w:hAnsi="Times New Roman" w:cs="Times New Roman"/>
          <w:b/>
          <w:i/>
          <w:lang w:val="en-GB"/>
        </w:rPr>
        <w:t>References</w:t>
      </w:r>
    </w:p>
    <w:p w14:paraId="611F1498" w14:textId="77777777" w:rsidR="001179D5" w:rsidRPr="001179D5" w:rsidRDefault="006C5957" w:rsidP="001179D5">
      <w:pPr>
        <w:pStyle w:val="Bibliografia"/>
        <w:rPr>
          <w:rFonts w:ascii="Times New Roman" w:hAnsi="Times New Roman" w:cs="Times New Roman"/>
          <w:lang w:val="en-GB"/>
        </w:rPr>
      </w:pPr>
      <w:r w:rsidRPr="006C5957">
        <w:rPr>
          <w:lang w:val="en-GB"/>
        </w:rPr>
        <w:fldChar w:fldCharType="begin"/>
      </w:r>
      <w:r w:rsidRPr="006C5957">
        <w:rPr>
          <w:lang w:val="en-GB"/>
        </w:rPr>
        <w:instrText xml:space="preserve"> ADDIN ZOTERO_BIBL {"uncited":[],"omitted":[],"custom":[]} CSL_BIBLIOGRAPHY </w:instrText>
      </w:r>
      <w:r w:rsidRPr="006C5957">
        <w:rPr>
          <w:lang w:val="en-GB"/>
        </w:rPr>
        <w:fldChar w:fldCharType="separate"/>
      </w:r>
      <w:r w:rsidR="001179D5" w:rsidRPr="001179D5">
        <w:rPr>
          <w:rFonts w:ascii="Times New Roman" w:hAnsi="Times New Roman" w:cs="Times New Roman"/>
          <w:lang w:val="en-GB"/>
        </w:rPr>
        <w:t>Beyan, H., R.C. Drexhage, L. van der Heul Nieuwenhuijsen, H. de Wit, R.C. Padmos, N.C. Schloot, H.A. Drexhage, and R.D. Leslie. 2010. Monocyte gene-expression profiles associated with childhood-</w:t>
      </w:r>
      <w:r w:rsidR="001179D5" w:rsidRPr="001179D5">
        <w:rPr>
          <w:rFonts w:ascii="Times New Roman" w:hAnsi="Times New Roman" w:cs="Times New Roman"/>
          <w:lang w:val="en-GB"/>
        </w:rPr>
        <w:lastRenderedPageBreak/>
        <w:t>onset type 1 diabetes and disease risk: a study of identical twins. Diabetes 59:1751–1755. doi:10.2337/db09-1433.</w:t>
      </w:r>
    </w:p>
    <w:p w14:paraId="0065EF2D"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Bi, C., B. Li, Z. Cheng, Y. Hu, Z. Fang, and A. Zhai. 2013. Association study of STAT4 polymorphisms and type 1 diabetes in Northeastern Chinese Han population. Tissue Antigens 81:137–140. doi:10.1111/tan.12057.</w:t>
      </w:r>
    </w:p>
    <w:p w14:paraId="619550A9"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Chen, H.Y., X.R. Huang, W. Wang, J.H. Li, R.L. Heuchel, A.C.K. Chung, and H.Y. Lan. 2011. The protective role of Smad7 in diabetic kidney disease: mechanism and therapeutic potential. Diabetes 60:590–601. doi:10.2337/db10-0403.</w:t>
      </w:r>
    </w:p>
    <w:p w14:paraId="38444FE5"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Hong, E.-G., H.J. Ko, Y.-R. Cho, H.-J. Kim, Z. Ma, T.Y. Yu, R.H. Friedline, E. Kurt-Jones, R. Finberg, M.A. Fischer, E.L. Granger, C.C. Norbury, S.D. Hauschka, W.M. Philbrick, C.-G. Lee, J.A. Elias, and J.K. Kim. 2009. Interleukin-10 prevents diet-induced insulin resistance by attenuating macrophage and cytokine response in skeletal muscle. Diabetes 58:2525–2535. doi:10.2337/db08-1261.</w:t>
      </w:r>
    </w:p>
    <w:p w14:paraId="2FB9C6A7"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 xml:space="preserve">Kim, S.Y., J.-H. Lee, M.J. Merrins, O. Gavrilova, X. Bisteau, P. Kaldis, L.S. Satin, and S.G. Rane. 2017. Loss of cyclin dependent kinase 2 in the pancreas links primary </w:t>
      </w:r>
      <w:r w:rsidRPr="001179D5">
        <w:rPr>
          <w:rFonts w:ascii="Times New Roman" w:hAnsi="Times New Roman" w:cs="Times New Roman"/>
        </w:rPr>
        <w:t>β</w:t>
      </w:r>
      <w:r w:rsidRPr="001179D5">
        <w:rPr>
          <w:rFonts w:ascii="Times New Roman" w:hAnsi="Times New Roman" w:cs="Times New Roman"/>
          <w:lang w:val="en-GB"/>
        </w:rPr>
        <w:t xml:space="preserve">-cell dysfunction to progressive depletion of </w:t>
      </w:r>
      <w:r w:rsidRPr="001179D5">
        <w:rPr>
          <w:rFonts w:ascii="Times New Roman" w:hAnsi="Times New Roman" w:cs="Times New Roman"/>
        </w:rPr>
        <w:t>β</w:t>
      </w:r>
      <w:r w:rsidRPr="001179D5">
        <w:rPr>
          <w:rFonts w:ascii="Times New Roman" w:hAnsi="Times New Roman" w:cs="Times New Roman"/>
          <w:lang w:val="en-GB"/>
        </w:rPr>
        <w:t>-cell mass and diabetes. J. Biol. Chem. jbc.M116.754077. doi:10.1074/jbc.M116.754077.</w:t>
      </w:r>
    </w:p>
    <w:p w14:paraId="0506D2EF"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Park, Y., H. Lee, C.B. Sanjeevi, and G.S. Eisenbarth. 2001. MICA polymorphism is associated with type 1 diabetes in the Korean population. Diabetes Care 24:33–38.</w:t>
      </w:r>
    </w:p>
    <w:p w14:paraId="71D6BB44"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Phillips, J.M., K. Haskins, and A. Cooke. 2005. MAdCAM-1 is needed for diabetes development mediated by the T cell clone, BDC-2·5. Immunology 116:525–531. doi:10.1111/j.1365-2567.2005.02254.x.</w:t>
      </w:r>
    </w:p>
    <w:p w14:paraId="55DB127E"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Qiu, Y.-H., F.-Y. Deng, M.-J. Li, and S.-F. Lei. 2014. Identification of novel risk genes associated with type 1 diabetes mellitus using a genome-wide gene-based association analysis. J Diabetes Investig 5:649–656. doi:10.1111/jdi.12228.</w:t>
      </w:r>
    </w:p>
    <w:p w14:paraId="5061501A"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lastRenderedPageBreak/>
        <w:t>Qu, H.-Q., L. Marchand, A. Szymborski, R. Grabs, and C. Polychronakos. 2008. The association between type 1 diabetes and the ITPR3 gene polymorphism due to linkage disequilibrium with HLA class II. Genes Immun. 9:264–266. doi:10.1038/gene.2008.12.</w:t>
      </w:r>
    </w:p>
    <w:p w14:paraId="404AD79A" w14:textId="77777777" w:rsidR="001179D5" w:rsidRPr="001179D5" w:rsidRDefault="001179D5" w:rsidP="001179D5">
      <w:pPr>
        <w:pStyle w:val="Bibliografia"/>
        <w:rPr>
          <w:rFonts w:ascii="Times New Roman" w:hAnsi="Times New Roman" w:cs="Times New Roman"/>
          <w:lang w:val="en-GB"/>
        </w:rPr>
      </w:pPr>
      <w:r w:rsidRPr="001179D5">
        <w:rPr>
          <w:rFonts w:ascii="Times New Roman" w:hAnsi="Times New Roman" w:cs="Times New Roman"/>
          <w:lang w:val="en-GB"/>
        </w:rPr>
        <w:t xml:space="preserve">Rajsbaum, R., D. Fici, D.A. Boggs, P.A. Fraser, P.O. Flores-Villanueva, and Z.L. Awdeh. 2002. Linkage disequilibrium between HLA-DPB1 alleles and retinoid X receptor </w:t>
      </w:r>
      <w:r w:rsidRPr="001179D5">
        <w:rPr>
          <w:rFonts w:ascii="Times New Roman" w:hAnsi="Times New Roman" w:cs="Times New Roman"/>
        </w:rPr>
        <w:t>β</w:t>
      </w:r>
      <w:r w:rsidRPr="001179D5">
        <w:rPr>
          <w:rFonts w:ascii="Times New Roman" w:hAnsi="Times New Roman" w:cs="Times New Roman"/>
          <w:lang w:val="en-GB"/>
        </w:rPr>
        <w:t xml:space="preserve"> haplotypes. Human Immunology 63:771–778. doi:10.1016/S0198-8859(02)00427-5.</w:t>
      </w:r>
    </w:p>
    <w:p w14:paraId="123E06D7" w14:textId="77777777" w:rsidR="001179D5" w:rsidRPr="001179D5" w:rsidRDefault="001179D5" w:rsidP="001179D5">
      <w:pPr>
        <w:pStyle w:val="Bibliografia"/>
        <w:rPr>
          <w:rFonts w:ascii="Times New Roman" w:hAnsi="Times New Roman" w:cs="Times New Roman"/>
        </w:rPr>
      </w:pPr>
      <w:r w:rsidRPr="001179D5">
        <w:rPr>
          <w:rFonts w:ascii="Times New Roman" w:hAnsi="Times New Roman" w:cs="Times New Roman"/>
          <w:lang w:val="en-GB"/>
        </w:rPr>
        <w:t xml:space="preserve">Zhang, S., J. Zhong, P. Yang, F. Gong, and C.-Y. Wang. 2010. HMGB1, an innate alarmin, in the pathogenesis of type 1 diabetes. </w:t>
      </w:r>
      <w:r w:rsidRPr="001179D5">
        <w:rPr>
          <w:rFonts w:ascii="Times New Roman" w:hAnsi="Times New Roman" w:cs="Times New Roman"/>
        </w:rPr>
        <w:t>Int J Clin Exp Pathol 3:24–38.</w:t>
      </w:r>
    </w:p>
    <w:p w14:paraId="12B310E2" w14:textId="3CD61689" w:rsidR="00B05BCA" w:rsidRPr="00B05BCA" w:rsidRDefault="006C5957" w:rsidP="006C5957">
      <w:pPr>
        <w:rPr>
          <w:lang w:val="en-GB"/>
        </w:rPr>
      </w:pPr>
      <w:r w:rsidRPr="006C5957">
        <w:rPr>
          <w:rFonts w:ascii="Times New Roman" w:hAnsi="Times New Roman" w:cs="Times New Roman"/>
          <w:lang w:val="en-GB"/>
        </w:rPr>
        <w:fldChar w:fldCharType="end"/>
      </w:r>
    </w:p>
    <w:sectPr w:rsidR="00B05BCA" w:rsidRPr="00B05BC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Grande">
    <w:altName w:val="Arial"/>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BCA"/>
    <w:rsid w:val="00072E6F"/>
    <w:rsid w:val="000F053C"/>
    <w:rsid w:val="001179D5"/>
    <w:rsid w:val="001A5956"/>
    <w:rsid w:val="001F5FE5"/>
    <w:rsid w:val="00236727"/>
    <w:rsid w:val="002932ED"/>
    <w:rsid w:val="002B352D"/>
    <w:rsid w:val="003922ED"/>
    <w:rsid w:val="003C0C8E"/>
    <w:rsid w:val="00414A76"/>
    <w:rsid w:val="00480A89"/>
    <w:rsid w:val="004A0ED0"/>
    <w:rsid w:val="004F10D5"/>
    <w:rsid w:val="005842A7"/>
    <w:rsid w:val="005F54A2"/>
    <w:rsid w:val="006C5957"/>
    <w:rsid w:val="0074223A"/>
    <w:rsid w:val="00842AE7"/>
    <w:rsid w:val="0096536F"/>
    <w:rsid w:val="00985CA0"/>
    <w:rsid w:val="00A90715"/>
    <w:rsid w:val="00B05BCA"/>
    <w:rsid w:val="00B93A78"/>
    <w:rsid w:val="00BA7691"/>
    <w:rsid w:val="00C10BC6"/>
    <w:rsid w:val="00D37035"/>
    <w:rsid w:val="00DC7A1A"/>
    <w:rsid w:val="00EF6A5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A831E3"/>
  <w15:docId w15:val="{81665A2F-81B5-4BAB-8166-D78D0770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922E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05BCA"/>
    <w:pPr>
      <w:autoSpaceDE w:val="0"/>
      <w:autoSpaceDN w:val="0"/>
      <w:adjustRightInd w:val="0"/>
      <w:spacing w:after="0" w:line="240" w:lineRule="auto"/>
    </w:pPr>
    <w:rPr>
      <w:rFonts w:ascii="Consolas" w:hAnsi="Consolas" w:cs="Consolas"/>
      <w:color w:val="000000"/>
      <w:sz w:val="24"/>
      <w:szCs w:val="24"/>
      <w:lang w:val="en-GB"/>
    </w:rPr>
  </w:style>
  <w:style w:type="paragraph" w:customStyle="1" w:styleId="para">
    <w:name w:val="para"/>
    <w:basedOn w:val="Normale"/>
    <w:link w:val="paraChar"/>
    <w:qFormat/>
    <w:rsid w:val="001A5956"/>
    <w:pPr>
      <w:spacing w:after="0" w:line="220" w:lineRule="exact"/>
      <w:ind w:firstLine="170"/>
      <w:jc w:val="both"/>
    </w:pPr>
    <w:rPr>
      <w:rFonts w:ascii="Times New Roman" w:eastAsia="Times New Roman" w:hAnsi="Times New Roman" w:cs="Times New Roman"/>
      <w:sz w:val="16"/>
      <w:szCs w:val="16"/>
      <w:lang w:val="en-US"/>
    </w:rPr>
  </w:style>
  <w:style w:type="character" w:customStyle="1" w:styleId="paraChar">
    <w:name w:val="para Char"/>
    <w:basedOn w:val="Carpredefinitoparagrafo"/>
    <w:link w:val="para"/>
    <w:rsid w:val="001A5956"/>
    <w:rPr>
      <w:rFonts w:ascii="Times New Roman" w:eastAsia="Times New Roman" w:hAnsi="Times New Roman" w:cs="Times New Roman"/>
      <w:sz w:val="16"/>
      <w:szCs w:val="16"/>
      <w:lang w:val="en-US"/>
    </w:rPr>
  </w:style>
  <w:style w:type="paragraph" w:styleId="Nessunaspaziatura">
    <w:name w:val="No Spacing"/>
    <w:uiPriority w:val="1"/>
    <w:qFormat/>
    <w:rsid w:val="000F053C"/>
    <w:pPr>
      <w:spacing w:after="0" w:line="240" w:lineRule="auto"/>
    </w:pPr>
  </w:style>
  <w:style w:type="paragraph" w:styleId="Testofumetto">
    <w:name w:val="Balloon Text"/>
    <w:basedOn w:val="Normale"/>
    <w:link w:val="TestofumettoCarattere"/>
    <w:uiPriority w:val="99"/>
    <w:semiHidden/>
    <w:unhideWhenUsed/>
    <w:rsid w:val="0074223A"/>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74223A"/>
    <w:rPr>
      <w:rFonts w:ascii="Lucida Grande" w:hAnsi="Lucida Grande" w:cs="Lucida Grande"/>
      <w:sz w:val="18"/>
      <w:szCs w:val="18"/>
    </w:rPr>
  </w:style>
  <w:style w:type="character" w:styleId="Rimandocommento">
    <w:name w:val="annotation reference"/>
    <w:basedOn w:val="Carpredefinitoparagrafo"/>
    <w:uiPriority w:val="99"/>
    <w:semiHidden/>
    <w:unhideWhenUsed/>
    <w:rsid w:val="0074223A"/>
    <w:rPr>
      <w:sz w:val="18"/>
      <w:szCs w:val="18"/>
    </w:rPr>
  </w:style>
  <w:style w:type="paragraph" w:styleId="Testocommento">
    <w:name w:val="annotation text"/>
    <w:basedOn w:val="Normale"/>
    <w:link w:val="TestocommentoCarattere"/>
    <w:uiPriority w:val="99"/>
    <w:semiHidden/>
    <w:unhideWhenUsed/>
    <w:rsid w:val="0074223A"/>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sid w:val="0074223A"/>
    <w:rPr>
      <w:sz w:val="24"/>
      <w:szCs w:val="24"/>
    </w:rPr>
  </w:style>
  <w:style w:type="paragraph" w:styleId="Soggettocommento">
    <w:name w:val="annotation subject"/>
    <w:basedOn w:val="Testocommento"/>
    <w:next w:val="Testocommento"/>
    <w:link w:val="SoggettocommentoCarattere"/>
    <w:uiPriority w:val="99"/>
    <w:semiHidden/>
    <w:unhideWhenUsed/>
    <w:rsid w:val="0074223A"/>
    <w:rPr>
      <w:b/>
      <w:bCs/>
      <w:sz w:val="20"/>
      <w:szCs w:val="20"/>
    </w:rPr>
  </w:style>
  <w:style w:type="character" w:customStyle="1" w:styleId="SoggettocommentoCarattere">
    <w:name w:val="Soggetto commento Carattere"/>
    <w:basedOn w:val="TestocommentoCarattere"/>
    <w:link w:val="Soggettocommento"/>
    <w:uiPriority w:val="99"/>
    <w:semiHidden/>
    <w:rsid w:val="0074223A"/>
    <w:rPr>
      <w:b/>
      <w:bCs/>
      <w:sz w:val="20"/>
      <w:szCs w:val="20"/>
    </w:rPr>
  </w:style>
  <w:style w:type="paragraph" w:styleId="Bibliografia">
    <w:name w:val="Bibliography"/>
    <w:basedOn w:val="Normale"/>
    <w:next w:val="Normale"/>
    <w:uiPriority w:val="37"/>
    <w:unhideWhenUsed/>
    <w:rsid w:val="006C5957"/>
    <w:pPr>
      <w:spacing w:after="24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6507</Words>
  <Characters>37096</Characters>
  <Application>Microsoft Office Word</Application>
  <DocSecurity>0</DocSecurity>
  <Lines>309</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Valentino</dc:creator>
  <cp:keywords/>
  <dc:description/>
  <cp:lastModifiedBy>VP</cp:lastModifiedBy>
  <cp:revision>19</cp:revision>
  <dcterms:created xsi:type="dcterms:W3CDTF">2018-12-04T10:17:00Z</dcterms:created>
  <dcterms:modified xsi:type="dcterms:W3CDTF">2019-07-04T15:34:00Z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zotero-version="5.0.69"&gt;&lt;session id="byTsCW7F"/&gt;&lt;style id="http://www.zotero.org/styles/journal-of-dairy-science" hasBibliography="1" bibliographyStyleHasBeenSet="1"/&gt;&lt;prefs&gt;&lt;pref name="fieldType" value="Field"/&gt;&lt;/prefs&gt;&lt;/data&gt;</vt:lpwstr>
  </property>
</Properties>
</file>