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59E26" w14:textId="77777777" w:rsidR="008C5862" w:rsidRPr="00FB6C7B" w:rsidRDefault="008C5862" w:rsidP="008C5862">
      <w:pPr>
        <w:pStyle w:val="Title"/>
        <w:rPr>
          <w:rFonts w:ascii="Arial" w:hAnsi="Arial" w:cs="Arial"/>
          <w:lang w:val="en-US"/>
        </w:rPr>
      </w:pPr>
      <w:proofErr w:type="spellStart"/>
      <w:r w:rsidRPr="00FB6C7B">
        <w:rPr>
          <w:rFonts w:ascii="Arial" w:hAnsi="Arial" w:cs="Arial"/>
          <w:lang w:val="en-US"/>
        </w:rPr>
        <w:t>HeMoQues</w:t>
      </w:r>
      <w:r w:rsidR="00617571" w:rsidRPr="00FB6C7B">
        <w:rPr>
          <w:rFonts w:ascii="Arial" w:hAnsi="Arial" w:cs="Arial"/>
          <w:lang w:val="en-US"/>
        </w:rPr>
        <w:t>t</w:t>
      </w:r>
      <w:proofErr w:type="spellEnd"/>
      <w:r w:rsidRPr="00FB6C7B">
        <w:rPr>
          <w:rFonts w:ascii="Arial" w:hAnsi="Arial" w:cs="Arial"/>
          <w:lang w:val="en-US"/>
        </w:rPr>
        <w:t>: A webserver for qualitative prediction of transient heme</w:t>
      </w:r>
      <w:r w:rsidR="00617571" w:rsidRPr="00FB6C7B">
        <w:rPr>
          <w:rFonts w:ascii="Arial" w:hAnsi="Arial" w:cs="Arial"/>
          <w:lang w:val="en-US"/>
        </w:rPr>
        <w:t xml:space="preserve"> </w:t>
      </w:r>
      <w:r w:rsidRPr="00FB6C7B">
        <w:rPr>
          <w:rFonts w:ascii="Arial" w:hAnsi="Arial" w:cs="Arial"/>
          <w:lang w:val="en-US"/>
        </w:rPr>
        <w:t xml:space="preserve">binding </w:t>
      </w:r>
      <w:r w:rsidR="00617571" w:rsidRPr="00FB6C7B">
        <w:rPr>
          <w:rFonts w:ascii="Arial" w:hAnsi="Arial" w:cs="Arial"/>
          <w:lang w:val="en-US"/>
        </w:rPr>
        <w:t xml:space="preserve">to protein </w:t>
      </w:r>
      <w:r w:rsidRPr="00FB6C7B">
        <w:rPr>
          <w:rFonts w:ascii="Arial" w:hAnsi="Arial" w:cs="Arial"/>
          <w:lang w:val="en-US"/>
        </w:rPr>
        <w:t>motifs</w:t>
      </w:r>
    </w:p>
    <w:p w14:paraId="42D0C9B5" w14:textId="28A3305B" w:rsidR="008C5862" w:rsidRPr="00FB6C7B" w:rsidRDefault="008C5862" w:rsidP="008C5862">
      <w:pPr>
        <w:pStyle w:val="Author-Group"/>
        <w:rPr>
          <w:rFonts w:ascii="Arial" w:hAnsi="Arial" w:cs="Arial"/>
        </w:rPr>
      </w:pPr>
      <w:r w:rsidRPr="00FB6C7B">
        <w:rPr>
          <w:rFonts w:ascii="Arial" w:hAnsi="Arial" w:cs="Arial"/>
        </w:rPr>
        <w:t>Ajay Abisheck Paul George</w:t>
      </w:r>
      <w:r w:rsidRPr="00FB6C7B">
        <w:rPr>
          <w:rFonts w:ascii="Arial" w:hAnsi="Arial" w:cs="Arial"/>
          <w:vertAlign w:val="superscript"/>
        </w:rPr>
        <w:t>1</w:t>
      </w:r>
      <w:r w:rsidRPr="00FB6C7B">
        <w:rPr>
          <w:rFonts w:ascii="Arial" w:hAnsi="Arial" w:cs="Arial"/>
        </w:rPr>
        <w:t>, Mauricio Lacerda</w:t>
      </w:r>
      <w:r w:rsidRPr="00FB6C7B">
        <w:rPr>
          <w:rFonts w:ascii="Arial" w:hAnsi="Arial" w:cs="Arial"/>
          <w:vertAlign w:val="superscript"/>
        </w:rPr>
        <w:t>1</w:t>
      </w:r>
      <w:r w:rsidRPr="00FB6C7B">
        <w:rPr>
          <w:rFonts w:ascii="Arial" w:hAnsi="Arial" w:cs="Arial"/>
        </w:rPr>
        <w:t>, Benjamin Franz Syllwasschy</w:t>
      </w:r>
      <w:r w:rsidRPr="00FB6C7B">
        <w:rPr>
          <w:rFonts w:ascii="Arial" w:hAnsi="Arial" w:cs="Arial"/>
          <w:vertAlign w:val="superscript"/>
        </w:rPr>
        <w:t>1</w:t>
      </w:r>
      <w:r w:rsidRPr="00FB6C7B">
        <w:rPr>
          <w:rFonts w:ascii="Arial" w:hAnsi="Arial" w:cs="Arial"/>
        </w:rPr>
        <w:t>, Marie-Thérèse Hopp</w:t>
      </w:r>
      <w:r w:rsidRPr="00FB6C7B">
        <w:rPr>
          <w:rFonts w:ascii="Arial" w:hAnsi="Arial" w:cs="Arial"/>
          <w:vertAlign w:val="superscript"/>
        </w:rPr>
        <w:t>1</w:t>
      </w:r>
      <w:r w:rsidRPr="00FB6C7B">
        <w:rPr>
          <w:rFonts w:ascii="Arial" w:hAnsi="Arial" w:cs="Arial"/>
        </w:rPr>
        <w:t>, Amelie Wißbrock</w:t>
      </w:r>
      <w:r w:rsidRPr="00FB6C7B">
        <w:rPr>
          <w:rFonts w:ascii="Arial" w:hAnsi="Arial" w:cs="Arial"/>
          <w:vertAlign w:val="superscript"/>
        </w:rPr>
        <w:t>1</w:t>
      </w:r>
      <w:r w:rsidRPr="00FB6C7B">
        <w:rPr>
          <w:rFonts w:ascii="Arial" w:hAnsi="Arial" w:cs="Arial"/>
        </w:rPr>
        <w:t>, and Diana Imhof</w:t>
      </w:r>
      <w:r w:rsidRPr="00FB6C7B">
        <w:rPr>
          <w:rFonts w:ascii="Arial" w:hAnsi="Arial" w:cs="Arial"/>
          <w:vertAlign w:val="superscript"/>
        </w:rPr>
        <w:t>1,*</w:t>
      </w:r>
    </w:p>
    <w:p w14:paraId="5ED6FD8B" w14:textId="53ECD18C" w:rsidR="008C5862" w:rsidRPr="00FB6C7B" w:rsidRDefault="008C5862" w:rsidP="008C5862">
      <w:pPr>
        <w:pStyle w:val="Author-Affiliation"/>
        <w:rPr>
          <w:rFonts w:ascii="Arial" w:hAnsi="Arial" w:cs="Arial"/>
        </w:rPr>
      </w:pPr>
      <w:r w:rsidRPr="00FB6C7B">
        <w:rPr>
          <w:rFonts w:ascii="Arial" w:hAnsi="Arial" w:cs="Arial"/>
          <w:vertAlign w:val="superscript"/>
        </w:rPr>
        <w:t>1</w:t>
      </w:r>
      <w:r w:rsidRPr="00FB6C7B">
        <w:rPr>
          <w:rFonts w:ascii="Arial" w:hAnsi="Arial" w:cs="Arial"/>
        </w:rPr>
        <w:t xml:space="preserve">Pharmaceutical Biochemistry and </w:t>
      </w:r>
      <w:proofErr w:type="spellStart"/>
      <w:r w:rsidRPr="00FB6C7B">
        <w:rPr>
          <w:rFonts w:ascii="Arial" w:hAnsi="Arial" w:cs="Arial"/>
        </w:rPr>
        <w:t>Bioanalytics</w:t>
      </w:r>
      <w:proofErr w:type="spellEnd"/>
      <w:r w:rsidRPr="00FB6C7B">
        <w:rPr>
          <w:rFonts w:ascii="Arial" w:hAnsi="Arial" w:cs="Arial"/>
        </w:rPr>
        <w:t xml:space="preserve">, Pharmaceutical Institute, An der </w:t>
      </w:r>
      <w:proofErr w:type="spellStart"/>
      <w:r w:rsidRPr="00FB6C7B">
        <w:rPr>
          <w:rFonts w:ascii="Arial" w:hAnsi="Arial" w:cs="Arial"/>
        </w:rPr>
        <w:t>Immenburg</w:t>
      </w:r>
      <w:proofErr w:type="spellEnd"/>
      <w:r w:rsidRPr="00FB6C7B">
        <w:rPr>
          <w:rFonts w:ascii="Arial" w:hAnsi="Arial" w:cs="Arial"/>
        </w:rPr>
        <w:t xml:space="preserve"> 4, University of Bonn, 53121</w:t>
      </w:r>
      <w:r w:rsidR="009413DD">
        <w:rPr>
          <w:rFonts w:ascii="Arial" w:hAnsi="Arial" w:cs="Arial"/>
        </w:rPr>
        <w:t xml:space="preserve"> Bonn</w:t>
      </w:r>
      <w:r w:rsidRPr="00FB6C7B">
        <w:rPr>
          <w:rFonts w:ascii="Arial" w:hAnsi="Arial" w:cs="Arial"/>
        </w:rPr>
        <w:t xml:space="preserve">, Germany  </w:t>
      </w:r>
    </w:p>
    <w:p w14:paraId="78C9A0B3" w14:textId="77777777" w:rsidR="008C5862" w:rsidRPr="00FB6C7B" w:rsidRDefault="008C5862" w:rsidP="008C5862">
      <w:pPr>
        <w:pStyle w:val="corrs-au"/>
        <w:rPr>
          <w:rFonts w:ascii="Arial" w:hAnsi="Arial" w:cs="Arial"/>
        </w:rPr>
      </w:pPr>
      <w:r w:rsidRPr="00FB6C7B">
        <w:rPr>
          <w:rFonts w:ascii="Arial" w:hAnsi="Arial" w:cs="Arial"/>
        </w:rPr>
        <w:t xml:space="preserve">*To whom correspondence should be addressed: Diana </w:t>
      </w:r>
      <w:proofErr w:type="spellStart"/>
      <w:r w:rsidRPr="00FB6C7B">
        <w:rPr>
          <w:rFonts w:ascii="Arial" w:hAnsi="Arial" w:cs="Arial"/>
        </w:rPr>
        <w:t>Imhof</w:t>
      </w:r>
      <w:proofErr w:type="spellEnd"/>
      <w:r w:rsidRPr="00FB6C7B">
        <w:rPr>
          <w:rFonts w:ascii="Arial" w:hAnsi="Arial" w:cs="Arial"/>
        </w:rPr>
        <w:t xml:space="preserve"> (Email: dimhof@uni-bonn.de).</w:t>
      </w:r>
    </w:p>
    <w:p w14:paraId="10806980" w14:textId="77777777" w:rsidR="00DC0752" w:rsidRPr="00FB6C7B" w:rsidRDefault="00DC0752" w:rsidP="008C5862">
      <w:pPr>
        <w:pStyle w:val="History-Dates"/>
        <w:rPr>
          <w:rFonts w:ascii="Arial" w:hAnsi="Arial" w:cs="Arial"/>
          <w:sz w:val="26"/>
          <w:szCs w:val="28"/>
        </w:rPr>
      </w:pPr>
    </w:p>
    <w:p w14:paraId="295C0913" w14:textId="673B2DC5" w:rsidR="008C5862" w:rsidRPr="009423E7" w:rsidRDefault="00FB6C7B" w:rsidP="008C5862">
      <w:pPr>
        <w:pStyle w:val="History-Dates"/>
        <w:rPr>
          <w:rFonts w:ascii="Arial" w:hAnsi="Arial" w:cs="Arial"/>
          <w:b/>
          <w:bCs/>
          <w:sz w:val="26"/>
          <w:szCs w:val="28"/>
        </w:rPr>
      </w:pPr>
      <w:r w:rsidRPr="009423E7">
        <w:rPr>
          <w:rFonts w:ascii="Arial" w:hAnsi="Arial" w:cs="Arial"/>
          <w:b/>
          <w:bCs/>
          <w:sz w:val="26"/>
          <w:szCs w:val="28"/>
        </w:rPr>
        <w:t>Additional</w:t>
      </w:r>
      <w:r w:rsidR="00DC0752" w:rsidRPr="009423E7">
        <w:rPr>
          <w:rFonts w:ascii="Arial" w:hAnsi="Arial" w:cs="Arial"/>
          <w:b/>
          <w:bCs/>
          <w:sz w:val="26"/>
          <w:szCs w:val="28"/>
        </w:rPr>
        <w:t xml:space="preserve"> information</w:t>
      </w:r>
    </w:p>
    <w:p w14:paraId="00E6FC42" w14:textId="6517A886" w:rsidR="00C44AA1" w:rsidRPr="00FB6C7B" w:rsidRDefault="00FB6C7B" w:rsidP="00EE6BA5">
      <w:pPr>
        <w:pStyle w:val="Caption"/>
        <w:keepNext/>
        <w:pBdr>
          <w:top w:val="none" w:sz="4" w:space="31" w:color="000000"/>
        </w:pBdr>
        <w:jc w:val="center"/>
        <w:rPr>
          <w:rFonts w:ascii="Arial" w:hAnsi="Arial" w:cs="Arial"/>
          <w:color w:val="auto"/>
          <w:sz w:val="14"/>
          <w:lang w:val="en-US"/>
        </w:rPr>
      </w:pPr>
      <w:r w:rsidRPr="00EE6BA5">
        <w:rPr>
          <w:rFonts w:ascii="Arial" w:hAnsi="Arial" w:cs="Arial"/>
          <w:color w:val="auto"/>
          <w:szCs w:val="22"/>
          <w:lang w:val="en-GB"/>
        </w:rPr>
        <w:t xml:space="preserve">Additional Table </w:t>
      </w:r>
      <w:r w:rsidR="00B2658F">
        <w:rPr>
          <w:rFonts w:ascii="Arial" w:hAnsi="Arial" w:cs="Arial"/>
          <w:color w:val="auto"/>
          <w:szCs w:val="22"/>
          <w:lang w:val="en-GB"/>
        </w:rPr>
        <w:t>1</w:t>
      </w:r>
      <w:r w:rsidRPr="00EE6BA5">
        <w:rPr>
          <w:rFonts w:ascii="Arial" w:hAnsi="Arial" w:cs="Arial"/>
          <w:color w:val="auto"/>
          <w:szCs w:val="22"/>
          <w:lang w:val="en-GB"/>
        </w:rPr>
        <w:t>.</w:t>
      </w:r>
      <w:r w:rsidR="00B22BE4" w:rsidRPr="00EE6BA5">
        <w:rPr>
          <w:rFonts w:ascii="Arial" w:hAnsi="Arial" w:cs="Arial"/>
          <w:color w:val="auto"/>
          <w:szCs w:val="22"/>
          <w:lang w:val="en-US"/>
        </w:rPr>
        <w:t xml:space="preserve"> </w:t>
      </w:r>
      <w:r w:rsidR="00B22BE4" w:rsidRPr="00EE6BA5">
        <w:rPr>
          <w:rFonts w:ascii="Arial" w:hAnsi="Arial" w:cs="Arial"/>
          <w:b w:val="0"/>
          <w:bCs w:val="0"/>
          <w:color w:val="auto"/>
          <w:szCs w:val="22"/>
          <w:lang w:val="en-US"/>
        </w:rPr>
        <w:t>Human heme-regulated proteins and reported heme-binding sites</w:t>
      </w:r>
    </w:p>
    <w:tbl>
      <w:tblPr>
        <w:tblW w:w="0" w:type="auto"/>
        <w:tblInd w:w="-142" w:type="dxa"/>
        <w:tblBorders>
          <w:top w:val="single" w:sz="4" w:space="0" w:color="000000"/>
          <w:bottom w:val="single" w:sz="4" w:space="0" w:color="auto"/>
          <w:insideH w:val="single" w:sz="4" w:space="0" w:color="auto"/>
          <w:insideV w:val="single" w:sz="4" w:space="0" w:color="auto"/>
        </w:tblBorders>
        <w:tblLook w:val="04A0" w:firstRow="1" w:lastRow="0" w:firstColumn="1" w:lastColumn="0" w:noHBand="0" w:noVBand="1"/>
      </w:tblPr>
      <w:tblGrid>
        <w:gridCol w:w="885"/>
        <w:gridCol w:w="1466"/>
        <w:gridCol w:w="1235"/>
        <w:gridCol w:w="2125"/>
        <w:gridCol w:w="1246"/>
        <w:gridCol w:w="1189"/>
        <w:gridCol w:w="1022"/>
      </w:tblGrid>
      <w:tr w:rsidR="00A70C60" w:rsidRPr="00B2658F" w14:paraId="67F71AE8" w14:textId="77777777" w:rsidTr="00AC2715">
        <w:tc>
          <w:tcPr>
            <w:tcW w:w="885" w:type="dxa"/>
          </w:tcPr>
          <w:p w14:paraId="3E560E7B" w14:textId="036D71FC" w:rsidR="00A70C60" w:rsidRPr="00FB6C7B" w:rsidRDefault="00A70C60" w:rsidP="00B874BD">
            <w:pPr>
              <w:spacing w:after="0"/>
              <w:jc w:val="center"/>
              <w:rPr>
                <w:rFonts w:ascii="Arial" w:hAnsi="Arial" w:cs="Arial"/>
                <w:b/>
                <w:sz w:val="16"/>
                <w:szCs w:val="20"/>
                <w:lang w:val="en-US"/>
              </w:rPr>
            </w:pPr>
            <w:r>
              <w:rPr>
                <w:rFonts w:ascii="Arial" w:hAnsi="Arial" w:cs="Arial"/>
                <w:b/>
                <w:sz w:val="16"/>
                <w:szCs w:val="20"/>
                <w:lang w:val="en-US"/>
              </w:rPr>
              <w:t>Number</w:t>
            </w:r>
            <w:bookmarkStart w:id="0" w:name="_GoBack"/>
            <w:bookmarkEnd w:id="0"/>
          </w:p>
        </w:tc>
        <w:tc>
          <w:tcPr>
            <w:tcW w:w="1466" w:type="dxa"/>
            <w:shd w:val="clear" w:color="auto" w:fill="auto"/>
          </w:tcPr>
          <w:p w14:paraId="3868119F" w14:textId="3A893F81" w:rsidR="00A70C60" w:rsidRPr="00FB6C7B" w:rsidRDefault="00A70C60" w:rsidP="00B874BD">
            <w:pPr>
              <w:spacing w:after="0"/>
              <w:jc w:val="center"/>
              <w:rPr>
                <w:rFonts w:ascii="Arial" w:hAnsi="Arial" w:cs="Arial"/>
                <w:b/>
                <w:sz w:val="16"/>
                <w:szCs w:val="20"/>
                <w:lang w:val="en-US"/>
              </w:rPr>
            </w:pPr>
            <w:r w:rsidRPr="00FB6C7B">
              <w:rPr>
                <w:rFonts w:ascii="Arial" w:hAnsi="Arial" w:cs="Arial"/>
                <w:b/>
                <w:sz w:val="16"/>
                <w:szCs w:val="20"/>
                <w:lang w:val="en-US"/>
              </w:rPr>
              <w:t>Protein</w:t>
            </w:r>
          </w:p>
        </w:tc>
        <w:tc>
          <w:tcPr>
            <w:tcW w:w="1235" w:type="dxa"/>
            <w:shd w:val="clear" w:color="auto" w:fill="auto"/>
          </w:tcPr>
          <w:p w14:paraId="0B78C999" w14:textId="77777777" w:rsidR="00A70C60" w:rsidRPr="00FB6C7B" w:rsidRDefault="00A70C60" w:rsidP="00B874BD">
            <w:pPr>
              <w:spacing w:after="0"/>
              <w:jc w:val="center"/>
              <w:rPr>
                <w:rFonts w:ascii="Arial" w:hAnsi="Arial" w:cs="Arial"/>
                <w:b/>
                <w:sz w:val="16"/>
                <w:szCs w:val="20"/>
                <w:lang w:val="en-US"/>
              </w:rPr>
            </w:pPr>
            <w:r w:rsidRPr="00FB6C7B">
              <w:rPr>
                <w:rFonts w:ascii="Arial" w:hAnsi="Arial" w:cs="Arial"/>
                <w:b/>
                <w:sz w:val="16"/>
                <w:szCs w:val="20"/>
                <w:lang w:val="en-US"/>
              </w:rPr>
              <w:t>Origin</w:t>
            </w:r>
          </w:p>
        </w:tc>
        <w:tc>
          <w:tcPr>
            <w:tcW w:w="2125" w:type="dxa"/>
            <w:shd w:val="clear" w:color="auto" w:fill="auto"/>
          </w:tcPr>
          <w:p w14:paraId="33DAA070" w14:textId="77777777" w:rsidR="00A70C60" w:rsidRPr="00FB6C7B" w:rsidRDefault="00A70C60" w:rsidP="00B874BD">
            <w:pPr>
              <w:spacing w:after="0"/>
              <w:jc w:val="center"/>
              <w:rPr>
                <w:rFonts w:ascii="Arial" w:hAnsi="Arial" w:cs="Arial"/>
                <w:b/>
                <w:sz w:val="16"/>
                <w:szCs w:val="20"/>
                <w:lang w:val="en-US"/>
              </w:rPr>
            </w:pPr>
            <w:r w:rsidRPr="00FB6C7B">
              <w:rPr>
                <w:rFonts w:ascii="Arial" w:hAnsi="Arial" w:cs="Arial"/>
                <w:b/>
                <w:sz w:val="16"/>
                <w:szCs w:val="20"/>
                <w:lang w:val="en-US"/>
              </w:rPr>
              <w:t>Published heme-binding sites</w:t>
            </w:r>
          </w:p>
        </w:tc>
        <w:tc>
          <w:tcPr>
            <w:tcW w:w="1246" w:type="dxa"/>
            <w:shd w:val="clear" w:color="auto" w:fill="auto"/>
          </w:tcPr>
          <w:p w14:paraId="6549C8D2" w14:textId="77777777" w:rsidR="00A70C60" w:rsidRPr="00FB6C7B" w:rsidRDefault="00A70C60" w:rsidP="00B874BD">
            <w:pPr>
              <w:spacing w:after="0"/>
              <w:jc w:val="center"/>
              <w:rPr>
                <w:rFonts w:ascii="Arial" w:hAnsi="Arial" w:cs="Arial"/>
                <w:b/>
                <w:sz w:val="16"/>
                <w:szCs w:val="20"/>
                <w:lang w:val="en-US"/>
              </w:rPr>
            </w:pPr>
            <w:r w:rsidRPr="00FB6C7B">
              <w:rPr>
                <w:rFonts w:ascii="Arial" w:hAnsi="Arial" w:cs="Arial"/>
                <w:b/>
                <w:sz w:val="16"/>
                <w:szCs w:val="20"/>
                <w:lang w:val="en-US"/>
              </w:rPr>
              <w:t>References</w:t>
            </w:r>
          </w:p>
        </w:tc>
        <w:tc>
          <w:tcPr>
            <w:tcW w:w="1189" w:type="dxa"/>
            <w:shd w:val="clear" w:color="auto" w:fill="auto"/>
          </w:tcPr>
          <w:p w14:paraId="5AA9FBDA" w14:textId="77777777" w:rsidR="00A70C60" w:rsidRPr="00FB6C7B" w:rsidRDefault="00A70C60" w:rsidP="00B874BD">
            <w:pPr>
              <w:spacing w:after="0"/>
              <w:jc w:val="center"/>
              <w:rPr>
                <w:rFonts w:ascii="Arial" w:hAnsi="Arial" w:cs="Arial"/>
                <w:b/>
                <w:sz w:val="16"/>
                <w:szCs w:val="20"/>
                <w:lang w:val="en-US"/>
              </w:rPr>
            </w:pPr>
            <w:proofErr w:type="spellStart"/>
            <w:r w:rsidRPr="00FB6C7B">
              <w:rPr>
                <w:rFonts w:ascii="Arial" w:hAnsi="Arial" w:cs="Arial"/>
                <w:b/>
                <w:sz w:val="16"/>
                <w:szCs w:val="20"/>
                <w:lang w:val="en-US"/>
              </w:rPr>
              <w:t>HeMoQuest</w:t>
            </w:r>
            <w:proofErr w:type="spellEnd"/>
          </w:p>
          <w:p w14:paraId="462FB2B0" w14:textId="77777777" w:rsidR="00A70C60" w:rsidRPr="00FB6C7B" w:rsidRDefault="00A70C60" w:rsidP="00B874BD">
            <w:pPr>
              <w:spacing w:after="0"/>
              <w:jc w:val="center"/>
              <w:rPr>
                <w:rFonts w:ascii="Arial" w:hAnsi="Arial" w:cs="Arial"/>
                <w:b/>
                <w:sz w:val="16"/>
                <w:szCs w:val="20"/>
                <w:lang w:val="en-US"/>
              </w:rPr>
            </w:pPr>
            <w:r w:rsidRPr="00FB6C7B">
              <w:rPr>
                <w:rFonts w:ascii="Arial" w:hAnsi="Arial" w:cs="Arial"/>
                <w:b/>
                <w:sz w:val="16"/>
                <w:szCs w:val="20"/>
                <w:lang w:val="en-US"/>
              </w:rPr>
              <w:t>Prediction*</w:t>
            </w:r>
          </w:p>
        </w:tc>
        <w:tc>
          <w:tcPr>
            <w:tcW w:w="1022" w:type="dxa"/>
            <w:shd w:val="clear" w:color="auto" w:fill="auto"/>
          </w:tcPr>
          <w:p w14:paraId="2EE6D145" w14:textId="77777777" w:rsidR="00A70C60" w:rsidRPr="00FB6C7B" w:rsidRDefault="00A70C60" w:rsidP="00B874BD">
            <w:pPr>
              <w:spacing w:after="0" w:line="240" w:lineRule="auto"/>
              <w:jc w:val="center"/>
              <w:rPr>
                <w:rFonts w:ascii="Arial" w:hAnsi="Arial" w:cs="Arial"/>
                <w:b/>
                <w:sz w:val="16"/>
                <w:szCs w:val="20"/>
                <w:lang w:val="en-US"/>
              </w:rPr>
            </w:pPr>
            <w:r w:rsidRPr="00FB6C7B">
              <w:rPr>
                <w:rFonts w:ascii="Arial" w:hAnsi="Arial" w:cs="Arial"/>
                <w:b/>
                <w:sz w:val="16"/>
                <w:szCs w:val="20"/>
                <w:lang w:val="en-US"/>
              </w:rPr>
              <w:t>Comment</w:t>
            </w:r>
          </w:p>
        </w:tc>
      </w:tr>
      <w:tr w:rsidR="00A70C60" w:rsidRPr="00AC2715" w14:paraId="7A3D0BAE" w14:textId="77777777" w:rsidTr="00AC2715">
        <w:tc>
          <w:tcPr>
            <w:tcW w:w="885" w:type="dxa"/>
          </w:tcPr>
          <w:p w14:paraId="05F28DE8" w14:textId="62AC8718" w:rsidR="00A70C60" w:rsidRDefault="00A70C60" w:rsidP="00B874BD">
            <w:pPr>
              <w:spacing w:after="0"/>
              <w:rPr>
                <w:rFonts w:ascii="Arial" w:hAnsi="Arial" w:cs="Arial"/>
                <w:sz w:val="16"/>
                <w:szCs w:val="20"/>
                <w:lang w:val="en-US"/>
              </w:rPr>
            </w:pPr>
            <w:r>
              <w:rPr>
                <w:rFonts w:ascii="Arial" w:hAnsi="Arial" w:cs="Arial"/>
                <w:sz w:val="16"/>
                <w:szCs w:val="20"/>
                <w:lang w:val="en-US"/>
              </w:rPr>
              <w:t>1</w:t>
            </w:r>
          </w:p>
        </w:tc>
        <w:tc>
          <w:tcPr>
            <w:tcW w:w="1466" w:type="dxa"/>
            <w:shd w:val="clear" w:color="auto" w:fill="auto"/>
          </w:tcPr>
          <w:p w14:paraId="0DD02421" w14:textId="06765DA1"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δ</w:t>
            </w:r>
            <w:r w:rsidRPr="00FB6C7B">
              <w:rPr>
                <w:rFonts w:ascii="Arial" w:hAnsi="Arial" w:cs="Arial"/>
                <w:sz w:val="16"/>
                <w:szCs w:val="20"/>
                <w:lang w:val="en-US"/>
              </w:rPr>
              <w:t>-</w:t>
            </w:r>
            <w:proofErr w:type="spellStart"/>
            <w:r w:rsidRPr="00FB6C7B">
              <w:rPr>
                <w:rFonts w:ascii="Arial" w:hAnsi="Arial" w:cs="Arial"/>
                <w:sz w:val="16"/>
                <w:szCs w:val="20"/>
                <w:lang w:val="en-US"/>
              </w:rPr>
              <w:t>aminolevulinic</w:t>
            </w:r>
            <w:proofErr w:type="spellEnd"/>
            <w:r w:rsidRPr="00FB6C7B">
              <w:rPr>
                <w:rFonts w:ascii="Arial" w:hAnsi="Arial" w:cs="Arial"/>
                <w:sz w:val="16"/>
                <w:szCs w:val="20"/>
                <w:lang w:val="en-US"/>
              </w:rPr>
              <w:t xml:space="preserve"> acid synthase 1 (ALAS1)</w:t>
            </w:r>
          </w:p>
        </w:tc>
        <w:tc>
          <w:tcPr>
            <w:tcW w:w="1235" w:type="dxa"/>
            <w:shd w:val="clear" w:color="auto" w:fill="auto"/>
          </w:tcPr>
          <w:p w14:paraId="0506C468" w14:textId="77777777" w:rsidR="00A70C60" w:rsidRPr="00FB6C7B" w:rsidRDefault="00A70C60" w:rsidP="00B874BD">
            <w:pPr>
              <w:spacing w:after="0"/>
              <w:rPr>
                <w:rFonts w:ascii="Arial" w:hAnsi="Arial" w:cs="Arial"/>
                <w:i/>
                <w:sz w:val="16"/>
                <w:szCs w:val="20"/>
                <w:lang w:val="en-US"/>
              </w:rPr>
            </w:pPr>
            <w:r w:rsidRPr="00FB6C7B">
              <w:rPr>
                <w:rFonts w:ascii="Arial" w:hAnsi="Arial" w:cs="Arial"/>
                <w:i/>
                <w:sz w:val="16"/>
                <w:szCs w:val="20"/>
                <w:lang w:val="en-US"/>
              </w:rPr>
              <w:t>R. norvegicus/ H. sapiens</w:t>
            </w:r>
          </w:p>
        </w:tc>
        <w:tc>
          <w:tcPr>
            <w:tcW w:w="2125" w:type="dxa"/>
            <w:shd w:val="clear" w:color="auto" w:fill="auto"/>
          </w:tcPr>
          <w:p w14:paraId="6FA98905"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RC</w:t>
            </w:r>
            <w:r w:rsidRPr="00FB6C7B">
              <w:rPr>
                <w:rFonts w:ascii="Arial" w:hAnsi="Arial" w:cs="Arial"/>
                <w:sz w:val="16"/>
                <w:szCs w:val="20"/>
                <w:vertAlign w:val="superscript"/>
                <w:lang w:val="en-US"/>
              </w:rPr>
              <w:t>8</w:t>
            </w:r>
            <w:r w:rsidRPr="00FB6C7B">
              <w:rPr>
                <w:rFonts w:ascii="Arial" w:hAnsi="Arial" w:cs="Arial"/>
                <w:sz w:val="16"/>
                <w:szCs w:val="20"/>
                <w:lang w:val="en-US"/>
              </w:rPr>
              <w:t>PFLS</w:t>
            </w:r>
          </w:p>
          <w:p w14:paraId="55FA6A58"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NC</w:t>
            </w:r>
            <w:r w:rsidRPr="00FB6C7B">
              <w:rPr>
                <w:rFonts w:ascii="Arial" w:hAnsi="Arial" w:cs="Arial"/>
                <w:sz w:val="16"/>
                <w:szCs w:val="20"/>
                <w:vertAlign w:val="superscript"/>
                <w:lang w:val="en-US"/>
              </w:rPr>
              <w:t>33</w:t>
            </w:r>
            <w:r w:rsidRPr="00FB6C7B">
              <w:rPr>
                <w:rFonts w:ascii="Arial" w:hAnsi="Arial" w:cs="Arial"/>
                <w:sz w:val="16"/>
                <w:szCs w:val="20"/>
                <w:lang w:val="en-US"/>
              </w:rPr>
              <w:t>PKMM</w:t>
            </w:r>
          </w:p>
          <w:p w14:paraId="02CE909B"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KC</w:t>
            </w:r>
            <w:r w:rsidRPr="00FB6C7B">
              <w:rPr>
                <w:rFonts w:ascii="Arial" w:hAnsi="Arial" w:cs="Arial"/>
                <w:sz w:val="16"/>
                <w:szCs w:val="20"/>
                <w:vertAlign w:val="superscript"/>
                <w:lang w:val="en-US"/>
              </w:rPr>
              <w:t>108</w:t>
            </w:r>
            <w:r w:rsidRPr="00FB6C7B">
              <w:rPr>
                <w:rFonts w:ascii="Arial" w:hAnsi="Arial" w:cs="Arial"/>
                <w:sz w:val="16"/>
                <w:szCs w:val="20"/>
                <w:lang w:val="en-US"/>
              </w:rPr>
              <w:t>PFLA</w:t>
            </w:r>
          </w:p>
        </w:tc>
        <w:tc>
          <w:tcPr>
            <w:tcW w:w="1246" w:type="dxa"/>
            <w:shd w:val="clear" w:color="auto" w:fill="auto"/>
          </w:tcPr>
          <w:p w14:paraId="498E4D98" w14:textId="603B2BAA" w:rsidR="00A70C60" w:rsidRPr="00FB6C7B" w:rsidRDefault="00A70C60" w:rsidP="00310F01">
            <w:pPr>
              <w:spacing w:after="0"/>
              <w:jc w:val="center"/>
              <w:rPr>
                <w:rFonts w:ascii="Arial" w:hAnsi="Arial" w:cs="Arial"/>
                <w:sz w:val="16"/>
                <w:szCs w:val="20"/>
                <w:lang w:val="en-GB"/>
              </w:rPr>
            </w:pPr>
            <w:r>
              <w:rPr>
                <w:rFonts w:ascii="Helvetica" w:hAnsi="Helvetica" w:cs="Helvetica"/>
                <w:noProof/>
                <w:sz w:val="16"/>
                <w:szCs w:val="20"/>
                <w:lang w:val="en-GB"/>
              </w:rPr>
              <w:fldChar w:fldCharType="begin" w:fldLock="1"/>
            </w:r>
            <w:r>
              <w:rPr>
                <w:rFonts w:ascii="Helvetica" w:hAnsi="Helvetica" w:cs="Helvetica"/>
                <w:noProof/>
                <w:sz w:val="16"/>
                <w:szCs w:val="20"/>
                <w:lang w:val="en-GB"/>
              </w:rPr>
              <w:instrText>ADDIN CSL_CITATION {"citationItems":[{"id":"ITEM-1","itemData":{"DOI":"10.1126/science.8424176","ISSN":"0036-8075","author":[{"dropping-particle":"","family":"Lathrop","given":"Julia Tait","non-dropping-particle":"","parse-names":false,"suffix":""},{"dropping-particle":"","family":"Timko","given":"Michael P","non-dropping-particle":"","parse-names":false,"suffix":""}],"container-title":"Advancement Of Science","id":"ITEM-1","issue":"5094","issued":{"date-parts":[["1993"]]},"page":"522-526","publisher":"American Association for the Advancement of Science","title":"Regulation by heme of mitochondrial protein transport through a conserved amino acid motif","type":"article-journal","volume":"259"},"uris":["http://www.mendeley.com/documents/?uuid=26f29e60-42cc-497e-8b89-7a47f5c4c036","http://www.mendeley.com/documents/?uuid=905b722a-7292-43e2-b8fe-ddab5c526372"]},{"id":"ITEM-2","itemData":{"DOI":"10.1093/jb/mvh112","ISSN":"0021924X","abstract":"5-Aminolevulinate synthase (ALAS) is a mitochondrial enzyme that catalyzes the first step of the heme biosynthetic pathway. The mitochondrial import, as well as the synthesis, of the nonspecific isoform of ALAS (ALAS1) is regulated by heme through a feedback mechanism. A short amino acid sequence, the heme regulatory motif (HRM), is known to be involved in the regulatory function of heme. To determine the role of the HRM in the heme-regulated transport of the nonspecific and erythroid forms of ALAS in vivo, we constructed a series of mutants of rat ALAS1, in which the cysteine residues in the three putative HRMs in the N-terminal region of the enzyme were converted to serine ones by site-directed mutagenesis. The wild-type and mutant enzymes were expressed in quail QT6 fibroblasts through transient transfection, and the mitochondrial import of these enzymes was examined in the presence of hemin. Hemin inhibited the mitochondrial import of wild-type ALAS1, but this inhibition was reversed on the mutation of all three HRMs in the enzyme, indicating that the HRMs are essential for the heme-mediated inhibition of ALAS1 transport in the cell. By contrast, exogenous hemin did not affect the mitochondrial import of the erythroid-specific ALAS isoform (ALAS2) under the same experimental conditions. These results may reflect the difference in the physiological functions of the two ALAS isoforms.","author":[{"dropping-particle":"","family":"Munakata","given":"Hiroshi","non-dropping-particle":"","parse-names":false,"suffix":""},{"dropping-particle":"","family":"Sun","given":"Ji Ying","non-dropping-particle":"","parse-names":false,"suffix":""},{"dropping-particle":"","family":"Yoshida","given":"Koji","non-dropping-particle":"","parse-names":false,"suffix":""},{"dropping-particle":"","family":"Nakatani","given":"Tatsuya","non-dropping-particle":"","parse-names":false,"suffix":""},{"dropping-particle":"","family":"Honda","given":"Eiko","non-dropping-particle":"","parse-names":false,"suffix":""},{"dropping-particle":"","family":"Hayakawa","given":"Sumio","non-dropping-particle":"","parse-names":false,"suffix":""},{"dropping-particle":"","family":"Furuyama","given":"Kazumichi","non-dropping-particle":"","parse-names":false,"suffix":""},{"dropping-particle":"","family":"Hayashi","given":"Norio","non-dropping-particle":"","parse-names":false,"suffix":""}],"container-title":"Journal of Biochemistry","id":"ITEM-2","issue":"2","issued":{"date-parts":[["2004"]]},"page":"233-238","title":"Role of the heme regulatory motif in the heme-mediated inhibition of mitochondrial import of 5-aminolevulinate synthase","type":"article-journal","volume":"136"},"uris":["http://www.mendeley.com/documents/?uuid=6c5920a5-ecdb-4249-90be-e99c07a78571","http://www.mendeley.com/documents/?uuid=436c6f3b-54e6-4c4d-a84f-746ff8dfde32"]},{"id":"ITEM-3","itemData":{"DOI":"10.1074/jbc.M116.719161","ISSN":"1083351X","abstract":"In eukaryotic cells, heme production is tightly controlled by heme itself through negative feedback-mediated regulation of non-specific 5-aminolevulinate synthase (ALAS1), which is a rate-limiting enzyme for heme biosynthesis. However, the mechanism driving the heme-dependent degradation of the ALAS1 protein in mitochondria is largely unknown. In the current study, we provide evidence that the mitochondrial ATP-dependent protease ClpXP, which is a hetero-multimer of CLPX and CLPP, is involved in the heme-dependent degradation of ALAS1 in mitochondria. We found that ALAS1 forms a complex with ClpXP in a heme-dependent manner and that siRNA-mediated suppression of either CLPX or CLPP expression induced ALAS1 accumulation in the HepG2 human hepatic cell line. We also found that a specific heme-binding motif on ALAS1, located at the N-terminal end of the mature protein, is required for the heme-dependent formation of this protein complex. Moreover, hemin-mediated oxidative modification of ALAS1 resulted in the recruitment of LONP1, another ATP-dependent protease in the mitochondrial matrix, into the ALAS1 protein complex. Notably, the heme-binding site in the N-terminal region of the mature ALAS1 protein is also necessary for the heme-dependent oxidation of ALAS1. These results suggest that ALAS1 undergoes a conformational change following the association of heme to the heme-binding motif on this protein. This change in the structure of ALAS1 may enhance the formation of complexes between ALAS1 and ATP-dependent proteases in the mitochondria, thereby accelerating the degradation of ALAS1 protein to maintain appropriate intracellular heme levels.","author":[{"dropping-particle":"","family":"Kubota","given":"Yoshiko","non-dropping-particle":"","parse-names":false,"suffix":""},{"dropping-particle":"","family":"Nomura","given":"Kazumi","non-dropping-particle":"","parse-names":false,"suffix":""},{"dropping-particle":"","family":"Katoh","given":"Yasutake","non-dropping-particle":"","parse-names":false,"suffix":""},{"dropping-particle":"","family":"Yamashita","given":"Rina","non-dropping-particle":"","parse-names":false,"suffix":""},{"dropping-particle":"","family":"Kaneko","given":"Kiriko","non-dropping-particle":"","parse-names":false,"suffix":""},{"dropping-particle":"","family":"Furuyama","given":"Kazumichi","non-dropping-particle":"","parse-names":false,"suffix":""}],"container-title":"Journal of Biological Chemistry","id":"ITEM-3","issue":"39","issued":{"date-parts":[["2016"]]},"page":"20516-20529","title":"Novel mechanisms for heme-dependent degradation of ALAS1 protein as a component of negative feedback regulation of heme biosynthesis","type":"article-journal","volume":"291"},"uris":["http://www.mendeley.com/documents/?uuid=5d396817-04e0-4dcd-b88e-1ceb39038f2f"]}],"mendeley":{"formattedCitation":"[1–3]","plainTextFormattedCitation":"[1–3]","previouslyFormattedCitation":"[1–3]"},"properties":{"noteIndex":0},"schema":"https://github.com/citation-style-language/schema/raw/master/csl-citation.json"}</w:instrText>
            </w:r>
            <w:r>
              <w:rPr>
                <w:rFonts w:ascii="Helvetica" w:hAnsi="Helvetica" w:cs="Helvetica"/>
                <w:noProof/>
                <w:sz w:val="16"/>
                <w:szCs w:val="20"/>
                <w:lang w:val="en-GB"/>
              </w:rPr>
              <w:fldChar w:fldCharType="separate"/>
            </w:r>
            <w:r w:rsidRPr="00103ADC">
              <w:rPr>
                <w:rFonts w:ascii="Helvetica" w:hAnsi="Helvetica" w:cs="Helvetica"/>
                <w:noProof/>
                <w:sz w:val="16"/>
                <w:szCs w:val="20"/>
                <w:lang w:val="en-GB"/>
              </w:rPr>
              <w:t>[1–3]</w:t>
            </w:r>
            <w:r>
              <w:rPr>
                <w:rFonts w:ascii="Helvetica" w:hAnsi="Helvetica" w:cs="Helvetica"/>
                <w:noProof/>
                <w:sz w:val="16"/>
                <w:szCs w:val="20"/>
                <w:lang w:val="en-GB"/>
              </w:rPr>
              <w:fldChar w:fldCharType="end"/>
            </w:r>
          </w:p>
        </w:tc>
        <w:tc>
          <w:tcPr>
            <w:tcW w:w="1189" w:type="dxa"/>
            <w:shd w:val="clear" w:color="auto" w:fill="auto"/>
          </w:tcPr>
          <w:p w14:paraId="73439E67"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All published sites correctly predicted.</w:t>
            </w:r>
          </w:p>
        </w:tc>
        <w:tc>
          <w:tcPr>
            <w:tcW w:w="1022" w:type="dxa"/>
            <w:shd w:val="clear" w:color="auto" w:fill="auto"/>
          </w:tcPr>
          <w:p w14:paraId="0420D2A1" w14:textId="2BB1DC52"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CP motifs missed in the WESA mode</w:t>
            </w:r>
            <w:r>
              <w:rPr>
                <w:rFonts w:ascii="Arial" w:hAnsi="Arial" w:cs="Arial"/>
                <w:sz w:val="16"/>
                <w:szCs w:val="20"/>
                <w:lang w:val="en-GB"/>
              </w:rPr>
              <w:t>.</w:t>
            </w:r>
          </w:p>
        </w:tc>
      </w:tr>
      <w:tr w:rsidR="00A70C60" w:rsidRPr="00AC2715" w14:paraId="540B168B" w14:textId="77777777" w:rsidTr="00AC2715">
        <w:tc>
          <w:tcPr>
            <w:tcW w:w="885" w:type="dxa"/>
          </w:tcPr>
          <w:p w14:paraId="793401C8" w14:textId="0FC78893" w:rsidR="00A70C60" w:rsidRDefault="00A70C60" w:rsidP="00B874BD">
            <w:pPr>
              <w:spacing w:after="0"/>
              <w:rPr>
                <w:rFonts w:ascii="Arial" w:hAnsi="Arial" w:cs="Arial"/>
                <w:sz w:val="16"/>
                <w:szCs w:val="20"/>
                <w:lang w:val="en-US"/>
              </w:rPr>
            </w:pPr>
            <w:r>
              <w:rPr>
                <w:rFonts w:ascii="Arial" w:hAnsi="Arial" w:cs="Arial"/>
                <w:sz w:val="16"/>
                <w:szCs w:val="20"/>
                <w:lang w:val="en-US"/>
              </w:rPr>
              <w:t>2</w:t>
            </w:r>
          </w:p>
        </w:tc>
        <w:tc>
          <w:tcPr>
            <w:tcW w:w="1466" w:type="dxa"/>
            <w:shd w:val="clear" w:color="auto" w:fill="auto"/>
          </w:tcPr>
          <w:p w14:paraId="12F5FDF6" w14:textId="453ABB66" w:rsidR="00A70C60" w:rsidRPr="00FB6C7B" w:rsidRDefault="00A70C60" w:rsidP="00B874BD">
            <w:pPr>
              <w:spacing w:after="0"/>
              <w:rPr>
                <w:rFonts w:ascii="Arial" w:hAnsi="Arial" w:cs="Arial"/>
                <w:sz w:val="16"/>
                <w:szCs w:val="20"/>
                <w:lang w:val="en-GB"/>
              </w:rPr>
            </w:pPr>
            <w:r>
              <w:rPr>
                <w:rFonts w:ascii="Arial" w:hAnsi="Arial" w:cs="Arial"/>
                <w:sz w:val="16"/>
                <w:szCs w:val="20"/>
                <w:lang w:val="en-US"/>
              </w:rPr>
              <w:t>δ</w:t>
            </w:r>
            <w:r w:rsidRPr="00FB6C7B">
              <w:rPr>
                <w:rFonts w:ascii="Arial" w:hAnsi="Arial" w:cs="Arial"/>
                <w:sz w:val="16"/>
                <w:szCs w:val="20"/>
                <w:lang w:val="en-GB"/>
              </w:rPr>
              <w:t>-</w:t>
            </w:r>
            <w:proofErr w:type="spellStart"/>
            <w:r w:rsidRPr="00FB6C7B">
              <w:rPr>
                <w:rFonts w:ascii="Arial" w:hAnsi="Arial" w:cs="Arial"/>
                <w:sz w:val="16"/>
                <w:szCs w:val="20"/>
                <w:lang w:val="en-GB"/>
              </w:rPr>
              <w:t>aminolevulinic</w:t>
            </w:r>
            <w:proofErr w:type="spellEnd"/>
            <w:r w:rsidRPr="00FB6C7B">
              <w:rPr>
                <w:rFonts w:ascii="Arial" w:hAnsi="Arial" w:cs="Arial"/>
                <w:sz w:val="16"/>
                <w:szCs w:val="20"/>
                <w:lang w:val="en-GB"/>
              </w:rPr>
              <w:t xml:space="preserve"> acid synthase 2 (ALAS2)</w:t>
            </w:r>
          </w:p>
        </w:tc>
        <w:tc>
          <w:tcPr>
            <w:tcW w:w="1235" w:type="dxa"/>
            <w:shd w:val="clear" w:color="auto" w:fill="auto"/>
          </w:tcPr>
          <w:p w14:paraId="021C81A4" w14:textId="77777777" w:rsidR="00A70C60" w:rsidRPr="00FB6C7B" w:rsidRDefault="00A70C60" w:rsidP="00B874BD">
            <w:pPr>
              <w:spacing w:after="0"/>
              <w:rPr>
                <w:rFonts w:ascii="Arial" w:hAnsi="Arial" w:cs="Arial"/>
                <w:sz w:val="16"/>
                <w:szCs w:val="20"/>
                <w:lang w:val="en-GB"/>
              </w:rPr>
            </w:pPr>
            <w:r w:rsidRPr="00FB6C7B">
              <w:rPr>
                <w:rFonts w:ascii="Arial" w:hAnsi="Arial" w:cs="Arial"/>
                <w:i/>
                <w:iCs/>
                <w:sz w:val="16"/>
                <w:szCs w:val="20"/>
                <w:lang w:val="en-GB"/>
              </w:rPr>
              <w:t>M. musculus/ H. sapiens</w:t>
            </w:r>
          </w:p>
        </w:tc>
        <w:tc>
          <w:tcPr>
            <w:tcW w:w="2125" w:type="dxa"/>
            <w:shd w:val="clear" w:color="auto" w:fill="auto"/>
          </w:tcPr>
          <w:p w14:paraId="1AA617B1"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11</w:t>
            </w:r>
            <w:r w:rsidRPr="00FB6C7B">
              <w:rPr>
                <w:rFonts w:ascii="Arial" w:hAnsi="Arial" w:cs="Arial"/>
                <w:sz w:val="16"/>
                <w:szCs w:val="20"/>
                <w:lang w:val="en-GB"/>
              </w:rPr>
              <w:t>PVLA</w:t>
            </w:r>
          </w:p>
          <w:p w14:paraId="70E7B419"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38</w:t>
            </w:r>
            <w:r w:rsidRPr="00FB6C7B">
              <w:rPr>
                <w:rFonts w:ascii="Arial" w:hAnsi="Arial" w:cs="Arial"/>
                <w:sz w:val="16"/>
                <w:szCs w:val="20"/>
                <w:lang w:val="en-GB"/>
              </w:rPr>
              <w:t>PILA</w:t>
            </w:r>
          </w:p>
        </w:tc>
        <w:tc>
          <w:tcPr>
            <w:tcW w:w="1246" w:type="dxa"/>
            <w:shd w:val="clear" w:color="auto" w:fill="auto"/>
          </w:tcPr>
          <w:p w14:paraId="03F508EA" w14:textId="6CDBE351" w:rsidR="00A70C60" w:rsidRPr="00FB6C7B" w:rsidRDefault="00A70C60" w:rsidP="00310F01">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{"citationItems":[{"id":"ITEM-1","itemData":{"DOI":"10.1016/S0014-5793(01)02818-6","ISSN":"00145793","abstract":"The mitochondrial import of 5-aminolevulinate synthase (ALAS), the first enzyme of the mammalian heme biosynthetic pathway, requires the N-terminal presequence. The 49 amino acid presequence transit peptide (psALAS) for murine erythroid ALAS was chemically synthesized, and circular dichroism and 1H nuclear magnetic resonance (NMR) spectroscopies used to determine structural elements in trifluoroethanol/H2O solutions and micellar environments. A well defined amphipathic α-helix, spanning L22 to F33, was present in psALAS in 50% trifluoroethanol. Further, a short α-helix, defined by A5-L8, was also apparent in the 26 amino acid N-terminus peptide, when its structure was determined in sodium dodecyl sulfate. Heme inhibition of ALAS mitochondrial import has been reported to be mediated through cysteine residues in presequence heme regulatory motifs (HRMs). A UV/visible and 1H NMR study of hemin and psALAS indicated that a heme-peptide interaction occurs and demonstrates, for the first time, that heme interacts with the HRMs of psALAS. © 2001 Published by Elsevier Science B.V. on behalf of the Federation of European Biochemical Societies.","author":[{"dropping-particle":"","family":"Goodfellow","given":"Brian J.","non-dropping-particle":"","parse-names":false,"suffix":""},{"dropping-particle":"","family":"Dias","given":"Jorge S.","non-dropping-particle":"","parse-names":false,"suffix":""},{"dropping-particle":"","family":"Ferreira","given":"Glória C.","non-dropping-particle":"","parse-names":false,"suffix":""},{"dropping-particle":"","family":"Henklein","given":"Peter","non-dropping-particle":"","parse-names":false,"suffix":""},{"dropping-particle":"","family":"Wray","given":"Victor","non-dropping-particle":"","parse-names":false,"suffix":""},{"dropping-particle":"","family":"Macedo","given":"Anjos L.","non-dropping-particle":"","parse-names":false,"suffix":""}],"container-title":"FEBS Letters","id":"ITEM-1","issue":"2","issued":{"date-parts":[["2001"]]},"page":"325-331","title":"The solution structure and heme binding of the presequence of murine 5-aminolevulinate synthase","type":"article-journal","volume":"505"},"uris":["http://www.mendeley.com/documents/?uuid=f02bd9fa-7463-4c92-82dc-9c5209eee944"]},{"id":"ITEM-2","itemData":{"DOI":"10.1126/science.8424176","ISSN":"0036-8075","author":[{"dropping-particle":"","family":"Lathrop","given":"Julia Tait","non-dropping-particle":"","parse-names":false,"suffix":""},{"dropping-particle":"","family":"Timko","given":"Michael P","non-dropping-particle":"","parse-names":false,"suffix":""}],"container-title":"Advancement Of Science","id":"ITEM-2","issue":"5094","issued":{"date-parts":[["1993"]]},"page":"522-526","publisher":"American Association for the Advancement of Science","title":"Regulation by heme of mitochondrial protein transport through a conserved amino acid motif","type":"article-journal","volume":"259"},"uris":["http://www.mendeley.com/documents/?uuid=905b722a-7292-43e2-b8fe-ddab5c526372","http://www.mendeley.com/documents/?uuid=26f29e60-42cc-497e-8b89-7a47f5c4c036"]}],"mendeley":{"formattedCitation":"[1, 4]","plainTextFormattedCitation":"[1, 4]","previouslyFormattedCitation":"[1, 4]"},"properties":{"noteIndex":0},"schema":"https://github.com/citation-style-language/schema/raw/master/csl-citation.json"}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[1, 4]</w:t>
            </w:r>
            <w:r>
              <w:rPr>
                <w:rFonts w:ascii="Arial" w:hAnsi="Arial" w:cs="Arial"/>
                <w:noProof/>
                <w:sz w:val="16"/>
                <w:szCs w:val="20"/>
                <w:lang w:val="en-GB"/>
              </w:rPr>
              <w:fldChar w:fldCharType="end"/>
            </w:r>
          </w:p>
        </w:tc>
        <w:tc>
          <w:tcPr>
            <w:tcW w:w="1189" w:type="dxa"/>
            <w:shd w:val="clear" w:color="auto" w:fill="auto"/>
          </w:tcPr>
          <w:p w14:paraId="6A63A6C9"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All published sites correctly predicted.</w:t>
            </w:r>
          </w:p>
        </w:tc>
        <w:tc>
          <w:tcPr>
            <w:tcW w:w="1022" w:type="dxa"/>
            <w:shd w:val="clear" w:color="auto" w:fill="auto"/>
          </w:tcPr>
          <w:p w14:paraId="0C026C8D"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CP motifs missed in the WESA mode</w:t>
            </w:r>
          </w:p>
        </w:tc>
      </w:tr>
      <w:tr w:rsidR="00A70C60" w:rsidRPr="00AC2715" w14:paraId="0C467918" w14:textId="77777777" w:rsidTr="00AC2715">
        <w:tc>
          <w:tcPr>
            <w:tcW w:w="885" w:type="dxa"/>
          </w:tcPr>
          <w:p w14:paraId="26A4BC42" w14:textId="74CF359B"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3</w:t>
            </w:r>
          </w:p>
        </w:tc>
        <w:tc>
          <w:tcPr>
            <w:tcW w:w="1466" w:type="dxa"/>
            <w:shd w:val="clear" w:color="auto" w:fill="auto"/>
          </w:tcPr>
          <w:p w14:paraId="486CAA9D" w14:textId="5B354BAB"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 xml:space="preserve">Amyloid </w:t>
            </w:r>
            <w:r>
              <w:rPr>
                <w:rFonts w:ascii="Arial" w:hAnsi="Arial" w:cs="Arial"/>
                <w:sz w:val="16"/>
                <w:szCs w:val="20"/>
                <w:lang w:val="en-GB"/>
              </w:rPr>
              <w:t>β</w:t>
            </w:r>
          </w:p>
        </w:tc>
        <w:tc>
          <w:tcPr>
            <w:tcW w:w="1235" w:type="dxa"/>
            <w:shd w:val="clear" w:color="auto" w:fill="auto"/>
          </w:tcPr>
          <w:p w14:paraId="0BDA13E4" w14:textId="0BD926BA" w:rsidR="00A70C60" w:rsidRPr="00FB6C7B" w:rsidRDefault="00A70C60" w:rsidP="00B874BD">
            <w:pPr>
              <w:spacing w:after="0"/>
              <w:rPr>
                <w:rFonts w:ascii="Arial" w:hAnsi="Arial" w:cs="Arial"/>
                <w:i/>
                <w:sz w:val="16"/>
                <w:szCs w:val="20"/>
                <w:lang w:val="en-GB"/>
              </w:rPr>
            </w:pPr>
            <w:r w:rsidRPr="00FB6C7B">
              <w:rPr>
                <w:rFonts w:ascii="Arial" w:hAnsi="Arial" w:cs="Arial"/>
                <w:i/>
                <w:sz w:val="16"/>
                <w:szCs w:val="20"/>
                <w:lang w:val="en-GB"/>
              </w:rPr>
              <w:t>H. sapiens</w:t>
            </w:r>
            <w:r>
              <w:rPr>
                <w:rFonts w:ascii="Arial" w:hAnsi="Arial" w:cs="Arial"/>
                <w:i/>
                <w:sz w:val="16"/>
                <w:szCs w:val="20"/>
                <w:lang w:val="en-GB"/>
              </w:rPr>
              <w:t>/ rodents</w:t>
            </w:r>
          </w:p>
        </w:tc>
        <w:tc>
          <w:tcPr>
            <w:tcW w:w="2125" w:type="dxa"/>
            <w:shd w:val="clear" w:color="auto" w:fill="auto"/>
          </w:tcPr>
          <w:p w14:paraId="4839D6E9"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Y</w:t>
            </w:r>
            <w:r w:rsidRPr="00FB6C7B">
              <w:rPr>
                <w:rFonts w:ascii="Arial" w:hAnsi="Arial" w:cs="Arial"/>
                <w:sz w:val="16"/>
                <w:szCs w:val="20"/>
                <w:vertAlign w:val="superscript"/>
                <w:lang w:val="en-GB"/>
              </w:rPr>
              <w:t>10</w:t>
            </w:r>
            <w:r w:rsidRPr="00FB6C7B">
              <w:rPr>
                <w:rFonts w:ascii="Arial" w:hAnsi="Arial" w:cs="Arial"/>
                <w:sz w:val="16"/>
                <w:szCs w:val="20"/>
                <w:lang w:val="en-GB"/>
              </w:rPr>
              <w:t>EVH</w:t>
            </w:r>
            <w:r w:rsidRPr="00FB6C7B">
              <w:rPr>
                <w:rFonts w:ascii="Arial" w:hAnsi="Arial" w:cs="Arial"/>
                <w:sz w:val="16"/>
                <w:szCs w:val="20"/>
                <w:vertAlign w:val="superscript"/>
                <w:lang w:val="en-GB"/>
              </w:rPr>
              <w:t>13</w:t>
            </w:r>
            <w:r w:rsidRPr="00FB6C7B">
              <w:rPr>
                <w:rFonts w:ascii="Arial" w:hAnsi="Arial" w:cs="Arial"/>
                <w:sz w:val="16"/>
                <w:szCs w:val="20"/>
                <w:lang w:val="en-GB"/>
              </w:rPr>
              <w:t>H</w:t>
            </w:r>
            <w:r w:rsidRPr="00FB6C7B">
              <w:rPr>
                <w:rFonts w:ascii="Arial" w:hAnsi="Arial" w:cs="Arial"/>
                <w:sz w:val="16"/>
                <w:szCs w:val="20"/>
                <w:vertAlign w:val="superscript"/>
                <w:lang w:val="en-GB"/>
              </w:rPr>
              <w:t>14</w:t>
            </w:r>
          </w:p>
        </w:tc>
        <w:tc>
          <w:tcPr>
            <w:tcW w:w="1246" w:type="dxa"/>
            <w:shd w:val="clear" w:color="auto" w:fill="auto"/>
          </w:tcPr>
          <w:p w14:paraId="6DF6949D" w14:textId="4E6044B9" w:rsidR="00A70C60" w:rsidRPr="00FB6C7B" w:rsidRDefault="00A70C60" w:rsidP="00644BB3">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{"citationItems":[{"id":"ITEM-1","itemData":{"DOI":"10.1073/pnas.0404349101","ISSN":"00278424","abstract":"Heme is a common factor linking several metabolic perturbations in Alzheimer's disease (AD), including iron metabolism, mitochondrial complex IV, heme oxygenase, and bilirubin. Therefore, we determined whether heme metabolism was altered in temporal lobes obtained at autopsy from AD patients and age-matched nondemented subjects. AD brain demonstrated 2.5-fold more heme-b (P &lt; 0.01) and 26% less heme-a (P = 0.16) compared with controls, resulting in a highly significant 2.9-fold decrease in heme-a/heme-b ratio (P &lt; 0.001). Moreover, the strong Pearson correlation between heme-a and heme-b measured in control individuals (r(2) = 0.66, P &lt; 0.002, n = 11) was abolished in AD subjects (r(2) = 0.076, P = 0.39, n = 12). The level of ferrochelatase (which makes heme-b in the mitochondrial matrix) in AD subjects was 4.2 times (P &lt; 0.04) that in nondemented controls, suggesting up-regulated heme synthesis. To look for a possible connection between these observations and established mechanisms in AD pathology, we examined possible interactions between amyloid beta (A beta) and heme. A beta((1-40)) and A beta((1-42)) induced a redshift of 15-20 nm in the spectrum of heme-b and heme-a, suggesting that heme binds A beta, likely to one or more of the histidine residues. Lastly, in a tissue culture model, we found that clioquinol, a metal chelator in clinical trials for AD therapy, decreased intracellular heme. In light of these observations, we have proposed a model of AD pathobiology in which intracellular A beta complexes with free heme, thereby decreasing its bioavailability (e.g., heme-a) and resulting in functional heme deficiency. The model integrates disparate observations, including A beta, mitochondrial dysfunction, cholesterol, and the proposed efficacy of clioquinol.","author":[{"dropping-particle":"","family":"Atamna","given":"Hani","non-dropping-particle":"","parse-names":false,"suffix":""},{"dropping-particle":"","family":"Frey","given":"William H.","non-dropping-particle":"","parse-names":false,"suffix":""}],"container-title":"Proceedings of the National Academy of Sciences of the United States of America","id":"ITEM-1","issue":"30","issued":{"date-parts":[["2004"]]},"page":"11153-11158","title":"A role for heme in Alzheimer's disease: Heme binds amyloid β and has altered metabolism","type":"article-journal","volume":"101"},"uris":["http://www.mendeley.com/documents/?uuid=dcb73304-ca9d-4051-a8a3-5ba3d248f352"]},{"id":"ITEM-2","itemData":{"DOI":"10.1016/j.abb.2009.05.003","ISSN":"00039861","abstract":"Amyloid-β (Aβ) peptides are implicated in the neurodegeneration of Alzheimer's disease (AD). We previously investigated the mechanism of neurotoxicity of Aβ and found that human Aβ (huAβ) binds and depletes heme, forming an Aβ-heme complex with peroxidase activity. Rodent Aβ (roAβ) is identical to huAβ, except for three amino acids within the proposed heme-binding motif (Site-H). We studied and compared heme-binding between roAβ and huAβ. Unlike roAβ, huAβ binds heme tightly (Kd = 140 ± 60 nM) and forms a peroxidase. The plot of bound (huAβ-heme) vs. unbound heme fits best to a two site binding hyperbola, suggesting huAβ possesses two heme-binding sites. Consistently, a second high affinity heme-binding site was identified in the lipophilic region (site-L) of huAβ (Kd = 210 ± 80nM). The plot of (roAβ-heme) vs. unbound heme, on the other hand, was different as it fits best to a sigmoidal binding curve, indicating different binding and lower affinity of roAβ for heme (Kd = 1 μM). The effect of heme-binding to site-H on heme-binding to site-L in roAβ and huAβ is discussed. While both roAβ and huAβ form aggregates equally, rodents lack AD-like neuropathology. High huAβ/heme ratio increases the peroxidase activity. These findings suggest that depletion of regulatory heme and formation of Aβ-heme peroxidase contribute to huAβ's neurotoxicity in the early stages of AD. Phylogenic variations in the amino acid sequence of Aβ explain tight heme-binding to huAβ and likely contribute to the increased human susceptibility to AD. © 2009 Elsevier Inc. All rights reserved.","author":[{"dropping-particle":"","family":"Atamna","given":"Hani","non-dropping-particle":"","parse-names":false,"suffix":""},{"dropping-particle":"","family":"Frey","given":"William H.","non-dropping-particle":"","parse-names":false,"suffix":""},{"dropping-particle":"","family":"Ko","given":"Novie","non-dropping-particle":"","parse-names":false,"suffix":""}],"container-title":"Archives of Biochemistry and Biophysics","id":"ITEM-2","issue":"1","issued":{"date-parts":[["2009"]]},"page":"59-65","publisher":"Elsevier Inc.","title":"Human and rodent amyloid-β peptides differentially bind heme: Relevance to the human susceptibility to Alzheimer's disease","type":"article-journal","volume":"487"},"uris":["http://www.mendeley.com/documents/?uuid=7d22b70b-4b80-459a-babd-b4c74f6401d1"]},{"id":"ITEM-3","itemData":{"DOI":"10.1021/ja1084578","ISSN":"00027863","abstract":"Recent reports show that there is a large increase in heme in the temporal brain of Alzheimer's disease (AD) patients, as heme, biosynthesized in brain cells, binds to amyloid β (Aβ), forming heme-Aβ complexes. This leads to the development of symptoms that are characteristic pathological features of AD, e.g., abnormal iron homeostasis, decay of iron regulatory proteins, dysfunction in mitochondrial complex IV, oxidative stress, etc. However, the active site resulting from heme binding to Aβ is not well characterized. For example, the coordinating residue, relevant second-sphere residues, and spin state of the Fe center are not known. In this study we have used wild-type and mutated Aβ peptides and investigated their interaction with naturally occurring heme. Our results show that, out of several possible binding sites, His(13) and His(14) residues can both bind heme under physiological conditions, resulting in an axial high-spin active site with a trans axial water-derived ligand. Peroxidase assays of these heme-peptide complexes along with pH perturbations indicate that Arg(5) is a key second-sphere residue that H-bonds to the trans axial ligand and is responsible for the peroxidase activity of the heme-Aβ complexes. The His(13) and Arg(5) residues identified in this study are both absent in rodents, which do not show AD, implicating the significance of these residues as well as heme in the pathology of AD.","author":[{"dropping-particle":"","family":"Pramanik","given":"Debajyoti","non-dropping-particle":"","parse-names":false,"suffix":""},{"dropping-particle":"","family":"Dey","given":"Somdatta Ghosh","non-dropping-particle":"","parse-names":false,"suffix":""}],"container-title":"Journal of the American Chemical Society","id":"ITEM-3","issue":"1","issued":{"date-parts":[["2011"]]},"page":"81-87","title":"Active site environment of heme-bound amyloid β peptide associated with Alzheimers Disease","type":"article-journal","volume":"133"},"uris":["http://www.mendeley.com/documents/?uuid=bca19433-2669-4062-8377-c2b1203f5dca"]},{"id":"ITEM-4","itemData":{"DOI":"10.1021/cn300231q","ISSN":"19487193","abstract":"Heme binds to amyloid β-peptide (Aβ) in the brain of Alzheimer's disease (AD) patients, thus forming Aβ-heme complexes and leading the characteristic pathological features of AD. The interaction between heme and Aβ might have important biological relevance to AD etiology. In this work, the electrochemical performances of heme after incubation with Aβ1-42, Aβ fragments, and mutated Aβ were systematically investigated using cyclic voltammetry and differential pulse voltammetry. Our results indicated that His13 and His14 were possible binding sites, and Aβ bound two molecules of heme with a binding constant of Ka1 = 7.27 × 106 M-1 (n1 = 1.5) and Ka2 = 2.89 × 106 M-1 (n1 = 1.8). Detailed analysis with atomic force microscopy (AFM) of Aβ1-42 in the absence or presence of heme under the same incubation conditions showed that heme inhibited the formation of Aβ fibrils. According to results of the spectroscopic characterization, Arg5 was the key residue in making the heme-Aβ1-42 complex as a peroxidase. © 2013 American Chemical Society.","author":[{"dropping-particle":"","family":"Zhou","given":"Yanli","non-dropping-particle":"","parse-names":false,"suffix":""},{"dropping-particle":"","family":"Wang","given":"Jing","non-dropping-particle":"","parse-names":false,"suffix":""},{"dropping-particle":"","family":"Liu","given":"Lantao","non-dropping-particle":"","parse-names":false,"suffix":""},{"dropping-particle":"","family":"Wang","given":"Rongrong","non-dropping-particle":"","parse-names":false,"suffix":""},{"dropping-particle":"","family":"Lai","given":"Xinhe","non-dropping-particle":"","parse-names":false,"suffix":""},{"dropping-particle":"","family":"Xu","given":"Maotian","non-dropping-particle":"","parse-names":false,"suffix":""}],"container-title":"ACS Chemical Neuroscience","id":"ITEM-4","issue":"4","issued":{"date-parts":[["2013"]]},"page":"535-539","title":"Interaction between amyloid-β peptide and heme probed by electrochemistry and atomic force microscopy","type":"article-journal","volume":"4"},"uris":["http://www.mendeley.com/documents/?uuid=30208bd1-5e36-43b2-8bb4-48af33080a0e","http://www.mendeley.com/documents/?uuid=ff5e5418-d794-47c7-b82c-57b5d6c5c97f"]},{"id":"ITEM-5","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Chemistry","id":"ITEM-5","issue":"1","issued":{"date-parts":[["2017"]]},"page":"373-385","title":"Synthesis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[5–9]","plainTextFormattedCitation":"[5–9]","previouslyFormattedCitation":"[5–9]"},"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[5–9]</w:t>
            </w:r>
            <w:r>
              <w:rPr>
                <w:rFonts w:ascii="Arial" w:hAnsi="Arial" w:cs="Arial"/>
                <w:noProof/>
                <w:sz w:val="16"/>
                <w:szCs w:val="20"/>
                <w:lang w:val="en-GB"/>
              </w:rPr>
              <w:fldChar w:fldCharType="end"/>
            </w:r>
          </w:p>
        </w:tc>
        <w:tc>
          <w:tcPr>
            <w:tcW w:w="1189" w:type="dxa"/>
            <w:shd w:val="clear" w:color="auto" w:fill="auto"/>
          </w:tcPr>
          <w:p w14:paraId="27B0416C"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Published site correctly predicted.</w:t>
            </w:r>
          </w:p>
        </w:tc>
        <w:tc>
          <w:tcPr>
            <w:tcW w:w="1022" w:type="dxa"/>
            <w:shd w:val="clear" w:color="auto" w:fill="auto"/>
          </w:tcPr>
          <w:p w14:paraId="2FCAA5C6" w14:textId="57A9074D" w:rsidR="00A70C60" w:rsidRPr="00FB6C7B" w:rsidRDefault="00A70C60" w:rsidP="00B874BD">
            <w:pPr>
              <w:spacing w:after="0" w:line="240" w:lineRule="auto"/>
              <w:rPr>
                <w:rFonts w:ascii="Arial" w:hAnsi="Arial" w:cs="Arial"/>
                <w:sz w:val="16"/>
                <w:szCs w:val="20"/>
                <w:lang w:val="en-US"/>
              </w:rPr>
            </w:pPr>
            <w:r>
              <w:rPr>
                <w:rFonts w:ascii="Arial" w:hAnsi="Arial" w:cs="Arial"/>
                <w:sz w:val="16"/>
                <w:szCs w:val="20"/>
                <w:lang w:val="en-US"/>
              </w:rPr>
              <w:t>Used as training data.</w:t>
            </w:r>
          </w:p>
        </w:tc>
      </w:tr>
      <w:tr w:rsidR="00A70C60" w:rsidRPr="00AC2715" w14:paraId="20C4B592" w14:textId="77777777" w:rsidTr="00AC2715">
        <w:tc>
          <w:tcPr>
            <w:tcW w:w="885" w:type="dxa"/>
          </w:tcPr>
          <w:p w14:paraId="0B5B9737" w14:textId="4C488314"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4</w:t>
            </w:r>
          </w:p>
        </w:tc>
        <w:tc>
          <w:tcPr>
            <w:tcW w:w="1466" w:type="dxa"/>
            <w:shd w:val="clear" w:color="auto" w:fill="auto"/>
          </w:tcPr>
          <w:p w14:paraId="06A0513C" w14:textId="18D7015A" w:rsidR="00A70C60" w:rsidRPr="00FB6C7B" w:rsidRDefault="00A70C60" w:rsidP="00B874BD">
            <w:pPr>
              <w:spacing w:after="0"/>
              <w:rPr>
                <w:rFonts w:ascii="Arial" w:hAnsi="Arial" w:cs="Arial"/>
                <w:sz w:val="16"/>
                <w:szCs w:val="20"/>
                <w:lang w:val="en-GB"/>
              </w:rPr>
            </w:pPr>
            <w:proofErr w:type="spellStart"/>
            <w:r w:rsidRPr="00FB6C7B">
              <w:rPr>
                <w:rFonts w:ascii="Arial" w:hAnsi="Arial" w:cs="Arial"/>
                <w:sz w:val="16"/>
                <w:szCs w:val="20"/>
                <w:lang w:val="en-GB"/>
              </w:rPr>
              <w:t>Arginyl</w:t>
            </w:r>
            <w:proofErr w:type="spellEnd"/>
            <w:r w:rsidRPr="00FB6C7B">
              <w:rPr>
                <w:rFonts w:ascii="Arial" w:hAnsi="Arial" w:cs="Arial"/>
                <w:sz w:val="16"/>
                <w:szCs w:val="20"/>
                <w:lang w:val="en-GB"/>
              </w:rPr>
              <w:t>-Transferase (ATE1)</w:t>
            </w:r>
          </w:p>
        </w:tc>
        <w:tc>
          <w:tcPr>
            <w:tcW w:w="1235" w:type="dxa"/>
            <w:shd w:val="clear" w:color="auto" w:fill="auto"/>
          </w:tcPr>
          <w:p w14:paraId="4F591129" w14:textId="0A8A0106" w:rsidR="00A70C60" w:rsidRPr="00FB6C7B" w:rsidRDefault="00A70C60" w:rsidP="00AB3785">
            <w:pPr>
              <w:spacing w:after="0"/>
              <w:rPr>
                <w:rFonts w:ascii="Arial" w:hAnsi="Arial" w:cs="Arial"/>
                <w:sz w:val="16"/>
                <w:szCs w:val="20"/>
                <w:lang w:val="en-GB"/>
              </w:rPr>
            </w:pPr>
            <w:r>
              <w:rPr>
                <w:rFonts w:ascii="Arial" w:hAnsi="Arial" w:cs="Arial"/>
                <w:i/>
                <w:sz w:val="16"/>
                <w:szCs w:val="20"/>
                <w:lang w:val="en-GB"/>
              </w:rPr>
              <w:t>M. musculus/ S. cerevisiae</w:t>
            </w:r>
          </w:p>
        </w:tc>
        <w:tc>
          <w:tcPr>
            <w:tcW w:w="2125" w:type="dxa"/>
            <w:shd w:val="clear" w:color="auto" w:fill="auto"/>
          </w:tcPr>
          <w:p w14:paraId="26F42BBC" w14:textId="77777777" w:rsidR="00A70C60" w:rsidRPr="00FB6C7B" w:rsidRDefault="00A70C60" w:rsidP="00B874BD">
            <w:pPr>
              <w:spacing w:after="0"/>
              <w:rPr>
                <w:rFonts w:ascii="Arial" w:hAnsi="Arial" w:cs="Arial"/>
                <w:color w:val="000000"/>
                <w:sz w:val="16"/>
                <w:lang w:val="en-GB"/>
              </w:rPr>
            </w:pPr>
            <w:r w:rsidRPr="00FB6C7B">
              <w:rPr>
                <w:rFonts w:ascii="Arial" w:hAnsi="Arial" w:cs="Arial"/>
                <w:sz w:val="16"/>
                <w:szCs w:val="20"/>
                <w:lang w:val="en-GB"/>
              </w:rPr>
              <w:t>HSC</w:t>
            </w:r>
            <w:r w:rsidRPr="00FB6C7B">
              <w:rPr>
                <w:rFonts w:ascii="Arial" w:hAnsi="Arial" w:cs="Arial"/>
                <w:sz w:val="16"/>
                <w:szCs w:val="20"/>
                <w:vertAlign w:val="superscript"/>
                <w:lang w:val="en-GB"/>
              </w:rPr>
              <w:t>411</w:t>
            </w:r>
            <w:r w:rsidRPr="00FB6C7B">
              <w:rPr>
                <w:rFonts w:ascii="Arial" w:hAnsi="Arial" w:cs="Arial"/>
                <w:sz w:val="16"/>
                <w:szCs w:val="20"/>
                <w:lang w:val="en-GB"/>
              </w:rPr>
              <w:t>P</w:t>
            </w:r>
          </w:p>
        </w:tc>
        <w:tc>
          <w:tcPr>
            <w:tcW w:w="1246" w:type="dxa"/>
            <w:shd w:val="clear" w:color="auto" w:fill="auto"/>
          </w:tcPr>
          <w:p w14:paraId="003E9CF9" w14:textId="78472C0B" w:rsidR="00A70C60" w:rsidRPr="005703B8" w:rsidRDefault="00A70C60" w:rsidP="00644BB3">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{"citationItems":[{"id":"ITEM-1","itemData":{"DOI":"10.1073/pnas.0710568105","ISSN":"1091-6490","PMID":"18162538","abstract":"The conjugation of arginine, by arginyl-transferase, to N-terminal aspartate, glutamate or oxidized cysteine is a part of the N-end rule pathway of protein degradation. We report that arginyl-transferase of either the mouse or the yeast Saccharomyces cerevisiae is inhibited by hemin (Fe(3+)-heme). Furthermore, we show that hemin inhibits arginyl-transferase through a redox mechanism that involves the formation of disulfide between the enzyme's Cys-71 and Cys-72 residues. Remarkably, hemin also induces the proteasome-dependent degradation of arginyl-transferase in vivo, thus acting as both a \"stoichiometric\" and \"catalytic\" down-regulator of the N-end rule pathway. In addition, hemin was found to interact with the yeast and mouse E3 ubiquitin ligases of the N-end rule pathway. One of substrate-binding sites of the yeast N-end rule's ubiquitin ligase UBR1 targets CUP9, a transcriptional repressor. This site of UBR1 is autoinhibited but can be allosterically activated by peptides that bear destabilizing N-terminal residues and interact with two other substrate-binding sites of UBR1. We show that hemin does not directly occlude the substrate-binding sites of UBR1 but blocks the activation of its CUP9-binding site by dipeptides. The N-end rule pathway, a known sensor of short peptides, nitric oxide, and oxygen, is now a sensor of heme as well. One function of the N-end rule pathway may be to coordinate the activities of small effectors, both reacting to and controlling the redox dynamics of heme, oxygen, nitric oxide, thiols, and other compounds, in part through conditional degradation of specific transcription factors and G protein regulators.","author":[{"dropping-particle":"","family":"Hu","given":"Rong-Gui","non-dropping-particle":"","parse-names":false,"suffix":""},{"dropping-particle":"","family":"Wang","given":"Haiqing","non-dropping-particle":"","parse-names":false,"suffix":""},{"dropping-particle":"","family":"Xia","given":"Zanxian","non-dropping-particle":"","parse-names":false,"suffix":""},{"dropping-particle":"","family":"Varshavsky","given":"Alexander","non-dropping-particle":"","parse-names":false,"suffix":""}],"container-title":"Proceedings of the National Academy of Sciences of the United States of America","id":"ITEM-1","issue":"1","issued":{"date-parts":[["2008"]]},"page":"76-81","title":"The N-end rule pathway is a sensor of heme.","type":"article-journal","volume":"105"},"uris":["http://www.mendeley.com/documents/?uuid=8e5ce0cf-ee18-4b96-acc8-b977157e251a","http://www.mendeley.com/documents/?uuid=0d1318bc-98e5-4ef2-b152-ec29f7c9ba7d"]}],"mendeley":{"formattedCitation":"[10]","plainTextFormattedCitation":"[10]","previouslyFormattedCitation":"[10]"},"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[10]</w:t>
            </w:r>
            <w:r>
              <w:rPr>
                <w:rFonts w:ascii="Arial" w:hAnsi="Arial" w:cs="Arial"/>
                <w:noProof/>
                <w:sz w:val="16"/>
                <w:szCs w:val="20"/>
                <w:lang w:val="en-US"/>
              </w:rPr>
              <w:fldChar w:fldCharType="end"/>
            </w:r>
          </w:p>
        </w:tc>
        <w:tc>
          <w:tcPr>
            <w:tcW w:w="1189" w:type="dxa"/>
            <w:shd w:val="clear" w:color="auto" w:fill="auto"/>
          </w:tcPr>
          <w:p w14:paraId="7D18AF7B"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Published site correctly predicted.</w:t>
            </w:r>
          </w:p>
        </w:tc>
        <w:tc>
          <w:tcPr>
            <w:tcW w:w="1022" w:type="dxa"/>
            <w:shd w:val="clear" w:color="auto" w:fill="auto"/>
          </w:tcPr>
          <w:p w14:paraId="3710F646" w14:textId="36975D0A"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CP motifs missed in the WESA mode</w:t>
            </w:r>
            <w:r>
              <w:rPr>
                <w:rFonts w:ascii="Arial" w:hAnsi="Arial" w:cs="Arial"/>
                <w:sz w:val="16"/>
                <w:szCs w:val="20"/>
                <w:lang w:val="en-GB"/>
              </w:rPr>
              <w:t>.</w:t>
            </w:r>
          </w:p>
        </w:tc>
      </w:tr>
      <w:tr w:rsidR="00A70C60" w:rsidRPr="00A06FA6" w14:paraId="19C20AC3" w14:textId="77777777" w:rsidTr="00AC2715">
        <w:tc>
          <w:tcPr>
            <w:tcW w:w="885" w:type="dxa"/>
          </w:tcPr>
          <w:p w14:paraId="409F4DC5" w14:textId="14D97534"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5</w:t>
            </w:r>
          </w:p>
        </w:tc>
        <w:tc>
          <w:tcPr>
            <w:tcW w:w="1466" w:type="dxa"/>
            <w:shd w:val="clear" w:color="auto" w:fill="auto"/>
          </w:tcPr>
          <w:p w14:paraId="35766939" w14:textId="53C4D153" w:rsidR="00A70C60" w:rsidRPr="00FB6C7B" w:rsidRDefault="00A70C60" w:rsidP="00B874BD">
            <w:pPr>
              <w:spacing w:after="0"/>
              <w:rPr>
                <w:rFonts w:ascii="Arial" w:hAnsi="Arial" w:cs="Arial"/>
                <w:sz w:val="16"/>
                <w:szCs w:val="20"/>
                <w:lang w:val="en-GB"/>
              </w:rPr>
            </w:pPr>
            <w:proofErr w:type="spellStart"/>
            <w:r w:rsidRPr="00FB6C7B">
              <w:rPr>
                <w:rFonts w:ascii="Arial" w:hAnsi="Arial" w:cs="Arial"/>
                <w:sz w:val="16"/>
                <w:szCs w:val="20"/>
                <w:lang w:val="en-GB"/>
              </w:rPr>
              <w:t>Arginyl</w:t>
            </w:r>
            <w:proofErr w:type="spellEnd"/>
            <w:r w:rsidRPr="00FB6C7B">
              <w:rPr>
                <w:rFonts w:ascii="Arial" w:hAnsi="Arial" w:cs="Arial"/>
                <w:sz w:val="16"/>
                <w:szCs w:val="20"/>
                <w:lang w:val="en-GB"/>
              </w:rPr>
              <w:t>-tRNA-Synthetase (</w:t>
            </w:r>
            <w:proofErr w:type="spellStart"/>
            <w:r w:rsidRPr="00FB6C7B">
              <w:rPr>
                <w:rFonts w:ascii="Arial" w:hAnsi="Arial" w:cs="Arial"/>
                <w:sz w:val="16"/>
                <w:szCs w:val="20"/>
                <w:lang w:val="en-GB"/>
              </w:rPr>
              <w:t>ArgRS</w:t>
            </w:r>
            <w:proofErr w:type="spellEnd"/>
            <w:r w:rsidRPr="00FB6C7B">
              <w:rPr>
                <w:rFonts w:ascii="Arial" w:hAnsi="Arial" w:cs="Arial"/>
                <w:sz w:val="16"/>
                <w:szCs w:val="20"/>
                <w:lang w:val="en-GB"/>
              </w:rPr>
              <w:t>)</w:t>
            </w:r>
          </w:p>
        </w:tc>
        <w:tc>
          <w:tcPr>
            <w:tcW w:w="1235" w:type="dxa"/>
            <w:shd w:val="clear" w:color="auto" w:fill="auto"/>
          </w:tcPr>
          <w:p w14:paraId="1AAF789D" w14:textId="6B55F3CE" w:rsidR="00A70C60" w:rsidRPr="00FB6C7B" w:rsidRDefault="00A70C60" w:rsidP="00B874BD">
            <w:pPr>
              <w:spacing w:after="0"/>
              <w:rPr>
                <w:rFonts w:ascii="Arial" w:hAnsi="Arial" w:cs="Arial"/>
                <w:sz w:val="16"/>
                <w:lang w:val="en-GB"/>
              </w:rPr>
            </w:pPr>
            <w:r>
              <w:rPr>
                <w:rFonts w:ascii="Arial" w:hAnsi="Arial" w:cs="Arial"/>
                <w:i/>
                <w:iCs/>
                <w:sz w:val="16"/>
                <w:szCs w:val="20"/>
                <w:lang w:val="en-GB"/>
              </w:rPr>
              <w:t>H. sapiens</w:t>
            </w:r>
          </w:p>
        </w:tc>
        <w:tc>
          <w:tcPr>
            <w:tcW w:w="2125" w:type="dxa"/>
            <w:shd w:val="clear" w:color="auto" w:fill="auto"/>
          </w:tcPr>
          <w:p w14:paraId="58B2EEC2"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QC</w:t>
            </w:r>
            <w:r w:rsidRPr="00FB6C7B">
              <w:rPr>
                <w:rFonts w:ascii="Arial" w:hAnsi="Arial" w:cs="Arial"/>
                <w:sz w:val="16"/>
                <w:szCs w:val="20"/>
                <w:vertAlign w:val="superscript"/>
                <w:lang w:val="en-GB"/>
              </w:rPr>
              <w:t>115</w:t>
            </w:r>
            <w:r w:rsidRPr="00FB6C7B">
              <w:rPr>
                <w:rFonts w:ascii="Arial" w:hAnsi="Arial" w:cs="Arial"/>
                <w:sz w:val="16"/>
                <w:szCs w:val="20"/>
                <w:lang w:val="en-GB"/>
              </w:rPr>
              <w:t>NSAM</w:t>
            </w:r>
          </w:p>
        </w:tc>
        <w:tc>
          <w:tcPr>
            <w:tcW w:w="1246" w:type="dxa"/>
            <w:shd w:val="clear" w:color="auto" w:fill="auto"/>
          </w:tcPr>
          <w:p w14:paraId="637E6C81" w14:textId="076A9F5A" w:rsidR="00A70C60" w:rsidRPr="00FB6C7B" w:rsidRDefault="00A70C60" w:rsidP="00644BB3">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{"citationItems":[{"id":"ITEM-1","itemData":{"DOI":"10.1074/jbc.M110.159913","ISBN":"8621549212","ISSN":"00219258","abstract":"The free form of human cytoplasmic arginyl-tRNA synthetase (hcArgRS) is hypothesized to participate in ubiquitin-dependent protein degradation by offering arginyl-tRNA Arg  to arginyl-tRNA transferase (ATE1). We investigated the effect of hemin on hcArgRS based on the fact that hemin regulates several critical proteins in the \"N-end rule\" protein degradation pathway. Extensive biochemical evidence has established that hemin could bind to both forms of hcArgRS in vitro. Based on the spectral changes of the Soret band on site-directed protein mutants, we identified Cys-115 as a specific axial ligand of hemin binding that is located in the Add1 domain. Hemin inhibited the catalytic activity of full-length and N-terminal 72-amino acid-truncated hcArgRSs by blocking amino acid activation. Kinetic analysis demonstrated that the K m  values for tRNA Arg , arginine, and ATP in the presence of hemin were not altered, but k cat  values dramatically decreased compared with those in the absence of hemin. By comparison, the activity of prokaryotic ArgRS was not affected obviously by hemin. Gel filtration chromatography suggested that hemin induced oligomerization of both the isolated Add1 domain and the wild type enzyme, which could account for the inhibition of catalytic activity. However, the catalytic activity of an hcArgRS mutant with Cys-115 replaced by alanine (hcArgRS-C115A) was also inhibited by hemin, suggesting that hemin binding to Cys-115 is not responsible for the inhibition of enzymatic activity and that the specific binding may participate in other biological functions. © 2010 by The American Society for Biochemistry and Molecular Biology, Inc.","author":[{"dropping-particle":"","family":"Yang","given":"Fang","non-dropping-particle":"","parse-names":false,"suffix":""},{"dropping-particle":"","family":"Xia","given":"Xian","non-dropping-particle":"","parse-names":false,"suffix":""},{"dropping-particle":"","family":"Lei","given":"Hui Yan","non-dropping-particle":"","parse-names":false,"suffix":""},{"dropping-particle":"","family":"Wang","given":"En Duo","non-dropping-particle":"","parse-names":false,"suffix":""}],"container-title":"Journal of Biological Chemistry","id":"ITEM-1","issue":"50","issued":{"date-parts":[["2010"]]},"page":"39437-39446","title":"Hemin binds to human cytoplasmic arginyl-tRNA synthetase and inhibits its catalytic activity","type":"article-journal","volume":"285"},"uris":["http://www.mendeley.com/documents/?uuid=38440202-59c2-49c3-866d-5a53b9e3d99c"]}],"mendeley":{"formattedCitation":"[11]","plainTextFormattedCitation":"[11]","previouslyFormattedCitation":"[11]"},"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[11]</w:t>
            </w:r>
            <w:r>
              <w:rPr>
                <w:rFonts w:ascii="Arial" w:hAnsi="Arial" w:cs="Arial"/>
                <w:noProof/>
                <w:sz w:val="16"/>
                <w:szCs w:val="20"/>
                <w:lang w:val="en-GB"/>
              </w:rPr>
              <w:fldChar w:fldCharType="end"/>
            </w:r>
          </w:p>
        </w:tc>
        <w:tc>
          <w:tcPr>
            <w:tcW w:w="1189" w:type="dxa"/>
            <w:shd w:val="clear" w:color="auto" w:fill="auto"/>
          </w:tcPr>
          <w:p w14:paraId="04157D83"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All published sites correctly predicted.</w:t>
            </w:r>
          </w:p>
        </w:tc>
        <w:tc>
          <w:tcPr>
            <w:tcW w:w="1022" w:type="dxa"/>
            <w:shd w:val="clear" w:color="auto" w:fill="auto"/>
          </w:tcPr>
          <w:p w14:paraId="477CCC9A" w14:textId="49CAB187" w:rsidR="00A70C60" w:rsidRPr="00FB6C7B" w:rsidRDefault="00A70C60" w:rsidP="00B874BD">
            <w:pPr>
              <w:spacing w:after="0" w:line="240" w:lineRule="auto"/>
              <w:rPr>
                <w:rFonts w:ascii="Arial" w:hAnsi="Arial" w:cs="Arial"/>
                <w:sz w:val="16"/>
                <w:szCs w:val="20"/>
                <w:lang w:val="en-GB"/>
              </w:rPr>
            </w:pPr>
            <w:r>
              <w:rPr>
                <w:rFonts w:ascii="Arial" w:hAnsi="Arial" w:cs="Arial"/>
                <w:sz w:val="16"/>
                <w:szCs w:val="20"/>
                <w:lang w:val="en-GB"/>
              </w:rPr>
              <w:t>-</w:t>
            </w:r>
          </w:p>
        </w:tc>
      </w:tr>
      <w:tr w:rsidR="00A70C60" w:rsidRPr="00AC2715" w14:paraId="18769E5C" w14:textId="77777777" w:rsidTr="00AC2715">
        <w:tc>
          <w:tcPr>
            <w:tcW w:w="885" w:type="dxa"/>
          </w:tcPr>
          <w:p w14:paraId="0F8FFF12" w14:textId="757204AF"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6</w:t>
            </w:r>
          </w:p>
        </w:tc>
        <w:tc>
          <w:tcPr>
            <w:tcW w:w="1466" w:type="dxa"/>
            <w:shd w:val="clear" w:color="auto" w:fill="auto"/>
          </w:tcPr>
          <w:p w14:paraId="44239403" w14:textId="3A7758A2"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Bach1</w:t>
            </w:r>
          </w:p>
        </w:tc>
        <w:tc>
          <w:tcPr>
            <w:tcW w:w="1235" w:type="dxa"/>
            <w:shd w:val="clear" w:color="auto" w:fill="auto"/>
          </w:tcPr>
          <w:p w14:paraId="23F20145" w14:textId="5B77219E" w:rsidR="00A70C60" w:rsidRPr="00FB6C7B" w:rsidRDefault="00A70C60" w:rsidP="000918D5">
            <w:pPr>
              <w:spacing w:after="0"/>
              <w:rPr>
                <w:rFonts w:ascii="Arial" w:hAnsi="Arial" w:cs="Arial"/>
                <w:sz w:val="16"/>
                <w:lang w:val="en-GB"/>
              </w:rPr>
            </w:pPr>
            <w:r>
              <w:rPr>
                <w:rFonts w:ascii="Arial" w:hAnsi="Arial" w:cs="Arial"/>
                <w:i/>
                <w:sz w:val="16"/>
                <w:szCs w:val="20"/>
                <w:lang w:val="en-GB"/>
              </w:rPr>
              <w:t>M. musculus</w:t>
            </w:r>
          </w:p>
        </w:tc>
        <w:tc>
          <w:tcPr>
            <w:tcW w:w="2125" w:type="dxa"/>
            <w:shd w:val="clear" w:color="auto" w:fill="auto"/>
          </w:tcPr>
          <w:p w14:paraId="1627872A"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EC</w:t>
            </w:r>
            <w:r w:rsidRPr="00FB6C7B">
              <w:rPr>
                <w:rFonts w:ascii="Arial" w:hAnsi="Arial" w:cs="Arial"/>
                <w:sz w:val="16"/>
                <w:szCs w:val="20"/>
                <w:vertAlign w:val="superscript"/>
                <w:lang w:val="en-GB"/>
              </w:rPr>
              <w:t>438</w:t>
            </w:r>
            <w:r w:rsidRPr="00FB6C7B">
              <w:rPr>
                <w:rFonts w:ascii="Arial" w:hAnsi="Arial" w:cs="Arial"/>
                <w:sz w:val="16"/>
                <w:szCs w:val="20"/>
                <w:lang w:val="en-GB"/>
              </w:rPr>
              <w:t>PWLG</w:t>
            </w:r>
          </w:p>
          <w:p w14:paraId="05791A99"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NC</w:t>
            </w:r>
            <w:r w:rsidRPr="00FB6C7B">
              <w:rPr>
                <w:rFonts w:ascii="Arial" w:hAnsi="Arial" w:cs="Arial"/>
                <w:sz w:val="16"/>
                <w:szCs w:val="20"/>
                <w:vertAlign w:val="superscript"/>
                <w:lang w:val="en-GB"/>
              </w:rPr>
              <w:t>464</w:t>
            </w:r>
            <w:r w:rsidRPr="00FB6C7B">
              <w:rPr>
                <w:rFonts w:ascii="Arial" w:hAnsi="Arial" w:cs="Arial"/>
                <w:sz w:val="16"/>
                <w:szCs w:val="20"/>
                <w:lang w:val="en-GB"/>
              </w:rPr>
              <w:t>PFIS</w:t>
            </w:r>
          </w:p>
          <w:p w14:paraId="11FE05E0"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PCP</w:t>
            </w:r>
            <w:r w:rsidRPr="00FB6C7B">
              <w:rPr>
                <w:rFonts w:ascii="Arial" w:hAnsi="Arial" w:cs="Arial"/>
                <w:sz w:val="16"/>
                <w:szCs w:val="20"/>
                <w:vertAlign w:val="superscript"/>
                <w:lang w:val="en-GB"/>
              </w:rPr>
              <w:t>495</w:t>
            </w:r>
            <w:r w:rsidRPr="00FB6C7B">
              <w:rPr>
                <w:rFonts w:ascii="Arial" w:hAnsi="Arial" w:cs="Arial"/>
                <w:sz w:val="16"/>
                <w:szCs w:val="20"/>
                <w:lang w:val="en-GB"/>
              </w:rPr>
              <w:t>YAC</w:t>
            </w:r>
          </w:p>
          <w:p w14:paraId="59340EE2"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DC</w:t>
            </w:r>
            <w:r w:rsidRPr="00FB6C7B">
              <w:rPr>
                <w:rFonts w:ascii="Arial" w:hAnsi="Arial" w:cs="Arial"/>
                <w:sz w:val="16"/>
                <w:szCs w:val="20"/>
                <w:vertAlign w:val="superscript"/>
                <w:lang w:val="en-GB"/>
              </w:rPr>
              <w:t>649</w:t>
            </w:r>
            <w:r w:rsidRPr="00FB6C7B">
              <w:rPr>
                <w:rFonts w:ascii="Arial" w:hAnsi="Arial" w:cs="Arial"/>
                <w:sz w:val="16"/>
                <w:szCs w:val="20"/>
                <w:lang w:val="en-GB"/>
              </w:rPr>
              <w:t>PLSF</w:t>
            </w:r>
          </w:p>
        </w:tc>
        <w:tc>
          <w:tcPr>
            <w:tcW w:w="1246" w:type="dxa"/>
            <w:shd w:val="clear" w:color="auto" w:fill="auto"/>
          </w:tcPr>
          <w:p w14:paraId="3D2BC9E5" w14:textId="194F2F1D" w:rsidR="00A70C60" w:rsidRPr="00090D24" w:rsidRDefault="00A70C60" w:rsidP="00090D24">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{"citationItems":[{"id":"ITEM-1","itemData":{"DOI":"10.1093/emboj/20.11.2835","ISSN":"02614189","abstract":"Heme controls expression of genes involved in the synthesis of globins and heme. The mammalian transcrip- tion factor Bach1 functions as a repressor of the Maf recognition element (MARE) by forming antagonizing hetero-oligomers with the small Maf family proteins. We show here that heme binds specifically to Bach1 and regulates its DNA-binding activity. Deletion stud- ies demonstrated that a heme-binding region of Bach1 is confined within its C-terminal region that possesses four dipeptide cysteine-proline (CP) motifs. Mutations in all of the CP motifs of Bach1 abolished its interaction with heme. The DNA-binding activity of Bach1 as a MafK hetero-oligomer was markedly inhibited by heme in gel mobility shift assays. The repressor activity of Bach1 was lost upon addition of hemin in transfected cells. These results suggest that increased levels of heme inactivate the repressor Bach1, resulting in induction of a host of genes with MAREs.","author":[{"dropping-particle":"","family":"Ogawa","given":"Kazuhiro","non-dropping-particle":"","parse-names":false,"suffix":""},{"dropping-particle":"","family":"Sun","given":"Jiying","non-dropping-particle":"","parse-names":false,"suffix":""},{"dropping-particle":"","family":"Taketani","given":"Shigeru","non-dropping-particle":"","parse-names":false,"suffix":""},{"dropping-particle":"","family":"Nakajima","given":"Osamu","non-dropping-particle":"","parse-names":false,"suffix":""},{"dropping-particle":"","family":"Nishitani","given":"Chiaki","non-dropping-particle":"","parse-names":false,"suffix":""},{"dropping-particle":"","family":"Sassa","given":"Shigeru","non-dropping-particle":"","parse-names":false,"suffix":""},{"dropping-particle":"","family":"Hayashi","given":"Norio","non-dropping-particle":"","parse-names":false,"suffix":""},{"dropping-particle":"","family":"Yamamoto","given":"Masayuki","non-dropping-particle":"","parse-names":false,"suffix":""},{"dropping-particle":"","family":"Shibahara","given":"Shigeki","non-dropping-particle":"","parse-names":false,"suffix":""},{"dropping-particle":"","family":"Fujita","given":"Hiroyoshi","non-dropping-particle":"","parse-names":false,"suffix":""},{"dropping-particle":"","family":"Igarashi","given":"Kazuhiko","non-dropping-particle":"","parse-names":false,"suffix":""}],"container-title":"EMBO Journal","id":"ITEM-1","issue":"11","issued":{"date-parts":[["2001"]]},"page":"2835-2843","title":"Heme mediates derepression of Maf recognition element through direct binding to transcription repressor Bach1","type":"article-journal","volume":"20"},"uris":["http://www.mendeley.com/documents/?uuid=a42417b5-1391-40ac-912b-59b0333e4560"]},{"id":"ITEM-2","itemData":{"DOI":"10.1080/15216540701225941","ISSN":"15216543","abstract":"The mammalian transcription factor Bach1 functions as a repressor of the enhancers of heme oxygenase-1 (HO-1) gene (Hmox-1) by forming heterodimers with the small Maf proteins such as MafK. The transcription of Hmox-1 is regulated by the substrate of HO-1, heme. Heme induces expression of Hmox-1 in part by inhibiting the binding of Bach1 to the enhancers and inducing the nuclear export of Bach1. A dipeptide motif of cysteine and proline (CP motif) in Bach1 is essential for the heme-mediated regulation. In this study, we show that five molecules of heme bind to Bach1 by the heme-titration assay. The Bach1-heme complex exhibits an absorption spectrum with a major Soret peak at 371 nm and Raman band at 343 cm71 in high amounts of heme and a spectrum containing the major Soret peak at 423 nm at low heme concentrations. The spectroscopic characterization indicates that Bach1 has two kinds of heme-binding sites with different coordination structures. Mutagenesis studies have established that four molecules of heme bind to the cysteine residues of four CP motifs in the C terminus of Bach1. These results raise the possibility that two separated activities of Bach1, DNA-binding and nuclear export, are regulated by heme binding at the different CP motifs of Bach1 respectively, but not by cooperative heme- binding.","author":[{"dropping-particle":"","family":"Hira","given":"Shusuke","non-dropping-particle":"","parse-names":false,"suffix":""},{"dropping-particle":"","family":"Tomita","given":"Takeshi","non-dropping-particle":"","parse-names":false,"suffix":""},{"dropping-particle":"","family":"Matsui","given":"Toshitaka","non-dropping-particle":"","parse-names":false,"suffix":""},{"dropping-particle":"","family":"Igarashi","given":"Kazuhiko","non-dropping-particle":"","parse-names":false,"suffix":""},{"dropping-particle":"","family":"Ikeda-Saito","given":"Masao","non-dropping-particle":"","parse-names":false,"suffix":""}],"container-title":"IUBMB Life","id":"ITEM-2","issue":"8-9","issued":{"date-parts":[["2007"]]},"page":"542-551","title":"Bach1, a heme-dependent transcription factor, reveals presence of multiple heme binding sites with distinct coordination structure","type":"article-journal","volume":"59"},"uris":["http://www.mendeley.com/documents/?uuid=3f48180e-6e79-4207-a1b3-9f4705a6520d"]},{"id":"ITEM-3","itemData":{"DOI":"10.1128/mcb.02415-06","ISSN":"0270-7306","abstract":"The transcription repressor Bach1 is a sensor and effector of heme that regulates the expression of heme oxygenase 1 and globin genes. Heme binds to Bach1, inhibiting its DNA binding activity and inducing its nuclear export. We found that hemin further induced the degradation of endogenous Bach1 in NIH 3T3 cells, murine embryonic fibroblasts, and murine erythroleukemia cells. In contrast, succinylacetone, an inhibitor of heme synthesis, caused accumulation of Bach1 in murine embryonic fibroblasts, indicating that physiological levels of heme regulated the Bach1 turnover. Polyubiquitination and rapid degradation of overexpressed Bach1 were induced by hemin treatment. HOIL-1, an ubiquitin-protein ligase which recognizes heme-bound, oxidized iron regulatory protein 2, was found to bind with Bach1 when both were overexpressed in NIH 3T3 cells. HOIL-1 stimulated the polyubiquitination of Bach1 in a purified in vitro ubiquitination system depending on the intact heme binding motifs of Bach1. Expression of dominant-negative HOIL-1 in murine erythroleukemia cells resulted in higher stability of endogenous Bach1, raising the possibility that the heme-regulated degradation involved HOIL-1 in murine erythroleukemia cells. These results suggest that heme within a cell regulates the polyubiquitination and degradation of Bach1.","author":[{"dropping-particle":"","family":"Zenke-Kawasaki","given":"Yukari","non-dropping-particle":"","parse-names":false,"suffix":""},{"dropping-particle":"","family":"Dohi","given":"Yoshihiro","non-dropping-particle":"","parse-names":false,"suffix":""},{"dropping-particle":"","family":"Katoh","given":"Yasutake","non-dropping-particle":"","parse-names":false,"suffix":""},{"dropping-particle":"","family":"Ikura","given":"Tsuyoshi","non-dropping-particle":"","parse-names":false,"suffix":""},{"dropping-particle":"","family":"Ikura","given":"Masae","non-dropping-particle":"","parse-names":false,"suffix":""},{"dropping-particle":"","family":"Asahara","given":"Toshimasa","non-dropping-particle":"","parse-names":false,"suffix":""},{"dropping-particle":"","family":"Tokunaga","given":"Fuminori","non-dropping-particle":"","parse-names":false,"suffix":""},{"dropping-particle":"","family":"Iwai","given":"Kazuhiro","non-dropping-particle":"","parse-names":false,"suffix":""},{"dropping-particle":"","family":"Igarashi","given":"Kazuhiko","non-dropping-particle":"","parse-names":false,"suffix":""}],"container-title":"Molecular and Cellular Biology","id":"ITEM-3","issue":"19","issued":{"date-parts":[["2007"]]},"page":"6962-6971","publisher":"Am Soc Microbiol","title":"Heme induces ubiquitination and degradation of the transcription factor Bach1","type":"article-journal","volume":"27"},"uris":["http://www.mendeley.com/documents/?uuid=145cb7ac-e946-451b-ba3d-151d029b2a34"]},{"id":"ITEM-4","itemData":{"DOI":"10.1620/tjem.247.153","ISSN":"13493329","abstract":"Heme is one of the key factors involved in the oxidative stress response of cells. The transcriptional repressor Bach1 plays an important role in this response through its heme-binding activity. Heme inhibits the transcriptional-repressor activity of Bach1, and can occur in two binding modes: 5- and 6-coordinated binding. The Cys-Pro (CP) motif has been determined to be the heme-binding motif of Bach family proteins. The sequence of Bach1 includes six CP motifs, and four CP motifs are functional. With the aim of elucidating the molecular mechanism of heme-Bach1 regulation, we conducted biophysical analyses focusing on the C-terminal region of mouse Bach1 (residues 631-739) which is located after the bZip domain and includes one functional CP motif. UV-Vis spectroscopy indicated that the CP motif binds heme via 5-coordinated bond. A mutant, which included a cysteine to alanine substitution at the CP motif, did not show 5-coordination, suggesting that this binding mode is specific to the CP motif. Surface plasmon resonance revealed that the binding affinity and stoichiometry of heme with the Bach1 C-terminal region were KD = 1.37 × 10-5 M and 2.3, respectively. The circular dichroism spectrum in the near-UV region exhibited peaks for heme binding to the CP motif. No significant spectral shifts were observed in the far-UV region when samples with and without heme were compared. Therefore, disordered-ordered transition such as “coupled folding and binding” is not involved in the Bach1-heme system. Consequently, the heme response of this C-terminal region is accomplished by disorder-disorder conformational alteration.","author":[{"dropping-particle":"","family":"Segawa","given":"Kei","non-dropping-particle":"","parse-names":false,"suffix":""},{"dropping-particle":"","family":"Watanabe-Matsui","given":"Miki","non-dropping-particle":"","parse-names":false,"suffix":""},{"dropping-particle":"","family":"Matsui","given":"Toshitaka","non-dropping-particle":"","parse-names":false,"suffix":""},{"dropping-particle":"","family":"Igarashi","given":"Kazuhiko","non-dropping-particle":"","parse-names":false,"suffix":""},{"dropping-particle":"","family":"Murayama","given":"Kazutaka","non-dropping-particle":"","parse-names":false,"suffix":""}],"container-title":"Tohoku Journal of Experimental Medicine","id":"ITEM-4","issue":"3","issued":{"date-parts":[["2018"]]},"page":"153-159","title":"Functional heme binding to the intrinsically disordered C-terminal region of bach1, a transcriptional repressor","type":"article-journal","volume":"247"},"uris":["http://www.mendeley.com/documents/?uuid=f72aa2b1-e65c-4581-8240-6f0547bad9db","http://www.mendeley.com/documents/?uuid=64f2b4cc-7dc0-412b-a3c0-25596a368259","http://www.mendeley.com/documents/?uuid=557c39c9-10cf-438d-bcab-4132bf5558ed"]}],"mendeley":{"formattedCitation":"[12–15]","plainTextFormattedCitation":"[12–15]","previouslyFormattedCitation":"[12–15]"},"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[12–15]</w:t>
            </w:r>
            <w:r>
              <w:rPr>
                <w:rFonts w:ascii="Arial" w:hAnsi="Arial" w:cs="Arial"/>
                <w:noProof/>
                <w:sz w:val="16"/>
                <w:szCs w:val="20"/>
                <w:lang w:val="en-US"/>
              </w:rPr>
              <w:fldChar w:fldCharType="end"/>
            </w:r>
          </w:p>
        </w:tc>
        <w:tc>
          <w:tcPr>
            <w:tcW w:w="1189" w:type="dxa"/>
            <w:shd w:val="clear" w:color="auto" w:fill="auto"/>
          </w:tcPr>
          <w:p w14:paraId="53ED2F35"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4D38D600" w14:textId="6CE5032C"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GB"/>
              </w:rPr>
              <w:t>CP motifs missed in the WESA mode</w:t>
            </w:r>
            <w:r>
              <w:rPr>
                <w:rFonts w:ascii="Arial" w:hAnsi="Arial" w:cs="Arial"/>
                <w:sz w:val="16"/>
                <w:szCs w:val="20"/>
                <w:lang w:val="en-GB"/>
              </w:rPr>
              <w:t>.</w:t>
            </w:r>
          </w:p>
        </w:tc>
      </w:tr>
      <w:tr w:rsidR="00A70C60" w:rsidRPr="00AC2715" w14:paraId="021B29FA" w14:textId="77777777" w:rsidTr="00AC2715">
        <w:tc>
          <w:tcPr>
            <w:tcW w:w="885" w:type="dxa"/>
            <w:shd w:val="clear" w:color="auto" w:fill="FFFFFF"/>
          </w:tcPr>
          <w:p w14:paraId="7F30263C" w14:textId="322AA1A4" w:rsidR="00A70C60" w:rsidRPr="00FB6C7B" w:rsidRDefault="00A70C60" w:rsidP="00B874BD">
            <w:pPr>
              <w:spacing w:after="0" w:line="240" w:lineRule="auto"/>
              <w:rPr>
                <w:rFonts w:ascii="Arial" w:hAnsi="Arial" w:cs="Arial"/>
                <w:sz w:val="16"/>
                <w:szCs w:val="20"/>
                <w:lang w:val="en-GB"/>
              </w:rPr>
            </w:pPr>
            <w:r>
              <w:rPr>
                <w:rFonts w:ascii="Arial" w:hAnsi="Arial" w:cs="Arial"/>
                <w:sz w:val="16"/>
                <w:szCs w:val="20"/>
                <w:lang w:val="en-GB"/>
              </w:rPr>
              <w:t>7</w:t>
            </w:r>
          </w:p>
        </w:tc>
        <w:tc>
          <w:tcPr>
            <w:tcW w:w="1466" w:type="dxa"/>
            <w:shd w:val="clear" w:color="auto" w:fill="FFFFFF"/>
          </w:tcPr>
          <w:p w14:paraId="19A5F987" w14:textId="2238FC34" w:rsidR="00A70C60" w:rsidRPr="00FB6C7B" w:rsidRDefault="00A70C60" w:rsidP="00B874BD">
            <w:pPr>
              <w:spacing w:after="0" w:line="240" w:lineRule="auto"/>
              <w:rPr>
                <w:rFonts w:ascii="Arial" w:hAnsi="Arial" w:cs="Arial"/>
                <w:sz w:val="16"/>
                <w:szCs w:val="20"/>
                <w:highlight w:val="yellow"/>
                <w:lang w:val="en-GB"/>
              </w:rPr>
            </w:pPr>
            <w:r w:rsidRPr="00FB6C7B">
              <w:rPr>
                <w:rFonts w:ascii="Arial" w:hAnsi="Arial" w:cs="Arial"/>
                <w:sz w:val="16"/>
                <w:szCs w:val="20"/>
                <w:lang w:val="en-GB"/>
              </w:rPr>
              <w:t>Bach2</w:t>
            </w:r>
          </w:p>
        </w:tc>
        <w:tc>
          <w:tcPr>
            <w:tcW w:w="1235" w:type="dxa"/>
            <w:shd w:val="clear" w:color="auto" w:fill="auto"/>
          </w:tcPr>
          <w:p w14:paraId="0F627C2C" w14:textId="77777777" w:rsidR="00A70C60" w:rsidRPr="00FB6C7B" w:rsidRDefault="00A70C60" w:rsidP="00B874BD">
            <w:pPr>
              <w:spacing w:after="0" w:line="240" w:lineRule="auto"/>
              <w:rPr>
                <w:rFonts w:ascii="Arial" w:hAnsi="Arial" w:cs="Arial"/>
                <w:i/>
                <w:sz w:val="16"/>
                <w:szCs w:val="20"/>
                <w:highlight w:val="yellow"/>
                <w:lang w:val="en-GB"/>
              </w:rPr>
            </w:pPr>
            <w:r w:rsidRPr="00FB6C7B">
              <w:rPr>
                <w:rFonts w:ascii="Arial" w:hAnsi="Arial" w:cs="Arial"/>
                <w:i/>
                <w:sz w:val="16"/>
                <w:szCs w:val="20"/>
                <w:lang w:val="en-GB"/>
              </w:rPr>
              <w:t>H. sapiens</w:t>
            </w:r>
          </w:p>
        </w:tc>
        <w:tc>
          <w:tcPr>
            <w:tcW w:w="2125" w:type="dxa"/>
            <w:shd w:val="clear" w:color="auto" w:fill="auto"/>
          </w:tcPr>
          <w:p w14:paraId="50426C70"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369</w:t>
            </w:r>
            <w:r w:rsidRPr="00FB6C7B">
              <w:rPr>
                <w:rFonts w:ascii="Arial" w:hAnsi="Arial" w:cs="Arial"/>
                <w:sz w:val="16"/>
                <w:szCs w:val="20"/>
                <w:lang w:val="en-GB"/>
              </w:rPr>
              <w:t>P</w:t>
            </w:r>
          </w:p>
          <w:p w14:paraId="1F46F755"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499</w:t>
            </w:r>
            <w:r w:rsidRPr="00FB6C7B">
              <w:rPr>
                <w:rFonts w:ascii="Arial" w:hAnsi="Arial" w:cs="Arial"/>
                <w:sz w:val="16"/>
                <w:szCs w:val="20"/>
                <w:lang w:val="en-GB"/>
              </w:rPr>
              <w:t>P</w:t>
            </w:r>
          </w:p>
          <w:p w14:paraId="008B27EA"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506</w:t>
            </w:r>
            <w:r w:rsidRPr="00FB6C7B">
              <w:rPr>
                <w:rFonts w:ascii="Arial" w:hAnsi="Arial" w:cs="Arial"/>
                <w:sz w:val="16"/>
                <w:szCs w:val="20"/>
                <w:lang w:val="en-GB"/>
              </w:rPr>
              <w:t>P</w:t>
            </w:r>
          </w:p>
        </w:tc>
        <w:tc>
          <w:tcPr>
            <w:tcW w:w="1246" w:type="dxa"/>
            <w:shd w:val="clear" w:color="auto" w:fill="auto"/>
          </w:tcPr>
          <w:p w14:paraId="7586D9AD" w14:textId="55118F94" w:rsidR="00A70C60" w:rsidRPr="005703B8" w:rsidRDefault="00A70C60" w:rsidP="00090D24">
            <w:pPr>
              <w:spacing w:after="0" w:line="240" w:lineRule="auto"/>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{"citationItems":[{"id":"ITEM-1","itemData":{"DOI":"10.1182/blood-2010-07-296483","ISSN":"00064971","abstract":"Heme binds to proteins to modulate their function, thereby functioning as a signaling molecule in a variety of biologic events. We found that heme bound to Bach2, a transcription factor essential for humoral immunity, including antibody class switch. Heme inhibited the DNA binding activity of Bach2 in vitro and reduced its half-life in B cells. When added to B-cell primary cultures, heme enhanced the transcription of Blimp-1, the master regulator of plasma cells, and skewed plasma cell differentiation toward the IgM isotype, decreasing the IgG levels in vitro. Intraperitoneal injection of heme in mice inhibited the production of antigen-specific IgM when heme was administered simultaneously with the antigen but not when it was administered after antigen exposure, suggesting that heme also modulates the early phase of B-cell responses to antigen. Heme oxygenase-1, which is known to be regulated by heme, was repressed by both Bach2 and Bach1 in B cells. Furthermore, the expression of genes for heme uptake changed in response to B-cell activation and heme administration. Our results reveal a new function for heme as a ligand of Bach2 and as a modulatory signal involved in plasma cell differentiation. © 2011 by The American Society of Hematology.","author":[{"dropping-particle":"","family":"Watanabe-Matsui","given":"Miki","non-dropping-particle":"","parse-names":false,"suffix":""},{"dropping-particle":"","family":"Muto","given":"Akihiko","non-dropping-particle":"","parse-names":false,"suffix":""},{"dropping-particle":"","family":"Matsui","given":"Toshitaka","non-dropping-particle":"","parse-names":false,"suffix":""},{"dropping-particle":"","family":"Itoh-Nakadai","given":"Ari","non-dropping-particle":"","parse-names":false,"suffix":""},{"dropping-particle":"","family":"Nakajima","given":"Osamu","non-dropping-particle":"","parse-names":false,"suffix":""},{"dropping-particle":"","family":"Murayama","given":"Kazutaka","non-dropping-particle":"","parse-names":false,"suffix":""},{"dropping-particle":"","family":"Yamamoto","given":"Masayuki","non-dropping-particle":"","parse-names":false,"suffix":""},{"dropping-particle":"","family":"Ikeda-Saito","given":"Masao","non-dropping-particle":"","parse-names":false,"suffix":""},{"dropping-particle":"","family":"Igarashi","given":"Kazuhiko","non-dropping-particle":"","parse-names":false,"suffix":""}],"container-title":"Blood","id":"ITEM-1","issue":"20","issued":{"date-parts":[["2011"]]},"page":"5438-5448","title":"Heme regulates B-cell differentiation, antibody class switch, and heme oxygenase-1 expression in B cells as a ligand of Bach2","type":"article-journal","volume":"117"},"uris":["http://www.mendeley.com/documents/?uuid=ba0f2cb2-c7f5-4021-a6a5-9d883e0ed70e"]},{"id":"ITEM-2","itemData":{"DOI":"10.1016/j.abb.2014.11.005","ISSN":"10960384","abstract":"The transcriptional repressor Bach2 regulates humoral and cellular immunity, including antibody class switching. It possesses a basic leucine zipper domain that mediates DNA binding. Heme inhibits the DNA-binding activity of Bach2 in vitro and induces the degradation of Bach2 in B cells. However, the structural basis of the heme-Bach2 interaction has not been identified. Spectroscopic analyses revealed that Bach2331-520 is the heme-binding domain, as it includes three Cys-Pro motifs known to be important for heme binding. Heme-titration experiments demonstrated the presence of 5- and 6-coordinated heme-binding modes. Circular dichroism measurements indicated that Bach2331-520 exists mostly in a random-coil conformation. However, dynamic light scattering analyses showed that, upon heme binding to Bach2331-520, this region becomes denatured at a lower temperature, as compared with unbound Bach2331-520. In addition, small-angle X-ray scattering and chemical modification analyses revealed that heme binding induces conformational alterations within the unstructured region. A GAL4-based luciferase assay in 293T cells showed that heme alters the protein interactions mediated by Bach2331-520. These observations suggested that the unstructured region of Bach2 is important for heme binding, and consequently for its functional regulation.","author":[{"dropping-particle":"","family":"Watanabe-Matsui","given":"Miki","non-dropping-particle":"","parse-names":false,"suffix":""},{"dropping-particle":"","family":"Matsumoto","given":"Takashi","non-dropping-particle":"","parse-names":false,"suffix":""},{"dropping-particle":"","family":"Matsui","given":"Toshitaka","non-dropping-particle":"","parse-names":false,"suffix":""},{"dropping-particle":"","family":"Ikeda-Saito","given":"Masao","non-dropping-particle":"","parse-names":false,"suffix":""},{"dropping-particle":"","family":"Muto","given":"Akihiko","non-dropping-particle":"","parse-names":false,"suffix":""},{"dropping-particle":"","family":"Murayama","given":"Kazutaka","non-dropping-particle":"","parse-names":false,"suffix":""},{"dropping-particle":"","family":"Igarashi","given":"Kazuhiko","non-dropping-particle":"","parse-names":false,"suffix":""}],"container-title":"Archives of Biochemistry and Biophysics","id":"ITEM-2","issued":{"date-parts":[["2015"]]},"page":"25-31","title":"Heme binds to an intrinsically disordered region of Bach2 and alters its conformation","type":"article-journal","volume":"565"},"uris":["http://www.mendeley.com/documents/?uuid=0b0cccdf-0952-41e1-a05d-b626615506f1","http://www.mendeley.com/documents/?uuid=1dcb4eeb-63ac-4ec7-bebf-f05e389a7c17"]},{"id":"ITEM-3","itemData":{"DOI":"10.1093/jb/mvw035","ISSN":"17562651","abstract":"Bach2 is a transcriptional repressor that plays an important role in the differentiation of T-cells and B-cells. Bach2 is functionally regulated by heme binding, and possesses five Cys-Pro Cys-Pro (CP)-motifs as the heme binding site. To reveal the molecular mechanism of heme binding by Bach2, the intrinsically disordered heme binding region (a.a. 331-520; Bach2331-520) and its CP-motif mutant were prepared and characterized with and without heme, by UV-Vis spectroscopy and thermal profiles. In addition, the charge-state-distributions (CSDs) were assessed by electrospray ionization mass spectrometry. The UV-Vis spectroscopy revealed a lack of five-coordinated heme binding in the CP-motif mutant of Bach2331-520. The thermal profile and CSDs of Bach2331-520 indicated that heme binding induces the destabilization of Bach2331-520. The thermal profile revealed that the wild type Bach2331-520 was destabilized more than the CP-motif mutant. The shift in the CSDs by heme binding suggested that heme binding causes Bach2331-520 to adopt a more compact conformation. In addition, heme binding to the CP-motif could reduce the flexibility of Bach2331-520. Consequently, the five-coordinated heme binding destabilizes Bach2331-520, by reducing the flexibility of the polypeptide chain.","author":[{"dropping-particle":"","family":"Suenaga","given":"Tomoji","non-dropping-particle":"","parse-names":false,"suffix":""},{"dropping-particle":"","family":"Watanabe-Matsui","given":"Miki","non-dropping-particle":"","parse-names":false,"suffix":""},{"dropping-particle":"","family":"Uejima","given":"Tamami","non-dropping-particle":"","parse-names":false,"suffix":""},{"dropping-particle":"","family":"Shima","given":"Hiroki","non-dropping-particle":"","parse-names":false,"suffix":""},{"dropping-particle":"","family":"Matsui","given":"Toshitaka","non-dropping-particle":"","parse-names":false,"suffix":""},{"dropping-particle":"","family":"Ikeda-Saito","given":"Masao","non-dropping-particle":"","parse-names":false,"suffix":""},{"dropping-particle":"","family":"Shirouzu","given":"Mikako","non-dropping-particle":"","parse-names":false,"suffix":""},{"dropping-particle":"","family":"Igarashi","given":"Kazuhiko","non-dropping-particle":"","parse-names":false,"suffix":""},{"dropping-particle":"","family":"Murayama","given":"Kazutaka","non-dropping-particle":"","parse-names":false,"suffix":""}],"container-title":"Journal of Biochemistry","id":"ITEM-3","issue":"5","issued":{"date-parts":[["2016"]]},"page":"291-298","title":"Charge-state-distribution analysis of Bach2 intrinsically disordered heme binding region","type":"article-journal","volume":"160"},"uris":["http://www.mendeley.com/documents/?uuid=d061d5e9-3882-4f2a-9e77-46b34b710a15","http://www.mendeley.com/documents/?uuid=9aab91ac-6a59-48fe-8d1d-2ba7cf40b286"]}],"mendeley":{"formattedCitation":"[16–18]","plainTextFormattedCitation":"[16–18]","previouslyFormattedCitation":"[16–18]"},"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[16–18]</w:t>
            </w:r>
            <w:r>
              <w:rPr>
                <w:rFonts w:ascii="Arial" w:hAnsi="Arial" w:cs="Arial"/>
                <w:noProof/>
                <w:sz w:val="16"/>
                <w:szCs w:val="20"/>
                <w:lang w:val="en-US"/>
              </w:rPr>
              <w:fldChar w:fldCharType="end"/>
            </w:r>
          </w:p>
        </w:tc>
        <w:tc>
          <w:tcPr>
            <w:tcW w:w="1189" w:type="dxa"/>
            <w:shd w:val="clear" w:color="auto" w:fill="auto"/>
          </w:tcPr>
          <w:p w14:paraId="5159BF5A" w14:textId="77777777" w:rsidR="00A70C60" w:rsidRPr="00FB6C7B" w:rsidRDefault="00A70C60" w:rsidP="00B874BD">
            <w:pPr>
              <w:spacing w:after="0" w:line="240" w:lineRule="auto"/>
              <w:rPr>
                <w:rFonts w:ascii="Arial" w:hAnsi="Arial" w:cs="Arial"/>
                <w:sz w:val="16"/>
                <w:szCs w:val="20"/>
                <w:highlight w:val="yellow"/>
                <w:lang w:val="en-GB"/>
              </w:rPr>
            </w:pPr>
            <w:r w:rsidRPr="00FB6C7B">
              <w:rPr>
                <w:rFonts w:ascii="Arial" w:hAnsi="Arial" w:cs="Arial"/>
                <w:sz w:val="16"/>
                <w:szCs w:val="20"/>
                <w:lang w:val="en-GB"/>
              </w:rPr>
              <w:t>All published sites correctly predicted.</w:t>
            </w:r>
          </w:p>
        </w:tc>
        <w:tc>
          <w:tcPr>
            <w:tcW w:w="1022" w:type="dxa"/>
            <w:shd w:val="clear" w:color="auto" w:fill="auto"/>
          </w:tcPr>
          <w:p w14:paraId="398FAE87" w14:textId="77777777" w:rsidR="00A70C60" w:rsidRPr="00FB6C7B" w:rsidRDefault="00A70C60" w:rsidP="007B1B24">
            <w:pPr>
              <w:spacing w:after="0" w:line="240" w:lineRule="auto"/>
              <w:rPr>
                <w:rFonts w:ascii="Arial" w:hAnsi="Arial" w:cs="Arial"/>
                <w:sz w:val="16"/>
                <w:szCs w:val="20"/>
                <w:lang w:val="en-GB"/>
              </w:rPr>
            </w:pPr>
            <w:r w:rsidRPr="00FB6C7B">
              <w:rPr>
                <w:rFonts w:ascii="Arial" w:hAnsi="Arial" w:cs="Arial"/>
                <w:sz w:val="16"/>
                <w:szCs w:val="20"/>
                <w:lang w:val="en-GB"/>
              </w:rPr>
              <w:t>CP motifs C</w:t>
            </w:r>
            <w:r w:rsidRPr="00FB6C7B">
              <w:rPr>
                <w:rFonts w:ascii="Arial" w:hAnsi="Arial" w:cs="Arial"/>
                <w:sz w:val="16"/>
                <w:szCs w:val="20"/>
                <w:vertAlign w:val="superscript"/>
                <w:lang w:val="en-GB"/>
              </w:rPr>
              <w:t>499</w:t>
            </w:r>
            <w:r w:rsidRPr="00FB6C7B">
              <w:rPr>
                <w:rFonts w:ascii="Arial" w:hAnsi="Arial" w:cs="Arial"/>
                <w:sz w:val="16"/>
                <w:szCs w:val="20"/>
                <w:lang w:val="en-GB"/>
              </w:rPr>
              <w:t>P</w:t>
            </w:r>
          </w:p>
          <w:p w14:paraId="7B0ECEA9" w14:textId="1396FE39" w:rsidR="00A70C60" w:rsidRPr="00FB6C7B" w:rsidRDefault="00A70C60" w:rsidP="007B1B24">
            <w:pPr>
              <w:spacing w:after="0" w:line="240" w:lineRule="auto"/>
              <w:rPr>
                <w:rFonts w:ascii="Arial" w:hAnsi="Arial" w:cs="Arial"/>
                <w:sz w:val="16"/>
                <w:szCs w:val="20"/>
                <w:highlight w:val="yellow"/>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506</w:t>
            </w:r>
            <w:r w:rsidRPr="00FB6C7B">
              <w:rPr>
                <w:rFonts w:ascii="Arial" w:hAnsi="Arial" w:cs="Arial"/>
                <w:sz w:val="16"/>
                <w:szCs w:val="20"/>
                <w:lang w:val="en-GB"/>
              </w:rPr>
              <w:t>P missed and C</w:t>
            </w:r>
            <w:r w:rsidRPr="00FB6C7B">
              <w:rPr>
                <w:rFonts w:ascii="Arial" w:hAnsi="Arial" w:cs="Arial"/>
                <w:sz w:val="16"/>
                <w:szCs w:val="20"/>
                <w:vertAlign w:val="superscript"/>
                <w:lang w:val="en-GB"/>
              </w:rPr>
              <w:t>369</w:t>
            </w:r>
            <w:r w:rsidRPr="00FB6C7B">
              <w:rPr>
                <w:rFonts w:ascii="Arial" w:hAnsi="Arial" w:cs="Arial"/>
                <w:sz w:val="16"/>
                <w:szCs w:val="20"/>
                <w:lang w:val="en-GB"/>
              </w:rPr>
              <w:t>P predicted correctly in WESA mode.</w:t>
            </w:r>
          </w:p>
        </w:tc>
      </w:tr>
      <w:tr w:rsidR="00A70C60" w:rsidRPr="00310F01" w14:paraId="5BE8B22A" w14:textId="77777777" w:rsidTr="00AC2715">
        <w:tc>
          <w:tcPr>
            <w:tcW w:w="885" w:type="dxa"/>
          </w:tcPr>
          <w:p w14:paraId="7AA7F627" w14:textId="2887D1FE"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8</w:t>
            </w:r>
          </w:p>
        </w:tc>
        <w:tc>
          <w:tcPr>
            <w:tcW w:w="1466" w:type="dxa"/>
            <w:shd w:val="clear" w:color="auto" w:fill="auto"/>
          </w:tcPr>
          <w:p w14:paraId="6726039B" w14:textId="7537D9B5"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BK channel</w:t>
            </w:r>
          </w:p>
        </w:tc>
        <w:tc>
          <w:tcPr>
            <w:tcW w:w="1235" w:type="dxa"/>
            <w:shd w:val="clear" w:color="auto" w:fill="auto"/>
          </w:tcPr>
          <w:p w14:paraId="38653C76"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1ECD3B9C"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612</w:t>
            </w:r>
            <w:r w:rsidRPr="00FB6C7B">
              <w:rPr>
                <w:rFonts w:ascii="Arial" w:hAnsi="Arial" w:cs="Arial"/>
                <w:sz w:val="16"/>
                <w:szCs w:val="20"/>
                <w:lang w:val="en-GB"/>
              </w:rPr>
              <w:t>XXCH</w:t>
            </w:r>
            <w:r w:rsidRPr="00FB6C7B">
              <w:rPr>
                <w:rFonts w:ascii="Arial" w:hAnsi="Arial" w:cs="Arial"/>
                <w:sz w:val="16"/>
                <w:szCs w:val="20"/>
                <w:vertAlign w:val="superscript"/>
                <w:lang w:val="en-GB"/>
              </w:rPr>
              <w:t>616</w:t>
            </w:r>
          </w:p>
          <w:p w14:paraId="427480C0" w14:textId="77777777" w:rsidR="00A70C60" w:rsidRPr="00FB6C7B" w:rsidRDefault="00A70C60" w:rsidP="00B874BD">
            <w:pPr>
              <w:spacing w:after="0" w:line="240" w:lineRule="auto"/>
              <w:rPr>
                <w:rFonts w:ascii="Arial" w:hAnsi="Arial" w:cs="Arial"/>
                <w:sz w:val="16"/>
                <w:szCs w:val="20"/>
                <w:lang w:val="en-GB"/>
              </w:rPr>
            </w:pPr>
          </w:p>
          <w:p w14:paraId="0A7C1E9E" w14:textId="77777777" w:rsidR="00A70C60" w:rsidRPr="00FB6C7B" w:rsidRDefault="00A70C60" w:rsidP="00B874BD">
            <w:pPr>
              <w:spacing w:after="0" w:line="240" w:lineRule="auto"/>
              <w:rPr>
                <w:rFonts w:ascii="Arial" w:hAnsi="Arial" w:cs="Arial"/>
                <w:sz w:val="16"/>
                <w:szCs w:val="20"/>
                <w:lang w:val="en-GB"/>
              </w:rPr>
            </w:pPr>
          </w:p>
          <w:p w14:paraId="56AF5735" w14:textId="77777777" w:rsidR="00A70C60" w:rsidRPr="00FB6C7B" w:rsidRDefault="00A70C60" w:rsidP="00B874BD">
            <w:pPr>
              <w:spacing w:after="0" w:line="240" w:lineRule="auto"/>
              <w:rPr>
                <w:rFonts w:ascii="Arial" w:hAnsi="Arial" w:cs="Arial"/>
                <w:sz w:val="16"/>
                <w:szCs w:val="20"/>
                <w:lang w:val="en-GB"/>
              </w:rPr>
            </w:pPr>
          </w:p>
        </w:tc>
        <w:tc>
          <w:tcPr>
            <w:tcW w:w="1246" w:type="dxa"/>
            <w:shd w:val="clear" w:color="auto" w:fill="auto"/>
          </w:tcPr>
          <w:p w14:paraId="1FB174DB" w14:textId="28500C65" w:rsidR="00A70C60" w:rsidRPr="00FB6C7B" w:rsidRDefault="00A70C60" w:rsidP="00790626">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{"citationItems":[{"id":"ITEM-1","itemData":{"DOI":"10.1038/nature02003","ISSN":"00280836","abstract":"Haem is essential for living organisms, functioning as a crucial element in the redox-sensitive reaction centre in haemproteins. During the biogenesis of these proteins, the haem cofactor is typically incorporated enzymatically into the haem pockets of the apo-haemprotein as the functionally indispensable prosthetic group. A class of ion channel, the large-conductance calcium-dependent Slo1 BK channels, possesses a conserved haem-binding sequence motif. Here we present electrophysiological and structural evidence showing that haem directly regulates cloned human Slo1 channels and wild-type BK channels in rat brain. Both oxidized and reduced haem binds to the hSlo1 channel protein and profoundly inhibits transmembrane K+ currents by decreasing the frequency of channel opening. This direct regulation of the BK channel identifies a previously unknown role of haem as an acute signalling molecule.","author":[{"dropping-particle":"","family":"Tang","given":"Xiang Dong","non-dropping-particle":"","parse-names":false,"suffix":""},{"dropping-particle":"","family":"Xu","given":"Rong","non-dropping-particle":"","parse-names":false,"suffix":""},{"dropping-particle":"","family":"Reynolds","given":"Mark F.","non-dropping-particle":"","parse-names":false,"suffix":""},{"dropping-particle":"","family":"Garcia","given":"Maria L.","non-dropping-particle":"","parse-names":false,"suffix":""},{"dropping-particle":"","family":"Heinemann","given":"Stefan H.","non-dropping-particle":"","parse-names":false,"suffix":""},{"dropping-particle":"","family":"Hoshi","given":"Toshinori","non-dropping-particle":"","parse-names":false,"suffix":""}],"container-title":"Nature","id":"ITEM-1","issue":"6957","issued":{"date-parts":[["2003"]]},"page":"531-535","title":"Haem can bind to and inhibit mammalian calcium-dependent Slo1 BK channels","type":"article-journal","volume":"425"},"uris":["http://www.mendeley.com/documents/?uuid=22fe69ec-a166-454b-b203-26e4d25f177b"]},{"id":"ITEM-2","itemData":{"DOI":"10.1126/science.1105010","ISSN":"00368075","abstract":"Modulation of calcium-sensitive potassium (BK) channels by oxygen is important in several mammalian tissues, and in the carotid body it is crucial to respiratory control. However, the identity of the oxygen sensor remains unknown. We demonstrate that hemoxygenase-2 (HO-2) is part of the BK channel complex and enhances channel activity in normoxia. Knockdown of HO-2 expression reduced channel activity, and carbon monoxide, a product of HO-2 activity, rescued this loss of function. Inhibition of BK channels by hypoxia was dependent on HO-2 expression and was augmented by HO-2 stimulation. Furthermore, carotid body cells demonstrated HO-2-dependent hypoxic BK channel inhibition, which indicates that HO-2 is an oxygen sensor that controls channel activity during oxygen deprivation.","author":[{"dropping-particle":"","family":"Williams","given":"Sandile E J","non-dropping-particle":"","parse-names":false,"suffix":""},{"dropping-particle":"","family":"Wootton","given":"Phillippa","non-dropping-particle":"","parse-names":false,"suffix":""},{"dropping-particle":"","family":"Mason","given":"Helen S.","non-dropping-particle":"","parse-names":false,"suffix":""},{"dropping-particle":"","family":"Bould","given":"Jonathan","non-dropping-particle":"","parse-names":false,"suffix":""},{"dropping-particle":"","family":"Iles","given":"David E.","non-dropping-particle":"","parse-names":false,"suffix":""},{"dropping-particle":"","family":"Riccardi","given":"Daniela","non-dropping-particle":"","parse-names":false,"suffix":""},{"dropping-particle":"","family":"Peers","given":"Chris","non-dropping-particle":"","parse-names":false,"suffix":""},{"dropping-particle":"","family":"Kemp","given":"Paul J.","non-dropping-particle":"","parse-names":false,"suffix":""}],"container-title":"Science","id":"ITEM-2","issue":"5704","issued":{"date-parts":[["2004"]]},"page":"2093-2097","title":"Hemoxygenase-2 is an oxygen sensor for a calcium-sensitive potassium channel","type":"article-journal","volume":"306"},"uris":["http://www.mendeley.com/documents/?uuid=05b557b1-7be7-47c7-9ab8-e04a8c6edfad"]},{"id":"ITEM-3","itemData":{"DOI":"10.1085/jgp.200509262","ISSN":"00221295","abstract":"Large conductance calcium-dependent (Slo1 BK) channels are allosterically activated by membrane depolarization and divalent cations, and possess a rich modulatory repertoire. Recently, intracellular heme has been identified as a potent regulator of Slo1 BK channels (Tang, X.D., R. Xu, M.F. Reynolds, M.L. Garcia, S.H. Heinemann, and T. Hoshi. 2003. Nature. 425:531-535). Here we investigated the mechanism of the regulatory action of heme on heterologously expressed Slo1 BK channels by separating the influences of voltage and divalent cations. In the absence of divalent cations, heme generally decreased ionic currents by shifting the channel's G-V curve toward more depolarized voltages and by rendering the curve less steep. In contrast, gating currents remained largely unaffected by heme. Simulations suggest that a decrease in the strength of allosteric coupling between the voltage sensor and the activation gate and a concomitant stabilization of the open state account for the essential features of the heme action in the absence of divalent ions. At saturating levels of divalent cations, heme remained similarly effective with its influence on the G-V simulated by weakening the coupling of both Ca 2+ binding and voltage sensor activation to channel opening. The results thus show that heme dampens the influence of allosteric activators on the activation gate of the Slo1 BK channel. To account for these effects, we consider the possibility that heme binding alters the structure of the RCK gating ring and thereby disrupts both Ca 2+- and voltage-dependent gating as well as intrinsic stability of the open state. © The Rockefeller University Press.","author":[{"dropping-particle":"","family":"Horrigan","given":"Frank T.","non-dropping-particle":"","parse-names":false,"suffix":""},{"dropping-particle":"","family":"Heinemann","given":"Stefan H.","non-dropping-particle":"","parse-names":false,"suffix":""},{"dropping-particle":"","family":"Hoshi","given":"Toshinori","non-dropping-particle":"","parse-names":false,"suffix":""}],"container-title":"Journal of General Physiology","id":"ITEM-3","issue":"1","issued":{"date-parts":[["2005"]]},"page":"7-21","publisher":"Rockefeller University Press","title":"Heme regulates allosteric activation of the Slo1 BK channel","type":"article-journal","volume":"126"},"uris":["http://www.mendeley.com/documents/?uuid=26f7c0c9-ab66-4736-9bc3-bada19e82b99","http://www.mendeley.com/documents/?uuid=70ffd7f2-d5e9-4860-8918-74a7666dcd5f"]},{"id":"ITEM-4","itemData":{"DOI":"10.1161/01.RES.0000186180.47148.7b","ISSN":"00097330","abstract":"Carbon monoxide (CO) is an endogenous paracrine and autocrine gaseous messenger that regulates physiological functions in a wide variety of tissues. CO induces vasodilation by activating arterial smooth muscle large-conductance Ca2+-activated potassium (BKCa) channels. However, the mechanism by which CO activates BKCa channels remains unclear. Here, we tested the hypothesis that CO activates BKCa channels by binding to channel-bound heme, a BKCa channel inhibitor, and altering the interaction between heme and the conserved heme-binding domain (HBD) of the channel α subunit C terminus. Data obtained using thin-layer chromatography, spectrophotometry, mass spectrometry (MS), and MS-MS indicate that CO modifies the binding of reduced heme to the α subunit HBD. In contrast, CO does not alter the interaction between the HBD and oxidized heme (hemin), to which CO cannot bind. Consistent with these findings, electrophysiological measurements of native and cloned (cbv) cerebral artery smooth muscle BKCa channels show that CO reverses BKCa channel inhibition by heme but not by hemin. Site-directed mutagenesis of the cbv HBD from CKACH to CKASR abolished both heme-induced channel inhibition and CO-induced activation. Furthermore, on binding CO, heme switches from being a channel inhibitor to an activator. These findings indicate that reduced heme is a functional CO receptor for BKCa channels, introduce a unique mechanism by which CO regulates the activity of a target protein, and reveal a novel process by which a gaseous messenger regulates ion channel activity. © 2005 American Heart Association, Inc.","author":[{"dropping-particle":"","family":"Jaggar","given":"Jonathan H.","non-dropping-particle":"","parse-names":false,"suffix":""},{"dropping-particle":"","family":"Li","given":"Anlong","non-dropping-particle":"","parse-names":false,"suffix":""},{"dropping-particle":"","family":"Parfenova","given":"Helena","non-dropping-particle":"","parse-names":false,"suffix":""},{"dropping-particle":"","family":"Liu","given":"Jianxi","non-dropping-particle":"","parse-names":false,"suffix":""},{"dropping-particle":"","family":"Umstot","given":"Edward S.","non-dropping-particle":"","parse-names":false,"suffix":""},{"dropping-particle":"","family":"Dopico","given":"Alejandro M.","non-dropping-particle":"","parse-names":false,"suffix":""},{"dropping-particle":"","family":"Leffler","given":"Charles W.","non-dropping-particle":"","parse-names":false,"suffix":""}],"container-title":"Circulation Research","id":"ITEM-4","issue":"8","issued":{"date-parts":[["2005"]]},"page":"805-812","title":"Heme is a carbon monoxide receptor for large-conductance Ca 2+-activated K+ channels","type":"article-journal","volume":"97"},"uris":["http://www.mendeley.com/documents/?uuid=fab9ce3b-10a3-48ea-a6f4-0bc5413761f9","http://www.mendeley.com/documents/?uuid=6ccfaac5-5614-406d-b95a-4653c8086ec7","http://www.mendeley.com/documents/?uuid=93571358-ec0e-43ca-9d3f-490d33adaf2b"]},{"id":"ITEM-5","itemData":{"DOI":"10.1074/jbc.M110.116483","ISSN":"00219258","abstract":"Heme is a required prosthetic group in many electron transfer proteins and redox enzymes. The human BK channel, which is a large-conductance Ca(2+) and voltage-activated K(+) channel, is involved in the hypoxic response in the carotid body. The BK channel has been shown to bind and undergo inhibition by heme and activation by CO. Furthermore, evidence suggests that human heme oxygenase-2 (HO2) acts as an oxygen sensor and CO donor that can form a protein complex with the BK channel. Here we describe a thiol/disulfide redox switch in the human BK channel and biochemical experiments of heme, CO, and HO2 binding to a 134-residue region within the cytoplasmic domain of the channel. This region, called the heme binding domain (HBD) forms a linker segment between two Ca(2+)-sensing domains (called RCK1 and RCK2) of the BK channel. The HBD includes a CXXCH motif in which histidine serves as the axial heme ligand and the two cysteine residues can form a reversible thiol/disulfide redox switch that regulates affinity of the HBD for heme. The reduced dithiol state binds heme (K(d) = 210 nm) 14-fold more tightly than the oxidized disulfide state. Furthermore, the HBD is shown to tightly bind CO (K(d) = 50 nm) with the Cys residues in the CXXCH motif regulating affinity of the HBD for CO. This HBD is also shown to interact with heme oxygenase-2. We propose that the thiol/disulfide switch in the HBD is a mechanism by which activity of the BK channel can respond quickly and reversibly to changes in the redox state of the cell, especially as it switches between hypoxic and normoxic conditions.","author":[{"dropping-particle":"","family":"Yi","given":"Li","non-dropping-particle":"","parse-names":false,"suffix":""},{"dropping-particle":"","family":"Morgan","given":"Jeffrey T.","non-dropping-particle":"","parse-names":false,"suffix":""},{"dropping-particle":"","family":"Ragsdale","given":"Stephen W.","non-dropping-particle":"","parse-names":false,"suffix":""}],"container-title":"Journal of Biological Chemistry","id":"ITEM-5","issue":"26","issued":{"date-parts":[["2010"]]},"page":"20117-20127","title":"Identification of a thiol/disulfide redox switch in the human BK channel that controls its affinity for heme and CO","type":"article-journal","volume":"285"},"uris":["http://www.mendeley.com/documents/?uuid=479e12ed-cf9b-423e-ac23-ea76d35ba3e7"]}],"mendeley":{"formattedCitation":"[19–23]","plainTextFormattedCitation":"[19–23]","previouslyFormattedCitation":"[19–23]"},"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[19–23]</w:t>
            </w:r>
            <w:r>
              <w:rPr>
                <w:rFonts w:ascii="Arial" w:hAnsi="Arial" w:cs="Arial"/>
                <w:noProof/>
                <w:sz w:val="16"/>
                <w:szCs w:val="20"/>
                <w:lang w:val="en-GB"/>
              </w:rPr>
              <w:fldChar w:fldCharType="end"/>
            </w:r>
          </w:p>
        </w:tc>
        <w:tc>
          <w:tcPr>
            <w:tcW w:w="1189" w:type="dxa"/>
            <w:shd w:val="clear" w:color="auto" w:fill="auto"/>
          </w:tcPr>
          <w:p w14:paraId="75DCBEE9"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Published sites correctly predicted.</w:t>
            </w:r>
          </w:p>
        </w:tc>
        <w:tc>
          <w:tcPr>
            <w:tcW w:w="1022" w:type="dxa"/>
            <w:shd w:val="clear" w:color="auto" w:fill="auto"/>
          </w:tcPr>
          <w:p w14:paraId="3094EA2E"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w:t>
            </w:r>
          </w:p>
        </w:tc>
      </w:tr>
      <w:tr w:rsidR="00A70C60" w:rsidRPr="00AC2715" w14:paraId="4731CABC" w14:textId="77777777" w:rsidTr="00AC2715">
        <w:tc>
          <w:tcPr>
            <w:tcW w:w="885" w:type="dxa"/>
          </w:tcPr>
          <w:p w14:paraId="13C14070" w14:textId="7D8FC6B3"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9</w:t>
            </w:r>
          </w:p>
        </w:tc>
        <w:tc>
          <w:tcPr>
            <w:tcW w:w="1466" w:type="dxa"/>
            <w:shd w:val="clear" w:color="auto" w:fill="auto"/>
          </w:tcPr>
          <w:p w14:paraId="0907CBBB" w14:textId="189B2AAF"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C1q</w:t>
            </w:r>
          </w:p>
        </w:tc>
        <w:tc>
          <w:tcPr>
            <w:tcW w:w="1235" w:type="dxa"/>
            <w:shd w:val="clear" w:color="auto" w:fill="auto"/>
          </w:tcPr>
          <w:p w14:paraId="0B1F6994"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4F21FF6C"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not known</w:t>
            </w:r>
          </w:p>
        </w:tc>
        <w:tc>
          <w:tcPr>
            <w:tcW w:w="1246" w:type="dxa"/>
            <w:shd w:val="clear" w:color="auto" w:fill="auto"/>
          </w:tcPr>
          <w:p w14:paraId="6650B5F6" w14:textId="08E64C7B" w:rsidR="00A70C60" w:rsidRPr="00A70C60" w:rsidRDefault="00A70C60" w:rsidP="00790626">
            <w:pPr>
              <w:spacing w:after="0"/>
              <w:jc w:val="center"/>
              <w:rPr>
                <w:rFonts w:ascii="Arial" w:hAnsi="Arial" w:cs="Arial"/>
                <w:sz w:val="16"/>
                <w:szCs w:val="20"/>
                <w:lang w:val="en-US"/>
              </w:rPr>
            </w:pPr>
            <w:r>
              <w:rPr>
                <w:rFonts w:ascii="Arial" w:hAnsi="Arial" w:cs="Arial"/>
                <w:noProof/>
                <w:sz w:val="16"/>
                <w:szCs w:val="20"/>
                <w:lang w:val="en-GB"/>
              </w:rPr>
              <w:fldChar w:fldCharType="begin" w:fldLock="1"/>
            </w:r>
            <w:r>
              <w:rPr>
                <w:rFonts w:ascii="Arial" w:hAnsi="Arial" w:cs="Arial"/>
                <w:noProof/>
                <w:sz w:val="16"/>
                <w:szCs w:val="20"/>
                <w:lang w:val="it-IT"/>
              </w:rPr>
              <w:instrText>ADDIN CSL_CITATION {"citationItems":[{"id":"ITEM-1","itemData":{"DOI":"10.1111/j.1365-3083.2006.01893.x","ISSN":"03009475","abstract":"The complement system and circulating antibodies play a major role in the defence against infection. They act at the sites of inflammation, where the harsh microenvironment and the oxidative stress lead to the release of free iron ions and haeme. The aim of this study was to analyse the consequences of the exposure of C1q and immunoglobulins to iron ions or haeme. The changes in target recognition by C1q and in the rheumatoid factor activity of the immunoglobulins were investigated. The exposure of C1q to ferrous ions increased its binding to IgG and to IgM. In contrast, haeme inhibited C1q binding to all studied targets, especially to IgG1 and C-reactive protein. Thus, the haeme released as a result of tissue damage and oxidative stress may act as a negative feedback regulator of an inappropriate complement triggering as seen in ischaemia-reperfusion tissue injury. The results also show that iron ions and haeme were able to reveal rheumatoid factor activity of IgG. The modulation of the C1q-target binding as well as the revealing of rheumatoid factor activity of IgG by exposure to redox-active agents released at the sites of inflammation may have important consequences for the understanding of the immunopathological mechanisms of inflammatory and au toimmune diseases. © 2007 The Authors.","author":[{"dropping-particle":"","family":"Dimitrov","given":"J. D.","non-dropping-particle":"","parse-names":false,"suffix":""},{"dropping-particle":"","family":"Roumenina","given":"L. T.","non-dropping-particle":"","parse-names":false,"suffix":""},{"dropping-particle":"","family":"Doltchinkova","given":"V. R.","non-dropping-particle":"","parse-names":false,"suffix":""},{"dropping-particle":"","family":"Vassilev","given":"T. L.","non-dropping-particle":"","parse-names":false,"suffix":""}],"container-title":"Scandinavian Journal of Immunology","id":"ITEM-1","issue":"3","issued":{"date-parts":[["2007"]]},"page":"230-239","title":"Iron ions and haeme modulate the binding properties of complement subcomponent C1q and of immunoglobulins","type":"article-journal","volume":"65"},"uris":["http://www.mendeley.com/documents/?uuid=6334af93-2f51-41d1-bce1-a515e4ff6a82"]},{"id":"ITEM-2","itemData":{"DOI":"10.1074/jbc.M110.206136","ISSN":"00219258","abstract":"C1q is the recognition subunit of the first component of the classical complement pathway. It participates in clearance of immune complexes and apoptotic cells as well as in defense against pathogens. Inappropriate activation of the complement contributes to cellular and tissue damage in different pathologies, urging the need for the development of therapeutic agents that are able to inhibit the complement system. In this study, we report heme as an inhibitor of C1q. Exposure of C1q to heme significantly reduced the activation of the classical complement pathway, mediated by C-reactive protein (CRP) and IgG. Interaction analyses revealed that heme reduces the binding of C1q to CRP and IgG. Furthermore, we demonstrated that the inhibition of C1q interactions results from a direct binding of heme to C1q. Formation of complex of heme with C1q caused changes in the mechanism of recognition of IgG and CRP. Taken together, our data suggest that heme is a natural negative regulator of the classical complement pathway at the level of C1q. Heme may play a role at sites of excessive tissue damage and hemolysis where large amounts of free heme are released. © 2011 by The American Society for Biochemistry and Molecular Biology, Inc.","author":[{"dropping-particle":"","family":"Roumenina","given":"Lubka T.","non-dropping-particle":"",</w:instrText>
            </w:r>
            <w:r w:rsidRPr="00AC2715">
              <w:rPr>
                <w:rFonts w:ascii="Arial" w:hAnsi="Arial" w:cs="Arial"/>
                <w:noProof/>
                <w:sz w:val="16"/>
                <w:szCs w:val="20"/>
                <w:lang w:val="en-US"/>
              </w:rPr>
              <w:instrText>"parse-names":false,"suffix":""},{"dropping-particle":"","family":"Radanova","given":"Maria","non-dropping-particle":"","parse-names":false,"suffix":""},{"dropping-particle":"","family":"Atanasov","given":"Boris P.","non-dropping-particle":"","parse-names":false,"suffix":""},{"dropping-particle":"","family":"Popov","given":"Krastio T.","non-dropping-particle":"","parse-names":false,"suffix":""},{"dropping-particle":"V.","family":"Kaveri","given":"Srinivas","non-dropping-particle":"","parse-names":false,"suffix":""},{"dropping-particle":"","family":"Lacroix-Desmazes","given":"Sébastien","non-dropping-particle":"","parse-names":false,"suffix":""},{"dropping-particle":"","family":"Frémeaux-Bacchi","given":"Véronique","non-dropping-particle":"","parse-names":false,"suffix":""},{"dropping-particle":"","family":"Dimitrov","given":"Jordan D.","non-dropping-particle":"","parse-names":false,"suffix":""}],"container-title":"Journal of Biological Chemistry","id":"ITEM-2","issue":"18","issued":{"date-parts":[["2011"]]},"page":"16459-16469","title":"Heme interacts with C1q and inhibits the classical complement pathway","type":"article-journal","volume":"286"},"uris":["http://www.mendeley.com/documents/?uuid=dd8697cb-b46b-4234-aee0-a4d3490c5f2a"]}],"mendeley":{"formattedCitation":"[24, 25]","plainTextFormattedCitation":"[24, 25]","previouslyFormattedCitation":"[24, 25]"},"properties":{"noteIndex":0},"schema":"https://github.com/citation-style-language/schema/raw/master/csl-citation.json"}</w:instrText>
            </w:r>
            <w:r>
              <w:rPr>
                <w:rFonts w:ascii="Arial" w:hAnsi="Arial" w:cs="Arial"/>
                <w:noProof/>
                <w:sz w:val="16"/>
                <w:szCs w:val="20"/>
                <w:lang w:val="en-GB"/>
              </w:rPr>
              <w:fldChar w:fldCharType="separate"/>
            </w:r>
            <w:r w:rsidRPr="00A70C60">
              <w:rPr>
                <w:rFonts w:ascii="Arial" w:hAnsi="Arial" w:cs="Arial"/>
                <w:noProof/>
                <w:sz w:val="16"/>
                <w:szCs w:val="20"/>
                <w:lang w:val="en-US"/>
              </w:rPr>
              <w:t>[24, 25]</w:t>
            </w:r>
            <w:r>
              <w:rPr>
                <w:rFonts w:ascii="Arial" w:hAnsi="Arial" w:cs="Arial"/>
                <w:noProof/>
                <w:sz w:val="16"/>
                <w:szCs w:val="20"/>
                <w:lang w:val="en-GB"/>
              </w:rPr>
              <w:fldChar w:fldCharType="end"/>
            </w:r>
          </w:p>
        </w:tc>
        <w:tc>
          <w:tcPr>
            <w:tcW w:w="1189" w:type="dxa"/>
            <w:shd w:val="clear" w:color="auto" w:fill="auto"/>
          </w:tcPr>
          <w:p w14:paraId="41619581" w14:textId="77777777" w:rsidR="00A70C60" w:rsidRPr="00AC2715" w:rsidRDefault="00A70C60" w:rsidP="00B874BD">
            <w:pPr>
              <w:spacing w:after="0"/>
              <w:rPr>
                <w:rFonts w:ascii="Arial" w:hAnsi="Arial" w:cs="Arial"/>
                <w:sz w:val="16"/>
                <w:szCs w:val="20"/>
                <w:lang w:val="en-US"/>
              </w:rPr>
            </w:pPr>
            <w:r w:rsidRPr="00AC2715">
              <w:rPr>
                <w:rFonts w:ascii="Arial" w:hAnsi="Arial" w:cs="Arial"/>
                <w:sz w:val="16"/>
                <w:szCs w:val="20"/>
                <w:lang w:val="en-US"/>
              </w:rPr>
              <w:t xml:space="preserve">Up to 6 potential </w:t>
            </w:r>
            <w:r w:rsidRPr="00AC2715">
              <w:rPr>
                <w:rFonts w:ascii="Arial" w:hAnsi="Arial" w:cs="Arial"/>
                <w:sz w:val="16"/>
                <w:szCs w:val="20"/>
                <w:lang w:val="en-US"/>
              </w:rPr>
              <w:lastRenderedPageBreak/>
              <w:t>motifs predicted</w:t>
            </w:r>
          </w:p>
        </w:tc>
        <w:tc>
          <w:tcPr>
            <w:tcW w:w="1022" w:type="dxa"/>
            <w:shd w:val="clear" w:color="auto" w:fill="auto"/>
          </w:tcPr>
          <w:p w14:paraId="57B1485C" w14:textId="77777777" w:rsidR="00A70C60" w:rsidRPr="00AC2715" w:rsidRDefault="00A70C60" w:rsidP="00B874BD">
            <w:pPr>
              <w:spacing w:after="0" w:line="240" w:lineRule="auto"/>
              <w:rPr>
                <w:rFonts w:ascii="Arial" w:hAnsi="Arial" w:cs="Arial"/>
                <w:sz w:val="16"/>
                <w:szCs w:val="20"/>
                <w:lang w:val="en-US"/>
              </w:rPr>
            </w:pPr>
            <w:r w:rsidRPr="00AC2715">
              <w:rPr>
                <w:rFonts w:ascii="Arial" w:hAnsi="Arial" w:cs="Arial"/>
                <w:sz w:val="16"/>
                <w:szCs w:val="20"/>
                <w:lang w:val="en-US"/>
              </w:rPr>
              <w:lastRenderedPageBreak/>
              <w:t>-</w:t>
            </w:r>
          </w:p>
        </w:tc>
      </w:tr>
      <w:tr w:rsidR="00A70C60" w:rsidRPr="00310F01" w14:paraId="611E1CA4" w14:textId="77777777" w:rsidTr="00AC2715">
        <w:tc>
          <w:tcPr>
            <w:tcW w:w="885" w:type="dxa"/>
          </w:tcPr>
          <w:p w14:paraId="43C20DB7" w14:textId="56FB45A9" w:rsidR="00A70C60" w:rsidRPr="00A70C60" w:rsidRDefault="00A70C60" w:rsidP="00B874BD">
            <w:pPr>
              <w:spacing w:after="0"/>
              <w:rPr>
                <w:rFonts w:ascii="Arial" w:hAnsi="Arial" w:cs="Arial"/>
                <w:sz w:val="16"/>
                <w:szCs w:val="20"/>
                <w:lang w:val="en-US"/>
              </w:rPr>
            </w:pPr>
            <w:r>
              <w:rPr>
                <w:rFonts w:ascii="Arial" w:hAnsi="Arial" w:cs="Arial"/>
                <w:sz w:val="16"/>
                <w:szCs w:val="20"/>
                <w:lang w:val="en-US"/>
              </w:rPr>
              <w:t>10</w:t>
            </w:r>
          </w:p>
        </w:tc>
        <w:tc>
          <w:tcPr>
            <w:tcW w:w="1466" w:type="dxa"/>
            <w:shd w:val="clear" w:color="auto" w:fill="auto"/>
          </w:tcPr>
          <w:p w14:paraId="5C3B7BEA" w14:textId="77D1B963" w:rsidR="00A70C60" w:rsidRPr="00AC2715" w:rsidRDefault="00A70C60" w:rsidP="00B874BD">
            <w:pPr>
              <w:spacing w:after="0"/>
              <w:rPr>
                <w:rFonts w:ascii="Arial" w:hAnsi="Arial" w:cs="Arial"/>
                <w:sz w:val="16"/>
                <w:szCs w:val="20"/>
                <w:lang w:val="en-US"/>
              </w:rPr>
            </w:pPr>
            <w:r w:rsidRPr="00AC2715">
              <w:rPr>
                <w:rFonts w:ascii="Arial" w:hAnsi="Arial" w:cs="Arial"/>
                <w:sz w:val="16"/>
                <w:szCs w:val="20"/>
                <w:lang w:val="en-US"/>
              </w:rPr>
              <w:t>C3(a/b)</w:t>
            </w:r>
          </w:p>
        </w:tc>
        <w:tc>
          <w:tcPr>
            <w:tcW w:w="1235" w:type="dxa"/>
            <w:shd w:val="clear" w:color="auto" w:fill="auto"/>
          </w:tcPr>
          <w:p w14:paraId="710DB63E" w14:textId="77777777" w:rsidR="00A70C60" w:rsidRPr="00AC2715" w:rsidRDefault="00A70C60" w:rsidP="00B874BD">
            <w:pPr>
              <w:spacing w:after="0"/>
              <w:rPr>
                <w:rFonts w:ascii="Arial" w:hAnsi="Arial" w:cs="Arial"/>
                <w:sz w:val="16"/>
                <w:lang w:val="en-US"/>
              </w:rPr>
            </w:pPr>
            <w:r w:rsidRPr="00AC2715">
              <w:rPr>
                <w:rFonts w:ascii="Arial" w:hAnsi="Arial" w:cs="Arial"/>
                <w:i/>
                <w:sz w:val="16"/>
                <w:szCs w:val="20"/>
                <w:lang w:val="en-US"/>
              </w:rPr>
              <w:t>H. sapiens</w:t>
            </w:r>
          </w:p>
        </w:tc>
        <w:tc>
          <w:tcPr>
            <w:tcW w:w="2125" w:type="dxa"/>
            <w:shd w:val="clear" w:color="auto" w:fill="auto"/>
          </w:tcPr>
          <w:p w14:paraId="36155A7E" w14:textId="77777777" w:rsidR="00A70C60" w:rsidRPr="00AC2715" w:rsidRDefault="00A70C60" w:rsidP="00B874BD">
            <w:pPr>
              <w:spacing w:after="0"/>
              <w:rPr>
                <w:rFonts w:ascii="Arial" w:hAnsi="Arial" w:cs="Arial"/>
                <w:sz w:val="16"/>
                <w:szCs w:val="20"/>
                <w:lang w:val="en-US"/>
              </w:rPr>
            </w:pPr>
            <w:r w:rsidRPr="00AC2715">
              <w:rPr>
                <w:rFonts w:ascii="Arial" w:hAnsi="Arial" w:cs="Arial"/>
                <w:sz w:val="16"/>
                <w:szCs w:val="20"/>
                <w:lang w:val="en-US"/>
              </w:rPr>
              <w:t>not known</w:t>
            </w:r>
          </w:p>
        </w:tc>
        <w:tc>
          <w:tcPr>
            <w:tcW w:w="1246" w:type="dxa"/>
            <w:shd w:val="clear" w:color="auto" w:fill="auto"/>
          </w:tcPr>
          <w:p w14:paraId="6C3D51E3" w14:textId="67CF11DF" w:rsidR="00A70C60" w:rsidRPr="00FB6C7B" w:rsidRDefault="00A70C60" w:rsidP="00790626">
            <w:pPr>
              <w:spacing w:after="0"/>
              <w:jc w:val="center"/>
              <w:rPr>
                <w:rFonts w:ascii="Arial" w:hAnsi="Arial" w:cs="Arial"/>
                <w:sz w:val="16"/>
                <w:szCs w:val="20"/>
                <w:lang w:val="en-GB"/>
              </w:rPr>
            </w:pPr>
            <w:r>
              <w:rPr>
                <w:rFonts w:ascii="Arial" w:hAnsi="Arial" w:cs="Arial"/>
                <w:noProof/>
                <w:sz w:val="16"/>
                <w:szCs w:val="20"/>
                <w:lang w:val="en-US"/>
              </w:rPr>
              <w:fldChar w:fldCharType="begin" w:fldLock="1"/>
            </w:r>
            <w:r w:rsidRPr="00AC2715">
              <w:rPr>
                <w:rFonts w:ascii="Arial" w:hAnsi="Arial" w:cs="Arial"/>
                <w:noProof/>
                <w:sz w:val="16"/>
                <w:szCs w:val="20"/>
                <w:lang w:val="en-US"/>
              </w:rPr>
              <w:instrText xml:space="preserve">ADDIN CSL_CITATION {"citationItems":[{"id":"ITEM-1","itemData":{"DOI":"10.1182/blood-2013-03-489245","ISSN":"15280020","abstract":"Atypical hemolytic uremic syndrome (aHUS) is characterized by genetic and acquired abnormalities of the complement system leading to alternative pathway (AP) overactivation and by glomerular endothelial damage, thrombosis, and mechanical hemolysis. Mutations per se are not sufficient to induce aHUS, and nonspecific primary triggers are required for disease manifestation. We investigated whether hemolysis-derived heme contributes to aHUS pathogenesis. We confirmed that heme activates complement AP in normal human serum, releasing C3a, C5a, and sC5b9. We demonstrated that heme-exposed endothelial cells also activate the AP, resulting in cell-bound C3 and C5b9. This was exacerbated in aHUS by genetic abnormalities associated with AP overactivation. Heme interacted with C3 close to the thioester bond, induced homophilic C3 complexes, and promoted formation of an overactive C3/C5 convertase. Heme </w:instrText>
            </w:r>
            <w:r>
              <w:rPr>
                <w:rFonts w:ascii="Arial" w:hAnsi="Arial" w:cs="Arial"/>
                <w:noProof/>
                <w:sz w:val="16"/>
                <w:szCs w:val="20"/>
                <w:lang w:val="en-US"/>
              </w:rPr>
              <w:instrText>induced decreased membrane cofactor protein (MCP) and decay-accelerating factor (DAF) expression on endothelial cells, giving Factor H (FH) amajor role in complement regulation. Finally, heme promoted a rapid exocytosis of Weibel-Palade bodies, with membrane expression of P-selectin known to bind C3b and trigger the AP, and the release of the prothrombotic von Willebrand factor. These results strongly suggest that hemolysis-derived heme represents a common secondary hit amplifying endothelial damage and thrombosis in aHUS. © 2013 by The American Society of Hematology.","author":[{"dropping-particle":"","family":"Frimat","given":"Marie","non-dropping-particle":"","parse-names":false,"suffix":""},{"dropping-particle":"","family":"Tabarin","given":"Fanny","non-dropping-particle":"","parse-names":false,"suffix":""},{"dropping-particle":"","family":"Dimitrov","given":"Jordan D.","non-dropping-particle":"","parse-names":false,"suffix":""},{"dropping-particle":"","family":"Poitou","given":"Caroline","non-dropping-particle":"","parse-names":false,"suffix":""},{"dropping-particle":"","family":"Halbwachs-Mecarelli","given":"Lise","non-dropping-particle":"","parse-names":false,"suffix":""},{"dropping-particle":"","family":"Fremeaux-Bacchi","given":"Veronique","non-dropping-particle":"","parse-names":false,"suffix":""},{"dropping-particle":"","family":"Roumenina","given":"Lubka T.","non-dropping-particle":"","parse-names":false,"suffix":""}],"container-title":"Blood","id":"ITEM-1","issue":"2","issued":{"date-parts":[["2013"]]},"page":"282-292","title":"Complement activation by heme as a secondary hit for atypical hemolytic uremic syndrome","type":"article-journal","volume":"122"},"uris":["http://www.mendeley.com/documents/?uuid=25e368ce-991f-4a37-9795-f6c6fd89787b"]}],"mendeley":{"formattedCitation":"[26]","plainTextFormattedCitation":"[26]","previouslyFormattedCitation":"[26]"},"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[26]</w:t>
            </w:r>
            <w:r>
              <w:rPr>
                <w:rFonts w:ascii="Arial" w:hAnsi="Arial" w:cs="Arial"/>
                <w:noProof/>
                <w:sz w:val="16"/>
                <w:szCs w:val="20"/>
                <w:lang w:val="en-US"/>
              </w:rPr>
              <w:fldChar w:fldCharType="end"/>
            </w:r>
          </w:p>
        </w:tc>
        <w:tc>
          <w:tcPr>
            <w:tcW w:w="1189" w:type="dxa"/>
            <w:shd w:val="clear" w:color="auto" w:fill="auto"/>
          </w:tcPr>
          <w:p w14:paraId="077B6190"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20 potential motifs predicted</w:t>
            </w:r>
          </w:p>
        </w:tc>
        <w:tc>
          <w:tcPr>
            <w:tcW w:w="1022" w:type="dxa"/>
            <w:shd w:val="clear" w:color="auto" w:fill="auto"/>
          </w:tcPr>
          <w:p w14:paraId="235A7A9A" w14:textId="77777777" w:rsidR="00A70C60" w:rsidRPr="00FB6C7B" w:rsidRDefault="00A70C60" w:rsidP="00B874BD">
            <w:pPr>
              <w:spacing w:after="0" w:line="240" w:lineRule="auto"/>
              <w:rPr>
                <w:rFonts w:ascii="Arial" w:hAnsi="Arial" w:cs="Arial"/>
                <w:sz w:val="16"/>
                <w:szCs w:val="20"/>
                <w:lang w:val="en-GB"/>
              </w:rPr>
            </w:pPr>
            <w:r w:rsidRPr="00FB6C7B">
              <w:rPr>
                <w:rFonts w:ascii="Arial" w:hAnsi="Arial" w:cs="Arial"/>
                <w:sz w:val="16"/>
                <w:szCs w:val="20"/>
                <w:lang w:val="en-GB"/>
              </w:rPr>
              <w:t>-</w:t>
            </w:r>
          </w:p>
        </w:tc>
      </w:tr>
      <w:tr w:rsidR="00A70C60" w:rsidRPr="00310F01" w14:paraId="69927AA7" w14:textId="77777777" w:rsidTr="00AC2715">
        <w:tc>
          <w:tcPr>
            <w:tcW w:w="885" w:type="dxa"/>
          </w:tcPr>
          <w:p w14:paraId="1CE000CB" w14:textId="6F1DC474"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11</w:t>
            </w:r>
          </w:p>
        </w:tc>
        <w:tc>
          <w:tcPr>
            <w:tcW w:w="1466" w:type="dxa"/>
            <w:shd w:val="clear" w:color="auto" w:fill="auto"/>
          </w:tcPr>
          <w:p w14:paraId="5B3DB058" w14:textId="0694FDFA"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CLOCK</w:t>
            </w:r>
          </w:p>
        </w:tc>
        <w:tc>
          <w:tcPr>
            <w:tcW w:w="1235" w:type="dxa"/>
            <w:shd w:val="clear" w:color="auto" w:fill="auto"/>
          </w:tcPr>
          <w:p w14:paraId="68A307F8" w14:textId="77777777" w:rsidR="00A70C60" w:rsidRPr="00FB6C7B" w:rsidRDefault="00A70C60" w:rsidP="00B874BD">
            <w:pPr>
              <w:spacing w:after="0"/>
              <w:rPr>
                <w:rFonts w:ascii="Arial" w:hAnsi="Arial" w:cs="Arial"/>
                <w:sz w:val="16"/>
                <w:lang w:val="en-GB"/>
              </w:rPr>
            </w:pPr>
            <w:r w:rsidRPr="00FB6C7B">
              <w:rPr>
                <w:rFonts w:ascii="Arial" w:hAnsi="Arial" w:cs="Arial"/>
                <w:i/>
                <w:iCs/>
                <w:sz w:val="16"/>
                <w:szCs w:val="20"/>
                <w:lang w:val="en-GB"/>
              </w:rPr>
              <w:t>M. musculus</w:t>
            </w:r>
          </w:p>
        </w:tc>
        <w:tc>
          <w:tcPr>
            <w:tcW w:w="2125" w:type="dxa"/>
            <w:shd w:val="clear" w:color="auto" w:fill="auto"/>
          </w:tcPr>
          <w:p w14:paraId="5175936D"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H</w:t>
            </w:r>
            <w:r w:rsidRPr="00FB6C7B">
              <w:rPr>
                <w:rFonts w:ascii="Arial" w:hAnsi="Arial" w:cs="Arial"/>
                <w:sz w:val="16"/>
                <w:szCs w:val="20"/>
                <w:vertAlign w:val="superscript"/>
                <w:lang w:val="en-GB"/>
              </w:rPr>
              <w:t>144</w:t>
            </w:r>
          </w:p>
          <w:p w14:paraId="26A5B0BD"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195</w:t>
            </w:r>
          </w:p>
        </w:tc>
        <w:tc>
          <w:tcPr>
            <w:tcW w:w="1246" w:type="dxa"/>
            <w:shd w:val="clear" w:color="auto" w:fill="auto"/>
          </w:tcPr>
          <w:p w14:paraId="3D7A0AF7" w14:textId="104F96E6" w:rsidR="00A70C60" w:rsidRPr="00FB6C7B" w:rsidRDefault="00A70C60" w:rsidP="00790626">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{"citationItems":[{"id":"ITEM-1","itemData":{"DOI":"10.1021/ic902388q","ISSN":"00201669","abstract":"Heme is emerging as a key player in the synchrony of circadian-coupled transcriptional regulation. Current evidence suggests that levels of circadian-linked transcription are regulated in response to both the availability of intracellular heme and heme-based sensing of carbon monoxide (CO) and possibly nitric oxide (NO). The protein CLOCK is central to the regulation and maintenance of circadian rhythms in mammals. CLOCK comprises two PAS domains, each with a heme binding site. Our studies focus on the functionality of the murine CLOCK PAS-A domain (residues 103-265). We show that CLOCK PAS-A binds iron(III) protoporhyrin IX to form a complex with 1:1 stoichiometry. Optical absorbance and resonance Raman studies reveal that the heme of ferric CLOCK PAS-A is a six-coordinate, low-spin complex whose resonance Raman signature is insensitive to pH over the range of protein stability. Ferrous CLOCK PAS-A is a mixture of five-coordinate, high-spin  and six-coordinate, low-spin complexes. Ferrous CLOCK PAS-A forms complexes with CO and NO. Ferric CLOCK PAS-A undergoes reductive nitrosylation in the presence of NO to generate a CLOCK PAS-A-NO, which is a five-coordinate {FeNO} 7 complex. Formation of the highly stable {FeNO} 7 heme complex from either ferrous or ferric heme makes possible the binding of NO at very low concentration, a characteristic of NO sensors. Comparison of the spectroscopic properties and CO-binding kinetics of CLOCK PAS-A with other CO sensor proteins reveals that CLOCK PAS-A exhibits chemical properties consistent with a heme-based gas sensor protein. © 2010 American Chemical Society.","author":[{"dropping-particle":"","family":"Lukat-Rodgers","given":"Gudrun S.","non-dropping-particle":"","parse-names":false,"suffix":""},{"dropping-particle":"","family":"Correia","given":"Cristina","non-dropping-particle":"","parse-names":false,"suffix":""},{"dropping-particle":"","family":"Botuyan","given":"Maria Victoria","non-dropping-particle":"","parse-names":false,"suffix":""},{"dropping-particle":"","family":"Mer","given":"Georges","non-dropping-particle":"","parse-names":false,"suffix":""},{"dropping-particle":"","family":"Rodgers","given":"Kenton R.","non-dropping-particle":"","parse-names":false,"suffix":""}],"container-title":"Inorg Chem","id":"ITEM-1","issue":"14","issued":{"date-parts":[["2010"]]},"page":"6349-6365","title":"Heme-based Sensing by the Mammalian Circadian Protein, CLOCK","type":"article-journal","volume":"49"},"uris":["http://www.mendeley.com/documents/?uuid=f0bc2176-08e3-44fb-82a2-3aa8215d622a"]}],"mendeley":{"formattedCitation":"[27]","plainTextFormattedCitation":"[27]","previouslyFormattedCitation":"[27]"},"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[27]</w:t>
            </w:r>
            <w:r>
              <w:rPr>
                <w:rFonts w:ascii="Arial" w:hAnsi="Arial" w:cs="Arial"/>
                <w:noProof/>
                <w:sz w:val="16"/>
                <w:szCs w:val="20"/>
                <w:lang w:val="en-GB"/>
              </w:rPr>
              <w:fldChar w:fldCharType="end"/>
            </w:r>
          </w:p>
        </w:tc>
        <w:tc>
          <w:tcPr>
            <w:tcW w:w="1189" w:type="dxa"/>
            <w:shd w:val="clear" w:color="auto" w:fill="auto"/>
          </w:tcPr>
          <w:p w14:paraId="0E038A70"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38E2A2F6"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097E4876" w14:textId="77777777" w:rsidTr="00AC2715">
        <w:tc>
          <w:tcPr>
            <w:tcW w:w="885" w:type="dxa"/>
          </w:tcPr>
          <w:p w14:paraId="6BC6A48D" w14:textId="67981B28"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12</w:t>
            </w:r>
          </w:p>
        </w:tc>
        <w:tc>
          <w:tcPr>
            <w:tcW w:w="1466" w:type="dxa"/>
            <w:shd w:val="clear" w:color="auto" w:fill="auto"/>
          </w:tcPr>
          <w:p w14:paraId="337836DB" w14:textId="045186F0"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Cystathionine-</w:t>
            </w:r>
            <w:r>
              <w:rPr>
                <w:rFonts w:ascii="Arial" w:hAnsi="Arial" w:cs="Arial"/>
                <w:sz w:val="16"/>
                <w:szCs w:val="20"/>
                <w:lang w:val="en-GB"/>
              </w:rPr>
              <w:t>β</w:t>
            </w:r>
            <w:r w:rsidRPr="00FB6C7B">
              <w:rPr>
                <w:rFonts w:ascii="Arial" w:hAnsi="Arial" w:cs="Arial"/>
                <w:sz w:val="16"/>
                <w:szCs w:val="20"/>
                <w:lang w:val="en-GB"/>
              </w:rPr>
              <w:t>-synthase (CBS)</w:t>
            </w:r>
          </w:p>
        </w:tc>
        <w:tc>
          <w:tcPr>
            <w:tcW w:w="1235" w:type="dxa"/>
            <w:shd w:val="clear" w:color="auto" w:fill="auto"/>
          </w:tcPr>
          <w:p w14:paraId="25DD2F66"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31702C9B"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C</w:t>
            </w:r>
            <w:r w:rsidRPr="00FB6C7B">
              <w:rPr>
                <w:rFonts w:ascii="Arial" w:hAnsi="Arial" w:cs="Arial"/>
                <w:sz w:val="16"/>
                <w:szCs w:val="20"/>
                <w:vertAlign w:val="superscript"/>
                <w:lang w:val="en-GB"/>
              </w:rPr>
              <w:t>15</w:t>
            </w:r>
            <w:r w:rsidRPr="00FB6C7B">
              <w:rPr>
                <w:rFonts w:ascii="Arial" w:hAnsi="Arial" w:cs="Arial"/>
                <w:sz w:val="16"/>
                <w:szCs w:val="20"/>
                <w:lang w:val="en-GB"/>
              </w:rPr>
              <w:t>PHRS</w:t>
            </w:r>
            <w:r w:rsidRPr="00FB6C7B">
              <w:rPr>
                <w:rFonts w:ascii="Arial" w:hAnsi="Arial" w:cs="Arial"/>
                <w:sz w:val="16"/>
                <w:szCs w:val="20"/>
                <w:lang w:val="en-US"/>
              </w:rPr>
              <w:t>GPH</w:t>
            </w:r>
          </w:p>
          <w:p w14:paraId="376BF3E7" w14:textId="77777777" w:rsidR="00A70C60" w:rsidRPr="00FB6C7B" w:rsidRDefault="00A70C60" w:rsidP="00B874BD">
            <w:pPr>
              <w:spacing w:after="0"/>
              <w:rPr>
                <w:rFonts w:ascii="Arial" w:hAnsi="Arial" w:cs="Arial"/>
                <w:sz w:val="16"/>
                <w:szCs w:val="20"/>
                <w:vertAlign w:val="superscript"/>
                <w:lang w:val="en-US"/>
              </w:rPr>
            </w:pPr>
            <w:r w:rsidRPr="00FB6C7B">
              <w:rPr>
                <w:rFonts w:ascii="Arial" w:hAnsi="Arial" w:cs="Arial"/>
                <w:sz w:val="16"/>
                <w:szCs w:val="20"/>
                <w:lang w:val="en-US"/>
              </w:rPr>
              <w:t>C</w:t>
            </w:r>
            <w:r w:rsidRPr="00FB6C7B">
              <w:rPr>
                <w:rFonts w:ascii="Arial" w:hAnsi="Arial" w:cs="Arial"/>
                <w:sz w:val="16"/>
                <w:szCs w:val="20"/>
                <w:vertAlign w:val="superscript"/>
                <w:lang w:val="en-US"/>
              </w:rPr>
              <w:t>52</w:t>
            </w:r>
          </w:p>
          <w:p w14:paraId="4378A43C"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H</w:t>
            </w:r>
            <w:r w:rsidRPr="00FB6C7B">
              <w:rPr>
                <w:rFonts w:ascii="Arial" w:hAnsi="Arial" w:cs="Arial"/>
                <w:sz w:val="16"/>
                <w:szCs w:val="20"/>
                <w:vertAlign w:val="superscript"/>
                <w:lang w:val="en-US"/>
              </w:rPr>
              <w:t>65</w:t>
            </w:r>
          </w:p>
        </w:tc>
        <w:tc>
          <w:tcPr>
            <w:tcW w:w="1246" w:type="dxa"/>
            <w:shd w:val="clear" w:color="auto" w:fill="auto"/>
          </w:tcPr>
          <w:p w14:paraId="064157EF" w14:textId="7647CE0A" w:rsidR="00A70C60" w:rsidRPr="00310F01" w:rsidRDefault="00A70C60" w:rsidP="00936378">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{"citationItems":[{"id":"ITEM-1","itemData":{"DOI":"10.1093/emboj/20.15.3910","ISSN":"02614189","abstract":"Cystathionine β-synthase (CBS) is a unique heme-containing enzyme that catalyzes a pyridoxal 5′-phosphate (PLP)-dependent condensation of serine and homocysteine to give cystathionine. Deficiency of CBS leads to homocystinuria, an inherited disease of sulfur metabolism characterized by increased levels of the toxic metabolite homocysteine. Here we present the X-ray crystal structure of a truncated form of the enzyme. CBS shares the same fold with O-acetylserine sulfhydrylase but it contains an additional N-terminal heme binding site. This heme binding motif together with a spatially adjacent oxidoreductase active site motif could explain the regulation of its enzyme activity by redox changes.","author":[{"dropping-particle":"","family":"Meier","given":"Markus","non-dropping-particle":"","parse-names":false,"suffix":""},{"dropping-particle":"","family":"Janosik","given":"Miroslav","non-dropping-particle":"","parse-names":false,"suffix":""},{"dropping-particle":"","family":"Kery","given":"Vladimir","non-dropping-particle":"","parse-names":false,"suffix":""},{"dropping-particle":"","family":"Kraus","given":"Jan P.","non-dropping-particle":"","parse-names":false,"suffix":""},{"dropping-particle":"","family":"Burkhard","given":"Peter","non-dropping-particle":"","parse-names":false,"suffix":""}],"container-title":"EMBO Journal","id":"ITEM-1","issue":"15","issued":{"date-parts":[["2001"]]},"page":"3910-3916","title":"Structure of human cystathionine β-synthase: A unique pyridoxal 5′-phosphate-dependent heme protein","type":"article-journal","volume":"20"},"uris":["http://www.mendeley.com/documents/?uuid=86a38681-d453-4a61-97a7-e3ac3f259796","http://www.mendeley.com/documents/?uuid=2073c925-de36-4518-91bd-485129bb8cb2","http://www.mendeley.com/documents/?uuid=eb908fc9-ca37-460d-a103-bb2fd5b2cf16"]},{"id":"ITEM-2","itemData":{"DOI":"10.1021/bi026052d","ISSN":"00062960","abstract":"Elevated levels of homocysteine, a sulfur-containing amino acid, are correlated with increased risk for cardiovascular diseases and Alzheimers disease and with neural tube defects. The only route for the catabolic removal of homocysteine in mammals begins with the pyridoxal phosphate- (PLP-) dependent beta-replacement reaction catalyzed by cystathionine beta-synthase. The enzyme has a b-type heme with unusual spectroscopic properties but as yet unknown function. The human enzyme has a modular organization and can be cleaved into an N-terminal catalytic core, which retains both the heme and PLP-binding sites and is highly active, and a C-terminal regulatory domain, where the allosteric activator S-adenosylmethionine is presumed to bind. Studies with the isolated recombinant enzyme and in transformed human liver cells indicate that the enzyme is approximately 2-fold more active under oxidizing conditions. In addition to heme, the enzyme contains a CXXC oxidoreductase motif that could, in principle, be involved in redox sensing. In this study, we have examined the role of heme versus the vicinal thiols in modulating the redox responsiveness of the enzyme. Deletion of the heme domain leads to loss of redox sensitivity. In contrast, substitution of either cysteine with a non-redox-active amino acid does not affect the responsiveness of the enzyme to reductants. We also report the crystal structure of the catalytic core of the enzyme in which the vicinal cysteines are reduced without any discernible differences in the remainder of the protein. The structure of the catalytic core is compared to those of other members of the fold II family of PLP-dependent enzymes and provides insights into active site residues that may be important in interacting with the substrates and intermediates.","author":[{"dropping-particle":"","family":"Taoka","given":"Shinichi","non-dropping-particle":"","parse-names":false,"suffix":""},{"dropping-particle":"","family":"Lepore","given":"Bryan W.","non-dropping-particle":"","parse-names":false,"suffix":""},{"dropping-particle":"","family":"Kabil","given":"Ömer","non-dropping-particle":"","parse-names":false,"suffix":""},{"dropping-particle":"","family":"Ojha","given":"Sunil","non-dropping-particle":"","parse-names":false,"suffix":""},{"dropping-particle":"","family":"Ringe","given":"Dagmar","non-dropping-particle":"","parse-names":false,"suffix":""},{"dropping-particle":"","family":"Banerjee","given":"Ruma","non-dropping-particle":"","parse-names":false,"suffix":""}],"container-title":"Biochemistry","id":"ITEM-2","issue":"33","issued":{"date-parts":[["2002"]]},"page":"10454-10461","title":"Human cystathionine β-synthase is a heme sensor protein. Evidence that the redox sensor is heme and not the vicinal cysteines in the CXXC motif seen in the crystal structure of the truncated enzyme","type":"article-journal","volume":"41"},"uris":["http://www.mendeley.com/documents/?uuid=9bef07bf-19f4-49b3-bc6d-bec3c90f0338"]},{"id":"ITEM-3","itemData":{"DOI":"10.1021/ja904468w","ISSN":"00027863","abstract":"Cystathionine β-synthase (CBS) plays a central role in cysteine metabolism, and malfunction of the enzyme leads to homocystinuria, a devastating metabolic disease. CBS contains a pyridoxal 5′- phosphate (PLP) cofactor which catalyzes the synthesis of cystathionine from homocysteine and serine. Mammalian forms of the enzyme also contain a heme group, which is not involved in catalysis. It may, however, play a regulatory role, since the enzyme is inhibited when CO or NO are bound to the heme. We have investigated the mechanism of this inhibition using fluorescence and resonance Raman spectroscopies. CO binding is found to induce a tautomeric shift of the PLP from the ketoenamine to the enolimine form. The ketoenamine is key to PLP reactivity because its imine C=N bond is protonated, facilitating attack by the nucleophilic substrate, serine. The same tautomer shift is also induced by heat inactivation of Fe(II)CBS, or by an Arg266Met replacement in Fe(II)CBS, which likewise inactivates the enzyme; in both cases the endogenous Cys52 ligand to the heme is replaced by another, unidentified ligand. CO binding also displaces Cys52 from the heme. We propose that the tautomer shift results from loss of a stabilizing H-bond from Asn149 to the PLP ring O4 atom, which is negatively charged in the ketoenamine tautomer. This loss would be induced by displacement of the PLP as a result of breaking the salt bridge between Cys52 and Arg266, which resides on a short helix that is also anchored to the PLP via H-bonds to its phosphate group. The salt bridge would be broken when Cys52 is displaced from the heme. Cys52 protonation is inferred to be the rate-limiting step in breaking the salt bridge, since the rate of the tautomer shift, following CO binding, increases with decreasing pH. In addition, elevation of the concentration of phosphate buffer was found to diminish the rate and extent of the tautomer shift, suggesting a ketoenamine-stabilizing phosphate binding site, possibly at the protonated imine bond of the PLP. Implications of these findings for CBS regulation are discussed. Introduction","author":[{"dropping-particle":"","family":"Weeks","given":"Colin L.","non-dropping-particle":"","parse-names":false,"suffix":""},{"dropping-particle":"","family":"Singh","given":"Sangita","non-dropping-particle":"","parse-names":false,"suffix":""},{"dropping-particle":"","family":"Madzelan","given":"Peter","non-dropping-particle":"","parse-names":false,"suffix":""},{"dropping-particle":"","family":"Banerjee","given":"Ruma","non-dropping-particle":"","parse-names":false,"suffix":""},{"dropping-particle":"","family":"Spiro","given":"Thomas G.","non-dropping-particle":"","parse-names":false,"suffix":""}],"container-title":"Journal of the American Chemical Society","id":"ITEM-3","issue":"35","issued":{"date-parts":[["2009"]]},"page":"12809-12816","title":"Heme regulation of human cystathionine β-synthase activity: Insights from fluorescence and Raman spectroscopy","type":"article-journal","volume":"131"},"uris":["http://www.mendeley.com/documents/?uuid=3dd5de0c-df20-47e5-a2cd-94c4b355a91e"]},{"id":"ITEM-4","itemData":{"DOI":"10.1038/s41598-018-20841-z","ISSN":"20452322","PMID":"29410458","abstract":"Cystathionine-β-synthase (CBS) belongs to a large family of pyridoxal 5’-phosphate (PLP)-dependent enzymes, responsible for the sulfur metabolism. The heme-dependent protein CBS is part of regulatory pathways also involving the gasotransmitter hydrogen sulfide. Malfunction of CBS can lead to pathologic conditions like cancer, cardiovascular and neurodegenerative disorders. Truncation of residues 1–40, absent in X-ray structures of CBS, reduces but does not abolish the activity of the enzyme. Here we report the NMR resonance assignment and heme interaction studies for the N-terminal peptide stretch of CBS. We present NMR-spectral evidence that residues 1–40 constitute an intrinsically disordered region in CBS and interact with heme via a cysteine-proline based motif.","author":[{"dropping-particle":"","family":"Kumar","given":"A.","non-dropping-particle":"","parse-names":false,"suffix":""},{"dropping-particle":"","family":"Wißbrock","given":"A.","non-dropping-particle":"","parse-names":false,"suffix":""},{"dropping-particle":"","family":"Goradia","given":"N.","non-dropping-particle":"","parse-names":false,"suffix":""},{"dropping-particle":"","family":"Bellstedt","given":"P.","non-dropping-particle":"","parse-names":false,"suffix":""},{"dropping-particle":"","family":"Ramachandran","given":"R.","non-dropping-particle":"","parse-names":false,"suffix":""},{"dropping-particle":"","family":"Imhof","given":"D.","non-dropping-particle":"","parse-names":false,"suffix":""},{"dropping-particle":"","family":"Ohlenschläger","given":"O.","non-dropping-particle":"","parse-names":false,"suffix":""}],"container-title":"Sci. Rep.","id":"ITEM-4","issue":"1","issued":{"date-parts":[["2018"]]},"page":"1-9","title":"Heme interaction of the intrinsically disordered N-terminal peptide segment of human cystathionine-β-synthase","type":"article-journal","volume":"8"},"uris":["http://www.mendeley.com/documents/?uuid=55ac901e-59af-4e91-8665-628616d1d495"]}],"mendeley":{"formattedCitation":"[28–31]","plainTextFormattedCitation":"[28–31]","previouslyFormattedCitation":"[28–31]"},"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[28–31]</w:t>
            </w:r>
            <w:r>
              <w:rPr>
                <w:rFonts w:ascii="Arial" w:hAnsi="Arial" w:cs="Arial"/>
                <w:noProof/>
                <w:sz w:val="16"/>
                <w:szCs w:val="20"/>
                <w:lang w:val="en-GB"/>
              </w:rPr>
              <w:fldChar w:fldCharType="end"/>
            </w:r>
          </w:p>
        </w:tc>
        <w:tc>
          <w:tcPr>
            <w:tcW w:w="1189" w:type="dxa"/>
            <w:shd w:val="clear" w:color="auto" w:fill="auto"/>
          </w:tcPr>
          <w:p w14:paraId="13D71FE7"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3EEF9D9C"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2EABB914" w14:textId="77777777" w:rsidTr="00AC2715">
        <w:tc>
          <w:tcPr>
            <w:tcW w:w="885" w:type="dxa"/>
          </w:tcPr>
          <w:p w14:paraId="2557D7AE" w14:textId="090E6342"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13</w:t>
            </w:r>
          </w:p>
        </w:tc>
        <w:tc>
          <w:tcPr>
            <w:tcW w:w="1466" w:type="dxa"/>
            <w:shd w:val="clear" w:color="auto" w:fill="auto"/>
          </w:tcPr>
          <w:p w14:paraId="4CAE81BA" w14:textId="3EA39A00"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DiGeorge critical region 8 (DGCR8)</w:t>
            </w:r>
          </w:p>
        </w:tc>
        <w:tc>
          <w:tcPr>
            <w:tcW w:w="1235" w:type="dxa"/>
            <w:shd w:val="clear" w:color="auto" w:fill="auto"/>
          </w:tcPr>
          <w:p w14:paraId="5DB39283"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4D08928A"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IPC</w:t>
            </w:r>
            <w:r w:rsidRPr="00FB6C7B">
              <w:rPr>
                <w:rFonts w:ascii="Arial" w:hAnsi="Arial" w:cs="Arial"/>
                <w:sz w:val="16"/>
                <w:szCs w:val="20"/>
                <w:vertAlign w:val="superscript"/>
                <w:lang w:val="en-GB"/>
              </w:rPr>
              <w:t>352</w:t>
            </w:r>
            <w:r w:rsidRPr="00FB6C7B">
              <w:rPr>
                <w:rFonts w:ascii="Arial" w:hAnsi="Arial" w:cs="Arial"/>
                <w:sz w:val="16"/>
                <w:szCs w:val="20"/>
                <w:lang w:val="en-GB"/>
              </w:rPr>
              <w:t>L (from two subunits)</w:t>
            </w:r>
          </w:p>
        </w:tc>
        <w:tc>
          <w:tcPr>
            <w:tcW w:w="1246" w:type="dxa"/>
            <w:shd w:val="clear" w:color="auto" w:fill="auto"/>
          </w:tcPr>
          <w:p w14:paraId="5CEAA800" w14:textId="145A530C" w:rsidR="00A70C60" w:rsidRPr="00936378" w:rsidRDefault="00A70C60" w:rsidP="00936378">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{"citationItems":[{"id":"ITEM-1","itemData":{"DOI":"10.1038/nsmb1182","ISSN":"15459993","abstract":"MicroRNAs (miRNAs) regulate the expression of a large number of protein-coding genes. Their primary transcripts (pri-miRNAs) have to undergo multiple processing steps to reach the functional form. Little is known about how the processing of miRNAs is modulated. Here we show that the RNA-binding protein DiGeorge critical region-8 (DGCR8), which is essential for the first processing step, is a heme-binding protein. The association with heme promotes dimerization of DGCR8. The heme-bound DGCR8 dimer seems to trimerize upon binding pri-miRNAs and is active in triggering pri-miRNA cleavage, whereas the heme-free monomer is much less active. A heme-binding region of DGCR8 inhibits the pri-miRNA-processing activity of the monomer. This putative autoinhibition is overcome by heme. Our finding that heme is involved in pri-miRNA processing suggests that the gene-regulation network of miRNAs and signal-transduction pathways involving heme might be connected. © 2007 Nature Publishing Group.","author":[{"dropping-particle":"","family":"Faller","given":"Michael","non-dropping-particle":"","parse-names":false,"suffix":""},{"dropping-particle":"","family":"Matsunaga","given":"Michio","non-dropping-particle":"","parse-names":false,"suffix":""},{"dropping-particle":"","family":"Yin","given":"Sheng","non-dropping-particle":"","parse-names":false,"suffix":""},{"dropping-particle":"","family":"Loo","given":"Joseph A.","non-dropping-particle":"","parse-names":false,"suffix":""},{"dropping-particle":"","family":"Guo","given":"Feng","non-dropping-particle":"","parse-names":false,"suffix":""}],"container-title":"Nature Structural and Molecular Biology","id":"ITEM-1","issue":"1","issued":{"date-parts":[["2007"]]},"page":"23-29","title":"Heme is involved in microRNA processing","type":"article-journal","volume":"14"},"uris":["http://www.mendeley.com/documents/?uuid=610f412c-0eef-463c-9721-0b2ed57b6827"]},{"id":"ITEM-2","itemData":{"DOI":"10.1074/jbc.M110.180844","ISSN":"00219258","abstract":"All known heme-thiolate proteins ligate the heme iron using one cysteine side chain. We previously found that DiGeorge Critical Region 8 (DGCR8), an essential microRNA processing factor, associates with heme of unknown redox state when overexpressed in Escherichia coli. On the basis of the similarity of the 450-nm Soret absorption peak of the DGCR8-heme complex to that of cytochrome P450 containing ferrous heme with CO bound, we identified cysteine 352 as a probable axial ligand in DGCR8. Here we further characterize the DGCR8-heme interaction using biochemical and spectroscopic methods. The DGCR8-heme complex is highly stable, with a half-life exceeding 4 days. Mutation of the conserved proline 351 to an alanine increases the rate of heme dissociation and allows the DGCR8-heme complex to be reconstituted biochemically. Surprisingly, DGCR8 binds ferric heme without CO to generate a hyperporphyrin spectrum. The electronic absorption, magnetic circular dichroism, and electron paramagnetic resonance spectra of the DGCR8-heme complex suggest a ferric heme bearing two cysteine ligands. This model was further confirmed using selenomethionine-substituted DGCR8 and mercury titration. DGCR8 is the first example of a heme-binding protein with two endogenous cysteine side chains serving as axial ligands. We further show that native DGCR8 binds heme when expressed in eukaryotic cells. This study provides a chemical basis for understanding the function of the DGCR8-heme interaction in microRNA maturation. © 2011 by The American Society for Biochemistry and Molecular Biology, Inc.","author":[{"dropping-particle":"","family":"Barr","given":"Ian","non-dropping-particle":"","parse-names":false,"suffix":""},{"dropping-particle":"","family":"Smith","given":"Aaron T.","non-dropping-particle":"","parse-names":false,"suffix":""},{"dropping-particle":"","family":"Senturia","given":"Rachel","non-dropping-particle":"","parse-names":false,"suffix":""},{"dropping-particle":"","family":"Chen","given":"Yanqiu","non-dropping-particle":"","parse-names":false,"suffix":""},{"dropping-particle":"","family":"Scheidemantle","given":"Brooke D.","non-dropping-particle":"","parse-names":false,"suffix":""},{"dropping-particle":"","family":"Burstyn","given":"Judith N.","non-dropping-particle":"","parse-names":false,"suffix":""},{"dropping-particle":"","family":"Guo","given":"Feng","non-dropping-particle":"","parse-names":false,"suffix":""}],"container-title":"Journal of Biological Chemistry","id":"ITEM-2","issue":"19","issued":{"date-parts":[["2011"]]},"page":"16716-16725","title":"DiGeorge Critical Region 8 (DGCR8) is a double-cysteine-ligated heme protein","type":"article-journal","volume":"286"},"uris":["http://www.mendeley.com/documents/?uuid=ac1904c4-4f00-41e3-9575-c6c0d0ff093b"]},{"id":"ITEM-3","itemData":{"DOI":"10.1073/pnas.1309915111","ISSN":"0027-8424","abstract":"DiGeorge syndrome critical region gene 8 (DGCR8) is the RNA-binding partner protein of the nuclease Drosha. DGCR8 and Drosha recognize and cleave primary transcripts of microRNAs (pri-miRNAs) in the maturation of canonical microRNAs (miRNAs) in animals. We previously reported that human, frog, and starfish DGCR8 bind heme when expressed in Escherichia coli and that Fe(III) heme activates apoDGCR8 in reconstituted pri-miRNA processing assays. However, the physiological relevance of heme in miRNA maturation has not been clear. Here, we present a live-cell pri-miRNA processing assay that produces robust signals and faithfully indicates DGCR8 and Drosha activities. We demonstrate that all known heme-binding-deficient DGCR8 mutants are defective in pri-miRNA processing in HeLa cells. DGCR8 contains a previously uncharacterized heme-binding motif, \"IPCL,\" that is also required for its activity. Heme availability and biosynthesis in HeLa cells positively affect pri-miRNA processing and production of mature miRNA. These results establish an essential function for heme in pri-miRNA processing in mammalian cells. Our study suggests that abnormal heme biosynthesis and degradation may contribute to diseases via miRNA-mediated gene regulation networks.","author":[{"dropping-particle":"","family":"Weitz","given":"Sara H.","non-dropping-particle":"","parse-names":false,"suffix":""},{"dropping-particle":"","family":"Gong","given":"Ming","non-dropping-particle":"","parse-names":false,"suffix":""},{"dropping-particle":"","family":"Barr","given":"Ian","non-dropping-particle":"","parse-names":false,"suffix":""},{"dropping-particle":"","family":"Weiss","given":"Shimon","non-dropping-particle":"","parse-names":false,"suffix":""},{"dropping-particle":"","family":"Guo","given":"Feng","non-dropping-particle":"","parse-names":false,"suffix":""}],"container-title":"Proceedings of the National Academy of Sciences","id":"ITEM-3","issue":"5","issued":{"date-parts":[["2014"]]},"page":"1861-1866","title":"Processing of microRNA primary transcripts requires heme in mammalian cells","type":"article-journal","volume":"111"},"uris":["http://www.mendeley.com/documents/?uuid=222d0a86-1dbd-4bac-9770-a6dcefd290ef","http://www.mendeley.com/documents/?uuid=d230b6f9-8fb0-4453-ba3a-d40f8dda90a2"]}],"mendeley":{"formattedCitation":"[32–34]","plainTextFormattedCitation":"[32–34]","previouslyFormattedCitation":"[32–34]"},"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[32–34]</w:t>
            </w:r>
            <w:r>
              <w:rPr>
                <w:rFonts w:ascii="Arial" w:hAnsi="Arial" w:cs="Arial"/>
                <w:noProof/>
                <w:sz w:val="16"/>
                <w:szCs w:val="20"/>
                <w:lang w:val="en-US"/>
              </w:rPr>
              <w:fldChar w:fldCharType="end"/>
            </w:r>
          </w:p>
        </w:tc>
        <w:tc>
          <w:tcPr>
            <w:tcW w:w="1189" w:type="dxa"/>
            <w:shd w:val="clear" w:color="auto" w:fill="auto"/>
          </w:tcPr>
          <w:p w14:paraId="313BE91C" w14:textId="77777777"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All published sites correctly predicted.</w:t>
            </w:r>
          </w:p>
        </w:tc>
        <w:tc>
          <w:tcPr>
            <w:tcW w:w="1022" w:type="dxa"/>
            <w:shd w:val="clear" w:color="auto" w:fill="auto"/>
          </w:tcPr>
          <w:p w14:paraId="626A9A3B" w14:textId="77777777" w:rsidR="00A70C60" w:rsidRPr="00936378" w:rsidRDefault="00A70C60" w:rsidP="00B874BD">
            <w:pPr>
              <w:spacing w:after="0" w:line="240" w:lineRule="auto"/>
              <w:rPr>
                <w:rFonts w:ascii="Arial" w:hAnsi="Arial" w:cs="Arial"/>
                <w:sz w:val="16"/>
                <w:szCs w:val="20"/>
                <w:lang w:val="en-US"/>
              </w:rPr>
            </w:pPr>
            <w:r w:rsidRPr="00936378">
              <w:rPr>
                <w:rFonts w:ascii="Arial" w:hAnsi="Arial" w:cs="Arial"/>
                <w:sz w:val="16"/>
                <w:szCs w:val="20"/>
                <w:lang w:val="en-US"/>
              </w:rPr>
              <w:t>-</w:t>
            </w:r>
          </w:p>
        </w:tc>
      </w:tr>
      <w:tr w:rsidR="00A70C60" w:rsidRPr="00AC2715" w14:paraId="2DC8706D" w14:textId="77777777" w:rsidTr="00AC2715">
        <w:trPr>
          <w:trHeight w:val="424"/>
        </w:trPr>
        <w:tc>
          <w:tcPr>
            <w:tcW w:w="885" w:type="dxa"/>
          </w:tcPr>
          <w:p w14:paraId="511FAE68" w14:textId="663C5D02" w:rsidR="00A70C60" w:rsidRPr="00936378" w:rsidRDefault="00A70C60" w:rsidP="00B874BD">
            <w:pPr>
              <w:spacing w:after="0"/>
              <w:rPr>
                <w:rFonts w:ascii="Arial" w:hAnsi="Arial" w:cs="Arial"/>
                <w:sz w:val="16"/>
                <w:szCs w:val="20"/>
                <w:lang w:val="en-US"/>
              </w:rPr>
            </w:pPr>
            <w:r>
              <w:rPr>
                <w:rFonts w:ascii="Arial" w:hAnsi="Arial" w:cs="Arial"/>
                <w:sz w:val="16"/>
                <w:szCs w:val="20"/>
                <w:lang w:val="en-US"/>
              </w:rPr>
              <w:t>14</w:t>
            </w:r>
          </w:p>
        </w:tc>
        <w:tc>
          <w:tcPr>
            <w:tcW w:w="1466" w:type="dxa"/>
            <w:shd w:val="clear" w:color="auto" w:fill="auto"/>
          </w:tcPr>
          <w:p w14:paraId="0CE80079" w14:textId="35F9F458"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Dipeptidyl peptidase 8 (DPP8)</w:t>
            </w:r>
          </w:p>
        </w:tc>
        <w:tc>
          <w:tcPr>
            <w:tcW w:w="1235" w:type="dxa"/>
            <w:shd w:val="clear" w:color="auto" w:fill="auto"/>
          </w:tcPr>
          <w:p w14:paraId="3B66CB05" w14:textId="77777777" w:rsidR="00A70C60" w:rsidRPr="00936378" w:rsidRDefault="00A70C60" w:rsidP="00B874BD">
            <w:pPr>
              <w:spacing w:after="0"/>
              <w:rPr>
                <w:rFonts w:ascii="Arial" w:hAnsi="Arial" w:cs="Arial"/>
                <w:sz w:val="16"/>
                <w:lang w:val="en-US"/>
              </w:rPr>
            </w:pPr>
            <w:r w:rsidRPr="00936378">
              <w:rPr>
                <w:rFonts w:ascii="Arial" w:hAnsi="Arial" w:cs="Arial"/>
                <w:i/>
                <w:sz w:val="16"/>
                <w:szCs w:val="20"/>
                <w:lang w:val="en-US"/>
              </w:rPr>
              <w:t>H. sapiens</w:t>
            </w:r>
          </w:p>
        </w:tc>
        <w:tc>
          <w:tcPr>
            <w:tcW w:w="2125" w:type="dxa"/>
            <w:shd w:val="clear" w:color="auto" w:fill="auto"/>
          </w:tcPr>
          <w:p w14:paraId="718746F8" w14:textId="77777777"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SDFK</w:t>
            </w:r>
            <w:r w:rsidRPr="00936378">
              <w:rPr>
                <w:rFonts w:ascii="Arial" w:hAnsi="Arial" w:cs="Arial"/>
                <w:bCs/>
                <w:sz w:val="16"/>
                <w:szCs w:val="20"/>
                <w:lang w:val="en-US"/>
              </w:rPr>
              <w:t>C</w:t>
            </w:r>
            <w:r w:rsidRPr="00936378">
              <w:rPr>
                <w:rFonts w:ascii="Arial" w:hAnsi="Arial" w:cs="Arial"/>
                <w:bCs/>
                <w:sz w:val="16"/>
                <w:szCs w:val="20"/>
                <w:vertAlign w:val="superscript"/>
                <w:lang w:val="en-US"/>
              </w:rPr>
              <w:t>506</w:t>
            </w:r>
            <w:r w:rsidRPr="00936378">
              <w:rPr>
                <w:rFonts w:ascii="Arial" w:hAnsi="Arial" w:cs="Arial"/>
                <w:bCs/>
                <w:sz w:val="16"/>
                <w:szCs w:val="20"/>
                <w:lang w:val="en-US"/>
              </w:rPr>
              <w:t>P</w:t>
            </w:r>
            <w:r w:rsidRPr="00936378">
              <w:rPr>
                <w:rFonts w:ascii="Arial" w:hAnsi="Arial" w:cs="Arial"/>
                <w:sz w:val="16"/>
                <w:szCs w:val="20"/>
                <w:lang w:val="en-US"/>
              </w:rPr>
              <w:t>IKE</w:t>
            </w:r>
          </w:p>
        </w:tc>
        <w:tc>
          <w:tcPr>
            <w:tcW w:w="1246" w:type="dxa"/>
            <w:shd w:val="clear" w:color="auto" w:fill="auto"/>
          </w:tcPr>
          <w:p w14:paraId="6DBA9539" w14:textId="3964946C" w:rsidR="00A70C60" w:rsidRPr="00936378" w:rsidRDefault="00A70C60" w:rsidP="00936378">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[35]</w:t>
            </w:r>
            <w:r>
              <w:rPr>
                <w:rFonts w:ascii="Arial" w:hAnsi="Arial" w:cs="Arial"/>
                <w:noProof/>
                <w:sz w:val="16"/>
                <w:szCs w:val="20"/>
                <w:lang w:val="en-US"/>
              </w:rPr>
              <w:fldChar w:fldCharType="end"/>
            </w:r>
          </w:p>
        </w:tc>
        <w:tc>
          <w:tcPr>
            <w:tcW w:w="1189" w:type="dxa"/>
            <w:shd w:val="clear" w:color="auto" w:fill="auto"/>
          </w:tcPr>
          <w:p w14:paraId="29FB92BC" w14:textId="77777777"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All published sites correctly predicted.</w:t>
            </w:r>
          </w:p>
        </w:tc>
        <w:tc>
          <w:tcPr>
            <w:tcW w:w="1022" w:type="dxa"/>
            <w:shd w:val="clear" w:color="auto" w:fill="auto"/>
          </w:tcPr>
          <w:p w14:paraId="333906D9" w14:textId="77777777" w:rsidR="00A70C60" w:rsidRPr="00936378" w:rsidRDefault="00A70C60" w:rsidP="00B874BD">
            <w:pPr>
              <w:spacing w:after="0" w:line="240" w:lineRule="auto"/>
              <w:rPr>
                <w:rFonts w:ascii="Arial" w:hAnsi="Arial" w:cs="Arial"/>
                <w:sz w:val="16"/>
                <w:szCs w:val="20"/>
                <w:lang w:val="en-US"/>
              </w:rPr>
            </w:pPr>
            <w:r w:rsidRPr="00936378">
              <w:rPr>
                <w:rFonts w:ascii="Arial" w:hAnsi="Arial" w:cs="Arial"/>
                <w:sz w:val="16"/>
                <w:szCs w:val="20"/>
                <w:lang w:val="en-US"/>
              </w:rPr>
              <w:t>-</w:t>
            </w:r>
          </w:p>
        </w:tc>
      </w:tr>
      <w:tr w:rsidR="00A70C60" w:rsidRPr="00AC2715" w14:paraId="39205CB5" w14:textId="77777777" w:rsidTr="00AC2715">
        <w:tc>
          <w:tcPr>
            <w:tcW w:w="885" w:type="dxa"/>
          </w:tcPr>
          <w:p w14:paraId="15AA2688" w14:textId="1DA3A7F1" w:rsidR="00A70C60" w:rsidRPr="00936378" w:rsidRDefault="00A70C60" w:rsidP="00B874BD">
            <w:pPr>
              <w:spacing w:after="0"/>
              <w:rPr>
                <w:rFonts w:ascii="Arial" w:hAnsi="Arial" w:cs="Arial"/>
                <w:sz w:val="16"/>
                <w:szCs w:val="20"/>
                <w:lang w:val="en-US"/>
              </w:rPr>
            </w:pPr>
            <w:r>
              <w:rPr>
                <w:rFonts w:ascii="Arial" w:hAnsi="Arial" w:cs="Arial"/>
                <w:sz w:val="16"/>
                <w:szCs w:val="20"/>
                <w:lang w:val="en-US"/>
              </w:rPr>
              <w:t>15</w:t>
            </w:r>
          </w:p>
        </w:tc>
        <w:tc>
          <w:tcPr>
            <w:tcW w:w="1466" w:type="dxa"/>
            <w:shd w:val="clear" w:color="auto" w:fill="auto"/>
          </w:tcPr>
          <w:p w14:paraId="7D8DC4E9" w14:textId="4772AED6"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Eukaryotic translation initiation factor 2a kinase 1 (eIF2</w:t>
            </w:r>
            <w:r w:rsidRPr="00FB6C7B">
              <w:rPr>
                <w:rFonts w:ascii="Arial" w:hAnsi="Arial" w:cs="Arial"/>
                <w:sz w:val="16"/>
                <w:szCs w:val="20"/>
              </w:rPr>
              <w:t>α</w:t>
            </w:r>
            <w:r w:rsidRPr="00936378">
              <w:rPr>
                <w:rFonts w:ascii="Arial" w:hAnsi="Arial" w:cs="Arial"/>
                <w:sz w:val="16"/>
                <w:szCs w:val="20"/>
                <w:lang w:val="en-US"/>
              </w:rPr>
              <w:t>, HRI)</w:t>
            </w:r>
          </w:p>
        </w:tc>
        <w:tc>
          <w:tcPr>
            <w:tcW w:w="1235" w:type="dxa"/>
            <w:shd w:val="clear" w:color="auto" w:fill="auto"/>
          </w:tcPr>
          <w:p w14:paraId="42C80B24" w14:textId="77777777" w:rsidR="00A70C60" w:rsidRPr="00936378" w:rsidRDefault="00A70C60" w:rsidP="00B874BD">
            <w:pPr>
              <w:spacing w:after="0"/>
              <w:rPr>
                <w:rFonts w:ascii="Arial" w:hAnsi="Arial" w:cs="Arial"/>
                <w:sz w:val="16"/>
                <w:lang w:val="en-US"/>
              </w:rPr>
            </w:pPr>
            <w:r w:rsidRPr="00936378">
              <w:rPr>
                <w:rFonts w:ascii="Arial" w:hAnsi="Arial" w:cs="Arial"/>
                <w:i/>
                <w:iCs/>
                <w:sz w:val="16"/>
                <w:szCs w:val="20"/>
                <w:lang w:val="en-US"/>
              </w:rPr>
              <w:t>M. musculus</w:t>
            </w:r>
          </w:p>
        </w:tc>
        <w:tc>
          <w:tcPr>
            <w:tcW w:w="2125" w:type="dxa"/>
            <w:shd w:val="clear" w:color="auto" w:fill="auto"/>
          </w:tcPr>
          <w:p w14:paraId="0F603E85" w14:textId="77777777" w:rsidR="00A70C60" w:rsidRPr="00936378" w:rsidRDefault="00A70C60" w:rsidP="00B874BD">
            <w:pPr>
              <w:spacing w:after="0"/>
              <w:rPr>
                <w:rFonts w:ascii="Arial" w:hAnsi="Arial" w:cs="Arial"/>
                <w:sz w:val="16"/>
                <w:szCs w:val="20"/>
                <w:lang w:val="en-US"/>
              </w:rPr>
            </w:pPr>
            <w:r w:rsidRPr="00936378">
              <w:rPr>
                <w:rFonts w:ascii="Arial" w:hAnsi="Arial" w:cs="Arial"/>
                <w:sz w:val="16"/>
                <w:szCs w:val="20"/>
                <w:lang w:val="en-US"/>
              </w:rPr>
              <w:t>AC</w:t>
            </w:r>
            <w:r w:rsidRPr="00936378">
              <w:rPr>
                <w:rFonts w:ascii="Arial" w:hAnsi="Arial" w:cs="Arial"/>
                <w:sz w:val="16"/>
                <w:szCs w:val="20"/>
                <w:vertAlign w:val="superscript"/>
                <w:lang w:val="en-US"/>
              </w:rPr>
              <w:t>167</w:t>
            </w:r>
            <w:r w:rsidRPr="00936378">
              <w:rPr>
                <w:rFonts w:ascii="Arial" w:hAnsi="Arial" w:cs="Arial"/>
                <w:sz w:val="16"/>
                <w:szCs w:val="20"/>
                <w:lang w:val="en-US"/>
              </w:rPr>
              <w:t>PYVM</w:t>
            </w:r>
          </w:p>
          <w:p w14:paraId="7A4B3101" w14:textId="77777777" w:rsidR="00A70C60" w:rsidRPr="00FB6C7B" w:rsidRDefault="00A70C60" w:rsidP="00B874BD">
            <w:pPr>
              <w:spacing w:after="0"/>
              <w:rPr>
                <w:rFonts w:ascii="Arial" w:hAnsi="Arial" w:cs="Arial"/>
                <w:sz w:val="16"/>
                <w:szCs w:val="20"/>
                <w:lang w:val="en-US"/>
              </w:rPr>
            </w:pPr>
            <w:r w:rsidRPr="00936378">
              <w:rPr>
                <w:rFonts w:ascii="Arial" w:hAnsi="Arial" w:cs="Arial"/>
                <w:sz w:val="16"/>
                <w:szCs w:val="20"/>
                <w:lang w:val="en-US"/>
              </w:rPr>
              <w:t>RC</w:t>
            </w:r>
            <w:r w:rsidRPr="00936378">
              <w:rPr>
                <w:rFonts w:ascii="Arial" w:hAnsi="Arial" w:cs="Arial"/>
                <w:sz w:val="16"/>
                <w:szCs w:val="20"/>
                <w:vertAlign w:val="superscript"/>
                <w:lang w:val="en-US"/>
              </w:rPr>
              <w:t>309</w:t>
            </w:r>
            <w:r w:rsidRPr="00936378">
              <w:rPr>
                <w:rFonts w:ascii="Arial" w:hAnsi="Arial" w:cs="Arial"/>
                <w:sz w:val="16"/>
                <w:szCs w:val="20"/>
                <w:lang w:val="en-US"/>
              </w:rPr>
              <w:t>P</w:t>
            </w:r>
            <w:r w:rsidRPr="00FB6C7B">
              <w:rPr>
                <w:rFonts w:ascii="Arial" w:hAnsi="Arial" w:cs="Arial"/>
                <w:sz w:val="16"/>
                <w:szCs w:val="20"/>
                <w:lang w:val="en-US"/>
              </w:rPr>
              <w:t>VQA</w:t>
            </w:r>
          </w:p>
        </w:tc>
        <w:tc>
          <w:tcPr>
            <w:tcW w:w="1246" w:type="dxa"/>
            <w:shd w:val="clear" w:color="auto" w:fill="auto"/>
          </w:tcPr>
          <w:p w14:paraId="31A3F883" w14:textId="56CA18CC" w:rsidR="00A70C60" w:rsidRPr="00FB6C7B" w:rsidRDefault="00A70C60" w:rsidP="00936378">
            <w:pPr>
              <w:spacing w:after="0"/>
              <w:jc w:val="center"/>
              <w:rPr>
                <w:rFonts w:ascii="Arial" w:hAnsi="Arial" w:cs="Arial"/>
                <w:sz w:val="16"/>
                <w:szCs w:val="20"/>
                <w:lang w:val="en-US"/>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{"citationItems":[{"id":"ITEM-1","itemData":{"ISSN":"1001-0602","author":[{"dropping-particle":"","family":"Mense","given":"Sarah M","non-dropping-particle":"","parse-names":false,"suffix":""},{"dropping-particle":"","family":"Zhang","given":"Li","non-dropping-particle":"","parse-names":false,"suffix":""}],"container-title":"Cell research","id":"ITEM-1","issue":"8","issued":{"date-parts":[["2006"]]},"page":"681-692","publisher":"Nature Publishing Group","title":"Heme: a versatile signaling molecule controlling the activities of diverse regulators ranging from transcription factors to MAP kinases","type":"article-journal","volume":"16"},"uris":["http://www.mendeley.com/documents/?uuid=3c404f58-d3ef-47c9-be47-c814d0bdc08e"]},{"id":"ITEM-2","itemData":{"DOI":"10.1021/bi060556k","ISSN":"00062960","abstract":"Heme-regulated eIF2α kinase [heme-regulated inhibitor (HRI)] plays a critical role in the regulation of protein synthesis by heme iron. The kinase active site is located in the C-terminal domain, whereas the N-terminal domain is suggested to regulate catalysis in response to heme binding. Here, we found that the rate of dissociation for Fe(III)-protoporphyrin IX was much higher for full-length HRI (1.5 × 10-3 s-1) than for myoglobin (8.4 × 10-7 s-1) or the α-subunit of hemoglobin (7.1 × 10-6 s-1), demonstrating the heme-sensing character of HRI. Because the role of the N-terminal domain in the structure and catalysis of HRI has not been clear, we generated N-terminal truncated mutants of HRI and examined their oligomeric state, heme binding, axial ligands, substrate interactions, and inhibition by heme derivatives. Multiangle light scattering indicated that the full-length enzyme is a hexamer, whereas truncated mutants (truncations of residues 1-127 and 1-145) are mainly trimers. In addition, we found that one molecule of heme is bound to the full-length and truncated mutant proteins. Optical absorption and electron spin resonance spectra suggested that Cys and water/OH- are the heme axial ligands in the N-terminal domain-truncated mutant complex. We also found that HRI has a moderate affinity for heme, allowing it to sense the heme concentration in the cell. Study of the kinetics showed that the HRI kinase reaction follows classical Michaelis-Menten kinetics with respect to ATP but sigmoidal kinetics and positive cooperativity between subunits with respect to the protein substrate (eIF2α). Removal of the N-terminal domain decreased this cooperativity between subunits and affected the other kinetic parameters including inhibition by Fe-(III)-protoporphyrin IX, Fe(II)-protoporphyrin IX, and protoporphyrin IX. Finally, we found that HRI is inhibited by bilirubin at physiological/pathological levels (IC50 = 20 μM). The roles of the N-terminal domain and the binding of heme in the structural and functional properties of HRI are discussed. © 2006 American Chemical Society.","author":[{"dropping-particle":"","family":"Miksanova","given":"Marketa","non-dropping-particle":"","parse-names":false,"suffix":""},{"dropping-particle":"","family":"Igarashi","given":"Jotaro","non-dropping-particle":"","parse-names":false,"suffix":""},{"dropping-particle":"","family":"Minami","given":"Masahiro","non-dropping-particle":"","parse-names":false,"suffix":""},{"dropping-particle":"","family":"Sagami","given":"Ikuko","non-dropping-particle":"","parse-names":false,"suffix":""},{"dropping-particle":"","family":"Yamauchi","given":"Seigo","non-dropping-particle":"","parse-names":false,"suffix":""},{"dropping-particle":"","family":"Kurokawa","given":"Hirofumi","non-dropping-particle":"","parse-names":false,"suffix":""},{"dropping-particle":"","family":"Shimizu","given":"Toru","non-dropping-particle":"","parse-names":false,"suffix":""}],"container-title":"Biochemistry","id":"ITEM-2","issue":"32","issued":{"date-parts":[["2006"]]},"page":"9894-9905","title":"Characterization of heme-regulated eIF2α kinase: Roles of the N-terminal domain in the oligomeric state, heme binding, catalysis, and inhibition","type":"article-journal","volume":"45"},"uris":["http://www.mendeley.com/documents/?uuid=84a53388-86ae-4410-94d1-9d269dd358d1","http://www.mendeley.com/documents/?uuid=df3d7460-6fca-4140-b8b3-15e3f4ad3d40","http://www.mendeley.com/documents/?uuid=a7f69a84-5da6-4a0a-b02e-e48770940c7e"]},{"id":"ITEM-3","itemData":{"DOI":"10.1074/jbc.M801400200","ISSN":"00219258","abstract":"Heme-regulated eukaryotic initiation factor 2alpha (eIF2alpha) kinase (HRI) functions in response to the heme iron concentration. At the appropriate heme iron concentrations under normal conditions, HRI function is suppressed by binding of the heme iron. Conversely, upon heme iron shortage, HRI autophosphorylates and subsequently phosphorylates the substrate, eIF2alpha, leading to the termination of protein synthesis. The molecular mechanism of heme sensing by HRI, including identification of the specific binding site, remains to be established. In the present study we demonstrate that His-119/His-120 and Cys-409 are the axial ligands for the Fe(III)-protoporphyrin IX complex (hemin) in HRI, based on spectral data on site-directed mutant proteins. Cys-409 is part of the heme-regulatory Cys-Pro motif in the kinase domain. A P410A full-length mutant protein displayed loss of heme iron affinity. Surprisingly, inhibitory effects of the heme iron on catalysis and changes in the heme dissociation rate constants in full-length His-119/His-120 and Cys-409 mutant proteins were marginally different to wild type. In contrast, heme-induced inhibition of Cys-409 mutants of the isolated kinase domain and N-terminal-truncated proteins was substantially weaker than that of the full-length enzyme. A pulldown assay disclosed heme-dependent interactions between the N-terminal and kinase domains. Accordingly, we propose that heme regulation is induced by interactions between heme and the catalytic domain in conjunction with global tertiary structural changes at the N-terminal domain that accompany heme coordination and not merely by coordination of the heme iron with amino acids on the protein surface.","author":[{"dropping-particle":"","family":"Igarashi","given":"K.","non-dropping-particle":"","parse-names":false,"suffix":""},{"dropping-particle":"","family":"Murase","given":"Motohiko","non-dropping-particle":"","parse-names":false,"suffix":""},{"dropping-particle":"","family":"Iizuka","given":"Aya","non-dropping-particle":"","parse-names":false,"suffix":""},{"dropping-particle":"","family":"Pichierri","given":"Fabio","non-dropping-particle":"","parse-names":false,"suffix":""},{"dropping-particle":"","family":"Martinkova","given":"Marketa","non-dropping-particle":"","parse-names":false,"suffix":""},{"dropping-particle":"","family":"Shimizu","given":"Toru","non-dropping-particle":"","parse-names":false,"suffix":""},{"dropping-particle":"","family":"Igarashi","given":"Jotaro","non-dropping-particle":"","parse-names":false,"suffix":""},{"dropping-particle":"","family":"Murase","given":"Motohiko","non-dropping-particle":"","parse-names":false,"suffix":""},{"dropping-particle":"","family":"Iizuka","given":"Aya","non-dropping-particle":"","parse-names":false,"suffix":""},{"dropping-particle":"","family":"Pichierri","given":"Fabio","non-dropping-particle":"","parse-names":false,"suffix":""},{"dropping-particle":"","family":"Martinkova","given":"Marketa","non-dropping-particle":"","parse-names":false,"suffix":""},{"dropping-particle":"","family":"Shimizu","given":"Toru","non-dropping-particle":"","parse-names":false,"suffix":""}],"container-title":"Journal of Biological Chemistry","id":"ITEM-3","issue":"27","issued":{"date-parts":[["2008"]]},"page":"18782-18791","title":"Elucidation of the heme binding site of heme-regulated eukaryotic initiation factor 2α kinase and the role of the regulatory motif in heme sensing by spectroscopic and catalytic studies of mutant proteins","type":"article-journal","volume":"283"},"uris":["http://www.mendeley.com/documents/?uuid=120b576e-d9d0-4819-8b7b-035cdd886ca2","http://www.mendeley.com/documents/?uuid=efe63e1c-8882-429f-96be-ec59d98c0d04"]}],"mendeley":{"formattedCitation":"[36–38]","plainTextFormattedCitation":"[36–38]","previouslyFormattedCitation":"[36–38]"},"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[36–38]</w:t>
            </w:r>
            <w:r>
              <w:rPr>
                <w:rFonts w:ascii="Arial" w:hAnsi="Arial" w:cs="Arial"/>
                <w:noProof/>
                <w:sz w:val="16"/>
                <w:szCs w:val="20"/>
                <w:lang w:val="en-GB"/>
              </w:rPr>
              <w:fldChar w:fldCharType="end"/>
            </w:r>
          </w:p>
        </w:tc>
        <w:tc>
          <w:tcPr>
            <w:tcW w:w="1189" w:type="dxa"/>
            <w:shd w:val="clear" w:color="auto" w:fill="auto"/>
          </w:tcPr>
          <w:p w14:paraId="7A818AE2"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56BA0360"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5D459330" w14:textId="77777777" w:rsidTr="00AC2715">
        <w:tc>
          <w:tcPr>
            <w:tcW w:w="885" w:type="dxa"/>
          </w:tcPr>
          <w:p w14:paraId="588638A5" w14:textId="6EBAE621"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16</w:t>
            </w:r>
          </w:p>
        </w:tc>
        <w:tc>
          <w:tcPr>
            <w:tcW w:w="1466" w:type="dxa"/>
            <w:shd w:val="clear" w:color="auto" w:fill="auto"/>
          </w:tcPr>
          <w:p w14:paraId="299155A3" w14:textId="3B94DA44"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Anti-hemophilic factor (Factor VIII)</w:t>
            </w:r>
          </w:p>
        </w:tc>
        <w:tc>
          <w:tcPr>
            <w:tcW w:w="1235" w:type="dxa"/>
            <w:shd w:val="clear" w:color="auto" w:fill="auto"/>
          </w:tcPr>
          <w:p w14:paraId="478F0570" w14:textId="77777777" w:rsidR="00A70C60" w:rsidRPr="00FB6C7B" w:rsidRDefault="00A70C60" w:rsidP="00B874BD">
            <w:pPr>
              <w:spacing w:after="0"/>
              <w:rPr>
                <w:rFonts w:ascii="Arial" w:hAnsi="Arial" w:cs="Arial"/>
                <w:sz w:val="16"/>
                <w:lang w:val="en-US"/>
              </w:rPr>
            </w:pPr>
            <w:r w:rsidRPr="00FB6C7B">
              <w:rPr>
                <w:rFonts w:ascii="Arial" w:hAnsi="Arial" w:cs="Arial"/>
                <w:i/>
                <w:sz w:val="16"/>
                <w:szCs w:val="20"/>
                <w:lang w:val="en-US"/>
              </w:rPr>
              <w:t>H. sapiens</w:t>
            </w:r>
          </w:p>
        </w:tc>
        <w:tc>
          <w:tcPr>
            <w:tcW w:w="2125" w:type="dxa"/>
            <w:shd w:val="clear" w:color="auto" w:fill="auto"/>
          </w:tcPr>
          <w:p w14:paraId="54D06E8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5B2C3C61" w14:textId="64804091" w:rsidR="00A70C60" w:rsidRPr="00054765" w:rsidRDefault="00A70C60" w:rsidP="00E509AF">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GB"/>
              </w:rPr>
              <w:instrText>ADDIN CSL_CITATION {"citationItems":[{"id":"ITEM-1","itemData":{"abstract":"Intravenous infusion of hematin, used in the treatment of acute porphyria, induces a decline in the plasma factor VIII/von Willebrand factor complex (VIII/vWF) and thrombocytopenia. We investigated this problem by studying the interaction between hematin, purified VIII/vWF, and platelets in vitro. Hematin was labeled with either 59Fe or 3H and characterized by gel chromatography. Hematin self-aggregated, forming a complex with an average molecular weight of approximately 10,000 daltons. When incubated with VIII/vWF for 30 min at 37 degrees C and applied to Sepharose CL-4B, the hematin eluted with the VIII/vWF in the void volume. Hematin inhibited the dissociation of factor VIII antigen (VIII:Ag) from the von Willebrand antigen (vWF:Ag) in 0.25 M CaCl2, and reversed the aggregation of VIII:Ag induced by 0.1 M 6-aminocaproic acid. Both hematin and the hematin-VIII/vWF complex bound to washed normal platelets and to platelets from a patient with Bernard-Soulier syndrome. Thrombasthenic platelets were not aggregatable by hematin, and bound significantly less hematin-VIII/vWF than normal platelets suggesting that hematin-induced platelet activation was required for binding. Likewise, binding was inhibited by PGE1 which also prevented aggregation. We conclude that hematin forms complexes with VIII/vWF, alters the functional activity and dissociation of this compound, and participates in the binding of VIII/vWF to platelets.","author":[{"dropping-particle":"","family":"Green","given":"D.","non-dropping-particle":"","parse-names":false,"suffix":""},{"dropping-particle":"","family":"Furby","given":"F. H.","non-dropping-particle":"","parse-names":false,"suffix":""},{"dropping-particle":"","family":"Berndt","given":"M. C.","non-dropping-particle":"","parse-names":false,"suffix":""}],"container-title":"Thromb. Haemost.","id":"ITEM-1","issue":"3","issued":{"date-parts":[["1986"]]},"page":"277-282","title":"The interaction of the VIII/von Willebrand factor complex with hematin","type":"article-journal","volume":"56"},"uris":["http://www.mendeley.com/documents/?uuid=e985d4a1-1f38-4723-b97d-6e0f00673648"]},{"id":"ITEM-2","itemData":{"DOI":"10.1111/j.1538-7836.2012.04724.x","ISSN":"15387933","abstract":"Background: Heme is a redox active macrocyclic compound that is released upon tissue damage or hemorrhages. The extracellular release of large amounts of heme saturates scavenging heme-binding proteins. Free heme has been proposed to affect coagulation and has been co-purified with the factor VIII (FVIII)-von Willebrand factor (VWF) complex. The sites from which heme is released upon injury overlap with the sites to which FVIII is targeted for performing its hemostatic functions. Objectives: To investigate the interaction of heme with FVIII and the consequence for the procoagulant activity of FVIII in vitro. Methods and results: Heme bound to several sites on FVIII with high apparent affinity. Heme-binding inhibited FVIII procoagulant activity in a dose-dependent manner. FVIII inactivation in the presence of saturating amounts of heme implicated a reduced interaction of FVIII with activated FIX, as shown by ELISA, surface plasmon resonance and fluorescence quenching. Heme-mediated inactivation of FVIII was prevented by VWF, but not by human serum albumin, a heme-binding protein known for its protective activity in hemolytic conditions. Conclusions: Our data identify FVIII as a novel heme-binding protein. Occupation of high affinity heme-binding sites on FVIII at low concentrations of free heme did not inactivate FVIII. Conversely, large molar excesses of heme over FVIII, which correspond to conditions of extensive heme release, inhibited FVIII activity in vitro. It remains to be demonstrated whether, under such conditions, heme-mediated modulation of the activity of FVIII plays some role in the regulation of coagulation. © 2012 International Society on Thrombosis and Haemostasis.","author":[{"dropping-particle":"","family":"Repessé","given":"Y.","non-dropping-particle":"","parse-names":false,"suffix":""},{"dropping-particle":"","family":"Dimitrov","given":"J. D.","non-dropping-particle":"","parse-names":false,"suffix":""},{"dropping-particle":"","family":"Peyron","given":"I.","non-dropping-particle":"","parse-names":false,"suffix":""},{"dropping-particle":"","family":"Moshai","given":"E. Farrokhi","non-dropping-particle":"","parse-names":false,"suffix":""},{"dropping-particle":"","family":"Kiger","given":"L.","non-dropping-particle":"","parse-names":false,"suffix":""},{"dropping-particle":"","family":"Dasgupta","given":"S.","non-dropping-particle":"","parse-names":false,"suffix":""},{"dropping-particle":"","family":"Delignat","given":"S.","non-dropping-particle":"","parse-names":false,"suffix":""},{"dropping-particle":"","family":"Marden","given":"M. C.","non-dropping-particle":"","parse-names":false,"suffix":""},{"dropping-particle":"V.","family":"Kaveri","given":"S.","non-dropping-particle":"","parse-names":false,"suffix":""},{"dropping-particle":"","family":"Lacroix-Desmazes","given":"S.","non-dropping-particle":"","parse-names":false,"suffix":""}],"container-title":"Journal of Thrombosis and Haemostasis","id":"ITEM-2","issue":"6","issued":{"date-parts":[["2012"]]},"page":"1062-1071","title":"Heme binds to factor VIII and inhibits its interaction with activated factor IX","type":"article-journal","volume":"10"},"uris":["http://www.mendeley.com/documents/?uuid=df70832e-6361-4a3f-abd1-1ca24c57d4d0"]}],"mendeley":{"formattedCitation":"[39, 40]","plainTextFormattedCitation":"[39, 40]","previouslyFormattedCitation":"[39, 40]"},"properties":{"noteIndex":0},"schema":"https://github.com/citation-style-language/schema/raw/master/csl-citation.json"}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[39, 40]</w:t>
            </w:r>
            <w:r>
              <w:rPr>
                <w:rFonts w:ascii="Arial" w:hAnsi="Arial" w:cs="Arial"/>
                <w:noProof/>
                <w:sz w:val="16"/>
                <w:szCs w:val="20"/>
                <w:lang w:val="en-US"/>
              </w:rPr>
              <w:fldChar w:fldCharType="end"/>
            </w:r>
          </w:p>
        </w:tc>
        <w:tc>
          <w:tcPr>
            <w:tcW w:w="1189" w:type="dxa"/>
            <w:shd w:val="clear" w:color="auto" w:fill="auto"/>
          </w:tcPr>
          <w:p w14:paraId="4B153632"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99 potential motifs predicted.</w:t>
            </w:r>
          </w:p>
        </w:tc>
        <w:tc>
          <w:tcPr>
            <w:tcW w:w="1022" w:type="dxa"/>
            <w:shd w:val="clear" w:color="auto" w:fill="auto"/>
          </w:tcPr>
          <w:p w14:paraId="07CCF7A8"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WESA could not be applied since the sequence is over 2000 residues.</w:t>
            </w:r>
          </w:p>
        </w:tc>
      </w:tr>
      <w:tr w:rsidR="00A70C60" w:rsidRPr="00AC2715" w14:paraId="02D7129C" w14:textId="77777777" w:rsidTr="00AC2715">
        <w:tc>
          <w:tcPr>
            <w:tcW w:w="885" w:type="dxa"/>
          </w:tcPr>
          <w:p w14:paraId="6E5432B2" w14:textId="212B8850"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17</w:t>
            </w:r>
          </w:p>
        </w:tc>
        <w:tc>
          <w:tcPr>
            <w:tcW w:w="1466" w:type="dxa"/>
            <w:shd w:val="clear" w:color="auto" w:fill="auto"/>
          </w:tcPr>
          <w:p w14:paraId="512C8A41" w14:textId="3037F8E5"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Fibrinogen (Factor I)</w:t>
            </w:r>
          </w:p>
        </w:tc>
        <w:tc>
          <w:tcPr>
            <w:tcW w:w="1235" w:type="dxa"/>
            <w:shd w:val="clear" w:color="auto" w:fill="auto"/>
          </w:tcPr>
          <w:p w14:paraId="34C0B615" w14:textId="77777777" w:rsidR="00A70C60" w:rsidRPr="00FB6C7B" w:rsidRDefault="00A70C60" w:rsidP="00B874BD">
            <w:pPr>
              <w:spacing w:after="0"/>
              <w:rPr>
                <w:rFonts w:ascii="Arial" w:hAnsi="Arial" w:cs="Arial"/>
                <w:sz w:val="16"/>
                <w:lang w:val="en-US"/>
              </w:rPr>
            </w:pPr>
            <w:r w:rsidRPr="00FB6C7B">
              <w:rPr>
                <w:rFonts w:ascii="Arial" w:hAnsi="Arial" w:cs="Arial"/>
                <w:i/>
                <w:sz w:val="16"/>
                <w:szCs w:val="20"/>
                <w:lang w:val="en-GB"/>
              </w:rPr>
              <w:t xml:space="preserve">H. </w:t>
            </w:r>
            <w:proofErr w:type="spellStart"/>
            <w:r w:rsidRPr="00FB6C7B">
              <w:rPr>
                <w:rFonts w:ascii="Arial" w:hAnsi="Arial" w:cs="Arial"/>
                <w:i/>
                <w:sz w:val="16"/>
                <w:szCs w:val="20"/>
                <w:lang w:val="en-GB"/>
              </w:rPr>
              <w:t>sa</w:t>
            </w:r>
            <w:r w:rsidRPr="00FB6C7B">
              <w:rPr>
                <w:rFonts w:ascii="Arial" w:hAnsi="Arial" w:cs="Arial"/>
                <w:i/>
                <w:sz w:val="16"/>
                <w:szCs w:val="20"/>
                <w:lang w:val="en-US"/>
              </w:rPr>
              <w:t>piens</w:t>
            </w:r>
            <w:proofErr w:type="spellEnd"/>
          </w:p>
        </w:tc>
        <w:tc>
          <w:tcPr>
            <w:tcW w:w="2125" w:type="dxa"/>
            <w:shd w:val="clear" w:color="auto" w:fill="auto"/>
          </w:tcPr>
          <w:p w14:paraId="60160EA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493C2FDF" w14:textId="51C6E08F" w:rsidR="00A70C60" w:rsidRPr="00790626" w:rsidRDefault="00A70C60" w:rsidP="00E509AF">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{"citationItems":[{"id":"ITEM-1","itemData":{"DOI":"10.1007/s10534-013-9657-8","ISBN":"1053401396578","ISSN":"09660844","abstract":"Human fibrinogen is a metal ion-binding protein, but its mechanism of binding with iron and heme has not been elucidated in detail. In this study, human fibrinogen was immobilized on CNBr-activated Sepharose 4B beads. The fibrinogen beads bound hemin (iron-protoporphyrin IX: PPIX) as well as iron ion released from ferrous ammonium sulfate (FAS) more efficiently than Sepharose 4B beads alone. Hemin bound to fibrinogen still exhibited pseudo-peroxidase activity. The affinity of fibrinogen binding to hemin, Sn-PPIX, Zn-PPIX and metal-free PPIX followed the order Sn-PPIX metal-free PPIX &lt; hemin &lt; Zn-PPIX; PPIX bound more non-specifically to control beads. FAS significantly enhanced the binding of hemin to fibrinogen beads. These results suggest that human fibrinogen directly recognizes iron ion, the PPIX ring and metal ions complexed with the PPIX ring, and that the binding of hemin is augmented by iron ions.","author":[{"dropping-particle":"","family":"Orino","given":"Koichi","non-dropping-particle":"","parse-names":false,"suffix":""}],"container-title":"BioMetals","id":"ITEM-1","issue":"5","issued":{"date-parts":[["2013"]]},"page":"789-794","title":"Functional binding analysis of human fibrinogen as an iron- and heme-binding protein","type":"article-journal","volume":"26"},"uris":["http://www.mendeley.com/documents/?uuid=2d696ea2-f35c-4163-9cec-a086b5bf4d98"]},{"id":"ITEM-2","itemData":{"DOI":"10.1038/srep26982","ISSN":"20452322","abstract":"Although blood coagulation facilitated by non-thermal plasma has been reported several years ago, the insight to the involved mechanisms is still rather limited. In this work, we report our discovery of a new mechanism for the haem-promoted blood-coagulation caused by non-thermal plasma treatment. The reason for the haem role is due to that its oxidized form, namely, hematin, can promote the dityrosine cross-linking of fibrinogen, the most important coagulation protein, to form a membrane-like layer on the surface of the treated blood with plasma exposure. Both haem and non-thermal-plasma generated hydrogen peroxide are requisite for the cross-linking process. We confirmed that fibrinogen can coordinate with the haem iron to form a protein-haem complex which shows pseudo-peroxidase activity, and in the presence of hydrogen peroxide, the complex can induce the dityrosine formation between fibrinogen molecules, leading to the fibrin network necessary for the blood coagulation. Understanding of such an underlying mechanism can be useful to guide more efficient application of non-thermal plasma in the management of hemostasis, thrombosis and etc.","author":[{"dropping-particle":"","family":"Ke","given":"Zhigang","non-dropping-particle":"","parse-names":false,"suffix":""},{"dropping-particle":"","family":"Huang","given":"Qing","non-dropping-particle":"","parse-names":false,"suffix":""}],"container-title":"Scientific Reports","id":"ITEM-2","issue":"May","issued":{"date-parts":[["2016"]]},"page":"1-8","publisher":"Nature Publishing Group","title":"Haem-assisted dityrosine-cross-linking of fibrinogen under non-thermal plasma exposure: One important mechanism of facilitated blood coagulation","type":"article-journal","volume":"6"},"uris":["http://www.mendeley.com/documents/?uuid=90452d62-ade7-41a0-bbaf-78a1e2525adf"]}],"mendeley":{"formattedCitation":"[41, 42]","plainTextFormattedCitation":"[41, 42]","previouslyFormattedCitation":"[41, 42]"},"properties":{"noteIndex":0},"schema":"https://github.com/citation-style-language/schema/raw/master/csl-citation.json"}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[41, 42]</w:t>
            </w:r>
            <w:r>
              <w:rPr>
                <w:rFonts w:ascii="Arial" w:hAnsi="Arial" w:cs="Arial"/>
                <w:noProof/>
                <w:sz w:val="16"/>
                <w:szCs w:val="20"/>
                <w:lang w:val="en-GB"/>
              </w:rPr>
              <w:fldChar w:fldCharType="end"/>
            </w:r>
          </w:p>
        </w:tc>
        <w:tc>
          <w:tcPr>
            <w:tcW w:w="1189" w:type="dxa"/>
            <w:shd w:val="clear" w:color="auto" w:fill="auto"/>
          </w:tcPr>
          <w:p w14:paraId="250561BE"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12 potential motifs predicted.</w:t>
            </w:r>
          </w:p>
        </w:tc>
        <w:tc>
          <w:tcPr>
            <w:tcW w:w="1022" w:type="dxa"/>
            <w:shd w:val="clear" w:color="auto" w:fill="auto"/>
          </w:tcPr>
          <w:p w14:paraId="5A8386CB"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11FC3F08" w14:textId="77777777" w:rsidTr="00AC2715">
        <w:tc>
          <w:tcPr>
            <w:tcW w:w="885" w:type="dxa"/>
          </w:tcPr>
          <w:p w14:paraId="6E7BE9FD" w14:textId="43EED662"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18</w:t>
            </w:r>
          </w:p>
        </w:tc>
        <w:tc>
          <w:tcPr>
            <w:tcW w:w="1466" w:type="dxa"/>
            <w:shd w:val="clear" w:color="auto" w:fill="auto"/>
          </w:tcPr>
          <w:p w14:paraId="0FF19DA0" w14:textId="2F29B7C6"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Glyceraldehyde-3-phosphate dehydrogenase (GAPDH)</w:t>
            </w:r>
          </w:p>
        </w:tc>
        <w:tc>
          <w:tcPr>
            <w:tcW w:w="1235" w:type="dxa"/>
            <w:shd w:val="clear" w:color="auto" w:fill="auto"/>
          </w:tcPr>
          <w:p w14:paraId="4338CA62" w14:textId="77777777" w:rsidR="00A70C60" w:rsidRPr="00FB6C7B" w:rsidRDefault="00A70C60" w:rsidP="00B874BD">
            <w:pPr>
              <w:spacing w:after="0"/>
              <w:rPr>
                <w:rFonts w:ascii="Arial" w:hAnsi="Arial" w:cs="Arial"/>
                <w:sz w:val="16"/>
                <w:lang w:val="en-US"/>
              </w:rPr>
            </w:pPr>
            <w:r w:rsidRPr="00FB6C7B">
              <w:rPr>
                <w:rFonts w:ascii="Arial" w:hAnsi="Arial" w:cs="Arial"/>
                <w:i/>
                <w:sz w:val="16"/>
                <w:szCs w:val="20"/>
                <w:lang w:val="en-US"/>
              </w:rPr>
              <w:t>H. sapiens</w:t>
            </w:r>
          </w:p>
        </w:tc>
        <w:tc>
          <w:tcPr>
            <w:tcW w:w="2125" w:type="dxa"/>
            <w:shd w:val="clear" w:color="auto" w:fill="auto"/>
          </w:tcPr>
          <w:p w14:paraId="74B8F87A"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77214938" w14:textId="25E99725" w:rsidR="00A70C60" w:rsidRPr="00FB6C7B" w:rsidRDefault="00A70C60" w:rsidP="006F1E3F">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{"citationItems":[{"id":"ITEM-1","itemData":{"author":[{"dropping-particle":"","family":"Grdisa","given":"M.","non-dropping-particle":"","parse-names":false,"suffix":""},{"dropping-particle":"","family":"White","given":"M. K.","non-dropping-particle":"","parse-names":false,"suffix":""}],"container-title":"European Journal of Cell Biology","id":"ITEM-1","issue":"2","issued":{"date-parts":[["1996"]]},"page":"177-182","title":"Expression of glyceraldehyde-3-phosphate dehydrogenase during differentiation of HD3 cells","type":"article-journal","volume":"71"},"uris":["http://www.mendeley.com/documents/?uuid=74b841d2-8ea9-49a4-a28e-40f64a4c9e4e"]},{"id":"ITEM-2","itemData":{"DOI":"10.1074/jbc.M303634200","ISSN":"00219258","abstract":"The degradation of hemoglobin by the malaria parasite, Plasmodium falciparum, produces free ferriprotoporphyrin IX (FP) as a toxic by-product. In the presence of FP-binding drugs such as chloroquine, FP detoxification is inhibited, and the build-up of free FP is thought to be a key mechanism in parasite killing. In an effort to identify parasite proteins that might interact preferentially with FP, we have used a mass spectrometry approach. Proteins that bind to FP immobilized on agarose include P. falciparum glyceraldehyde-3-phosphate dehydrogenase (PfGAPDH), P. falciparum glutathione reductase (PfGR), and P. falciparum protein disulfide isomerase. To examine the potential consequences of FP binding, we have examined the ability of FP to inhibit the activities of GAPDH and GR from P. falciparum and other sources. FP inhibits the enzymic activity of PfGAPDH with a Ki value of 0.2 microm, whereas red blood cell GAPDH is much less sensitive. By contrast, PfGR is more resistant to FP inhibition (Ki &gt; 25 microm) than its human counterpart. We also examined the ability of FP to inhibit the activities of the additional antioxidant enzymes, P. falciparum thioredoxin reductase, which exhibits a Ki value of 1 microm, and P. falciparum glutaredoxin, which shows more moderate sensitivity to FP. The exquisite sensitivity of PfGAPDH to FP may indicate that the glycolytic pathway of the parasite is particularly susceptible to modulation by FP stress. Inhibition of this pathway may drive flux through the pentose phosphate pathway ensuring sufficient production of reducing equivalents to counteract the oxidative stress induced by FP build-up.","author":[{"dropping-particle":"","family":"Campanale","given":"Naomi","non-dropping-particle":"","parse-names":false,"suffix":""},{"dropping-particle":"","family":"Nickel","given":"Christine","non-dropping-particle":"","parse-names":false,"suffix":""},{"dropping-particle":"","family":"Daubenberger","given":"Claudia A.","non-dropping-particle":"","parse-names":false,"suffix":""},{"dropping-particle":"","family":"Wehlan","given":"Dean A.","non-dropping-particle":"","parse-names":false,"suffix":""},{"dropping-particle":"","family":"Gorman","given":"Jeff J.","non-dropping-particle":"","parse-names":false,"suffix":""},{"dropping-particle":"","family":"Klonis","given":"Nectarios","non-dropping-particle":"","parse-names":false,"suffix":""},{"dropping-particle":"","family":"Becker","given":"Katja","non-dropping-particle":"","parse-names":false,"suffix":""},{"dropping-particle":"","family":"Tilley","given":"Leann","non-dropping-particle":"","parse-names":false,"suffix":""}],"container-title":"Journal of Biological Chemistry","id":"ITEM-2","issue":"30","issued":{"date-parts":[["2003"]]},"page":"27354-27361","title":"Identification and characterization of heme-interacting proteins in the malaria parasite, Plasmodium falciparum","type":"article-journal","volume":"278"},"uris":["http://www.mendeley.com/documents/?uuid=ef56788d-6a4c-4c16-9418-451cdb50c77b"]},{"id":"ITEM-3","itemData":{"DOI":"10.1051/parasite/2003101p39","ISSN":"1252-607X","abstract":"Ferriprotoporphyrin IX (FPIX) is a potentially toxic product of hemoglobin digestion by intra-erythrocytic malaria parasites. It is detoxified by biomineralization or through degradation by glutathione. Both processes are inhibited by the antimalarial drug chloroquine, leading to the accumulation of FPIX in the membranes of the infected cell and their consequent permeabilization. It is shown here that treatment of Plasmodium falciparum-infected erythrocytes with chloroquine also leads to the binding of FPIX to a subset of parasite proteins. Parasite enzymes such as aldolase, pyrimidine nucleaside monophosphate kinase and pyrimidine 5'-nucleotidase were inhibited by FPIX in vitro, but only the activity of 6-phosphogluconate dehydrogenase was reduced significantly in cells after drug treatment. Additional proteins were extracted from parasite cytosol by their ability to bind FPIX. Sequencing of these proteins identified heat shock proteins 90 and 70, enolase, elongation factor 1-alpha, phoshoglycerate kinase, glyceraldehyde 3-phosphate dehydrogenase, L-lactate dehydrogenase and gametocytogenesis onset-specific protein. The possible involvement of these proteins in the antimalarial mode of action of chloroquine is discussed. It is concluded that drug-induced binding of FPIX to parasite glycolytic enzymes could underlie the demonstrable inhibition of glycolysis by chloroquine. The inhibition of 6-phosphogluconate dehydrogenase could explain the reduction of the activity of the hexose monophosphate shunt by the drug. Inhibition of both processes is deleterious to parasite survival. Binding of FPIX to other proteins is probably inconsequential to the rapid killing of the parasite by chloroquine.","author":[{"dropping-particle":"","family":"Famin","given":"O.","non-dropping-particle":"","parse-names":false,"suffix":""},{"dropping-particle":"","family":"Ginsburg","given":"H.","non-dropping-particle":"","parse-names":false,"suffix":""}],"container-title":"Parasite","id":"ITEM-3","issue":"1","issued":{"date-parts":[["2003"]]},"page":"39-50","title":" The treatment of Plasmodium falciparum -infected erythrocytes with chloroquine leads to accumulation of ferriprotoporphyrin IX bound to particular parasite proteins and to the inhibition of the parasite's 6-phosphogluconate dehydrogenase ","type":"article-journal","volume":"10"},"uris":["http://www.mendeley.com/documents/?uuid=329f5f55-1a6a-4234-8485-a3b8019061f7","http://www.mendeley.com/documents/?uuid=48329ef3-7673-460f-8524-fd6cdf36f59c"]},{"id":"ITEM-4","itemData":{"DOI":"10.1073/pnas.1008133107","ISSN":"0027-8424","abstract":"Heme proteins play essential roles in biology, but little is known about heme transport inside mammalian cells or how heme is inserted into soluble proteins. We recently found that nitric oxide (NO) blocks cells from inserting heme into several proteins, including cytochrome P450s, hemoglobin, NO synthases, and catalase. This finding led us to explore the basis for NO inhibition and to identify cytosolic proteins that may be involved, using inducible NO synthase (iNOS) as a model target. Surprisingly, we found that GAPDH plays a key role. GAPDH was associated with iNOS in cells. Pure GAPDH bound tightly to heme or to iNOS in an NO-sensitive manner. GAPDH knockdown inhibited heme insertion into iNOS and a GAPDH mutant with defective heme binding acted as a dominant negative inhibitor of iNOS heme insertion. Exposing cells to NO either from a chemical donor or by iNOS induction caused GAPDH to become S-nitrosylated at Cys152. Expressing a GAPDH C152S mutant in cells or providing a drug to selectively block GAPDH S-nitrosylation both made heme insertion into iNOS resistant to the NO inhibition. We propose that GAPDH delivers heme to iNOS through a process that is regulated by its S-nitrosylation. Our findings may uncover a fundamental step in intracellular heme trafficking, and reveal a mechanism whereby NO can govern the process.","author":[{"dropping-particle":"","family":"Chakravarti","given":"R.","non-dropping-particle":"","parse-names":false,"suffix":""},{"dropping-particle":"","family":"Aulak","given":"K. S.","non-dropping-particle":"","parse-names":false,"suffix":""},{"dropping-particle":"","family":"Fox","given":"P. L.","non-dropping-particle":"","parse-names":false,"suffix":""},{"dropping-particle":"","family":"Stuehr","given":"D. J.","non-dropping-particle":"","parse-names":false,"suffix":""}],"container-title":"Proceedings of the National Academy of Sciences","id":"ITEM-4","issue":"42","issued":{"date-parts":[["2010"]]},"page":"18004-18009","title":"GAPDH regulates cellular heme insertion into inducible nitric oxide synthase","type":"article-journal","volume":"107"},"uris":["http://www.mendeley.com/documents/?uuid=d9d520a9-b986-46f4-8f5c-21793854e4a8"]},{"id":"ITEM-5","itemData":{"DOI":"10.1021/bi300863a","ISSN":"00062960","abstract":"Apo-glyceraldehyde-3-phosphate dehydrogenase from Bacillus stearothermophilus and the partially saturated holo-enzyme can be crystallized isomorphously with the entire tetramer occupying the crystal asymmetric unit. For crystals that contain one molecule of NAD+ per tetramer the coenzyme is bound uniquely in one of the four available sites. The presence of NAD+ gives rise to nonequivalence in the binding of a heavy-atom compound to the subunits of the tetramer while for the apo-enzyme this binding is clearly symmetric. These results suggest that NAD binding gives rise to sequential ligand-induced structural changes of the tetramer, which may be responsible for the observed negative cooperativity in coenzyme binding. © 1983 Academic Press Inc. (London) Ltd.","author":[{"dropping-particle":"","family":"Hannibal","given":"Luciana","non-dropping-particle":"","parse-names":false,"suffix":""},{"dropping-particle":"","family":"Collins","given":"Daniel","non-dropping-particle":"","parse-names":false,"suffix":""},{"dropping-particle":"","family":"Brassard","given":"Julie","non-dropping-particle":"","parse-names":false,"suffix":""},{"dropping-particle":"","family":"Chakravarti","given":"Ritu","non-dropping-particle":"","parse-names":false,"suffix":""},{"dropping-particle":"","family":"Vempati","given":"Rajesh","non-dropping-particle":"","parse-names":false,"suffix":""},{"dropping-particle":"","family":"Dorlet","given":"Pierre","non-dropping-particle":"","parse-names":false,"suffix":""},{"dropping-particle":"","family":"Santolini","given":"Jérôme","non-dropping-particle":"","parse-names":false,"suffix":""},{"dropping-particle":"","family":"Dawson","given":"John H.","non-dropping-particle":"","parse-names":false,"suffix":""},{"dropping-particle":"","family":"Stuehr","given":"Dennis J.","non-dropping-particle":"","parse-names":false,"suffix":""}],"container-title":"Biochemistry","id":"ITEM-5","issue":"43","issued":{"date-parts":[["2012"]]},"page":"8514-8529","title":"Heme binding properties of glyceraldehyde-3-phosphate dehydrogenase","type":"article-journal","volume":"51"},"uris":["http://www.mendeley.com/documents/?uuid=4e48583e-98ef-481c-9314-7273a8ebe9f6"]}],"mendeley":{"formattedCitation":"[43–47]","plainTextFormattedCitation":"[43–47]","previouslyFormattedCitation":"[43–47]"},"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[43–47]</w:t>
            </w:r>
            <w:r>
              <w:rPr>
                <w:rFonts w:ascii="Arial" w:hAnsi="Arial" w:cs="Arial"/>
                <w:noProof/>
                <w:sz w:val="16"/>
                <w:szCs w:val="20"/>
                <w:lang w:val="en-US"/>
              </w:rPr>
              <w:fldChar w:fldCharType="end"/>
            </w:r>
          </w:p>
        </w:tc>
        <w:tc>
          <w:tcPr>
            <w:tcW w:w="1189" w:type="dxa"/>
            <w:shd w:val="clear" w:color="auto" w:fill="auto"/>
          </w:tcPr>
          <w:p w14:paraId="5302CE92"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3 potential motifs predicted.</w:t>
            </w:r>
          </w:p>
        </w:tc>
        <w:tc>
          <w:tcPr>
            <w:tcW w:w="1022" w:type="dxa"/>
            <w:shd w:val="clear" w:color="auto" w:fill="auto"/>
          </w:tcPr>
          <w:p w14:paraId="2DBBA02A"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429A3786" w14:textId="77777777" w:rsidTr="00AC2715">
        <w:tc>
          <w:tcPr>
            <w:tcW w:w="885" w:type="dxa"/>
          </w:tcPr>
          <w:p w14:paraId="1A1FD9F1" w14:textId="5DDBF886"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19</w:t>
            </w:r>
          </w:p>
        </w:tc>
        <w:tc>
          <w:tcPr>
            <w:tcW w:w="1466" w:type="dxa"/>
            <w:shd w:val="clear" w:color="auto" w:fill="auto"/>
          </w:tcPr>
          <w:p w14:paraId="150ACC3B" w14:textId="22CC7E8E" w:rsidR="00A70C60" w:rsidRPr="00FB6C7B" w:rsidRDefault="00A70C60" w:rsidP="00B874BD">
            <w:pPr>
              <w:spacing w:after="0"/>
              <w:rPr>
                <w:rFonts w:ascii="Arial" w:hAnsi="Arial" w:cs="Arial"/>
                <w:sz w:val="16"/>
                <w:szCs w:val="20"/>
                <w:lang w:val="en-GB"/>
              </w:rPr>
            </w:pPr>
            <w:proofErr w:type="spellStart"/>
            <w:r w:rsidRPr="00FB6C7B">
              <w:rPr>
                <w:rFonts w:ascii="Arial" w:hAnsi="Arial" w:cs="Arial"/>
                <w:sz w:val="16"/>
                <w:szCs w:val="20"/>
                <w:lang w:val="en-GB"/>
              </w:rPr>
              <w:t>Heme</w:t>
            </w:r>
            <w:proofErr w:type="spellEnd"/>
            <w:r w:rsidRPr="00FB6C7B">
              <w:rPr>
                <w:rFonts w:ascii="Arial" w:hAnsi="Arial" w:cs="Arial"/>
                <w:sz w:val="16"/>
                <w:szCs w:val="20"/>
                <w:lang w:val="en-GB"/>
              </w:rPr>
              <w:t xml:space="preserve"> oxygenase 2</w:t>
            </w:r>
          </w:p>
        </w:tc>
        <w:tc>
          <w:tcPr>
            <w:tcW w:w="1235" w:type="dxa"/>
            <w:shd w:val="clear" w:color="auto" w:fill="auto"/>
          </w:tcPr>
          <w:p w14:paraId="5A49C15C" w14:textId="1A3D6EE5"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R. norvegicus</w:t>
            </w:r>
            <w:r>
              <w:rPr>
                <w:rFonts w:ascii="Arial" w:hAnsi="Arial" w:cs="Arial"/>
                <w:i/>
                <w:sz w:val="16"/>
                <w:szCs w:val="20"/>
                <w:lang w:val="en-GB"/>
              </w:rPr>
              <w:t>/ H. sapiens</w:t>
            </w:r>
          </w:p>
        </w:tc>
        <w:tc>
          <w:tcPr>
            <w:tcW w:w="2125" w:type="dxa"/>
            <w:shd w:val="clear" w:color="auto" w:fill="auto"/>
          </w:tcPr>
          <w:p w14:paraId="5A8BBCAA" w14:textId="77777777" w:rsidR="00A70C60" w:rsidRPr="00FB6C7B" w:rsidRDefault="00A70C60" w:rsidP="00B874BD">
            <w:pPr>
              <w:spacing w:after="0"/>
              <w:rPr>
                <w:rFonts w:ascii="Arial" w:hAnsi="Arial" w:cs="Arial"/>
                <w:color w:val="000000"/>
                <w:sz w:val="16"/>
                <w:lang w:val="en-US"/>
              </w:rPr>
            </w:pPr>
            <w:r w:rsidRPr="00FB6C7B">
              <w:rPr>
                <w:rFonts w:ascii="Arial" w:hAnsi="Arial" w:cs="Arial"/>
                <w:color w:val="000000"/>
                <w:sz w:val="16"/>
                <w:lang w:val="en-US"/>
              </w:rPr>
              <w:t>XH</w:t>
            </w:r>
            <w:r w:rsidRPr="00FB6C7B">
              <w:rPr>
                <w:rFonts w:ascii="Arial" w:hAnsi="Arial" w:cs="Arial"/>
                <w:color w:val="000000"/>
                <w:sz w:val="16"/>
                <w:vertAlign w:val="superscript"/>
                <w:lang w:val="en-US"/>
              </w:rPr>
              <w:t>45</w:t>
            </w:r>
            <w:r w:rsidRPr="00FB6C7B">
              <w:rPr>
                <w:rFonts w:ascii="Arial" w:hAnsi="Arial" w:cs="Arial"/>
                <w:color w:val="000000"/>
                <w:sz w:val="16"/>
                <w:lang w:val="en-US"/>
              </w:rPr>
              <w:t>X</w:t>
            </w:r>
          </w:p>
          <w:p w14:paraId="3DD1A238" w14:textId="77777777" w:rsidR="00A70C60" w:rsidRPr="00FB6C7B" w:rsidRDefault="00A70C60" w:rsidP="00B874BD">
            <w:pPr>
              <w:spacing w:after="0"/>
              <w:rPr>
                <w:rFonts w:ascii="Arial" w:hAnsi="Arial" w:cs="Arial"/>
                <w:color w:val="000000"/>
                <w:sz w:val="16"/>
                <w:lang w:val="en-US"/>
              </w:rPr>
            </w:pPr>
            <w:r w:rsidRPr="00FB6C7B">
              <w:rPr>
                <w:rFonts w:ascii="Arial" w:hAnsi="Arial" w:cs="Arial"/>
                <w:color w:val="000000"/>
                <w:sz w:val="16"/>
                <w:lang w:val="en-US"/>
              </w:rPr>
              <w:t>KC</w:t>
            </w:r>
            <w:r w:rsidRPr="00FB6C7B">
              <w:rPr>
                <w:rFonts w:ascii="Arial" w:hAnsi="Arial" w:cs="Arial"/>
                <w:color w:val="000000"/>
                <w:sz w:val="16"/>
                <w:vertAlign w:val="superscript"/>
                <w:lang w:val="en-US"/>
              </w:rPr>
              <w:t>265</w:t>
            </w:r>
            <w:r w:rsidRPr="00FB6C7B">
              <w:rPr>
                <w:rFonts w:ascii="Arial" w:hAnsi="Arial" w:cs="Arial"/>
                <w:color w:val="000000"/>
                <w:sz w:val="16"/>
                <w:lang w:val="en-US"/>
              </w:rPr>
              <w:t>PFYA (+H</w:t>
            </w:r>
            <w:r w:rsidRPr="00FB6C7B">
              <w:rPr>
                <w:rFonts w:ascii="Arial" w:hAnsi="Arial" w:cs="Arial"/>
                <w:color w:val="000000"/>
                <w:sz w:val="16"/>
                <w:vertAlign w:val="superscript"/>
                <w:lang w:val="en-US"/>
              </w:rPr>
              <w:t>256</w:t>
            </w:r>
            <w:r w:rsidRPr="00FB6C7B">
              <w:rPr>
                <w:rFonts w:ascii="Arial" w:hAnsi="Arial" w:cs="Arial"/>
                <w:color w:val="000000"/>
                <w:sz w:val="16"/>
                <w:lang w:val="en-US"/>
              </w:rPr>
              <w:t>)</w:t>
            </w:r>
          </w:p>
          <w:p w14:paraId="2E491DBB" w14:textId="77777777" w:rsidR="00A70C60" w:rsidRPr="00FB6C7B" w:rsidRDefault="00A70C60" w:rsidP="00B874BD">
            <w:pPr>
              <w:spacing w:after="0"/>
              <w:rPr>
                <w:rFonts w:ascii="Arial" w:hAnsi="Arial" w:cs="Arial"/>
                <w:color w:val="000000"/>
                <w:sz w:val="16"/>
                <w:lang w:val="en-US"/>
              </w:rPr>
            </w:pPr>
            <w:r w:rsidRPr="00FB6C7B">
              <w:rPr>
                <w:rFonts w:ascii="Arial" w:hAnsi="Arial" w:cs="Arial"/>
                <w:color w:val="000000"/>
                <w:sz w:val="16"/>
                <w:lang w:val="en-US"/>
              </w:rPr>
              <w:t>SC</w:t>
            </w:r>
            <w:r w:rsidRPr="00FB6C7B">
              <w:rPr>
                <w:rFonts w:ascii="Arial" w:hAnsi="Arial" w:cs="Arial"/>
                <w:color w:val="000000"/>
                <w:sz w:val="16"/>
                <w:vertAlign w:val="superscript"/>
                <w:lang w:val="en-US"/>
              </w:rPr>
              <w:t>282</w:t>
            </w:r>
            <w:r w:rsidRPr="00FB6C7B">
              <w:rPr>
                <w:rFonts w:ascii="Arial" w:hAnsi="Arial" w:cs="Arial"/>
                <w:color w:val="000000"/>
                <w:sz w:val="16"/>
                <w:lang w:val="en-US"/>
              </w:rPr>
              <w:t>PFRT</w:t>
            </w:r>
          </w:p>
        </w:tc>
        <w:tc>
          <w:tcPr>
            <w:tcW w:w="1246" w:type="dxa"/>
            <w:shd w:val="clear" w:color="auto" w:fill="auto"/>
          </w:tcPr>
          <w:p w14:paraId="46064B2D" w14:textId="775D97CC" w:rsidR="00A70C60" w:rsidRPr="00FB6C7B" w:rsidRDefault="00A70C60" w:rsidP="007945EE">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{"citationItems":[{"id":"ITEM-1","itemData":{"DOI":"10.1074/jbc.272.19.12568","ISSN":"00219258","abstract":"The heme oxygenase (HO) system degrades heme to biliverdin and CO and releases chelated iron. In the primary sequence of the constitutive form, HO- 2, there are three potential heme binding sites: two heme regulatory motifs (HRMs) with the absolutely conserved CysPro pair, and a conserved 24-residue heme catalytic pocket with a histidine residue, His131 in rat HO-2. The visible and pyridine hemochromogen spectra suggest that the Escherichia coli expressed purified HO-2 is a hemoprotein. The absorption spectrum, heme fluorescence quenching, and home titration analysis of the wild-type protein versus those of purified double cysteine mutant (Cys264/Cys281 ? Ala/Ala) suggest a role of the HRMs in heme binding. While the His131 ? Ala mutation inactivates HO-2, Cys264 ? Ala and Cys281 ? Ala mutations individually or together (HO-2 mut) do not decrease HO activity. Also, Pro265 ? Ala or Pro282 ? Ala mutation does not alter HO-2 activity. Northern blot analysis of ptk cells indicates that HO-2 mRNA is not regulated by heme. The findings, together with other salient features of HO- 2 and the ability of heme-protein complexes to generate oxygen radicals, are consistent with HO-2, like five other HRM-containing proteins, having a regulatory function in the cell.","author":[{"dropping-particle":"","family":"McCoubrey","given":"William K.","non-dropping-particle":"","parse-names":false,"suffix":""},{"dropping-particle":"","family":"Huang","given":"T. J.","non-dropping-particle":"","parse-names":false,"suffix":""},{"dropping-particle":"","family":"Maines","given":"Mahin D.","non-dropping-particle":"","parse-names":false,"suffix":""}],"container-title":"Journal of Biological Chemistry","id":"ITEM-1","issue":"19","issued":{"date-parts":[["1997"]]},"page":"12568-12574","title":"Heme oxygenase-2 is a hemoprotein and binds heme through heme regulatory motifs that are not involved in heme catalysis","type":"article-journal","volume":"272"},"uris":["http://www.mendeley.com/documents/?uuid=9bc69394-2f37-43e6-9f76-4738f9d95aa1"]},{"id":"ITEM-2","itemData":{"abstract":"Heme oxygenase (HO) catalyzes the O 2 -and NADPH-dependent conversion of heme to biliverdin, CO, and iron. The two forms of HO (HO-1 and HO-2) share similar physical prop-erties but are differentially regulated and exhibit dissimilar physiological roles and tissue distributions. Unlike HO-1, HO-2 contains heme regulatory motifs (HRMs) (McCoubrey, W. K., Jr., Huang, T. J., and Maines, M. D. (1997) J. Biol. Chem. 272, 12568 –12574). Here we describe UV-visible, EPR, and differen-tial scanning calorimetry experiments on human HO-2 variants containing single, double, and triple mutations in the HRMs. Oxidized HO-2, which contains an intramolecular disulfide bond linking Cys 265 of HRM1 and Cys 282 of HRM2, binds heme tightly. Reduction of the disulfide bond increases the K d for fer-ric heme from 0.03 to 0.3 ␮M, which is much higher than the concentration of the free heme pool in cells. Although the HRMs markedly affect the K d for heme, they do not alter the k cat for heme degradation and do not bind additional hemes. Because HO-2 plays a key role in CO generation and heme homeostasis, reduction of the disulfide bond would be expected to increase intracellular free heme and decrease CO concentrations. Thus, we propose that the HRMs in HO-2 constitute a thiol/disulfide redox switch that regulates the myriad physiological functions of HO-2, including its involvement in the hypoxic response in the carotid body, which involves interactions with a Ca 2؉ -acti-vated potassium channel.","author":[{"dropping-particle":"","family":"Yi","given":"Li","non-dropping-particle":"","parse-names":false,"suffix":""},{"dropping-particle":"","family":"Ragsdale","given":"Stephen W.","non-dropping-particle":"","parse-names":false,"suffix":""}],"container-title":"Journal of Biological Chemistry","id":"ITEM-2","issue":"29","issued":{"date-parts":[["2007"]]},"page":"21056-21067","title":"Evidence that the heme regulatory motifs in heme oxygenase-2 serve as a thiol/disulfide redox switch regulating heme binding","type":"article-journal","volume":"282"},"uris":["http://www.mendeley.com/documents/?uuid=f40b132e-5e91-33b3-8965-c06b092b9672"]},{"id":"ITEM-3","itemData":{"DOI":"10.1074/jbc.M109.015651","ISSN":"00219258","abstract":"Heme oxygenase (HO) catalyzes the rate-limiting step in heme catabolism to generate CO, biliverdin, and free iron. Two isoforms of HO have been identified in mammals: inducible HO-1 and constitutively expressed HO-2. HO-1 and HO-2 share similar physical and kinetic properties but have different physiological roles and tissue distributions. Unlike HO-1, which lacks cysteine residues, HO-2 contains three Cys-Pro signatures, known as heme regulatory motifs (HRMs), which are known to control processes related to iron ahd oxidative metabolism in organisms from bacteria to humans. In HO-2, the C-terminal HRMs constitute a thiol/ disulfide redox switch that regulates affinity of the enzyme for heme (Yi, L., and Ragsdale, S. W. (2007), J. Biol. Chem. 282, 20156-21067). Here, we demonstrate that the thiol/disulfide switch in human HO-2 is physiologically relevant. Its redox potential was measured to be -200 mV, which is near the ambient intracellular redox potential. We expressed HO-2 in bacterial and human cells and measured the redox state of the C-terminal HRMs in growing cells by thiol-trapping experiments using the isotope-coded affinity tag technique. Under normal growth conditions, the HRMs are 60-70% reduced, whereas oxidative stress conditions convert most (86-89%) of the HRMs to the disulfide state. Treatment with reductants converts the HRMs largely (81-87%) to the reduced dithiol state. Thus, the thiol/disulfide switch in HO-2 responds to cellular oxidative stress and reductive conditions, representing a paradigm for how HRMs can integrate heme homeostasis with CO signaling and redox regulation of cellular metabolism. © 2009 by The American Society for Biochemistry and Molecular Biology, Inc.","author":[{"dropping-particle":"","family":"Yi","given":"Li","non-dropping-particle":"","parse-names":false,"suffix":""},{"dropping-particle":"","family":"Jenkins","given":"Paul M.","non-dropping-particle":"","parse-names":false,"suffix":""},{"dropping-particle":"","family":"Leichert","given":"Lars I.","non-dropping-particle":"","parse-names":false,"suffix":""},{"dropping-particle":"","family":"Jakob","given":"Ursula","non-dropping-particle":"","parse-names":false,"suffix":""},{"dropping-particle":"","family":"Martens","given":"Jeffrey R.","non-dropping-particle":"","parse-names":false,"suffix":""},{"dropping-particle":"","family":"Ragsdale","given":"Stephen W.","non-dropping-particle":"","parse-names":false,"suffix":""}],"container-title":"Journal of Biological Chemistry","id":"ITEM-3","issue":"31","issued":{"date-parts":[["2009"]]},"page":"20556-20561","title":"Heme regulatory motifs in heme oxygenase-2 form a thiol/disulfide redox switch that responds to the cellular redox state","type":"article-journal","volume":"284"},"uris":["http://www.mendeley.com/documents/?uuid=a11dcbf5-7040-4595-bc53-5488536f62dd"]},{"id":"ITEM-4","itemData":{"DOI":"10.1021/acs.biochem.5b00266","author":[{"dropping-particle":"","family":"Fleischhacker","given":"Angela S.","non-dropping-particle":"","parse-names":false,"suffix":""},{"dropping-particle":"","family":"Sharma","given":"A.","non-dropping-particle":"","parse-names":false,"suffix":""},{"dropping-particle":"","family":"Choi","given":"M.","non-dropping-particle":"","parse-names":false,"suffix":""},{"dropping-particle":"","family":"Spencer","given":"A. M.","non-dropping-particle":"","parse-names":false,"suffix":""},{"dropping-particle":"","family":"Bagai","given":"I.","non-dropping-particle":"","parse-names":false,"suffix":""},{"dropping-particle":"","family":"Hoffman","given":"B. M.","non-dropping-particle":"","parse-names":false,"suffix":""},{"dropping-particle":"","family":"Ragsdale","given":"S. W.","non-dropping-particle":"","parse-names":false,"suffix":""}],"container-title":"Biochemistry","id":"ITEM-4","issue":"17","issued":{"date-parts":[["2015"]]},"page":"2709-2718","title":"The C-terminal heme regulatory motifs of heme oxygenase-2 are redox-regulated heme binding sites","type":"article-journal","volume":"54"},"uris":["http://www.mendeley.com/documents/?uuid=e2ef0607-609b-4e0f-b394-5f729ffc11c5"]}],"mendeley":{"formattedCitation":"[48–51]","plainTextFormattedCitation":"[48–51]","previouslyFormattedCitation":"[48–51]"},"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[48–51]</w:t>
            </w:r>
            <w:r>
              <w:rPr>
                <w:rFonts w:ascii="Arial" w:hAnsi="Arial" w:cs="Arial"/>
                <w:noProof/>
                <w:sz w:val="16"/>
                <w:szCs w:val="20"/>
                <w:lang w:val="en-US"/>
              </w:rPr>
              <w:fldChar w:fldCharType="end"/>
            </w:r>
          </w:p>
        </w:tc>
        <w:tc>
          <w:tcPr>
            <w:tcW w:w="1189" w:type="dxa"/>
            <w:shd w:val="clear" w:color="auto" w:fill="auto"/>
          </w:tcPr>
          <w:p w14:paraId="7A7ED8AF"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6F4B9B85"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0F7EF40F" w14:textId="77777777" w:rsidTr="00AC2715">
        <w:tc>
          <w:tcPr>
            <w:tcW w:w="885" w:type="dxa"/>
          </w:tcPr>
          <w:p w14:paraId="288D4623" w14:textId="7CCDE4BB"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20</w:t>
            </w:r>
          </w:p>
        </w:tc>
        <w:tc>
          <w:tcPr>
            <w:tcW w:w="1466" w:type="dxa"/>
            <w:shd w:val="clear" w:color="auto" w:fill="auto"/>
          </w:tcPr>
          <w:p w14:paraId="3150F369" w14:textId="52F8A98C"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Human period circadian protein homolog 2 (hPer2)</w:t>
            </w:r>
          </w:p>
        </w:tc>
        <w:tc>
          <w:tcPr>
            <w:tcW w:w="1235" w:type="dxa"/>
            <w:shd w:val="clear" w:color="auto" w:fill="auto"/>
          </w:tcPr>
          <w:p w14:paraId="0996D3EC"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7A4CB0DD"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SC</w:t>
            </w:r>
            <w:r w:rsidRPr="00FB6C7B">
              <w:rPr>
                <w:rFonts w:ascii="Arial" w:hAnsi="Arial" w:cs="Arial"/>
                <w:sz w:val="16"/>
                <w:szCs w:val="20"/>
                <w:vertAlign w:val="superscript"/>
                <w:lang w:val="en-US"/>
              </w:rPr>
              <w:t>841</w:t>
            </w:r>
            <w:r w:rsidRPr="00FB6C7B">
              <w:rPr>
                <w:rFonts w:ascii="Arial" w:hAnsi="Arial" w:cs="Arial"/>
                <w:sz w:val="16"/>
                <w:szCs w:val="20"/>
                <w:lang w:val="en-US"/>
              </w:rPr>
              <w:t>PA</w:t>
            </w:r>
          </w:p>
          <w:p w14:paraId="6B2A0DF6"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AC</w:t>
            </w:r>
            <w:r w:rsidRPr="00FB6C7B">
              <w:rPr>
                <w:rFonts w:ascii="Arial" w:hAnsi="Arial" w:cs="Arial"/>
                <w:sz w:val="16"/>
                <w:szCs w:val="20"/>
                <w:vertAlign w:val="superscript"/>
                <w:lang w:val="en-US"/>
              </w:rPr>
              <w:t>962</w:t>
            </w:r>
            <w:r w:rsidRPr="00FB6C7B">
              <w:rPr>
                <w:rFonts w:ascii="Arial" w:hAnsi="Arial" w:cs="Arial"/>
                <w:sz w:val="16"/>
                <w:szCs w:val="20"/>
                <w:lang w:val="en-US"/>
              </w:rPr>
              <w:t>PA</w:t>
            </w:r>
          </w:p>
        </w:tc>
        <w:tc>
          <w:tcPr>
            <w:tcW w:w="1246" w:type="dxa"/>
            <w:shd w:val="clear" w:color="auto" w:fill="auto"/>
          </w:tcPr>
          <w:p w14:paraId="476683FD" w14:textId="06BA6882" w:rsidR="00A70C60" w:rsidRPr="00FB6C7B" w:rsidRDefault="00A70C60" w:rsidP="007945EE">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{"citationItems":[{"id":"ITEM-1","itemData":{"DOI":"10.1128/mcb.00236-08","ISSN":"0270-7306","abstract":"Although efforts have been made to identify circadian-controlled genes regulating cell cycle progression and cell death, little is known about the metabolic signals modulating circadian regulation of gene expression. We identify heme, an iron-containing prosthetic group, as a regulatory ligand controlling human Period-2 (hPer2) stability. Furthermore, we define a novel heme-regulatory motif within the C terminus of hPer2 (SC 841 PA) as necessary for heme binding and protein destabilization. Spectroscopy reveals that whereas the PAS domain binds to both the ferric and ferrous forms of heme, SC 841 PA binds exclusively to ferric heme, thus acting as a redox sensor. Consequently, binding prevents hPer2 from interacting with its stabilizing counterpart cryp-tochrome. In vivo, hPer2 downregulation is suppressed by inhibitors of heme synthesis or proteasome activity, while SA 841 PA is sufficient to stabilize hPer2 in transfected cells. Moreover, heme binding to the SC 841 PA motif directly impacts circadian gene expression, resulting in altered period length. Overall, the data support a model where heme-mediated oxidation triggers hPer2 degradation, thus controlling heterodimerization and ultimately gene transcription. Cellular homeostasis depends on a delicate balance between metabolic activity and gene expression. Heme is a prosthetic group essential for transport and storage of oxygen that is involved in the generation of cellular energy by respiration and synthesis and degradation of lipids and in oxidative damage. Heme-based sensor proteins detect and respond to variations in oxygen, carbon monoxide, and nitric oxide levels and cellu-lar redox state by acting on transcription, translation, protein translocation, and protein assembly (8, 25).","author":[{"dropping-particle":"","family":"Yang","given":"Jianhua","non-dropping-particle":"","parse-names":false,"suffix":""},{"dropping-particle":"","family":"Kim","given":"Kevin D.","non-dropping-particle":"","parse-names":false,"suffix":""},{"dropping-particle":"","family":"Lucas","given":"Andrew","non-dropping-particle":"","parse-names":false,"suffix":""},{"dropping-particle":"","family":"Drahos","given":"Karen E.","non-dropping-particle":"","parse-names":false,"suffix":""},{"dropping-particle":"","family":"Santos","given":"Carlo S.","non-dropping-particle":"","parse-names":false,"suffix":""},{"dropping-particle":"","family":"Mury","given":"Sean P.","non-dropping-particle":"","parse-names":false,"suffix":""},{"dropping-particle":"","family":"Capelluto","given":"Daniel G. S.","non-dropping-particle":"","parse-names":false,"suffix":""},{"dropping-particle":"V.","family":"Finkielstein","given":"Carla","non-dropping-particle":"","parse-names":false,"suffix":""}],"container-title":"Molecular and Cellular Biology","id":"ITEM-1","issue":"15","issued":{"date-parts":[["2008"]]},"page":"4697-4711","publisher":"Am Soc Microbiol","title":"A novel heme-regulatory motif mediates heme-dependent degradation of the circadian factor Period 2","type":"article-journal","volume":"28"},"uris":["http://www.mendeley.com/documents/?uuid=c1a042f4-2125-46fb-be72-cd81a2200742"]}],"mendeley":{"formattedCitation":"[52]","plainTextFormattedCitation":"[52]","previouslyFormattedCitation":"[52]"},"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[52]</w:t>
            </w:r>
            <w:r>
              <w:rPr>
                <w:rFonts w:ascii="Arial" w:hAnsi="Arial" w:cs="Arial"/>
                <w:noProof/>
                <w:sz w:val="16"/>
                <w:szCs w:val="20"/>
                <w:lang w:val="en-US"/>
              </w:rPr>
              <w:fldChar w:fldCharType="end"/>
            </w:r>
          </w:p>
        </w:tc>
        <w:tc>
          <w:tcPr>
            <w:tcW w:w="1189" w:type="dxa"/>
            <w:shd w:val="clear" w:color="auto" w:fill="auto"/>
          </w:tcPr>
          <w:p w14:paraId="42E250DC"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7F44DA7D"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E509AF" w14:paraId="7085F5D3" w14:textId="77777777" w:rsidTr="00AC2715">
        <w:tc>
          <w:tcPr>
            <w:tcW w:w="885" w:type="dxa"/>
          </w:tcPr>
          <w:p w14:paraId="7D85AB43" w14:textId="293E34E2"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21</w:t>
            </w:r>
          </w:p>
        </w:tc>
        <w:tc>
          <w:tcPr>
            <w:tcW w:w="1466" w:type="dxa"/>
            <w:shd w:val="clear" w:color="auto" w:fill="auto"/>
          </w:tcPr>
          <w:p w14:paraId="1465A6AA" w14:textId="4EC8843B"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US"/>
              </w:rPr>
              <w:t>Immunoglobin (</w:t>
            </w:r>
            <w:r w:rsidRPr="00FB6C7B">
              <w:rPr>
                <w:rFonts w:ascii="Arial" w:hAnsi="Arial" w:cs="Arial"/>
                <w:sz w:val="16"/>
                <w:szCs w:val="20"/>
                <w:lang w:val="en-GB"/>
              </w:rPr>
              <w:t>IgG)</w:t>
            </w:r>
          </w:p>
        </w:tc>
        <w:tc>
          <w:tcPr>
            <w:tcW w:w="1235" w:type="dxa"/>
            <w:shd w:val="clear" w:color="auto" w:fill="auto"/>
          </w:tcPr>
          <w:p w14:paraId="1AB7789D" w14:textId="77777777" w:rsidR="00A70C60" w:rsidRPr="00FB6C7B" w:rsidRDefault="00A70C60" w:rsidP="00B874BD">
            <w:pPr>
              <w:spacing w:after="0"/>
              <w:rPr>
                <w:rFonts w:ascii="Arial" w:hAnsi="Arial" w:cs="Arial"/>
                <w:sz w:val="16"/>
                <w:lang w:val="en-GB"/>
              </w:rPr>
            </w:pPr>
            <w:r w:rsidRPr="00FB6C7B">
              <w:rPr>
                <w:rFonts w:ascii="Arial" w:hAnsi="Arial" w:cs="Arial"/>
                <w:i/>
                <w:sz w:val="16"/>
                <w:szCs w:val="20"/>
                <w:lang w:val="en-GB"/>
              </w:rPr>
              <w:t>H. sapiens</w:t>
            </w:r>
          </w:p>
        </w:tc>
        <w:tc>
          <w:tcPr>
            <w:tcW w:w="2125" w:type="dxa"/>
            <w:shd w:val="clear" w:color="auto" w:fill="auto"/>
          </w:tcPr>
          <w:p w14:paraId="0B9AE300"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US"/>
              </w:rPr>
              <w:t>not known</w:t>
            </w:r>
          </w:p>
        </w:tc>
        <w:tc>
          <w:tcPr>
            <w:tcW w:w="1246" w:type="dxa"/>
            <w:shd w:val="clear" w:color="auto" w:fill="auto"/>
          </w:tcPr>
          <w:p w14:paraId="500320CF" w14:textId="359EB861" w:rsidR="00A70C60" w:rsidRPr="00FB6C7B" w:rsidRDefault="00A70C60" w:rsidP="007945EE">
            <w:pPr>
              <w:spacing w:after="0"/>
              <w:jc w:val="center"/>
              <w:rPr>
                <w:rFonts w:ascii="Arial" w:hAnsi="Arial" w:cs="Arial"/>
                <w:noProof/>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{"citationItems":[{"id":"ITEM-1","itemData":{"DOI":"10.1074/jbc.M702751200","ISBN":"0021-9258","ISSN":"00219258","PMID":"17636257","abstract":"Various pathological processes are accompanied by release of high amounts of free heme into the circulation. We demonstrated by kinetic, thermodynamic, and spectroscopic analyses that antibodies have an intrinsic ability to bind heme. This binding resulted in a decrease in the conformational freedom of the antibody paratopes and in a change in the nature of the noncovalent forces responsible for the antigen binding. The antibodies use the molecular imprint of the heme molecule to interact with an enlarged panel of structurally unrelated epitopes. Upon heme binding, monoclonal as well as pooled immunoglobulin G gained an ability to interact with previously unrecognized bacterial antigens and intact bacteria. IgG-heme complexes had an enhanced ability to trigger complement-mediated bacterial killing. It was also shown that heme, bound to immunoglobulins, acted as a cofactor in redox reactions. The potentiation of the antibacterial activity of IgG after contact with heme may represent a novel and inducible innate-type defense mechanism against invading pathogens.","author":[{"dropping-particle":"","family":"Dimitrov","given":"Jordan D.","non-dropping-particle":"","parse-names":false,"suffix":""},{"dropping-particle":"","family":"Roumenina","given":"Lubka T.","non-dropping-particle":"","parse-names":false,"suffix":""},{"dropping-particle":"","family":"Doltchinkova","given":"Virjinia R.","non-dropping-particle":"","parse-names":false,"suffix":""},{"dropping-particle":"","family":"Mihaylova","given":"Nikolina M.","non-dropping-particle":"","parse-names":false,"suffix":""},{"dropping-particle":"","family":"Lacroix-Desmazes","given":"Sebastien","non-dropping-particle":"","parse-names":false,"suffix":""},{"dropping-particle":"V.","family":"Kaveri","given":"Srinivas","non-dropping-particle":"","parse-names":false,"suffix":""},{"dropping-particle":"","family":"Vassilev","given":"Tchavdar L.","non-dropping-particle":"","parse-names":false,"suffix":""}],"container-title":"J. Biol. Chem.","id":"ITEM-1","issue":"37","issued":{"date-parts":[["2007"]]},"page":"26696-26706","title":"Antibodies use heme as a cofactor to extend their pathogen elimination activity and to acquire new effector functions","type":"article-journal","volume":"282"},"uris":["http://www.mendeley.com/documents/?uuid=5f28fd95-cee6-4e1b-af69-b2b01fae6268"]}],"mendeley":{"formattedCitation":"[53]","plainTextFormattedCitation":"[53]","previouslyFormattedCitation":"[53]"},"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[53]</w:t>
            </w:r>
            <w:r>
              <w:rPr>
                <w:rFonts w:ascii="Arial" w:hAnsi="Arial" w:cs="Arial"/>
                <w:noProof/>
                <w:sz w:val="16"/>
                <w:szCs w:val="20"/>
                <w:lang w:val="en-GB"/>
              </w:rPr>
              <w:fldChar w:fldCharType="end"/>
            </w:r>
          </w:p>
        </w:tc>
        <w:tc>
          <w:tcPr>
            <w:tcW w:w="1189" w:type="dxa"/>
            <w:shd w:val="clear" w:color="auto" w:fill="auto"/>
          </w:tcPr>
          <w:p w14:paraId="230E8CAD"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8 potential sites predicted.</w:t>
            </w:r>
          </w:p>
        </w:tc>
        <w:tc>
          <w:tcPr>
            <w:tcW w:w="1022" w:type="dxa"/>
            <w:shd w:val="clear" w:color="auto" w:fill="auto"/>
          </w:tcPr>
          <w:p w14:paraId="00379CC6"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422D48B6" w14:textId="77777777" w:rsidTr="00AC2715">
        <w:tc>
          <w:tcPr>
            <w:tcW w:w="885" w:type="dxa"/>
          </w:tcPr>
          <w:p w14:paraId="3203163D" w14:textId="00D1204C" w:rsidR="00A70C60" w:rsidRPr="007945EE" w:rsidRDefault="00A70C60" w:rsidP="00B874BD">
            <w:pPr>
              <w:spacing w:after="0"/>
              <w:rPr>
                <w:rFonts w:ascii="Arial" w:hAnsi="Arial" w:cs="Arial"/>
                <w:sz w:val="16"/>
                <w:szCs w:val="20"/>
                <w:lang w:val="en-GB"/>
              </w:rPr>
            </w:pPr>
            <w:r>
              <w:rPr>
                <w:rFonts w:ascii="Arial" w:hAnsi="Arial" w:cs="Arial"/>
                <w:sz w:val="16"/>
                <w:szCs w:val="20"/>
                <w:lang w:val="en-GB"/>
              </w:rPr>
              <w:t>22</w:t>
            </w:r>
          </w:p>
        </w:tc>
        <w:tc>
          <w:tcPr>
            <w:tcW w:w="1466" w:type="dxa"/>
            <w:shd w:val="clear" w:color="auto" w:fill="auto"/>
          </w:tcPr>
          <w:p w14:paraId="5E348BB3" w14:textId="0C0835C2" w:rsidR="00A70C60" w:rsidRPr="007945EE" w:rsidRDefault="00A70C60" w:rsidP="00B874BD">
            <w:pPr>
              <w:spacing w:after="0"/>
              <w:rPr>
                <w:rFonts w:ascii="Arial" w:hAnsi="Arial" w:cs="Arial"/>
                <w:sz w:val="16"/>
                <w:szCs w:val="20"/>
                <w:lang w:val="en-GB"/>
              </w:rPr>
            </w:pPr>
            <w:r w:rsidRPr="007945EE">
              <w:rPr>
                <w:rFonts w:ascii="Arial" w:hAnsi="Arial" w:cs="Arial"/>
                <w:sz w:val="16"/>
                <w:szCs w:val="20"/>
                <w:lang w:val="en-GB"/>
              </w:rPr>
              <w:t>Interleukin-36</w:t>
            </w:r>
            <w:r>
              <w:rPr>
                <w:rFonts w:ascii="Arial" w:hAnsi="Arial" w:cs="Arial"/>
                <w:sz w:val="16"/>
                <w:szCs w:val="20"/>
                <w:lang w:val="en-GB"/>
              </w:rPr>
              <w:t>α</w:t>
            </w:r>
          </w:p>
        </w:tc>
        <w:tc>
          <w:tcPr>
            <w:tcW w:w="1235" w:type="dxa"/>
            <w:shd w:val="clear" w:color="auto" w:fill="auto"/>
          </w:tcPr>
          <w:p w14:paraId="20E03768" w14:textId="77777777" w:rsidR="00A70C60" w:rsidRPr="007945EE" w:rsidRDefault="00A70C60" w:rsidP="00B874BD">
            <w:pPr>
              <w:spacing w:after="0"/>
              <w:rPr>
                <w:rFonts w:ascii="Arial" w:hAnsi="Arial" w:cs="Arial"/>
                <w:sz w:val="16"/>
                <w:lang w:val="en-GB"/>
              </w:rPr>
            </w:pPr>
            <w:r w:rsidRPr="007945EE">
              <w:rPr>
                <w:rFonts w:ascii="Arial" w:hAnsi="Arial" w:cs="Arial"/>
                <w:i/>
                <w:sz w:val="16"/>
                <w:szCs w:val="20"/>
                <w:lang w:val="en-GB"/>
              </w:rPr>
              <w:t>H. sapiens</w:t>
            </w:r>
          </w:p>
        </w:tc>
        <w:tc>
          <w:tcPr>
            <w:tcW w:w="2125" w:type="dxa"/>
            <w:shd w:val="clear" w:color="auto" w:fill="auto"/>
          </w:tcPr>
          <w:p w14:paraId="54BA6167" w14:textId="77777777" w:rsidR="00A70C60" w:rsidRPr="007945EE" w:rsidRDefault="00A70C60" w:rsidP="00B874BD">
            <w:pPr>
              <w:spacing w:after="0"/>
              <w:rPr>
                <w:rFonts w:ascii="Arial" w:hAnsi="Arial" w:cs="Arial"/>
                <w:sz w:val="16"/>
                <w:szCs w:val="20"/>
                <w:lang w:val="en-GB"/>
              </w:rPr>
            </w:pPr>
            <w:r w:rsidRPr="007945EE">
              <w:rPr>
                <w:rFonts w:ascii="Arial" w:hAnsi="Arial" w:cs="Arial"/>
                <w:sz w:val="16"/>
                <w:szCs w:val="20"/>
                <w:lang w:val="en-GB"/>
              </w:rPr>
              <w:t>SEGGC</w:t>
            </w:r>
            <w:r w:rsidRPr="007945EE">
              <w:rPr>
                <w:rFonts w:ascii="Arial" w:hAnsi="Arial" w:cs="Arial"/>
                <w:sz w:val="16"/>
                <w:szCs w:val="20"/>
                <w:vertAlign w:val="superscript"/>
                <w:lang w:val="en-GB"/>
              </w:rPr>
              <w:t>136</w:t>
            </w:r>
            <w:r w:rsidRPr="007945EE">
              <w:rPr>
                <w:rFonts w:ascii="Arial" w:hAnsi="Arial" w:cs="Arial"/>
                <w:sz w:val="16"/>
                <w:szCs w:val="20"/>
                <w:lang w:val="en-GB"/>
              </w:rPr>
              <w:t>PLIL</w:t>
            </w:r>
          </w:p>
          <w:p w14:paraId="0D379758" w14:textId="77777777" w:rsidR="00A70C60" w:rsidRPr="007945EE" w:rsidRDefault="00A70C60" w:rsidP="00B874BD">
            <w:pPr>
              <w:spacing w:after="0"/>
              <w:rPr>
                <w:rFonts w:ascii="Arial" w:hAnsi="Arial" w:cs="Arial"/>
                <w:sz w:val="16"/>
                <w:szCs w:val="20"/>
                <w:lang w:val="en-GB"/>
              </w:rPr>
            </w:pPr>
            <w:r w:rsidRPr="007945EE">
              <w:rPr>
                <w:rFonts w:ascii="Arial" w:hAnsi="Arial" w:cs="Arial"/>
                <w:sz w:val="16"/>
                <w:szCs w:val="20"/>
                <w:lang w:val="en-GB"/>
              </w:rPr>
              <w:t>FLFY</w:t>
            </w:r>
            <w:r w:rsidRPr="007945EE">
              <w:rPr>
                <w:rFonts w:ascii="Arial" w:hAnsi="Arial" w:cs="Arial"/>
                <w:sz w:val="16"/>
                <w:szCs w:val="20"/>
                <w:vertAlign w:val="superscript"/>
                <w:lang w:val="en-GB"/>
              </w:rPr>
              <w:t>108</w:t>
            </w:r>
            <w:r w:rsidRPr="007945EE">
              <w:rPr>
                <w:rFonts w:ascii="Arial" w:hAnsi="Arial" w:cs="Arial"/>
                <w:sz w:val="16"/>
                <w:szCs w:val="20"/>
                <w:lang w:val="en-GB"/>
              </w:rPr>
              <w:t>HSQSG</w:t>
            </w:r>
          </w:p>
        </w:tc>
        <w:tc>
          <w:tcPr>
            <w:tcW w:w="1246" w:type="dxa"/>
            <w:shd w:val="clear" w:color="auto" w:fill="auto"/>
          </w:tcPr>
          <w:p w14:paraId="28B5C62A" w14:textId="08E65077" w:rsidR="00A70C60" w:rsidRPr="007945EE" w:rsidRDefault="00A70C60" w:rsidP="007945EE">
            <w:pPr>
              <w:spacing w:after="0"/>
              <w:jc w:val="center"/>
              <w:rPr>
                <w:rFonts w:ascii="Arial" w:hAnsi="Arial" w:cs="Arial"/>
                <w:sz w:val="16"/>
                <w:szCs w:val="20"/>
                <w:lang w:val="en-GB"/>
              </w:rPr>
            </w:pPr>
            <w:r>
              <w:rPr>
                <w:rFonts w:ascii="Arial" w:hAnsi="Arial" w:cs="Arial"/>
                <w:sz w:val="16"/>
                <w:szCs w:val="20"/>
                <w:lang w:val="en-GB"/>
              </w:rPr>
              <w:fldChar w:fldCharType="begin" w:fldLock="1"/>
            </w:r>
            <w:r>
              <w:rPr>
                <w:rFonts w:ascii="Arial" w:hAnsi="Arial" w:cs="Arial"/>
                <w:sz w:val="16"/>
                <w:szCs w:val="20"/>
                <w:lang w:val="en-GB"/>
              </w:rPr>
              <w:instrText>ADDIN CSL_CITATION {"citationItems":[{"id":"ITEM-1","itemData":{"DOI":"10.1038/s41598-019-53231-0","author":[{"dropping-particle":"","family":"Wißbrock","given":"Amelie","non-dropping-particle":"","parse-names":false,"suffix":""},{"dropping-particle":"","family":"Goradia","given":"Nishit B.","non-dropping-particle":"","parse-names":false,"suffix":""},{"dropping-particle":"","family":"Kumar","given":"Amit","non-dropping-particle":"","parse-names":false,"suffix":""},{"dropping-particle":"","family":"Paul George","given":"Ajay Abisheck","non-dropping-particle":"","parse-names":false,"suffix":""},{"dropping-particle":"","family":"Kühl","given":"Toni","non-dropping-particle":"","parse-names":false,"suffix":""},{"dropping-particle":"","family":"Bellstedt","given":"Peter","non-dropping-particle":"","parse-names":false,"suffix":""},{"dropping-particle":"","family":"Ramachandran","given":"Ramadurai","non-dropping-particle":"","parse-names":false,"suffix":""},{"dropping-particle":"","family":"Hoffman","given":"Patrick","non-dropping-particle":"","parse-names":false,"suffix":""},{"dropping-particle":"","family":"Galler","given":"Kerstin","non-dropping-particle":"","parse-names":false,"suffix":""},{"dropping-particle":"","family":"Neugebauer","given":"Ute","non-dropping-particle":"","parse-names":false,"suffix":""},{"dropping-particle":"","family":"Hampel","given":"Kerstin","non-dropping-particle":"","parse-names":false,"suffix":""},{"dropping-particle":"","family":"Zimmermann","given":"Bastian","non-dropping-particle":"","parse-names":false,"suffix":""},{"dropping-particle":"","family":"Adams","given":"Susanne","non-dropping-particle":"","parse-names":false,"suffix":""},{"dropping-particle":"","family":"Wiendl","given":"Maximilian","non-dropping-particle":"","parse-names":false,"suffix":""},{"dropping-particle":"","family":"Krönke","given":"Gerhard","non-dropping-particle":"","parse-names":false,"suffix":""},{"dropping-particle":"","family":"Hamza","given":"Iqbal","non-dropping-particle":"","parse-names":false,"suffix":""},{"dropping-particle":"","family":"Heinemann","given":"Stefan H.","non-dropping-particle":"","parse-names":false,"suffix":""},{"dropping-particle":"","family":"Frey","given":"Silke","non-dropping-particle":"","parse-names":false,"suffix":""},{"dropping-particle":"","family":"Hueber","given":"Axel","non-dropping-particle":"","parse-names":false,"suffix":""},{"dropping-particle":"","family":"Ohlenschläger","given":"Oliver","non-dropping-particle":"","parse-names":false,"suffix":""},{"dropping-particle":"","family":"Imhof","given":"Diana","non-dropping-particle":"","parse-names":false,"suffix":""}],"container-title":"Scientific Reports","id":"ITEM-1","issued":{"date-parts":[["2019"]]},"page":"16893","title":"Structural insights into heme binding to IL-36α proinflammatory cytokine","type":"article-journal","volume":"9"},"uris":["http://www.mendeley.com/documents/?uuid=d19f3a6b-1c98-4db7-bbc6-d60f25726851","http://www.mendeley.com/documents/?uuid=3de84858-1686-4f31-84d9-4e86a909b938"]}],"mendeley":{"formattedCitation":"[54]","plainTextFormattedCitation":"[54]","previouslyFormattedCitation":"[54]"},"properties":{"noteIndex":0},"schema":"https://github.com/citation-style-language/schema/raw/master/csl-citation.json"}</w:instrText>
            </w:r>
            <w:r>
              <w:rPr>
                <w:rFonts w:ascii="Arial" w:hAnsi="Arial" w:cs="Arial"/>
                <w:sz w:val="16"/>
                <w:szCs w:val="20"/>
                <w:lang w:val="en-GB"/>
              </w:rPr>
              <w:fldChar w:fldCharType="separate"/>
            </w:r>
            <w:r w:rsidRPr="00103ADC">
              <w:rPr>
                <w:rFonts w:ascii="Arial" w:hAnsi="Arial" w:cs="Arial"/>
                <w:noProof/>
                <w:sz w:val="16"/>
                <w:szCs w:val="20"/>
                <w:lang w:val="en-GB"/>
              </w:rPr>
              <w:t>[54]</w:t>
            </w:r>
            <w:r>
              <w:rPr>
                <w:rFonts w:ascii="Arial" w:hAnsi="Arial" w:cs="Arial"/>
                <w:sz w:val="16"/>
                <w:szCs w:val="20"/>
                <w:lang w:val="en-GB"/>
              </w:rPr>
              <w:fldChar w:fldCharType="end"/>
            </w:r>
          </w:p>
        </w:tc>
        <w:tc>
          <w:tcPr>
            <w:tcW w:w="1189" w:type="dxa"/>
            <w:shd w:val="clear" w:color="auto" w:fill="auto"/>
          </w:tcPr>
          <w:p w14:paraId="607FFFC4" w14:textId="77777777" w:rsidR="00A70C60" w:rsidRPr="007945EE" w:rsidRDefault="00A70C60" w:rsidP="00B874BD">
            <w:pPr>
              <w:spacing w:after="0"/>
              <w:rPr>
                <w:rFonts w:ascii="Arial" w:hAnsi="Arial" w:cs="Arial"/>
                <w:sz w:val="16"/>
                <w:szCs w:val="20"/>
                <w:lang w:val="en-US"/>
              </w:rPr>
            </w:pPr>
            <w:r w:rsidRPr="007945EE">
              <w:rPr>
                <w:rFonts w:ascii="Arial" w:hAnsi="Arial" w:cs="Arial"/>
                <w:sz w:val="16"/>
                <w:szCs w:val="20"/>
                <w:lang w:val="en-GB"/>
              </w:rPr>
              <w:t>All published sites correctly predicted.</w:t>
            </w:r>
          </w:p>
        </w:tc>
        <w:tc>
          <w:tcPr>
            <w:tcW w:w="1022" w:type="dxa"/>
            <w:shd w:val="clear" w:color="auto" w:fill="auto"/>
          </w:tcPr>
          <w:p w14:paraId="2983D91F" w14:textId="77777777" w:rsidR="00A70C60" w:rsidRPr="007945EE" w:rsidRDefault="00A70C60" w:rsidP="00B874BD">
            <w:pPr>
              <w:spacing w:after="0" w:line="240" w:lineRule="auto"/>
              <w:rPr>
                <w:rFonts w:ascii="Arial" w:hAnsi="Arial" w:cs="Arial"/>
                <w:sz w:val="16"/>
                <w:szCs w:val="20"/>
                <w:lang w:val="en-US"/>
              </w:rPr>
            </w:pPr>
            <w:r w:rsidRPr="007945EE">
              <w:rPr>
                <w:rFonts w:ascii="Arial" w:hAnsi="Arial" w:cs="Arial"/>
                <w:sz w:val="16"/>
                <w:szCs w:val="20"/>
                <w:lang w:val="en-US"/>
              </w:rPr>
              <w:t>CP motifs missed by WESA mode.</w:t>
            </w:r>
          </w:p>
        </w:tc>
      </w:tr>
      <w:tr w:rsidR="00A70C60" w:rsidRPr="00AC2715" w14:paraId="13F0FB4A" w14:textId="77777777" w:rsidTr="00AC2715">
        <w:tc>
          <w:tcPr>
            <w:tcW w:w="885" w:type="dxa"/>
          </w:tcPr>
          <w:p w14:paraId="2A7F8826" w14:textId="6C4F3838" w:rsidR="00A70C60" w:rsidRPr="00E509AF" w:rsidRDefault="00A70C60" w:rsidP="00B874BD">
            <w:pPr>
              <w:spacing w:after="0"/>
              <w:rPr>
                <w:rFonts w:ascii="Arial" w:hAnsi="Arial" w:cs="Arial"/>
                <w:sz w:val="16"/>
                <w:szCs w:val="20"/>
                <w:lang w:val="en-GB"/>
              </w:rPr>
            </w:pPr>
            <w:r>
              <w:rPr>
                <w:rFonts w:ascii="Arial" w:hAnsi="Arial" w:cs="Arial"/>
                <w:sz w:val="16"/>
                <w:szCs w:val="20"/>
                <w:lang w:val="en-GB"/>
              </w:rPr>
              <w:t>23</w:t>
            </w:r>
          </w:p>
        </w:tc>
        <w:tc>
          <w:tcPr>
            <w:tcW w:w="1466" w:type="dxa"/>
            <w:shd w:val="clear" w:color="auto" w:fill="auto"/>
          </w:tcPr>
          <w:p w14:paraId="5E4B4EC6" w14:textId="3B78F5EE" w:rsidR="00A70C60" w:rsidRPr="00E509AF" w:rsidRDefault="00A70C60" w:rsidP="00B874BD">
            <w:pPr>
              <w:spacing w:after="0"/>
              <w:rPr>
                <w:rFonts w:ascii="Arial" w:hAnsi="Arial" w:cs="Arial"/>
                <w:sz w:val="16"/>
                <w:szCs w:val="20"/>
                <w:lang w:val="en-GB"/>
              </w:rPr>
            </w:pPr>
            <w:r w:rsidRPr="00E509AF">
              <w:rPr>
                <w:rFonts w:ascii="Arial" w:hAnsi="Arial" w:cs="Arial"/>
                <w:sz w:val="16"/>
                <w:szCs w:val="20"/>
                <w:lang w:val="en-GB"/>
              </w:rPr>
              <w:t>Iron regulatory protein 1 (IRP1)</w:t>
            </w:r>
          </w:p>
        </w:tc>
        <w:tc>
          <w:tcPr>
            <w:tcW w:w="1235" w:type="dxa"/>
            <w:shd w:val="clear" w:color="auto" w:fill="auto"/>
          </w:tcPr>
          <w:p w14:paraId="0A19E7E9" w14:textId="77777777" w:rsidR="00A70C60" w:rsidRPr="00E509AF" w:rsidRDefault="00A70C60" w:rsidP="00B874BD">
            <w:pPr>
              <w:spacing w:after="0"/>
              <w:rPr>
                <w:rFonts w:ascii="Arial" w:hAnsi="Arial" w:cs="Arial"/>
                <w:sz w:val="16"/>
                <w:lang w:val="en-GB"/>
              </w:rPr>
            </w:pPr>
            <w:r w:rsidRPr="00E509AF">
              <w:rPr>
                <w:rFonts w:ascii="Arial" w:hAnsi="Arial" w:cs="Arial"/>
                <w:i/>
                <w:sz w:val="16"/>
                <w:szCs w:val="20"/>
                <w:lang w:val="en-GB"/>
              </w:rPr>
              <w:t>H. sapiens</w:t>
            </w:r>
          </w:p>
        </w:tc>
        <w:tc>
          <w:tcPr>
            <w:tcW w:w="2125" w:type="dxa"/>
            <w:shd w:val="clear" w:color="auto" w:fill="auto"/>
          </w:tcPr>
          <w:p w14:paraId="1EE2914A" w14:textId="77777777" w:rsidR="00A70C60" w:rsidRPr="00E509AF" w:rsidRDefault="00A70C60" w:rsidP="00B874BD">
            <w:pPr>
              <w:spacing w:after="0"/>
              <w:rPr>
                <w:rFonts w:ascii="Arial" w:hAnsi="Arial" w:cs="Arial"/>
                <w:sz w:val="16"/>
                <w:szCs w:val="20"/>
                <w:vertAlign w:val="superscript"/>
                <w:lang w:val="en-GB"/>
              </w:rPr>
            </w:pPr>
            <w:r w:rsidRPr="00E509AF">
              <w:rPr>
                <w:rFonts w:ascii="Arial" w:hAnsi="Arial" w:cs="Arial"/>
                <w:sz w:val="16"/>
                <w:szCs w:val="20"/>
                <w:lang w:val="en-GB"/>
              </w:rPr>
              <w:t>C</w:t>
            </w:r>
            <w:r w:rsidRPr="00E509AF">
              <w:rPr>
                <w:rFonts w:ascii="Arial" w:hAnsi="Arial" w:cs="Arial"/>
                <w:sz w:val="16"/>
                <w:szCs w:val="20"/>
                <w:vertAlign w:val="superscript"/>
                <w:lang w:val="en-GB"/>
              </w:rPr>
              <w:t>118</w:t>
            </w:r>
            <w:r w:rsidRPr="00E509AF">
              <w:rPr>
                <w:rFonts w:ascii="Arial" w:hAnsi="Arial" w:cs="Arial"/>
                <w:sz w:val="16"/>
                <w:szCs w:val="20"/>
                <w:lang w:val="en-GB"/>
              </w:rPr>
              <w:t>P</w:t>
            </w:r>
          </w:p>
          <w:p w14:paraId="74EC8DD6" w14:textId="77777777" w:rsidR="00A70C60" w:rsidRPr="00E509AF" w:rsidRDefault="00A70C60" w:rsidP="00B874BD">
            <w:pPr>
              <w:spacing w:after="0"/>
              <w:rPr>
                <w:rFonts w:ascii="Arial" w:hAnsi="Arial" w:cs="Arial"/>
                <w:sz w:val="16"/>
                <w:szCs w:val="20"/>
                <w:lang w:val="en-GB"/>
              </w:rPr>
            </w:pPr>
            <w:r w:rsidRPr="00E509AF">
              <w:rPr>
                <w:rFonts w:ascii="Arial" w:hAnsi="Arial" w:cs="Arial"/>
                <w:sz w:val="16"/>
                <w:szCs w:val="20"/>
                <w:lang w:val="en-GB"/>
              </w:rPr>
              <w:t>C</w:t>
            </w:r>
            <w:r w:rsidRPr="00E509AF">
              <w:rPr>
                <w:rFonts w:ascii="Arial" w:hAnsi="Arial" w:cs="Arial"/>
                <w:sz w:val="16"/>
                <w:szCs w:val="20"/>
                <w:vertAlign w:val="superscript"/>
                <w:lang w:val="en-GB"/>
              </w:rPr>
              <w:t>300</w:t>
            </w:r>
            <w:r w:rsidRPr="00E509AF">
              <w:rPr>
                <w:rFonts w:ascii="Arial" w:hAnsi="Arial" w:cs="Arial"/>
                <w:sz w:val="16"/>
                <w:szCs w:val="20"/>
                <w:lang w:val="en-GB"/>
              </w:rPr>
              <w:t>P</w:t>
            </w:r>
          </w:p>
        </w:tc>
        <w:tc>
          <w:tcPr>
            <w:tcW w:w="1246" w:type="dxa"/>
            <w:shd w:val="clear" w:color="auto" w:fill="auto"/>
          </w:tcPr>
          <w:p w14:paraId="320A2F4C" w14:textId="3BD37882" w:rsidR="00A70C60" w:rsidRPr="00FB6C7B" w:rsidRDefault="00A70C60" w:rsidP="007945EE">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{"citationItems":[{"id":"ITEM-1","itemData":{"DOI":"10.1016/j.jinorgbio.2018.01.007","ISSN":"18733344","abstract":"Iron regulatory proteins (IRPs), regulators of iron metabolism in mammalian cells, control the translation of proteins involved in iron uptake, storage and utilization by binding to specific iron-responsive element (IRE) sequences of mRNAs. Two homologs of IRPs (IRP1 and IRP2) have a typical heme regulatory motif (HRM), a consensus sequence found in “heme-regulated proteins”. However, specific heme binding to HRM has been reported only for IRP2, which is essential for oxidative modification and loss of binding to target mRNAs. In this paper, we confirmed that IRP1 also specifically binds two molar equivalents of heme, and found that the absorption and resonance Raman spectra of heme-bound IRP1 were quite similar to those of heme-bound IRP2. This shows that the heme environmental structures in IRP1 are close to those of proteins using heme as a regulatory molecule. Pulse radiolysis experiments, however, clearly revealed an axial ligand exchange from Cys to His immediately after the reduction of the heme iron to form a 5-coordinate His-ligated heme in heme-bound IRP2, whereas the 5-coordinate His-ligated heme was not observed after the reduction of heme-bound IRP1. Considering that the oxidative modification is only observed in heme-bound IRP2, but not IRP1, probably owing to the structural flexibility of IRP2, we propose that the transient 5-coordinate His-ligated heme is a prerequisite for oxidative modification of heme-bound IRP2, which functionally differentiates heme binding of IRP2 from that of IRP1.","author":[{"dropping-particle":"","family":"Ogura","given":"Mariko","non-dropping-particle":"","parse-names":false,"suffix":""},{"dropping-particle":"","family":"Endo","given":"Ryosuke","non-dropping-particle":"","parse-names":false,"suffix":""},{"dropping-particle":"","family":"Ishikawa","given":"Haruto","non-dropping-particle":"","parse-names":false,"suffix":""},{"dropping-particle":"","family":"Takeda","given":"Yukiko","non-dropping-particle":"","parse-names":false,"suffix":""},{"dropping-particle":"","family":"Uchida","given":"Takeshi","non-dropping-particle":"","parse-names":false,"suffix":""},{"dropping-particle":"","family":"Iwai","given":"Kazuhiro","non-dropping-particle":"","parse-names":false,"suffix":""},{"dropping-particle":"","family":"Kobayashi","given":"Kazuo","non-dropping-particle":"","parse-names":false,"suffix":""},{"dropping-particle":"","family":"Ishimori","given":"Koichiro","non-dropping-particle":"","parse-names":false,"suffix":""}],"container-title":"Journal of Inorganic Biochemistry","id":"ITEM-1","issued":{"date-parts":[["2018"]]},"page":"238-248","publisher":"Elsevier Inc","title":"Redox-dependent axial ligand replacement and its functional significance in heme-bound iron regulatory proteins","type":"article-journal","volume":"182"},"uris":["http://www.mendeley.com/documents/?uuid=7d207412-dbca-4396-96f4-01931c0de77b"]},{"id":"ITEM-2","itemData":{"DOI":"10.1016/j.jinorgbio.2019.110726","ISSN":"18733344","abstract":"Iron regulatory proteins (IRPs) control iron metabolism in mammalian cells by binding to the iron-responsive element (IRE) in the target mRNA. Heme regulatory motifs (HRMs) are conserved in the two IRP homologues IRP1 and IRP2 that specifically bind to two and three heme equivalents, respectively; however, only the heme binding to the iron-dependent degradation (IDD) domain of IRP2 causes heme-mediated oxidation, which does not occur in IRP1. Therefore, the functional significance of conserved HRMs outside the IDD domain is yet unclear. In this study, spectroscopic heme titration with IRP mutants confirmed heme binding to each HRM in IRPs, and the effect of heme binding to HRMs on IRE binding was examined. Native polyacrylamide gel electrophoresis analysis revealed that heme binding to HRMs near the IRE binding site inhibits complex formation between IRPs and IRE without oxidative modification, indicating that the function of HRMs varies outside and within the IDD domain. However, the formation of a typical reactive oxygen species (ROS), hydrogen peroxide, was spectroscopically detected in both heme-bound IRPs. Comparing the heme environmental structures surrounding HRMs, the flexible conformation and many amino acid residues sensitive to ROS of the IDD domain were suggested to promote specific oxidation by the generated hydrogen peroxide. Thus, heme binding to HRM near the IRE binding site sterically interferes with IRE binding, while HRM in the IDD domain facilitates specific heme-mediated oxidation of the protein moiety and the protein degradation via the ubiquitin-proteasome system, resulting in the inhibition of IRE binding.","author":[{"dropping-particle":"","family":"Nishitani","given":"Yudai","non-dropping-particle":"","parse-names":false,"suffix":""},{"dropping-particle":"","family":"Okutani","given":"Hirotaka","non-dropping-particle":"","parse-names":false,"suffix":""},{"dropping-particle":"","family":"Takeda","given":"Yukiko","non-dropping-particle":"","parse-names":false,"suffix":""},{"dropping-particle":"","family":"Uchida","given":"Takeshi","non-dropping-particle":"","parse-names":false,"suffix":""},{"dropping-particle":"","family":"Iwai","given":"Kazuhiro","non-dropping-particle":"","parse-names":false,"suffix":""},{"dropping-particle":"","family":"Ishimori","given":"Koichiro","non-dropping-particle":"","parse-names":false,"suffix":""}],"container-title":"Journal of Inorganic Biochemistry","id":"ITEM-2","issue":"June","issued":{"date-parts":[["2019"]]},"page":"110726","publisher":"Elsevier","title":"Specific heme binding to heme regulatory motifs in iron regulatory proteins and its functional significance","type":"article-journal","volume":"198"},"uris":["http://www.mendeley.com/documents/?uuid=d63c995a-c12b-4781-9c23-5e23b1f0c4a5"]}],"mendeley":{"formattedCitation":"[55, 56]","plainTextFormattedCitation":"[55, 56]","previouslyFormattedCitation":"[55, 56]"},"properties":{"noteIndex":0},"schema":"https://github.com/citation-style-language/schema/raw/master/csl-citation.json"}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[55, 56]</w:t>
            </w:r>
            <w:r>
              <w:rPr>
                <w:rFonts w:ascii="Arial" w:hAnsi="Arial" w:cs="Arial"/>
                <w:noProof/>
                <w:sz w:val="16"/>
                <w:szCs w:val="20"/>
                <w:lang w:val="en-US"/>
              </w:rPr>
              <w:fldChar w:fldCharType="end"/>
            </w:r>
          </w:p>
        </w:tc>
        <w:tc>
          <w:tcPr>
            <w:tcW w:w="1189" w:type="dxa"/>
            <w:shd w:val="clear" w:color="auto" w:fill="auto"/>
          </w:tcPr>
          <w:p w14:paraId="4BC54775"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6A532CF7"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CP motifs missed by WESA mode.</w:t>
            </w:r>
          </w:p>
        </w:tc>
      </w:tr>
      <w:tr w:rsidR="00A70C60" w:rsidRPr="00AC2715" w14:paraId="5524BA44" w14:textId="77777777" w:rsidTr="00AC2715">
        <w:tc>
          <w:tcPr>
            <w:tcW w:w="885" w:type="dxa"/>
          </w:tcPr>
          <w:p w14:paraId="2D44C72D" w14:textId="6A6A39B6"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24</w:t>
            </w:r>
          </w:p>
        </w:tc>
        <w:tc>
          <w:tcPr>
            <w:tcW w:w="1466" w:type="dxa"/>
            <w:shd w:val="clear" w:color="auto" w:fill="auto"/>
          </w:tcPr>
          <w:p w14:paraId="1EE50D84" w14:textId="7996E7BA"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Iron regulatory protein 2 (IRP2)</w:t>
            </w:r>
          </w:p>
        </w:tc>
        <w:tc>
          <w:tcPr>
            <w:tcW w:w="1235" w:type="dxa"/>
            <w:shd w:val="clear" w:color="auto" w:fill="auto"/>
          </w:tcPr>
          <w:p w14:paraId="54444D4E" w14:textId="77777777" w:rsidR="00A70C60" w:rsidRPr="00FB6C7B" w:rsidRDefault="00A70C60" w:rsidP="00B874BD">
            <w:pPr>
              <w:spacing w:after="0"/>
              <w:rPr>
                <w:rFonts w:ascii="Arial" w:hAnsi="Arial" w:cs="Arial"/>
                <w:sz w:val="16"/>
                <w:lang w:val="en-US"/>
              </w:rPr>
            </w:pPr>
            <w:r w:rsidRPr="00FB6C7B">
              <w:rPr>
                <w:rFonts w:ascii="Arial" w:hAnsi="Arial" w:cs="Arial"/>
                <w:i/>
                <w:sz w:val="16"/>
                <w:szCs w:val="20"/>
                <w:lang w:val="en-US"/>
              </w:rPr>
              <w:t>H. sapiens</w:t>
            </w:r>
          </w:p>
        </w:tc>
        <w:tc>
          <w:tcPr>
            <w:tcW w:w="2125" w:type="dxa"/>
            <w:shd w:val="clear" w:color="auto" w:fill="auto"/>
          </w:tcPr>
          <w:p w14:paraId="5B5686B2"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201</w:t>
            </w:r>
            <w:r w:rsidRPr="00FB6C7B">
              <w:rPr>
                <w:rFonts w:ascii="Arial" w:hAnsi="Arial" w:cs="Arial"/>
                <w:sz w:val="16"/>
                <w:szCs w:val="20"/>
                <w:lang w:val="en-GB"/>
              </w:rPr>
              <w:t>PXH</w:t>
            </w:r>
            <w:r w:rsidRPr="00FB6C7B">
              <w:rPr>
                <w:rFonts w:ascii="Arial" w:hAnsi="Arial" w:cs="Arial"/>
                <w:sz w:val="16"/>
                <w:szCs w:val="20"/>
                <w:vertAlign w:val="superscript"/>
                <w:lang w:val="en-GB"/>
              </w:rPr>
              <w:t>204</w:t>
            </w:r>
            <w:r w:rsidRPr="00FB6C7B">
              <w:rPr>
                <w:rFonts w:ascii="Arial" w:hAnsi="Arial" w:cs="Arial"/>
                <w:sz w:val="16"/>
                <w:szCs w:val="20"/>
                <w:lang w:val="en-GB"/>
              </w:rPr>
              <w:t>XXXXP</w:t>
            </w:r>
          </w:p>
          <w:p w14:paraId="217A40F2"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w:t>
            </w:r>
            <w:r w:rsidRPr="00FB6C7B">
              <w:rPr>
                <w:rFonts w:ascii="Arial" w:hAnsi="Arial" w:cs="Arial"/>
                <w:sz w:val="16"/>
                <w:szCs w:val="20"/>
                <w:vertAlign w:val="superscript"/>
                <w:lang w:val="en-GB"/>
              </w:rPr>
              <w:t>375</w:t>
            </w:r>
            <w:r w:rsidRPr="00FB6C7B">
              <w:rPr>
                <w:rFonts w:ascii="Arial" w:hAnsi="Arial" w:cs="Arial"/>
                <w:sz w:val="16"/>
                <w:szCs w:val="20"/>
                <w:lang w:val="en-GB"/>
              </w:rPr>
              <w:t>P</w:t>
            </w:r>
          </w:p>
        </w:tc>
        <w:tc>
          <w:tcPr>
            <w:tcW w:w="1246" w:type="dxa"/>
            <w:shd w:val="clear" w:color="auto" w:fill="auto"/>
          </w:tcPr>
          <w:p w14:paraId="6A1A3511" w14:textId="7BC39F6B" w:rsidR="00A70C60" w:rsidRPr="00054765" w:rsidRDefault="00A70C60" w:rsidP="00DA3EB1">
            <w:pPr>
              <w:spacing w:after="0"/>
              <w:jc w:val="center"/>
              <w:rPr>
                <w:rFonts w:ascii="Arial" w:hAnsi="Arial" w:cs="Arial"/>
                <w:sz w:val="16"/>
                <w:szCs w:val="20"/>
                <w:lang w:val="en-US"/>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{"citationItems":[{"id":"ITEM-1","itemData":{"DOI":"10.1038/ncb952","ISSN":"14657392","abstract":"The ubiquitin system is involved in several basic cellular functions 1-3 . Ubiquitination is carried out by a cascade of three reactions catalysed by the E1, E2 and E3 enzymes. Among these, the E3 ubiquitin-protein ligases have a pivotal role in determining the specificity of the system by recognizing the target substrates through defined targeting motifs 1-3 . Although RING finger proteins constitute an important family of E3 ligases 4 , only a few post-transcriptional modifications, including phosphorylation 1 , proline hydroxylation 5,6 and glycosylation 7 , are known to function as recognition signals for E3. Iron regulatory protein 2 (IRP2), a modulator of iron metabolism, is regulated by iron-induced ubiquitination and degradation 8 . Here we show that the RING finger protein HOIL-1 functions as an E3 ligase for oxidized IRP2, suggesting that oxidation is a specific recognition signal for ubiquitination. The oxidation of IRP2 is generated by haem, which binds to IRP2 in iron-rich cells, and by oxygen, indicating that the iron sensing of IRP2 depends on the synthesis and availability of haem.","author":[{"dropping-particle":"","family":"Yamanaka","given":"Koji","non-dropping-particle":"","parse-names":false,"suffix":""},{"dropping-particle":"","family":"Ishikawa","given":"Haruto","non-dropping-particle":"","parse-names":false,"suffix":""},{"dropping-particle":"","family":"Megumi","given":"Yuzuru","non-dropping-particle":"","parse-names":false,"suffix":""},{"dropping-particle":"","family":"Tokunaga","given":"Fuminori","non-dropping-particle":"","parse-names":false,"suffix":""},{"dropping-particle":"","family":"Kanie","given":"Masato","non-dropping-particle":"","parse-names":false,"suffix":""},{"dropping-particle":"","family":"Rouault","given":"Tracey A.","non-dropping-particle":"","parse-names":false,"suffix":""},{"dropping-particle":"","family":"Morishima","given":"Isao","non-dropping-particle":"","parse-names":false,"suffix":""},{"dropping-particle":"","family":"Minato","given":"Nagahiro","non-dropping-particle":"","parse-names":false,"suffix":""},{"dropping-particle":"","family":"Ishimori","given":"Koichiro","non-dropping-particle":"","parse-names":false,"suffix":""},{"dropping-particle":"","family":"Iwai","given":"Kazuhiro","non-dropping-particle":"","parse-names":false,"suffix":""}],"container-title":"Nature Cell Biology","id":"ITEM-1","issue":"4","issued":{"date-parts":[["2003"]]},"page":"336-340","title":"Identification of the ubiquitin-protein ligase that recognizes oxidized IRP2","type":"article-journal","volume":"5"},"uris":["http://www.mendeley.com/documents/?uuid=d259a2fa-493e-4fb4-bb13-411592c5d22d"]},{"id":"ITEM-2","itemData":{"DOI":"10.1016/j.molcel.2005.05.027","ISSN":"10972765","abstract":"Iron regulatory protein 2 (IRP2), a regulator of iron metabolism, is modulated by ubiquitination and degradation. We have shown that IRP2 degradation is triggered by heme-mediated oxidation. We report here that not only Cys201, an invariant residue in the heme regulatory motif (HRM), but also His204 is critical for IRP2 degradation. Spectroscopic studies revealed that Cys201 binds ferric heme, whereas His204 is a ferrous heme binding site, indicating the involvement of these residues in sensing the redox state of the heme iron and in generating the oxidative modification. Moreover, the HRM in IRP2 has been suggested to play a critical role in its recognition by the HOIL-1 ubiquitin ligase. Although HRMs are known to sense heme concentration by simply binding to heme, the HRM in IRP2 specifically contributes to its oxidative modification, its recognition by the ligase, and its sensing of iron concentration after iron is integrated into heme. Copyright ©2005 by Elsevier Inc.","author":[{"dropping-particle":"","family":"Ishikawa","given":"Haruto","non-dropping-particle":"","parse-names":false,"suffix":""},{"dropping-particle":"","family":"Kato","given":"Michiko","non-dropping-particle":"","parse-names":false,"suffix":""},{"dropping-particle":"","family":"Hori","given":"Hiroshi","non-dropping-particle":"","parse-names":false,"suffix":""},{"dropping-particle":"","family":"Ishimori","given":"Koichiro","non-dropping-particle":"","parse-names":false,"suffix":""},{"dropping-particle":"","family":"Kirisako","given":"Takayoshi","non-dropping-particle":"","parse-names":false,"suffix":""},{"dropping-particle":"","family":"Tokunaga","given":"Fuminori","non-dropping-particle":"","parse-names":false,"suffix":""},{"dropping-particle":"","family":"Iwai","given":"Kazuhiro","non-dropping-particle":"","parse-names":false,"suffix":""}],"container-title":"Molecular Cell","id":"ITEM-2","issue":"2","issued":{"date-parts":[["2005"]]},"page":"171-181","title":"Involvement of heme regulatory motif in heme-mediated ubiquitination and degradation of IRP2","type":"article-journal","volume":"19"},"uris":["http://www.mendeley.com/documents/?uuid=ca16d5de-d69c-4daa-8cee-fa873acfe49b"]},{"id":"ITEM-3","itemData":{"DOI":"10.1016/j.jinorgbio.2018.01.007","ISSN":"18733344","abstract":"Iron regulatory proteins (IRPs), regulators of iron metabolism in mammalian cells, control the translation of proteins involved in iron uptake, storage and utilization by binding to specific iron-responsive element (IRE) sequences of mRNAs. Two homologs of IRPs (IRP1 and IRP2) have a typical heme regulatory motif (HRM), a consensus sequence found in “heme-regulated proteins”. However, specific heme binding to HRM has been reported only for IRP2, which is essential for oxidative modification and loss of binding to target mRNAs. In this paper, we confirmed that IRP1 also specifically binds two molar equivalents of heme, and found that the absorption and resonance Raman spectra of heme-bound IRP1 were quite similar to those of heme-bound IRP2. This shows that the heme environmental structures in IRP1 are close to those of proteins using heme as a regulatory molecule. Pulse radiolysis experiments, however, clearly revealed an axial ligand exchange from Cys to His immediately after the reduction of the heme iron to form a 5-coordinate His-ligated heme in heme-bound IRP2, whereas the 5-coordinate His-ligated heme was not observed after the reduction of heme-bound IRP1. Considering that the oxidative modification is only observed in heme-bound IRP2, but not IRP1, probably owing to the structural flexibility of IRP2, we propose that the transient 5-coordinate His-ligated heme is a prerequisite for oxidative modification of heme-bound IRP2, which functionally differentiates heme binding of IRP2 from that of IRP1.","author":[{"dropping-particle":"","family":"Ogura","given":"Mariko","non-dropping-particle":"","parse-names":false,"suffix":""},{"dropping-particle":"","family":"Endo","given":"Ryosuke","non-dropping-particle":"","parse-names":false,"suffix":""},{"dropping-particle":"","family":"Ishikawa","given":"Haruto","non-dropping-particle":"","parse-names":false,"suffix":""},{"dropping-particle":"","family":"Takeda","given":"Yukiko","non-dropping-particle":"","parse-names":false,"suffix":""},{"dropping-particle":"","family":"Uchida","given":"Takeshi","non-dropping-particle":"","parse-names":false,"suffix":""},{"dropping-particle":"","family":"Iwai","given":"Kazuhiro","non-dropping-particle":"","parse-names":false,"suffix":""},{"dropping-particle":"","family":"Kobayashi","given":"Kazuo","non-dropping-particle":"","parse-names":false,"suffix":""},{"dropping-particle":"","family":"Ishimori","given":"Koichiro","non-dropping-particle":"","parse-names":false,"suffix":""}],"container-title":"Journal of Inorganic Biochemistry","id":"ITEM-3","issued":{"date-parts":[["2018"]]},"page":"238-248","publisher":"Elsevier Inc","title":"Redox-dependent axial ligand replacement and its functional significance in heme-bound iron regulatory proteins","type":"article-journal","volume":"182"},"uris":["http://www.mendeley.com/documents/?uuid=7d207412-dbca-4396-96f4-01931c0de77b"]},{"id":"ITEM-4","itemData":{"DOI":"10.1016/j.jinorgbio.2019.110726","ISSN":"18733344","abstract":"Iron regulatory proteins (IRPs) control iron metabolism in mammalian cells by binding to the iron-responsive element (IRE) in the target mRNA. Heme regulatory motifs (HRMs) are conserved in the two IRP homologues IRP1 and IRP2 that specifically bind to two and three heme equivalents, respectively; however, only the heme binding to the iron-dependent degradation (IDD) domain of IRP2 causes heme-mediated oxidation, which does not occur in IRP1. Therefore, the functional significance of conserved HRMs outside the IDD domain is yet unclear. In this study, spectroscopic heme titration with IRP mutants confirmed heme binding to each HRM in IRPs, and the effect of heme binding to HRMs on IRE binding was examined. Native polyacrylamide gel electrophoresis analysis revealed that heme binding to HRMs near the IRE binding site inhibits complex formation between IRPs and IRE without oxidative modification, indicating that the function of HRMs varies outside and within the IDD domain. However, the formation of a typical reactive oxygen species (ROS), hydrogen peroxide, was spectroscopically detected in both heme-bound IRPs. Comparing the heme environmental structures surrounding HRMs, the flexible conformation and many amino acid residues sensitive to ROS of the IDD domain were suggested to promote specific oxidation by the generated hydrogen peroxide. Thus, heme binding to HRM near the IRE binding site sterically interferes with IRE binding, while HRM in the IDD domain facilitates specific heme-mediated oxidation of the protein moiety and the protein degradation via the ubiquitin-proteasome system, resulting in the inhibition of IRE binding.","author":[{"dropping-particle":"","family":"Nishitani","given":"Yudai","non-dropping-particle":"","parse-names":false,"suffix":""},{"dropping-particle":"","family":"Okutani","given":"Hirotaka","non-dropping-particle":"","parse-names":false,"suffix":""},{"dropping-particle":"","family":"Takeda","given":"Yukiko","non-dropping-particle":"","parse-names":false,"suffix":""},{"dropping-particle":"","family":"Uchida","given":"Takeshi","non-dropping-particle":"","parse-names":false,"suffix":""},{"dropping-particle":"","family":"Iwai","given":"Kazuhiro","non-dropping-particle":"","parse-names":false,"suffix":""},{"dropping-particle":"","family":"Ishimori","given":"Koichiro","non-dropping-particle":"","parse-names":false,"suffix":""}],"container-title":"Journal of Inorganic Biochemistry","id":"ITEM-4","issue":"June","issued":{"date-parts":[["2019"]]},"page":"110726","publisher":"Elsevier","title":"Specific heme binding to heme regulatory motifs in iron regulatory proteins and its functional significance","type":"article-journal","volume":"198"},"uris":["http://www.mendeley.com/documents/?uuid=d63c995a-c12b-4781-9c23-5e23b1f0c4a5"]}],"mendeley":{"formattedCitation":"[55–58]","plainTextFormattedCitation":"[55–58]","previouslyFormattedCitation":"[55–58]"},"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US"/>
              </w:rPr>
              <w:t>[55–58]</w:t>
            </w:r>
            <w:r>
              <w:rPr>
                <w:rFonts w:ascii="Arial" w:hAnsi="Arial" w:cs="Arial"/>
                <w:noProof/>
                <w:sz w:val="16"/>
                <w:szCs w:val="20"/>
                <w:lang w:val="en-GB"/>
              </w:rPr>
              <w:fldChar w:fldCharType="end"/>
            </w:r>
          </w:p>
        </w:tc>
        <w:tc>
          <w:tcPr>
            <w:tcW w:w="1189" w:type="dxa"/>
            <w:shd w:val="clear" w:color="auto" w:fill="auto"/>
          </w:tcPr>
          <w:p w14:paraId="0A72AD03" w14:textId="77777777" w:rsidR="00A70C60" w:rsidRPr="00054765" w:rsidRDefault="00A70C60" w:rsidP="00B874BD">
            <w:pPr>
              <w:spacing w:after="0"/>
              <w:rPr>
                <w:rFonts w:ascii="Arial" w:hAnsi="Arial" w:cs="Arial"/>
                <w:sz w:val="16"/>
                <w:szCs w:val="20"/>
                <w:lang w:val="en-US"/>
              </w:rPr>
            </w:pPr>
            <w:r w:rsidRPr="00054765">
              <w:rPr>
                <w:rFonts w:ascii="Arial" w:hAnsi="Arial" w:cs="Arial"/>
                <w:sz w:val="16"/>
                <w:szCs w:val="20"/>
                <w:lang w:val="en-US"/>
              </w:rPr>
              <w:t>All published sites correctly predicted.</w:t>
            </w:r>
          </w:p>
        </w:tc>
        <w:tc>
          <w:tcPr>
            <w:tcW w:w="1022" w:type="dxa"/>
            <w:shd w:val="clear" w:color="auto" w:fill="auto"/>
          </w:tcPr>
          <w:p w14:paraId="6C640BC7" w14:textId="77777777" w:rsidR="00A70C60" w:rsidRPr="00054765" w:rsidRDefault="00A70C60" w:rsidP="00B874BD">
            <w:pPr>
              <w:spacing w:after="0" w:line="240" w:lineRule="auto"/>
              <w:rPr>
                <w:rFonts w:ascii="Arial" w:hAnsi="Arial" w:cs="Arial"/>
                <w:sz w:val="16"/>
                <w:szCs w:val="20"/>
                <w:lang w:val="en-US"/>
              </w:rPr>
            </w:pPr>
            <w:r w:rsidRPr="00054765">
              <w:rPr>
                <w:rFonts w:ascii="Arial" w:hAnsi="Arial" w:cs="Arial"/>
                <w:sz w:val="16"/>
                <w:szCs w:val="20"/>
                <w:lang w:val="en-US"/>
              </w:rPr>
              <w:t>CP motifs missed by WESA mode.</w:t>
            </w:r>
          </w:p>
        </w:tc>
      </w:tr>
      <w:tr w:rsidR="00A70C60" w:rsidRPr="00AC2715" w14:paraId="5F34E7D1" w14:textId="77777777" w:rsidTr="00AC2715">
        <w:tc>
          <w:tcPr>
            <w:tcW w:w="885" w:type="dxa"/>
          </w:tcPr>
          <w:p w14:paraId="2514F575" w14:textId="71B48050" w:rsidR="00A70C60" w:rsidRPr="00054765" w:rsidRDefault="00A70C60" w:rsidP="00B874BD">
            <w:pPr>
              <w:spacing w:after="0"/>
              <w:rPr>
                <w:rFonts w:ascii="Arial" w:hAnsi="Arial" w:cs="Arial"/>
                <w:sz w:val="16"/>
                <w:szCs w:val="20"/>
                <w:lang w:val="en-US"/>
              </w:rPr>
            </w:pPr>
            <w:r>
              <w:rPr>
                <w:rFonts w:ascii="Arial" w:hAnsi="Arial" w:cs="Arial"/>
                <w:sz w:val="16"/>
                <w:szCs w:val="20"/>
                <w:lang w:val="en-US"/>
              </w:rPr>
              <w:t>25</w:t>
            </w:r>
          </w:p>
        </w:tc>
        <w:tc>
          <w:tcPr>
            <w:tcW w:w="1466" w:type="dxa"/>
            <w:shd w:val="clear" w:color="auto" w:fill="auto"/>
          </w:tcPr>
          <w:p w14:paraId="7D0AAEF9" w14:textId="4299E5E2" w:rsidR="00A70C60" w:rsidRPr="00054765" w:rsidRDefault="00A70C60" w:rsidP="00B874BD">
            <w:pPr>
              <w:spacing w:after="0"/>
              <w:rPr>
                <w:rFonts w:ascii="Arial" w:hAnsi="Arial" w:cs="Arial"/>
                <w:sz w:val="16"/>
                <w:szCs w:val="20"/>
                <w:lang w:val="en-US"/>
              </w:rPr>
            </w:pPr>
            <w:r w:rsidRPr="00054765">
              <w:rPr>
                <w:rFonts w:ascii="Arial" w:hAnsi="Arial" w:cs="Arial"/>
                <w:sz w:val="16"/>
                <w:szCs w:val="20"/>
                <w:lang w:val="en-US"/>
              </w:rPr>
              <w:t>Janus kinase 2 (JAK2)</w:t>
            </w:r>
          </w:p>
        </w:tc>
        <w:tc>
          <w:tcPr>
            <w:tcW w:w="1235" w:type="dxa"/>
            <w:shd w:val="clear" w:color="auto" w:fill="auto"/>
          </w:tcPr>
          <w:p w14:paraId="1DE7725B" w14:textId="77777777" w:rsidR="00A70C60" w:rsidRPr="00FB6C7B" w:rsidRDefault="00A70C60" w:rsidP="00B874BD">
            <w:pPr>
              <w:spacing w:after="0"/>
              <w:rPr>
                <w:rFonts w:ascii="Arial" w:hAnsi="Arial" w:cs="Arial"/>
                <w:sz w:val="16"/>
                <w:lang w:val="en-US"/>
              </w:rPr>
            </w:pPr>
            <w:r w:rsidRPr="00054765">
              <w:rPr>
                <w:rFonts w:ascii="Arial" w:hAnsi="Arial" w:cs="Arial"/>
                <w:i/>
                <w:sz w:val="16"/>
                <w:szCs w:val="20"/>
                <w:lang w:val="en-US"/>
              </w:rPr>
              <w:t>H. sapi</w:t>
            </w:r>
            <w:r w:rsidRPr="00FB6C7B">
              <w:rPr>
                <w:rFonts w:ascii="Arial" w:hAnsi="Arial" w:cs="Arial"/>
                <w:i/>
                <w:sz w:val="16"/>
                <w:szCs w:val="20"/>
                <w:lang w:val="en-US"/>
              </w:rPr>
              <w:t>ens</w:t>
            </w:r>
          </w:p>
        </w:tc>
        <w:tc>
          <w:tcPr>
            <w:tcW w:w="2125" w:type="dxa"/>
            <w:shd w:val="clear" w:color="auto" w:fill="auto"/>
          </w:tcPr>
          <w:p w14:paraId="531AD61D"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RPDG</w:t>
            </w:r>
            <w:r w:rsidRPr="00FB6C7B">
              <w:rPr>
                <w:rFonts w:ascii="Arial" w:hAnsi="Arial" w:cs="Arial"/>
                <w:bCs/>
                <w:sz w:val="16"/>
                <w:szCs w:val="20"/>
                <w:lang w:val="en-GB"/>
              </w:rPr>
              <w:t>C</w:t>
            </w:r>
            <w:r w:rsidRPr="00FB6C7B">
              <w:rPr>
                <w:rFonts w:ascii="Arial" w:hAnsi="Arial" w:cs="Arial"/>
                <w:sz w:val="16"/>
                <w:szCs w:val="20"/>
                <w:vertAlign w:val="superscript"/>
                <w:lang w:val="en-GB"/>
              </w:rPr>
              <w:t>1094</w:t>
            </w:r>
            <w:r w:rsidRPr="00FB6C7B">
              <w:rPr>
                <w:rFonts w:ascii="Arial" w:hAnsi="Arial" w:cs="Arial"/>
                <w:bCs/>
                <w:sz w:val="16"/>
                <w:szCs w:val="20"/>
                <w:lang w:val="en-GB"/>
              </w:rPr>
              <w:t>P</w:t>
            </w:r>
            <w:r w:rsidRPr="00FB6C7B">
              <w:rPr>
                <w:rFonts w:ascii="Arial" w:hAnsi="Arial" w:cs="Arial"/>
                <w:sz w:val="16"/>
                <w:szCs w:val="20"/>
                <w:lang w:val="en-GB"/>
              </w:rPr>
              <w:t>DEI</w:t>
            </w:r>
          </w:p>
        </w:tc>
        <w:tc>
          <w:tcPr>
            <w:tcW w:w="1246" w:type="dxa"/>
            <w:shd w:val="clear" w:color="auto" w:fill="auto"/>
          </w:tcPr>
          <w:p w14:paraId="4794F432" w14:textId="1FDA971A" w:rsidR="00A70C60" w:rsidRPr="00FB6C7B" w:rsidRDefault="00A70C60" w:rsidP="006F7A9A">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{"citationItems":[{"id":"ITEM-1","itemData":{"abstract":"Protein tyrosine kinases play key roles in many molecular and cellular processes in diverse living organisms. Their proper functioning is crucial for the normal growth, development, and health in humans, whereas their dysfunction can cause serious diseases, including various cancers. As such, intense studies have been performed to understand the molecular mechanisms by which the activities of protein tyrosine kinases are regulated in mammalian cells. Particularly, small molecules that can modulate the activity of tyrosine kinases are of great importance for discovering therapeutic drug candidates for numerous diseases. Notably, heme cannot only serve as a prosthetic group for hemoglobins and enzymes, but it also is a small signaling molecule that can control the activity of diverse signaling and regulatory proteins. Using a computational search, we found that a group of non-membrane spanning tyrosine kinases contains one or more CP motifs that can potentially bind to heme and mediate heme regulation. We then used experimental approaches to determine whether heme can affect the activity of any of these tyrosine kinases. We found that heme indeed affects the phosphorylation of key tyrosine residues in Jak2 and Src, and is therefore able to modulate Jak2 and Src activity. Further experiments showed that Jak2 and Src bind to heme and that the presence of heme alters the sensitivity of Jak2 and Src to trypsin digestion. These results suggest that heme actively interacts with Jak2 and Src and alters their conformation. © 2010 Elsevier Inc.","author":[{"dropping-particle":"","family":"Yao","given":"Xiao","non-dropping-particle":"","parse-names":false,"suffix":""},{"dropping-particle":"","family":"Balamurugan","given":"Parimaladevi","non-dropping-particle":"","parse-names":false,"suffix":""},{"dropping-particle":"","family":"Arvey","given":"Aaron","non-dropping-particle":"","parse-names":false,"suffix":""},{"dropping-particle":"","family":"Leslie","given":"Christina","non-dropping-particle":"","parse-names":false,"suffix":""},{"dropping-particle":"","family":"Zhang","given":"Li","non-dropping-particle":"","parse-names":false,"suffix":""}],"container-title":"Biochemical and Biophysical Research Communications","id":"ITEM-1","issued":{"date-parts":[["2010"]]},"title":"Heme controls the regulation of protein tyrosine kinases Jak2 and Src","type":"article-journal"},"uris":["http://www.mendeley.com/documents/?uuid=5cd624c1-f865-36ef-b3f5-a4553ec4e082"]}],"mendeley":{"formattedCitation":"[59]","plainTextFormattedCitation":"[59]","previouslyFormattedCitation":"[59]"},"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[59]</w:t>
            </w:r>
            <w:r>
              <w:rPr>
                <w:rFonts w:ascii="Arial" w:hAnsi="Arial" w:cs="Arial"/>
                <w:noProof/>
                <w:sz w:val="16"/>
                <w:szCs w:val="20"/>
                <w:lang w:val="en-US"/>
              </w:rPr>
              <w:fldChar w:fldCharType="end"/>
            </w:r>
          </w:p>
        </w:tc>
        <w:tc>
          <w:tcPr>
            <w:tcW w:w="1189" w:type="dxa"/>
            <w:shd w:val="clear" w:color="auto" w:fill="auto"/>
          </w:tcPr>
          <w:p w14:paraId="3868FDF4"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 xml:space="preserve">All published sites </w:t>
            </w:r>
            <w:r w:rsidRPr="00FB6C7B">
              <w:rPr>
                <w:rFonts w:ascii="Arial" w:hAnsi="Arial" w:cs="Arial"/>
                <w:sz w:val="16"/>
                <w:szCs w:val="20"/>
                <w:lang w:val="en-GB"/>
              </w:rPr>
              <w:lastRenderedPageBreak/>
              <w:t>correctly predicted.</w:t>
            </w:r>
          </w:p>
        </w:tc>
        <w:tc>
          <w:tcPr>
            <w:tcW w:w="1022" w:type="dxa"/>
            <w:shd w:val="clear" w:color="auto" w:fill="auto"/>
          </w:tcPr>
          <w:p w14:paraId="2EE340AD"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lastRenderedPageBreak/>
              <w:t xml:space="preserve">CP motifs missed by </w:t>
            </w:r>
            <w:r w:rsidRPr="00FB6C7B">
              <w:rPr>
                <w:rFonts w:ascii="Arial" w:hAnsi="Arial" w:cs="Arial"/>
                <w:sz w:val="16"/>
                <w:szCs w:val="20"/>
                <w:lang w:val="en-US"/>
              </w:rPr>
              <w:lastRenderedPageBreak/>
              <w:t>WESA mode.</w:t>
            </w:r>
          </w:p>
        </w:tc>
      </w:tr>
      <w:tr w:rsidR="00A70C60" w:rsidRPr="00AC2715" w14:paraId="411FBD86" w14:textId="77777777" w:rsidTr="00AC2715">
        <w:tc>
          <w:tcPr>
            <w:tcW w:w="885" w:type="dxa"/>
          </w:tcPr>
          <w:p w14:paraId="53F772D6" w14:textId="32C341EF" w:rsidR="00A70C60" w:rsidRPr="00E509AF" w:rsidRDefault="00A70C60" w:rsidP="00B874BD">
            <w:pPr>
              <w:spacing w:after="0"/>
              <w:rPr>
                <w:rFonts w:ascii="Arial" w:hAnsi="Arial" w:cs="Arial"/>
                <w:sz w:val="16"/>
                <w:szCs w:val="20"/>
                <w:lang w:val="en-GB"/>
              </w:rPr>
            </w:pPr>
            <w:r>
              <w:rPr>
                <w:rFonts w:ascii="Arial" w:hAnsi="Arial" w:cs="Arial"/>
                <w:sz w:val="16"/>
                <w:szCs w:val="20"/>
                <w:lang w:val="en-GB"/>
              </w:rPr>
              <w:lastRenderedPageBreak/>
              <w:t>26</w:t>
            </w:r>
          </w:p>
        </w:tc>
        <w:tc>
          <w:tcPr>
            <w:tcW w:w="1466" w:type="dxa"/>
            <w:shd w:val="clear" w:color="auto" w:fill="auto"/>
          </w:tcPr>
          <w:p w14:paraId="0BAE14E5" w14:textId="301941A0" w:rsidR="00A70C60" w:rsidRPr="00E509AF" w:rsidRDefault="00A70C60" w:rsidP="00B874BD">
            <w:pPr>
              <w:spacing w:after="0"/>
              <w:rPr>
                <w:rFonts w:ascii="Arial" w:hAnsi="Arial" w:cs="Arial"/>
                <w:sz w:val="16"/>
                <w:szCs w:val="20"/>
                <w:lang w:val="en-GB"/>
              </w:rPr>
            </w:pPr>
            <w:r w:rsidRPr="00E509AF">
              <w:rPr>
                <w:rFonts w:ascii="Arial" w:hAnsi="Arial" w:cs="Arial"/>
                <w:sz w:val="16"/>
                <w:szCs w:val="20"/>
                <w:lang w:val="en-GB"/>
              </w:rPr>
              <w:t>K</w:t>
            </w:r>
            <w:r w:rsidRPr="00E509AF">
              <w:rPr>
                <w:rFonts w:ascii="Arial" w:hAnsi="Arial" w:cs="Arial"/>
                <w:sz w:val="16"/>
                <w:szCs w:val="20"/>
                <w:vertAlign w:val="subscript"/>
                <w:lang w:val="en-GB"/>
              </w:rPr>
              <w:t>ATP</w:t>
            </w:r>
            <w:r w:rsidRPr="00E509AF">
              <w:rPr>
                <w:rFonts w:ascii="Arial" w:hAnsi="Arial" w:cs="Arial"/>
                <w:sz w:val="16"/>
                <w:szCs w:val="20"/>
                <w:lang w:val="en-GB"/>
              </w:rPr>
              <w:t xml:space="preserve"> channels</w:t>
            </w:r>
          </w:p>
        </w:tc>
        <w:tc>
          <w:tcPr>
            <w:tcW w:w="1235" w:type="dxa"/>
            <w:shd w:val="clear" w:color="auto" w:fill="auto"/>
          </w:tcPr>
          <w:p w14:paraId="3064521C" w14:textId="46B2652D" w:rsidR="00A70C60" w:rsidRPr="00E509AF" w:rsidRDefault="00A70C60" w:rsidP="00B874BD">
            <w:pPr>
              <w:spacing w:after="0"/>
              <w:rPr>
                <w:rFonts w:ascii="Arial" w:hAnsi="Arial" w:cs="Arial"/>
                <w:lang w:val="en-GB"/>
              </w:rPr>
            </w:pPr>
            <w:r>
              <w:rPr>
                <w:rFonts w:ascii="Arial" w:hAnsi="Arial" w:cs="Arial"/>
                <w:i/>
                <w:sz w:val="16"/>
                <w:szCs w:val="20"/>
                <w:lang w:val="en-US"/>
              </w:rPr>
              <w:t>R. norvegicus</w:t>
            </w:r>
          </w:p>
        </w:tc>
        <w:tc>
          <w:tcPr>
            <w:tcW w:w="2125" w:type="dxa"/>
            <w:shd w:val="clear" w:color="auto" w:fill="auto"/>
          </w:tcPr>
          <w:p w14:paraId="13AEC980" w14:textId="77777777" w:rsidR="00A70C60" w:rsidRPr="00E509AF" w:rsidRDefault="00A70C60" w:rsidP="00B874BD">
            <w:pPr>
              <w:spacing w:after="0"/>
              <w:rPr>
                <w:rFonts w:ascii="Arial" w:hAnsi="Arial" w:cs="Arial"/>
                <w:color w:val="000000"/>
                <w:lang w:val="en-GB"/>
              </w:rPr>
            </w:pPr>
            <w:r w:rsidRPr="00E509AF">
              <w:rPr>
                <w:rFonts w:ascii="Arial" w:hAnsi="Arial" w:cs="Arial"/>
                <w:color w:val="000000"/>
                <w:sz w:val="16"/>
                <w:lang w:val="en-GB"/>
              </w:rPr>
              <w:t>C</w:t>
            </w:r>
            <w:r w:rsidRPr="00E509AF">
              <w:rPr>
                <w:rFonts w:ascii="Arial" w:hAnsi="Arial" w:cs="Arial"/>
                <w:color w:val="000000"/>
                <w:sz w:val="16"/>
                <w:vertAlign w:val="superscript"/>
                <w:lang w:val="en-GB"/>
              </w:rPr>
              <w:t>628</w:t>
            </w:r>
            <w:r w:rsidRPr="00E509AF">
              <w:rPr>
                <w:rFonts w:ascii="Arial" w:hAnsi="Arial" w:cs="Arial"/>
                <w:color w:val="000000"/>
                <w:sz w:val="16"/>
                <w:lang w:val="en-GB"/>
              </w:rPr>
              <w:t>XXH(X)</w:t>
            </w:r>
            <w:r w:rsidRPr="00E509AF">
              <w:rPr>
                <w:rFonts w:ascii="Arial" w:hAnsi="Arial" w:cs="Arial"/>
                <w:color w:val="000000"/>
                <w:sz w:val="16"/>
                <w:vertAlign w:val="subscript"/>
                <w:lang w:val="en-GB"/>
              </w:rPr>
              <w:t>16</w:t>
            </w:r>
            <w:r w:rsidRPr="00E509AF">
              <w:rPr>
                <w:rFonts w:ascii="Arial" w:hAnsi="Arial" w:cs="Arial"/>
                <w:color w:val="000000"/>
                <w:sz w:val="16"/>
                <w:lang w:val="en-GB"/>
              </w:rPr>
              <w:t>H</w:t>
            </w:r>
            <w:r w:rsidRPr="00E509AF">
              <w:rPr>
                <w:rFonts w:ascii="Arial" w:hAnsi="Arial" w:cs="Arial"/>
                <w:color w:val="000000"/>
                <w:sz w:val="16"/>
                <w:vertAlign w:val="superscript"/>
                <w:lang w:val="en-GB"/>
              </w:rPr>
              <w:t>648</w:t>
            </w:r>
          </w:p>
        </w:tc>
        <w:tc>
          <w:tcPr>
            <w:tcW w:w="1246" w:type="dxa"/>
            <w:shd w:val="clear" w:color="auto" w:fill="auto"/>
          </w:tcPr>
          <w:p w14:paraId="3374F85C" w14:textId="65AAAC4D" w:rsidR="00A70C60" w:rsidRPr="00FB6C7B" w:rsidRDefault="00A70C60" w:rsidP="006F7A9A">
            <w:pPr>
              <w:spacing w:after="0"/>
              <w:jc w:val="center"/>
              <w:rPr>
                <w:rFonts w:ascii="Arial" w:hAnsi="Arial" w:cs="Arial"/>
                <w:sz w:val="16"/>
                <w:szCs w:val="20"/>
                <w:lang w:val="en-US"/>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{"citationItems":[{"id":"ITEM-1","itemData":{"DOI":"10.1073/pnas.1600211113","ISSN":"0027-8424","abstract":"Heme iron has many and varied roles in biology. Most commonly it binds as a prosthetic group to proteins, and it has been widely supposed and amply demonstrated that subtle variations in the protein structure around the heme, including the heme ligands, are used to control the reactivity of the metal ion. However, the role of heme in biology now appears to also include a regulatory responsibility in the cell; this includes regulation of ion channel function. In this work, we show that cardiac KATPchannels are regulated by heme. We identify a cytoplasmic heme-binding CXXHX16H motif on the sulphonylurea receptor subunit of the channel, and mutagenesis together with quantitative and spectroscopic analyses of heme-binding and single channel experiments identified Cys628 and His648 as important for heme binding. We discuss the wider implications of these findings and we use the information to present hypotheses for mechanisms of heme-dependent regulation across other ion channels.","author":[{"dropping-particle":"","family":"Burton","given":"Mark J.","non-dropping-particle":"","parse-names":false,"suffix":""},{"dropping-particle":"","family":"Kapetanaki","given":"Sofia M.","non-dropping-particle":"","parse-names":false,"suffix":""},{"dropping-particle":"","family":"Chernova","given":"Tatyana","non-dropping-particle":"","parse-names":false,"suffix":""},{"dropping-particle":"","family":"Jamieson","given":"Andrew G.","non-dropping-particle":"","parse-names":false,"suffix":""},{"dropping-particle":"","family":"Dorlet","given":"Pierre","non-dropping-particle":"","parse-names":false,"suffix":""},{"dropping-particle":"","family":"Santolini","given":"Jérôme","non-dropping-particle":"","parse-names":false,"suffix":""},{"dropping-particle":"","family":"Moody","given":"Peter C.E. E.","non-dropping-particle":"","parse-names":false,"suffix":""},{"dropping-particle":"","family":"Mitcheson","given":"John S.","non-dropping-particle":"","parse-names":false,"suffix":""},{"dropping-particle":"","family":"Davies","given":"Noel W.","non-dropping-particle":"","parse-names":false,"suffix":""},{"dropping-particle":"","family":"Schmid","given":"Ralf","non-dropping-particle":"","parse-names":false,"suffix":""},{"dropping-particle":"","family":"Raven","given":"Emma L.","non-dropping-particle":"","parse-names":false,"suffix":""},{"dropping-particle":"","family":"Storey","given":"Nina M.","non-dropping-particle":"","parse-names":false,"suffix":""}],"container-title":"Proceedings of the National Academy of Sciences","id":"ITEM-1","issue":"14","issued":{"date-parts":[["2016"]]},"page":"3785-3790","title":"A heme-binding domain controls regulation of ATP-dependent potassium channels","type":"article-journal","volume":"113"},"uris":["http://www.mendeley.com/documents/?uuid=95292986-6d34-40f8-9b09-12e574a98089","http://www.mendeley.com/documents/?uuid=256e61f4-cde3-408c-a7e3-18966e4c0945"]}],"mendeley":{"formattedCitation":"[60]","plainTextFormattedCitation":"[60]","previouslyFormattedCitation":"[60]"},"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[60]</w:t>
            </w:r>
            <w:r>
              <w:rPr>
                <w:rFonts w:ascii="Arial" w:hAnsi="Arial" w:cs="Arial"/>
                <w:noProof/>
                <w:sz w:val="16"/>
                <w:szCs w:val="20"/>
                <w:lang w:val="en-GB"/>
              </w:rPr>
              <w:fldChar w:fldCharType="end"/>
            </w:r>
          </w:p>
        </w:tc>
        <w:tc>
          <w:tcPr>
            <w:tcW w:w="1189" w:type="dxa"/>
            <w:shd w:val="clear" w:color="auto" w:fill="auto"/>
          </w:tcPr>
          <w:p w14:paraId="2968B87E"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317A6FCC"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4EA267C8" w14:textId="77777777" w:rsidTr="00AC2715">
        <w:tc>
          <w:tcPr>
            <w:tcW w:w="885" w:type="dxa"/>
          </w:tcPr>
          <w:p w14:paraId="51ABF113" w14:textId="3732ACBB"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27</w:t>
            </w:r>
          </w:p>
        </w:tc>
        <w:tc>
          <w:tcPr>
            <w:tcW w:w="1466" w:type="dxa"/>
            <w:shd w:val="clear" w:color="auto" w:fill="auto"/>
          </w:tcPr>
          <w:p w14:paraId="79B6A467" w14:textId="56FD622B" w:rsidR="00A70C60" w:rsidRPr="00FB6C7B" w:rsidRDefault="00A70C60" w:rsidP="00B874BD">
            <w:pPr>
              <w:spacing w:after="0"/>
              <w:rPr>
                <w:rFonts w:ascii="Arial" w:hAnsi="Arial" w:cs="Arial"/>
                <w:sz w:val="16"/>
                <w:szCs w:val="20"/>
                <w:lang w:val="en-GB"/>
              </w:rPr>
            </w:pPr>
            <w:proofErr w:type="spellStart"/>
            <w:r w:rsidRPr="00FB6C7B">
              <w:rPr>
                <w:rFonts w:ascii="Arial" w:hAnsi="Arial" w:cs="Arial"/>
                <w:sz w:val="16"/>
                <w:szCs w:val="20"/>
                <w:lang w:val="en-GB"/>
              </w:rPr>
              <w:t>Neudesin</w:t>
            </w:r>
            <w:proofErr w:type="spellEnd"/>
          </w:p>
        </w:tc>
        <w:tc>
          <w:tcPr>
            <w:tcW w:w="1235" w:type="dxa"/>
            <w:shd w:val="clear" w:color="auto" w:fill="auto"/>
          </w:tcPr>
          <w:p w14:paraId="6ECE04BE" w14:textId="77777777" w:rsidR="00A70C60" w:rsidRPr="00FB6C7B" w:rsidRDefault="00A70C60" w:rsidP="00B874BD">
            <w:pPr>
              <w:spacing w:after="0"/>
              <w:rPr>
                <w:rFonts w:ascii="Arial" w:hAnsi="Arial" w:cs="Arial"/>
                <w:lang w:val="en-GB"/>
              </w:rPr>
            </w:pPr>
            <w:r w:rsidRPr="00FB6C7B">
              <w:rPr>
                <w:rFonts w:ascii="Arial" w:hAnsi="Arial" w:cs="Arial"/>
                <w:i/>
                <w:iCs/>
                <w:sz w:val="16"/>
                <w:szCs w:val="20"/>
                <w:lang w:val="en-GB"/>
              </w:rPr>
              <w:t>M. musculus</w:t>
            </w:r>
          </w:p>
        </w:tc>
        <w:tc>
          <w:tcPr>
            <w:tcW w:w="2125" w:type="dxa"/>
            <w:shd w:val="clear" w:color="auto" w:fill="auto"/>
          </w:tcPr>
          <w:p w14:paraId="7098DAA4"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3308BBE4" w14:textId="67C6374C" w:rsidR="00A70C60" w:rsidRPr="00FB6C7B" w:rsidRDefault="00A70C60" w:rsidP="006F7A9A">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{"citationItems":[{"id":"ITEM-1","itemData":{"DOI":"10.1074/jbc.M706679200","ISSN":"00219258","abstract":"Neudesin is a secreted protein with neurotrophic activity in neurons and undifferentiated neural cells. We report here that neudesin is an extracellular heme-binding protein and that its neurotrophic activity is dependent on the binding of heme to its cytochrome b(5)-like heme/steroid-binding domain. At first, we found that at least a portion of the purified recombinant neudesin appeared to bind hemin because the purified neudesin solution was tinged with green and had a sharp absorbance peak at 402 nm. The addition of exogenous hemin extensively increased the amount of hemin-bound neudesin. In contrast, neudesinDeltaHBD, a mutant lacking the heme-binding domain, could not bind hemin. The neurotrophic activity of the recombinant neudesin that bound exogenous hemin (neudesin-hemin) was significantly greater than that of the recombinant neudesin in either primary cultured neurons or Neuro2a cells, suggesting that the activity of neudesin depends on hemin. The neurotrophic activity of neudesin was enhanced by the binding of Fe(III)-protoporphyrin IX, but neither Fe(II)-protoporphyrin IX nor protoporphyrin IX alone. The inhibition of endogenous neudesin by RNA interference significantly decreased cell survival in Neuro2a cells. This indicates that endogenous neudesin possibly contains hemin. The experiment with anti-neudesin antibody suggested that the endogenous neudesin detected in the culture medium of Neuro2a cells was associated with hemin because it was not retained on a heme-affinity column at all. Neudesin is the first extracellular heme-binding protein that shows signal transducing activity by itself. The present findings may shed new light on the function of extracellular heme-binding proteins.","author":[{"dropping-particle":"","family":"Kimura","given":"Ikuo","non-dropping-particle":"","parse-names":false,"suffix":""},{"dropping-particle":"","family":"Nakayama","given":"Yoshiaki","non-dropping-particle":"","parse-names":false,"suffix":""},{"dropping-particle":"","family":"Yamauchi","given":"Hajime","non-dropping-particle":"","parse-names":false,"suffix":""},{"dropping-particle":"","family":"Konishi","given":"Morichika","non-dropping-particle":"","parse-names":false,"suffix":""},{"dropping-particle":"","family":"Miyake","given":"Ayumi","non-dropping-particle":"","parse-names":false,"suffix":""},{"dropping-particle":"","family":"Mori","given":"Masahiro","non-dropping-particle":"","parse-names":false,"suffix":""},{"dropping-particle":"","family":"Ohta","given":"Mitsuhiro","non-dropping-particle":"","parse-names":false,"suffix":""},{"dropping-particle":"","family":"Itoh","given":"Nobuyuki","non-dropping-particle":"","parse-names":false,"suffix":""},{"dropping-particle":"","family":"Fujimoto","given":"Masafumi","non-dropping-particle":"","parse-names":false,"suffix":""}],"container-title":"Journal of Biological Chemistry","id":"ITEM-1","issue":"7","issued":{"date-parts":[["2008"]]},"page":"4323-4331","title":"Neurotrophic activity of neudesin, a novel extracellular heme-binding protein, is dependent on the binding of heme to its cytochrome b 5-like heme/steroid-binding domain","type":"article-journal","volume":"283"},"uris":["http://www.mendeley.com/documents/?uuid=2e5fe372-4e00-441a-b1ad-70094c66f650"]}],"mendeley":{"formattedCitation":"[61]","plainTextFormattedCitation":"[61]","previouslyFormattedCitation":"[61]"},"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[61]</w:t>
            </w:r>
            <w:r>
              <w:rPr>
                <w:rFonts w:ascii="Arial" w:hAnsi="Arial" w:cs="Arial"/>
                <w:noProof/>
                <w:sz w:val="16"/>
                <w:szCs w:val="20"/>
                <w:lang w:val="en-US"/>
              </w:rPr>
              <w:fldChar w:fldCharType="end"/>
            </w:r>
          </w:p>
        </w:tc>
        <w:tc>
          <w:tcPr>
            <w:tcW w:w="1189" w:type="dxa"/>
            <w:shd w:val="clear" w:color="auto" w:fill="auto"/>
          </w:tcPr>
          <w:p w14:paraId="711CEC79"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Up to 5 potential motifs predicted.</w:t>
            </w:r>
          </w:p>
        </w:tc>
        <w:tc>
          <w:tcPr>
            <w:tcW w:w="1022" w:type="dxa"/>
            <w:shd w:val="clear" w:color="auto" w:fill="auto"/>
          </w:tcPr>
          <w:p w14:paraId="7DA8C534"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7945EE" w14:paraId="044F5A8A" w14:textId="77777777" w:rsidTr="00AC2715">
        <w:tc>
          <w:tcPr>
            <w:tcW w:w="885" w:type="dxa"/>
          </w:tcPr>
          <w:p w14:paraId="23DFF194" w14:textId="1D7DF121"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28</w:t>
            </w:r>
          </w:p>
        </w:tc>
        <w:tc>
          <w:tcPr>
            <w:tcW w:w="1466" w:type="dxa"/>
            <w:shd w:val="clear" w:color="auto" w:fill="auto"/>
          </w:tcPr>
          <w:p w14:paraId="4774424A" w14:textId="4C4C3D7E" w:rsidR="00A70C60" w:rsidRPr="00FB6C7B" w:rsidRDefault="00A70C60" w:rsidP="00B874BD">
            <w:pPr>
              <w:spacing w:after="0"/>
              <w:rPr>
                <w:rFonts w:ascii="Arial" w:hAnsi="Arial" w:cs="Arial"/>
                <w:sz w:val="16"/>
                <w:szCs w:val="20"/>
                <w:lang w:val="en-US"/>
              </w:rPr>
            </w:pPr>
            <w:proofErr w:type="spellStart"/>
            <w:r w:rsidRPr="00FB6C7B">
              <w:rPr>
                <w:rFonts w:ascii="Arial" w:hAnsi="Arial" w:cs="Arial"/>
                <w:sz w:val="16"/>
                <w:szCs w:val="20"/>
                <w:lang w:val="en-US"/>
              </w:rPr>
              <w:t>Neuferricin</w:t>
            </w:r>
            <w:proofErr w:type="spellEnd"/>
          </w:p>
        </w:tc>
        <w:tc>
          <w:tcPr>
            <w:tcW w:w="1235" w:type="dxa"/>
            <w:shd w:val="clear" w:color="auto" w:fill="auto"/>
          </w:tcPr>
          <w:p w14:paraId="521FFA88" w14:textId="77777777" w:rsidR="00A70C60" w:rsidRPr="00FB6C7B" w:rsidRDefault="00A70C60" w:rsidP="00B874BD">
            <w:pPr>
              <w:spacing w:after="0"/>
              <w:rPr>
                <w:rFonts w:ascii="Arial" w:hAnsi="Arial" w:cs="Arial"/>
                <w:lang w:val="en-US"/>
              </w:rPr>
            </w:pPr>
            <w:r w:rsidRPr="00FB6C7B">
              <w:rPr>
                <w:rFonts w:ascii="Arial" w:hAnsi="Arial" w:cs="Arial"/>
                <w:i/>
                <w:iCs/>
                <w:sz w:val="16"/>
                <w:szCs w:val="20"/>
                <w:lang w:val="en-GB"/>
              </w:rPr>
              <w:t>M. musculus</w:t>
            </w:r>
          </w:p>
        </w:tc>
        <w:tc>
          <w:tcPr>
            <w:tcW w:w="2125" w:type="dxa"/>
            <w:shd w:val="clear" w:color="auto" w:fill="auto"/>
          </w:tcPr>
          <w:p w14:paraId="2FDB1198"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023EB410" w14:textId="67D78AB2" w:rsidR="00A70C60" w:rsidRPr="00FB6C7B" w:rsidRDefault="00A70C60" w:rsidP="006F7A9A">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{"citationItems":[{"id":"ITEM-1","itemData":{"DOI":"10.1111/j.1471-4159.2009.06522.x","ISSN":"00223042","abstract":"We identified a novel extracellular heme-binding protein and named it neuferricin. The recombinant mouse neuferricin produced in High Five cells was secreted efficiently into the culture medium. Mouse neuferricin mRNA was expressed mainly in the brain at the embryo stage and gradually increased during development. At postnatal stage, it was widely expressed in the brain, heart, adrenal gland, and kidney. Mouse neuferricin has 263 amino acids. It has a cytochrome b5-like heme/steroid-binding domain and appeared to bind hemin because neuferricin solution, but not a solution of neuferricinDeltaHBD (a mutant lacking the heme-binding domain), was tinged with brown and had an absorbance peak at 402 nm. In addition, the experiment with anti-neuferricin antibody using heme-affinity chromatography proved that the endogenous neuferricin detected in the culture medium of Neuro2a cells was associated with hemin. Inhibition of endogenous neuferricin by RNA interference excessively promoted cell survival and proliferation and suppressed neurite outgrowth during the induction of differentiation in Neuro2a cells. Addition of recombinant mouse neuferricin, but not neuferricinDeltaHBD, suppressed survival of Neuro2a cells and rescued from the effects of neuferricin RNAi. In primary cultured mouse neural precursor cells, recombinant mouse neuferricin exhibited the ability to promote neurogenesis. The identification of neuferricin, a novel extracellular heme-binding protein with cytochrome b5-like heme/steroid-binding domain and its neurogenic activity, provide new insights not only into brain development but also the function of heme-binding proteins as extracellular signal transmitters.","author":[{"dropping-particle":"","family":"Kimura","given":"Ikuo","non-dropping-particle":"","parse-names":false,"suffix":""},{"dropping-particle":"","family":"Nakayama","given":"Yoshiaki","non-dropping-particle":"","parse-names":false,"suffix":""},{"dropping-particle":"","family":"Konishi","given":"Morichika","non-dropping-particle":"","parse-names":false,"suffix":""},{"dropping-particle":"","family":"Kobayashi","given":"Teruyuki","non-dropping-particle":"","parse-names":false,"suffix":""},{"dropping-particle":"","family":"Mori","given":"Masahiro","non-dropping-particle":"","parse-names":false,"suffix":""},{"dropping-particle":"","family":"Ito","given":"Masaki","non-dropping-particle":"","parse-names":false,"suffix":""},{"dropping-particle":"","family":"Hirasawa","given":"Akira","non-dropping-particle":"","parse-names":false,"suffix":""},{"dropping-particle":"","family":"Tsujimoto","given":"Gozoh","non-dropping-particle":"","parse-names":false,"suffix":""},{"dropping-particle":"","family":"Ohta","given":"Mitsuhiro","non-dropping-particle":"","parse-names":false,"suffix":""},{"dropping-particle":"","family":"Itoh","given":"Nobuyuki","non-dropping-particle":"","parse-names":false,"suffix":""},{"dropping-particle":"","family":"Fujimoto","given":"Masafumi","non-dropping-particle":"","parse-names":false,"suffix":""}],"container-title":"Journal of Neurochemistry","id":"ITEM-1","issue":"5","issued":{"date-parts":[["2010"]]},"page":"1156-1167","title":"Neuferricin, a novel extracellular heme-binding protein, promotes neurogenesis","type":"article-journal","volume":"112"},"uris":["http://www.mendeley.com/documents/?uuid=056f28e6-851a-4e03-abfd-9c16a7c2e64b"]}],"mendeley":{"formattedCitation":"[62]","plainTextFormattedCitation":"[62]","previouslyFormattedCitation":"[62]"},"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[62]</w:t>
            </w:r>
            <w:r>
              <w:rPr>
                <w:rFonts w:ascii="Arial" w:hAnsi="Arial" w:cs="Arial"/>
                <w:noProof/>
                <w:sz w:val="16"/>
                <w:szCs w:val="20"/>
                <w:lang w:val="en-GB"/>
              </w:rPr>
              <w:fldChar w:fldCharType="end"/>
            </w:r>
          </w:p>
        </w:tc>
        <w:tc>
          <w:tcPr>
            <w:tcW w:w="1189" w:type="dxa"/>
            <w:shd w:val="clear" w:color="auto" w:fill="auto"/>
          </w:tcPr>
          <w:p w14:paraId="3A8E73FF"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6 potential motifs predicted.</w:t>
            </w:r>
          </w:p>
        </w:tc>
        <w:tc>
          <w:tcPr>
            <w:tcW w:w="1022" w:type="dxa"/>
            <w:shd w:val="clear" w:color="auto" w:fill="auto"/>
          </w:tcPr>
          <w:p w14:paraId="0604E199"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7945EE" w14:paraId="665A74FD" w14:textId="77777777" w:rsidTr="00AC2715">
        <w:trPr>
          <w:trHeight w:val="459"/>
        </w:trPr>
        <w:tc>
          <w:tcPr>
            <w:tcW w:w="885" w:type="dxa"/>
          </w:tcPr>
          <w:p w14:paraId="741F843A" w14:textId="0521BF60"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29</w:t>
            </w:r>
          </w:p>
        </w:tc>
        <w:tc>
          <w:tcPr>
            <w:tcW w:w="1466" w:type="dxa"/>
            <w:shd w:val="clear" w:color="auto" w:fill="auto"/>
          </w:tcPr>
          <w:p w14:paraId="73511D32" w14:textId="61437655"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NMDA Receptor</w:t>
            </w:r>
          </w:p>
        </w:tc>
        <w:tc>
          <w:tcPr>
            <w:tcW w:w="1235" w:type="dxa"/>
            <w:shd w:val="clear" w:color="auto" w:fill="auto"/>
          </w:tcPr>
          <w:p w14:paraId="09DA08CB" w14:textId="77777777" w:rsidR="00A70C60" w:rsidRPr="00FB6C7B" w:rsidRDefault="00A70C60" w:rsidP="00B874BD">
            <w:pPr>
              <w:spacing w:after="0"/>
              <w:rPr>
                <w:rFonts w:ascii="Arial" w:hAnsi="Arial" w:cs="Arial"/>
                <w:lang w:val="en-US"/>
              </w:rPr>
            </w:pPr>
            <w:r w:rsidRPr="00FB6C7B">
              <w:rPr>
                <w:rFonts w:ascii="Arial" w:hAnsi="Arial" w:cs="Arial"/>
                <w:i/>
                <w:iCs/>
                <w:sz w:val="16"/>
                <w:szCs w:val="20"/>
                <w:lang w:val="en-GB"/>
              </w:rPr>
              <w:t>M. musculus</w:t>
            </w:r>
          </w:p>
        </w:tc>
        <w:tc>
          <w:tcPr>
            <w:tcW w:w="2125" w:type="dxa"/>
            <w:shd w:val="clear" w:color="auto" w:fill="auto"/>
          </w:tcPr>
          <w:p w14:paraId="0C901084"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0DD65759" w14:textId="5D652EBA" w:rsidR="00A70C60" w:rsidRPr="007945EE" w:rsidRDefault="00A70C60" w:rsidP="006F7A9A">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{"citationItems":[{"id":"ITEM-1","itemData":{"DOI":"10.1523/jneurosci.0792-07.2007","ISSN":"0270-6474","abstract":"The early stages of many neurodegenerative diseases and age-related degeneration are characterized by neurite damage and compromised synaptic function that precede neuronal cell death. We investigated the signaling mechanisms underlying neurite degeneration using cortical neuron cultures. Inhibition of heme synthesis caused neurite damage, without neuronal death, and was mediated by reduced NMDA receptor (NMDAR) expression and phosphorylation. The signaling toward the degenerative phenotype involved suppression of the extracellular signal-regulated kinase 1/2 (ERK1/2) pathway, and electrophysiological recording showed that the neurodegeneration is accompanied by reduced NMDAR current and Ca2+ influx, as well as reduced voltage-gated sodium currents, consistent with compromised neurite integrity. Rescue from the degenerative phenotype by heme replacement was dependent on restoration of NR2B subunit phosphorylation and expression of NMDAR currents with higher Ca2+ permeability, consistent with triggering prosurvival ERK1/2 signaling to maintain and extend neurites. This study demonstrated a new mechanism of neurodegeneration in which impaired heme synthesis led to NMDAR signaling dysfunction, suppression of the prosurvival ERK1/2 pathway, and progressive fragmentation of neuronal projections. Copyright © 2007 Society for Neuroscience.","author":[{"dropping-particle":"","family":"Chernova","given":"T.","non-dropping-particle":"","parse-names":false,"suffix":""},{"dropping-particle":"","family":"Steinert","given":"J. R.","non-dropping-particle":"","parse-names":false,"suffix":""},{"dropping-particle":"","family":"Guerin","given":"C. J.","non-dropping-particle":"","parse-names":false,"suffix":""},{"dropping-particle":"","family":"Nicotera","given":"P.","non-dropping-particle":"","parse-names":false,"suffix":""},{"dropping-particle":"","family":"Forsythe","given":"I. D.","non-dropping-particle":"","parse-names":false,"suffix":""},{"dropping-particle":"","family":"Smith","given":"A. G.","non-dropping-particle":"","parse-names":false,"suffix":""}],"container-title":"Journal of Neuroscience","id":"ITEM-1","issue":"32","issued":{"date-parts":[["2007"]]},"page":"8475-8485","title":"Neurite Degeneration Induced by Heme Deficiency Mediated via Inhibition of NMDA Receptor-Dependent Extracellular Signal-Regulated Kinase 1/2 Activation","type":"article-journal","volume":"27"},"uris":["http://www.mendeley.com/documents/?uuid=5bb54f99-a104-4da2-a6e1-ebde2980d961"]},{"id":"ITEM-2","itemData":{"DOI":"10.1016/j.neurobiolaging.2008.09.004","ISSN":"01974580","abstract":"The therapeutic use of statins in reducing cholesterol requires careful assessment of potential neuroprotective and/or neurotoxic mechanisms. Chronic treatment with mevastatin (MV) exerts effects on cortical neuron morphology, protein expression and synaptic function in primary culture. MV impaired expression of synaptic proteins, reduced N-methyl-d-aspartate receptor (NMDAR) currents and accelerated neurodegeneration associated with aging. The down-regulating effect of MV on neuronal protein expression was additive with aging-associated decline in culture. Induction of Heme oxygenase-1 (HMOX1) by MV was superimposed on age-related up-regulation. Comparison of MV-treated and heme-deficient neurons showed that inhibition of heme synthesis (by succinyl acetone) had similar damaging effect on neurite integrity and MNDAR expression and function but not on expression of the receptor for neuropeptide Y1 (NPY1R). Replacement of heme in heme-deficient cultures restored protein expression but had no effect in those cultures co-treated with MV. Despite the dramatic induction of HMOX1, intracellular heme remained sufficient in MV-treated cultures, consistent with a heme-independent mechanism of MV-induced neurotoxicity and this was confirmed by analysing neurons with lentiviral over-expression of HMOX1. We conclude that MV exerts a neurotoxic effect in cultured neurons in a heme-independent manner. © 2008 Elsevier Inc.","author":[{"dropping-particle":"","family":"Kannan","given":"Madhuvanthi","non-dropping-particle":"","parse-names":false,"suffix":""},{"dropping-particle":"","family":"Steinert","given":"Joern R.","non-dropping-particle":"","parse-names":false,"suffix":""},{"dropping-particle":"","family":"Forsythe","given":"Ian D.","non-dropping-particle":"","parse-names":false,"suffix":""},{"dropping-particle":"","family":"Smith","given":"Andrew G.","non-dropping-particle":"","parse-names":false,"suffix":""},{"dropping-particle":"","family":"Chernova","given":"Tatyana","non-dropping-particle":"","parse-names":false,"suffix":""}],"container-title":"Neurobiology of Aging","id":"ITEM-2","issue":"9","issued":{"date-parts":[["2010"]]},"page":"1543-1553","publisher":"Elsevier Inc.","title":"Mevastatin accelerates loss of synaptic proteins and neurite degeneration in aging cortical neurons in a heme-independent manner","type":"article-journal","volume":"31"},"uris":["http://www.mendeley.com/documents/?uuid=b5af62e0-d5f0-4007-bcdf-86fe00a690b1"]}],"mendeley":{"formattedCitation":"[63, 64]","plainTextFormattedCitation":"[63, 64]","previouslyFormattedCitation":"[63, 64]"},"properties":{"noteIndex":0},"schema":"https://github.com/citation-style-language/schema/raw/master/csl-citation.json"}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[63, 64]</w:t>
            </w:r>
            <w:r>
              <w:rPr>
                <w:rFonts w:ascii="Arial" w:hAnsi="Arial" w:cs="Arial"/>
                <w:noProof/>
                <w:sz w:val="16"/>
                <w:szCs w:val="20"/>
                <w:lang w:val="en-GB"/>
              </w:rPr>
              <w:fldChar w:fldCharType="end"/>
            </w:r>
          </w:p>
        </w:tc>
        <w:tc>
          <w:tcPr>
            <w:tcW w:w="1189" w:type="dxa"/>
            <w:shd w:val="clear" w:color="auto" w:fill="auto"/>
          </w:tcPr>
          <w:p w14:paraId="72E1981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33 potential motifs predicted.</w:t>
            </w:r>
          </w:p>
        </w:tc>
        <w:tc>
          <w:tcPr>
            <w:tcW w:w="1022" w:type="dxa"/>
            <w:shd w:val="clear" w:color="auto" w:fill="auto"/>
          </w:tcPr>
          <w:p w14:paraId="5393C0DB"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259C56D3" w14:textId="77777777" w:rsidTr="00AC2715">
        <w:tc>
          <w:tcPr>
            <w:tcW w:w="885" w:type="dxa"/>
          </w:tcPr>
          <w:p w14:paraId="13EAA8CA" w14:textId="6AD42D95"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30</w:t>
            </w:r>
          </w:p>
        </w:tc>
        <w:tc>
          <w:tcPr>
            <w:tcW w:w="1466" w:type="dxa"/>
            <w:shd w:val="clear" w:color="auto" w:fill="auto"/>
          </w:tcPr>
          <w:p w14:paraId="3746E92C" w14:textId="78208DBE"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p53</w:t>
            </w:r>
          </w:p>
        </w:tc>
        <w:tc>
          <w:tcPr>
            <w:tcW w:w="1235" w:type="dxa"/>
            <w:shd w:val="clear" w:color="auto" w:fill="auto"/>
          </w:tcPr>
          <w:p w14:paraId="366C1FF7"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6D131E8B"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C</w:t>
            </w:r>
            <w:r w:rsidRPr="00FB6C7B">
              <w:rPr>
                <w:rFonts w:ascii="Arial" w:hAnsi="Arial" w:cs="Arial"/>
                <w:sz w:val="16"/>
                <w:szCs w:val="20"/>
                <w:vertAlign w:val="superscript"/>
                <w:lang w:val="en-US"/>
              </w:rPr>
              <w:t>275</w:t>
            </w:r>
            <w:r w:rsidRPr="00FB6C7B">
              <w:rPr>
                <w:rFonts w:ascii="Arial" w:hAnsi="Arial" w:cs="Arial"/>
                <w:sz w:val="16"/>
                <w:szCs w:val="20"/>
                <w:lang w:val="en-US"/>
              </w:rPr>
              <w:t>AC</w:t>
            </w:r>
            <w:r w:rsidRPr="00FB6C7B">
              <w:rPr>
                <w:rFonts w:ascii="Arial" w:hAnsi="Arial" w:cs="Arial"/>
                <w:sz w:val="16"/>
                <w:szCs w:val="20"/>
                <w:vertAlign w:val="superscript"/>
                <w:lang w:val="en-US"/>
              </w:rPr>
              <w:t>277</w:t>
            </w:r>
            <w:r w:rsidRPr="00FB6C7B">
              <w:rPr>
                <w:rFonts w:ascii="Arial" w:hAnsi="Arial" w:cs="Arial"/>
                <w:sz w:val="16"/>
                <w:szCs w:val="20"/>
                <w:lang w:val="en-US"/>
              </w:rPr>
              <w:t>P</w:t>
            </w:r>
          </w:p>
        </w:tc>
        <w:tc>
          <w:tcPr>
            <w:tcW w:w="1246" w:type="dxa"/>
            <w:shd w:val="clear" w:color="auto" w:fill="auto"/>
          </w:tcPr>
          <w:p w14:paraId="1187B635" w14:textId="7315F038" w:rsidR="00A70C60" w:rsidRPr="007945EE" w:rsidRDefault="00A70C60" w:rsidP="000340B6">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{"citationItems":[{"id":"ITEM-1","itemData":{"DOI":"10.1016/j.celrep.2014.02.042","ISSN":"22111247","abstract":"Iron excess is closely associated with tumorigenesis in multiple types of human cancers, with underlying mechanisms yet unclear. Recently, iron deprivation has emerged as a major strategy for chemotherapy, but it exerts tumor suppression only on select human malignancies. Here, we report that the tumor suppressor protein p53 is downregulated during iron excess. Strikingly, the iron polyporphyrin heme binds to p53 protein, interferes with p53-DNA interactions, and triggers both nuclear export and cytosolic degradation of p53. Moreover, in a tumorigenicity assay, iron deprivation suppressed wild-type p53-dependent tumor growth, suggesting that upregulation of wild-type p53 signaling underlies the selective efficacy of iron deprivation. Our findings thus identify a direct link between iron/heme homeostasis and the regulation of p53 signaling, which not only provides mechanistic insights into iron-excess-associated tumorigenesis but may also help predict and improve outcomes in iron-deprivation-based chemotherapy. © 2014 The Authors.","author":[{"dropping-particle":"","family":"Shen","given":"Jia","non-dropping-particle":"","parse-names":false,"suffix":""},{"dropping-particle":"","family":"Sheng","given":"Xiangpeng","non-dropping-particle":"","parse-names":false,"suffix":""},{"dropping-particle":"","family":"Chang","given":"Ze Nan","non-dropping-particle":"","parse-names":false,"suffix":""},{"dropping-particle":"","family":"Wu","given":"Qian","non-dropping-particle":"","parse-names":false,"suffix":""},{"dropping-particle":"","family":"Wang","given":"Sheng","non-dropping-particle":"","parse-names":false,"suffix":""},{"dropping-particle":"","family":"Xuan","given":"Zongliang","non-dropping-particle":"","parse-names":false,"suffix":""},{"dropping-particle":"","family":"Li","given":"Dan","non-dropping-particle":"","parse-names":false,"suffix":""},{"dropping-particle":"","family":"Wu","given":"Yalan","non-dropping-particle":"","parse-names":false,"suffix":""},{"dropping-particle":"","family":"Shang","given":"Yongjia","non-dropping-particle":"","parse-names":false,"suffix":""},{"dropping-particle":"","family":"Kong","given":"Xiangtao","non-dropping-particle":"","parse-names":false,"suffix":""},{"dropping-particle":"","family":"Yu","given":"Long","non-dropping-particle":"","parse-names":false,"suffix":""},{"dropping-particle":"","family":"Li","given":"Lin","non-dropping-particle":"","parse-names":false,"suffix":""},{"dropping-particle":"","family":"Ruan","given":"Kangchen","non-dropping-particle":"","parse-names":false,"suffix":""},{"dropping-particle":"","family":"Hu","given":"Hongyu","non-dropping-particle":"","parse-names":false,"suffix":""},{"dropping-particle":"","family":"Huang","given":"Ying","non-dropping-particle":"","parse-names":false,"suffix":""},{"dropping-particle":"","family":"Hui","given":"Lijian","non-dropping-particle":"","parse-names":false,"suffix":""},{"dropping-particle":"","family":"Xie","given":"Dong","non-dropping-particle":"","parse-names":false,"suffix":""},{"dropping-particle":"","family":"Wang","given":"Fudi","non-dropping-particle":"","parse-names":false,"suffix":""},{"dropping-particle":"","family":"Hu","given":"Ronggui","non-dropping-particle":"","parse-names":false,"suffix":""}],"container-title":"Cell Reports","id":"ITEM-1","issue":"1","issued":{"date-parts":[["2014"]]},"page":"180-193","publisher":"The Authors","title":"Iron metabolism regulates p53 signaling through direct Heme-p53 interaction and modulation of p53 localization, stability, and function","type":"article-journal","volume":"7"},"uris":["http://www.mendeley.com/documents/?uuid=6b66e1ef-5341-4883-9953-3323eeb14ec4"]},{"id":"ITEM-2","itemData":{"DOI":"10.4161/23723548.2014.965642","ISSN":"23723556","abstract":"Recently, we reported that heme binds to tumor suppressor p53 protein (TP53, best known as p53) and promotes its nuclear export and cytosolic degradation, whereas iron chelation stabilizes p53 protein and suppresses tumors in a p53-dependent manner. This not only provides mechanistic insights into tumorigenesis associated with iron excess, but also helps guide the administration of chemotherapy based on iron deprivation in the clinic.","author":[{"dropping-particle":"","family":"Shen","given":"Jia","non-dropping-particle":"","parse-names":false,"suffix":""},{"dropping-particle":"","family":"Sheng","given":"Xiangpeng","non-dropping-particle":"","parse-names":false,"suffix":""},{"dropping-particle":"","family":"Chang","given":"Ze Nan","non-dropping-particle":"","parse-names":false,"suffix":""},{"dropping-particle":"","family":"Wu","given":"Qian","non-dropping-particle":"","parse-names":false,"suffix":""},{"dropping-particle":"","family":"Xie","given":"Dong","non-dropping-particle":"","parse-names":false,"suffix":""},{"dropping-particle":"","family":"Wang","given":"Fudi","non-dropping-particle":"","parse-names":false,"suffix":""},{"dropping-particle":"","family":"Hu","given":"Ronggui","non-dropping-particle":"","parse-names":false,"suffix":""}],"container-title":"Molecular and Cellular Oncology","id":"ITEM-2","issue":"1","issued":{"date-parts":[["2016"]]},"page":"5-7","title":"The heme–p53 interaction: Linking iron metabolism to p53 signaling and tumorigenesis","type":"article-journal","volume":"3"},"uris":["http://www.mendeley.com/documents/?uuid=4a056bfb-ced7-4547-9b52-b89560121389"]}],"mendeley":{"formattedCitation":"[65, 66]","plainTextFormattedCitation":"[65, 66]","previouslyFormattedCitation":"[65, 66]"},"properties":{"noteIndex":0},"schema":"https://github.com/citation-style-language/schema/raw/master/csl-citation.json"}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[65, 66]</w:t>
            </w:r>
            <w:r>
              <w:rPr>
                <w:rFonts w:ascii="Arial" w:hAnsi="Arial" w:cs="Arial"/>
                <w:noProof/>
                <w:sz w:val="16"/>
                <w:szCs w:val="20"/>
                <w:lang w:val="en-GB"/>
              </w:rPr>
              <w:fldChar w:fldCharType="end"/>
            </w:r>
          </w:p>
        </w:tc>
        <w:tc>
          <w:tcPr>
            <w:tcW w:w="1189" w:type="dxa"/>
            <w:shd w:val="clear" w:color="auto" w:fill="auto"/>
          </w:tcPr>
          <w:p w14:paraId="1E65BE89"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404B58D9"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CP motifs missed by WESA mode.</w:t>
            </w:r>
          </w:p>
        </w:tc>
      </w:tr>
      <w:tr w:rsidR="00A70C60" w:rsidRPr="00AC2715" w14:paraId="2D428EBB" w14:textId="77777777" w:rsidTr="00AC2715">
        <w:tc>
          <w:tcPr>
            <w:tcW w:w="885" w:type="dxa"/>
          </w:tcPr>
          <w:p w14:paraId="13501010" w14:textId="4B350A49"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31</w:t>
            </w:r>
          </w:p>
        </w:tc>
        <w:tc>
          <w:tcPr>
            <w:tcW w:w="1466" w:type="dxa"/>
            <w:shd w:val="clear" w:color="auto" w:fill="auto"/>
          </w:tcPr>
          <w:p w14:paraId="79BB95E5" w14:textId="2C59FD1D"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p63</w:t>
            </w:r>
          </w:p>
        </w:tc>
        <w:tc>
          <w:tcPr>
            <w:tcW w:w="1235" w:type="dxa"/>
            <w:shd w:val="clear" w:color="auto" w:fill="auto"/>
          </w:tcPr>
          <w:p w14:paraId="2C7269B4"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3C4DED7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CXCP</w:t>
            </w:r>
          </w:p>
        </w:tc>
        <w:tc>
          <w:tcPr>
            <w:tcW w:w="1246" w:type="dxa"/>
            <w:shd w:val="clear" w:color="auto" w:fill="auto"/>
          </w:tcPr>
          <w:p w14:paraId="149AD3BB" w14:textId="72A45CC8" w:rsidR="00A70C60" w:rsidRPr="00FB6C7B" w:rsidRDefault="00A70C60" w:rsidP="000340B6">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{"citationItems":[{"id":"ITEM-1","itemData":{"DOI":"10.1016/j.celrep.2014.02.042","ISSN":"22111247","abstract":"Iron excess is closely associated with tumorigenesis in multiple types of human cancers, with underlying mechanisms yet unclear. Recently, iron deprivation has emerged as a major strategy for chemotherapy, but it exerts tumor suppression only on select human malignancies. Here, we report that the tumor suppressor protein p53 is downregulated during iron excess. Strikingly, the iron polyporphyrin heme binds to p53 protein, interferes with p53-DNA interactions, and triggers both nuclear export and cytosolic degradation of p53. Moreover, in a tumorigenicity assay, iron deprivation suppressed wild-type p53-dependent tumor growth, suggesting that upregulation of wild-type p53 signaling underlies the selective efficacy of iron deprivation. Our findings thus identify a direct link between iron/heme homeostasis and the regulation of p53 signaling, which not only provides mechanistic insights into iron-excess-associated tumorigenesis but may also help predict and improve outcomes in iron-deprivation-based chemotherapy. © 2014 The Authors.","author":[{"dropping-particle":"","family":"Shen","given":"Jia","non-dropping-particle":"","parse-names":false,"suffix":""},{"dropping-particle":"","family":"Sheng","given":"Xiangpeng","non-dropping-particle":"","parse-names":false,"suffix":""},{"dropping-particle":"","family":"Chang","given":"Ze Nan","non-dropping-particle":"","parse-names":false,"suffix":""},{"dropping-particle":"","family":"Wu","given":"Qian","non-dropping-particle":"","parse-names":false,"suffix":""},{"dropping-particle":"","family":"Wang","given":"Sheng","non-dropping-particle":"","parse-names":false,"suffix":""},{"dropping-particle":"","family":"Xuan","given":"Zongliang","non-dropping-particle":"","parse-names":false,"suffix":""},{"dropping-particle":"","family":"Li","given":"Dan","non-dropping-particle":"","parse-names":false,"suffix":""},{"dropping-particle":"","family":"Wu","given":"Yalan","non-dropping-particle":"","parse-names":false,"suffix":""},{"dropping-particle":"","family":"Shang","given":"Yongjia","non-dropping-particle":"","parse-names":false,"suffix":""},{"dropping-particle":"","family":"Kong","given":"Xiangtao","non-dropping-particle":"","parse-names":false,"suffix":""},{"dropping-particle":"","family":"Yu","given":"Long","non-dropping-particle":"","parse-names":false,"suffix":""},{"dropping-particle":"","family":"Li","given":"Lin","non-dropping-particle":"","parse-names":false,"suffix":""},{"dropping-particle":"","family":"Ruan","given":"Kangchen","non-dropping-particle":"","parse-names":false,"suffix":""},{"dropping-particle":"","family":"Hu","given":"Hongyu","non-dropping-particle":"","parse-names":false,"suffix":""},{"dropping-particle":"","family":"Huang","given":"Ying","non-dropping-particle":"","parse-names":false,"suffix":""},{"dropping-particle":"","family":"Hui","given":"Lijian","non-dropping-particle":"","parse-names":false,"suffix":""},{"dropping-particle":"","family":"Xie","given":"Dong","non-dropping-particle":"","parse-names":false,"suffix":""},{"dropping-particle":"","family":"Wang","given":"Fudi","non-dropping-particle":"","parse-names":false,"suffix":""},{"dropping-particle":"","family":"Hu","given":"Ronggui","non-dropping-particle":"","parse-names":false,"suffix":""}],"container-title":"Cell Reports","id":"ITEM-1","issue":"1","issued":{"date-parts":[["2014"]]},"page":"180-193","publisher":"The Authors","title":"Iron metabolism regulates p53 signaling through direct Heme-p53 interaction and modulation of p53 localization, stability, and function","type":"article-journal","volume":"7"},"uris":["http://www.mendeley.com/documents/?uuid=6b66e1ef-5341-4883-9953-3323eeb14ec4"]}],"mendeley":{"formattedCitation":"[65]","plainTextFormattedCitation":"[65]","previouslyFormattedCitation":"[65]"},"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[65]</w:t>
            </w:r>
            <w:r>
              <w:rPr>
                <w:rFonts w:ascii="Arial" w:hAnsi="Arial" w:cs="Arial"/>
                <w:noProof/>
                <w:sz w:val="16"/>
                <w:szCs w:val="20"/>
                <w:lang w:val="en-GB"/>
              </w:rPr>
              <w:fldChar w:fldCharType="end"/>
            </w:r>
          </w:p>
        </w:tc>
        <w:tc>
          <w:tcPr>
            <w:tcW w:w="1189" w:type="dxa"/>
            <w:shd w:val="clear" w:color="auto" w:fill="auto"/>
          </w:tcPr>
          <w:p w14:paraId="12B971F2"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6F550F8D"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CP motifs missed by WESA mode.</w:t>
            </w:r>
          </w:p>
        </w:tc>
      </w:tr>
      <w:tr w:rsidR="00A70C60" w:rsidRPr="00AC2715" w14:paraId="07631616" w14:textId="77777777" w:rsidTr="00AC2715">
        <w:tc>
          <w:tcPr>
            <w:tcW w:w="885" w:type="dxa"/>
          </w:tcPr>
          <w:p w14:paraId="650775C2" w14:textId="258579D0"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32</w:t>
            </w:r>
          </w:p>
        </w:tc>
        <w:tc>
          <w:tcPr>
            <w:tcW w:w="1466" w:type="dxa"/>
            <w:shd w:val="clear" w:color="auto" w:fill="auto"/>
          </w:tcPr>
          <w:p w14:paraId="6D6A752C" w14:textId="0184F714"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p73</w:t>
            </w:r>
          </w:p>
        </w:tc>
        <w:tc>
          <w:tcPr>
            <w:tcW w:w="1235" w:type="dxa"/>
            <w:shd w:val="clear" w:color="auto" w:fill="auto"/>
          </w:tcPr>
          <w:p w14:paraId="281DFFA3"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21E4E45D"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CXCP</w:t>
            </w:r>
          </w:p>
        </w:tc>
        <w:tc>
          <w:tcPr>
            <w:tcW w:w="1246" w:type="dxa"/>
            <w:shd w:val="clear" w:color="auto" w:fill="auto"/>
          </w:tcPr>
          <w:p w14:paraId="65197696" w14:textId="2863D67B" w:rsidR="00A70C60" w:rsidRPr="00FB6C7B" w:rsidRDefault="00A70C60" w:rsidP="000340B6">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{"citationItems":[{"id":"ITEM-1","itemData":{"DOI":"10.1016/j.celrep.2014.02.042","ISSN":"22111247","abstract":"Iron excess is closely associated with tumorigenesis in multiple types of human cancers, with underlying mechanisms yet unclear. Recently, iron deprivation has emerged as a major strategy for chemotherapy, but it exerts tumor suppression only on select human malignancies. Here, we report that the tumor suppressor protein p53 is downregulated during iron excess. Strikingly, the iron polyporphyrin heme binds to p53 protein, interferes with p53-DNA interactions, and triggers both nuclear export and cytosolic degradation of p53. Moreover, in a tumorigenicity assay, iron deprivation suppressed wild-type p53-dependent tumor growth, suggesting that upregulation of wild-type p53 signaling underlies the selective efficacy of iron deprivation. Our findings thus identify a direct link between iron/heme homeostasis and the regulation of p53 signaling, which not only provides mechanistic insights into iron-excess-associated tumorigenesis but may also help predict and improve outcomes in iron-deprivation-based chemotherapy. © 2014 The Authors.","author":[{"dropping-particle":"","family":"Shen","given":"Jia","non-dropping-particle":"","parse-names":false,"suffix":""},{"dropping-particle":"","family":"Sheng","given":"Xiangpeng","non-dropping-particle":"","parse-names":false,"suffix":""},{"dropping-particle":"","family":"Chang","given":"Ze Nan","non-dropping-particle":"","parse-names":false,"suffix":""},{"dropping-particle":"","family":"Wu","given":"Qian","non-dropping-particle":"","parse-names":false,"suffix":""},{"dropping-particle":"","family":"Wang","given":"Sheng","non-dropping-particle":"","parse-names":false,"suffix":""},{"dropping-particle":"","family":"Xuan","given":"Zongliang","non-dropping-particle":"","parse-names":false,"suffix":""},{"dropping-particle":"","family":"Li","given":"Dan","non-dropping-particle":"","parse-names":false,"suffix":""},{"dropping-particle":"","family":"Wu","given":"Yalan","non-dropping-particle":"","parse-names":false,"suffix":""},{"dropping-particle":"","family":"Shang","given":"Yongjia","non-dropping-particle":"","parse-names":false,"suffix":""},{"dropping-particle":"","family":"Kong","given":"Xiangtao","non-dropping-particle":"","parse-names":false,"suffix":""},{"dropping-particle":"","family":"Yu","given":"Long","non-dropping-particle":"","parse-names":false,"suffix":""},{"dropping-particle":"","family":"Li","given":"Lin","non-dropping-particle":"","parse-names":false,"suffix":""},{"dropping-particle":"","family":"Ruan","given":"Kangchen","non-dropping-particle":"","parse-names":false,"suffix":""},{"dropping-particle":"","family":"Hu","given":"Hongyu","non-dropping-particle":"","parse-names":false,"suffix":""},{"dropping-particle":"","family":"Huang","given":"Ying","non-dropping-particle":"","parse-names":false,"suffix":""},{"dropping-particle":"","family":"Hui","given":"Lijian","non-dropping-particle":"","parse-names":false,"suffix":""},{"dropping-particle":"","family":"Xie","given":"Dong","non-dropping-particle":"","parse-names":false,"suffix":""},{"dropping-particle":"","family":"Wang","given":"Fudi","non-dropping-particle":"","parse-names":false,"suffix":""},{"dropping-particle":"","family":"Hu","given":"Ronggui","non-dropping-particle":"","parse-names":false,"suffix":""}],"container-title":"Cell Reports","id":"ITEM-1","issue":"1","issued":{"date-parts":[["2014"]]},"page":"180-193","publisher":"The Authors","title":"Iron metabolism regulates p53 signaling through direct Heme-p53 interaction and modulation of p53 localization, stability, and function","type":"article-journal","volume":"7"},"uris":["http://www.mendeley.com/documents/?uuid=6b66e1ef-5341-4883-9953-3323eeb14ec4"]}],"mendeley":{"formattedCitation":"[65]","plainTextFormattedCitation":"[65]","previouslyFormattedCitation":"[65]"},"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[65]</w:t>
            </w:r>
            <w:r>
              <w:rPr>
                <w:rFonts w:ascii="Arial" w:hAnsi="Arial" w:cs="Arial"/>
                <w:noProof/>
                <w:sz w:val="16"/>
                <w:szCs w:val="20"/>
                <w:lang w:val="en-US"/>
              </w:rPr>
              <w:fldChar w:fldCharType="end"/>
            </w:r>
          </w:p>
        </w:tc>
        <w:tc>
          <w:tcPr>
            <w:tcW w:w="1189" w:type="dxa"/>
            <w:shd w:val="clear" w:color="auto" w:fill="auto"/>
          </w:tcPr>
          <w:p w14:paraId="1CE7382E"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6D62EE76"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CP motifs missed by WESA mode.</w:t>
            </w:r>
          </w:p>
        </w:tc>
      </w:tr>
      <w:tr w:rsidR="00A70C60" w:rsidRPr="00AC2715" w14:paraId="5C9A1C27" w14:textId="77777777" w:rsidTr="00AC2715">
        <w:tc>
          <w:tcPr>
            <w:tcW w:w="885" w:type="dxa"/>
          </w:tcPr>
          <w:p w14:paraId="52DF4AD1" w14:textId="45A0A524"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33</w:t>
            </w:r>
          </w:p>
        </w:tc>
        <w:tc>
          <w:tcPr>
            <w:tcW w:w="1466" w:type="dxa"/>
            <w:shd w:val="clear" w:color="auto" w:fill="auto"/>
          </w:tcPr>
          <w:p w14:paraId="7F530F26" w14:textId="6A3D75DB"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PGRMC1/Sigma-2 receptor</w:t>
            </w:r>
          </w:p>
        </w:tc>
        <w:tc>
          <w:tcPr>
            <w:tcW w:w="1235" w:type="dxa"/>
            <w:shd w:val="clear" w:color="auto" w:fill="auto"/>
          </w:tcPr>
          <w:p w14:paraId="307917BF" w14:textId="77777777" w:rsidR="00A70C60" w:rsidRPr="00FB6C7B" w:rsidRDefault="00A70C60" w:rsidP="00B874BD">
            <w:pPr>
              <w:spacing w:after="0"/>
              <w:rPr>
                <w:rFonts w:ascii="Arial" w:hAnsi="Arial" w:cs="Arial"/>
                <w:lang w:val="en-GB"/>
              </w:rPr>
            </w:pPr>
            <w:r w:rsidRPr="00FB6C7B">
              <w:rPr>
                <w:rFonts w:ascii="Arial" w:hAnsi="Arial" w:cs="Arial"/>
                <w:i/>
                <w:sz w:val="16"/>
                <w:szCs w:val="20"/>
                <w:lang w:val="en-US"/>
              </w:rPr>
              <w:t>H. sapiens</w:t>
            </w:r>
          </w:p>
        </w:tc>
        <w:tc>
          <w:tcPr>
            <w:tcW w:w="2125" w:type="dxa"/>
            <w:shd w:val="clear" w:color="auto" w:fill="auto"/>
          </w:tcPr>
          <w:p w14:paraId="3090C671"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YGPEGP</w:t>
            </w:r>
            <w:r w:rsidRPr="00FB6C7B">
              <w:rPr>
                <w:rFonts w:ascii="Arial" w:hAnsi="Arial" w:cs="Arial"/>
                <w:bCs/>
                <w:sz w:val="16"/>
                <w:szCs w:val="20"/>
                <w:lang w:val="en-GB"/>
              </w:rPr>
              <w:t>Y</w:t>
            </w:r>
            <w:r w:rsidRPr="00FB6C7B">
              <w:rPr>
                <w:rFonts w:ascii="Arial" w:hAnsi="Arial" w:cs="Arial"/>
                <w:sz w:val="16"/>
                <w:szCs w:val="20"/>
                <w:vertAlign w:val="superscript"/>
                <w:lang w:val="en-GB"/>
              </w:rPr>
              <w:t>113</w:t>
            </w:r>
            <w:r w:rsidRPr="00FB6C7B">
              <w:rPr>
                <w:rFonts w:ascii="Arial" w:hAnsi="Arial" w:cs="Arial"/>
                <w:sz w:val="16"/>
                <w:szCs w:val="20"/>
                <w:lang w:val="en-GB"/>
              </w:rPr>
              <w:t>GVFA</w:t>
            </w:r>
          </w:p>
        </w:tc>
        <w:tc>
          <w:tcPr>
            <w:tcW w:w="1246" w:type="dxa"/>
            <w:shd w:val="clear" w:color="auto" w:fill="auto"/>
          </w:tcPr>
          <w:p w14:paraId="3D199E8A" w14:textId="14EB5ED4" w:rsidR="00A70C60" w:rsidRPr="007945EE" w:rsidRDefault="00A70C60" w:rsidP="000340B6">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{"citationItems":[{"id":"ITEM-1","itemData":{"DOI":"10.1111/j.1742-4658.2005.04977.x","ISSN":"1742464X","abstract":"The adrenal inner zone antigen (IZA), which reacts specifically with a monoclonal antibody raised against the fasciculata and reticularis zones of the rat adrenal, was previously found to be identical with a protein variously named 25-Dx and membrane-associated progesterone receptor. IZA was purified as a glutathione 5-transferase-fused or His 6 -fused protein, and its molecular properties were studied. The UV-visible absorption and EPR spectra of the purified protein showed that IZA bound a heme chromophore in high-spin type. Analysis of the heme indicated that it is of the b type. Site-directed mutagenesis studies were performed to identify the amino-acid residues that bind the heme to the protein. The results suggest that two Tyr residues, Tyr107 and Tyr113, and a peptide stretch, D99-K102, were important for anchoring the heme into a hydrophobic pocket. The effect of IZA on the steroid 21-hydroxylation reaction was investigated in COS-7 cell expression systems. The results suggest that the coexistence of IZA with CYP21 enhances 21-hydroxylase activity. © 2005 FEBS.","author":[{"dropping-particle":"","family":"Min","given":"Li","non-dropping-particle":"","parse-names":false,"suffix":""},{"dropping-particle":"V.","family":"Strushkevich","given":"Natallia","non-dropping-particle":"","parse-names":false,"suffix":""},{"dropping-particle":"","family":"Harnastai","given":"Ivan N.","non-dropping-particle":"","parse-names":false,"suffix":""},{"dropping-particle":"","family":"Iwamoto","given":"Hiroko","non-dropping-particle":"","parse-names":false,"suffix":""},{"dropping-particle":"","family":"Gilep","given":"Andrei A.","non-dropping-particle":"","parse-names":false,"suffix":""},{"dropping-particle":"","family":"Takemori","given":"Hiroshi","non-dropping-particle":"","parse-names":false,"suffix":""},{"dropping-particle":"","family":"Usanov","given":"Sergey A.","non-dropping-particle":"","parse-names":false,"suffix":""},{"dropping-particle":"","family":"Nonaka","given":"Yasuki","non-dropping-particle":"","parse-names":false,"suffix":""},{"dropping-particle":"","family":"Hori","given":"Hiroshi","non-dropping-particle":"","parse-names":false,"suffix":""},{"dropping-particle":"","family":"Vinson","given":"Gavin P.","non-dropping-particle":"","parse-names":false,"suffix":""},{"dropping-particle":"","family":"Okamoto","given":"Mitsuhiro","non-dropping-particle":"","parse-names":false,"suffix":""}],"container-title":"FEBS Journal","id":"ITEM-1","issue":"22","issued":{"date-parts":[["2005"]]},"page":"5832-5843","title":"Molecular identification of adrenal inner zone antigen as a heme-binding protein","type":"article-journal","volume":"272"},"uris":["http://www.mendeley.com/documents/?uuid=540d3808-6604-41b5-b658-6a11176bb2e7"]},{"id":"ITEM-2","itemData":{"DOI":"10.1038/ncomms11030","ISSN":"20411723","abstract":"Progesterone-receptor membrane component 1 (PGRMC1/Sigma-2 receptor) is a haem-containing protein that interacts with epidermal growth factor receptor (EGFR) and cytochromes P450 to regulate cancer proliferation and chemoresistance; its structural basis remains unknown. Here crystallographic analyses of the PGRMC1 cytosolic domain at 1.95 Å resolution reveal that it forms a stable dimer through stacking interactions of two protruding haem molecules. The haem iron is five-coordinated by Tyr113, and the open surface of the haem mediates dimerization. Carbon monoxide (CO) interferes with PGRMC1 dimerization by binding to the sixth coordination site of the haem. Haem-mediated PGRMC1 dimerization is required for interactions with EGFR and cytochromes P450, cancer proliferation and chemoresistance against anti-cancer drugs; these events are attenuated by either CO or haem deprivation in cancer cells. This study demonstrates protein dimerization via haem-haem stacking, which has not been seen in eukaryotes, and provides insights into its functional significance in cancer.","author":[{"dropping-particle":"","family":"Kabe","given":"Yasuaki","non-dropping-particle":"","parse-names":false,"suffix":""},{"dropping-particle":"","family":"Nakane","given":"Takanori","non-dropping-particle":"","parse-names":false,"suffix":""},{"dropping-particle":"","family":"Koike","given":"Ikko","non-dropping-particle":"","parse-names":false,"suffix":""},{"dropping-particle":"","family":"Yamamoto","given":"Tatsuya","non-dropping-particle":"","parse-names":false,"suffix":""},{"dropping-particle":"","family":"Sugiura","given":"Yuki","non-dropping-particle":"","parse-names":false,"suffix":""},{"dropping-particle":"","family":"Harada","given":"Erisa","non-dropping-particle":"","parse-names":false,"suffix":""},{"dropping-particle":"","family":"Sugase","given":"Kenji","non-dropping-particle":"","parse-names":false,"suffix":""},{"dropping-particle":"","family":"Shimamura","given":"Tatsuro","non-dropping-particle":"","parse-names":false,"suffix":""},{"dropping-particle":"","family":"Ohmura","given":"Mitsuyo","non-dropping-particle":"","parse-names":false,"suffix":""},{"dropping-particle":"","family":"Muraoka","given":"Kazumi","non-dropping-particle":"","parse-names":false,"suffix":""},{"dropping-particle":"","family":"Yamamoto","given":"Ayumi","non-dropping-particle":"","parse-names":false,"suffix":""},{"dropping-particle":"","family":"Uchida","given":"Takeshi","non-dropping-particle":"","parse-names":false,"suffix":""},{"dropping-particle":"","family":"Iwata","given":"So","non-dropping-particle":"","parse-names":false,"suffix":""},{"dropping-particle":"","family":"Yamaguchi","given":"Yuki","non-dropping-particle":"","parse-names":false,"suffix":""},{"dropping-particle":"","family":"Krayukhina","given":"Elena","non-dropping-particle":"","parse-names":false,"suffix":""},{"dropping-particle":"","family":"Noda","given":"Masanori","non-dropping-particle":"","parse-names":false,"suffix":""},{"dropping-particle":"","family":"Handa","given":"Hiroshi","non-dropping-particle":"","parse-names":false,"suffix":""},{"dropping-particle":"","family":"Ishimori","given":"Koichiro","non-dropping-particle":"","parse-names":false,"suffix":""},{"dropping-particle":"","family":"Uchiyama","given":"Susumu","non-dropping-particle":"","parse-names":false,"suffix":""},{"dropping-particle":"","family":"Kobayashi","given":"Takuya","non-dropping-particle":"","parse-names":false,"suffix":""},{"dropping-particle":"","family":"Suematsu","given":"Makoto","non-dropping-particle":"","parse-names":false,"suffix":""}],"container-title":"Nature Communications","id":"ITEM-2","issue":"May 2015","issued":{"date-parts":[["2016"]]},"page":"1-13","publisher":"Nature Publishing Group","title":"Haem-dependent dimerization of PGRMC1/Sigma-2 receptor facilitates cancer proliferation and chemoresistance","type":"article-journal","volume":"7"},"uris":["http://www.mendeley.com/documents/?uuid=b108f970-bf53-49e0-9e70-2e3f6f15b6e5"]}],"mendeley":{"formattedCitation":"[67, 68]","plainTextFormattedCitation":"[67, 68]","previouslyFormattedCitation":"[67, 68]"},"properties":{"noteIndex":0},"schema":"https://github.com/citation-style-language/schema/raw/master/csl-citation.json"}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[67, 68]</w:t>
            </w:r>
            <w:r>
              <w:rPr>
                <w:rFonts w:ascii="Arial" w:hAnsi="Arial" w:cs="Arial"/>
                <w:noProof/>
                <w:sz w:val="16"/>
                <w:szCs w:val="20"/>
                <w:lang w:val="en-GB"/>
              </w:rPr>
              <w:fldChar w:fldCharType="end"/>
            </w:r>
          </w:p>
        </w:tc>
        <w:tc>
          <w:tcPr>
            <w:tcW w:w="1189" w:type="dxa"/>
            <w:shd w:val="clear" w:color="auto" w:fill="auto"/>
          </w:tcPr>
          <w:p w14:paraId="1AE3E489"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33C30B6D"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1243051F" w14:textId="77777777" w:rsidTr="00AC2715">
        <w:tc>
          <w:tcPr>
            <w:tcW w:w="885" w:type="dxa"/>
          </w:tcPr>
          <w:p w14:paraId="2C9BA692" w14:textId="03705925" w:rsidR="00A70C60" w:rsidRPr="00FB6C7B" w:rsidRDefault="00A70C60" w:rsidP="00B874BD">
            <w:pPr>
              <w:spacing w:after="0"/>
              <w:rPr>
                <w:rFonts w:ascii="Arial" w:hAnsi="Arial" w:cs="Arial"/>
                <w:sz w:val="16"/>
                <w:szCs w:val="20"/>
                <w:lang w:val="en-GB"/>
              </w:rPr>
            </w:pPr>
            <w:r>
              <w:rPr>
                <w:rFonts w:ascii="Arial" w:hAnsi="Arial" w:cs="Arial"/>
                <w:sz w:val="16"/>
                <w:szCs w:val="20"/>
                <w:lang w:val="en-GB"/>
              </w:rPr>
              <w:t>34</w:t>
            </w:r>
          </w:p>
        </w:tc>
        <w:tc>
          <w:tcPr>
            <w:tcW w:w="1466" w:type="dxa"/>
            <w:shd w:val="clear" w:color="auto" w:fill="auto"/>
          </w:tcPr>
          <w:p w14:paraId="1F36EFEB" w14:textId="5B462238"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Rev-</w:t>
            </w:r>
            <w:proofErr w:type="spellStart"/>
            <w:r w:rsidRPr="00FB6C7B">
              <w:rPr>
                <w:rFonts w:ascii="Arial" w:hAnsi="Arial" w:cs="Arial"/>
                <w:sz w:val="16"/>
                <w:szCs w:val="20"/>
                <w:lang w:val="en-GB"/>
              </w:rPr>
              <w:t>erb</w:t>
            </w:r>
            <w:proofErr w:type="spellEnd"/>
            <w:r w:rsidRPr="00FB6C7B">
              <w:rPr>
                <w:rFonts w:ascii="Arial" w:hAnsi="Arial" w:cs="Arial"/>
                <w:sz w:val="16"/>
                <w:szCs w:val="20"/>
              </w:rPr>
              <w:t>α</w:t>
            </w:r>
          </w:p>
        </w:tc>
        <w:tc>
          <w:tcPr>
            <w:tcW w:w="1235" w:type="dxa"/>
            <w:shd w:val="clear" w:color="auto" w:fill="auto"/>
          </w:tcPr>
          <w:p w14:paraId="199EC57E"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7B0B324F" w14:textId="77777777" w:rsidR="00A70C60" w:rsidRPr="00FB6C7B" w:rsidRDefault="00A70C60" w:rsidP="00B874BD">
            <w:pPr>
              <w:spacing w:after="0"/>
              <w:rPr>
                <w:rFonts w:ascii="Arial" w:hAnsi="Arial" w:cs="Arial"/>
                <w:sz w:val="16"/>
                <w:szCs w:val="20"/>
                <w:lang w:val="en-GB"/>
              </w:rPr>
            </w:pPr>
            <w:r w:rsidRPr="00FB6C7B">
              <w:rPr>
                <w:rFonts w:ascii="Arial" w:hAnsi="Arial" w:cs="Arial"/>
                <w:sz w:val="16"/>
                <w:szCs w:val="20"/>
                <w:lang w:val="en-GB"/>
              </w:rPr>
              <w:t>H</w:t>
            </w:r>
            <w:r w:rsidRPr="00FB6C7B">
              <w:rPr>
                <w:rFonts w:ascii="Arial" w:hAnsi="Arial" w:cs="Arial"/>
                <w:sz w:val="16"/>
                <w:szCs w:val="20"/>
                <w:vertAlign w:val="superscript"/>
                <w:lang w:val="en-GB"/>
              </w:rPr>
              <w:t>602</w:t>
            </w:r>
          </w:p>
        </w:tc>
        <w:tc>
          <w:tcPr>
            <w:tcW w:w="1246" w:type="dxa"/>
            <w:shd w:val="clear" w:color="auto" w:fill="auto"/>
          </w:tcPr>
          <w:p w14:paraId="77960219" w14:textId="4C38F8E0" w:rsidR="00A70C60" w:rsidRPr="007945EE" w:rsidRDefault="00A70C60" w:rsidP="000340B6">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{"citationItems":[{"id":"ITEM-1","itemData":{"DOI":"10.1126/science.1150179","ISSN":"00368075","abstract":"The circadian clock temporally coordinates metabolic homeostasis in mammals. Central to this is heme, an iron-containing porphyrin that serves as prosthetic group for enzymes involved in oxidative metabolism as well as transcription factors that regulate circadian rhythmicity. The circadian factor that integrates this dual function of heme is not known. We show that heme binds reversibly to the orphan nuclear receptor Rev-erbalpha, a critical negative component of the circadian core clock, and regulates its interaction with a nuclear receptor corepressor complex. Furthermore, heme suppresses hepatic gluconeogenic gene expression and glucose output through Rev-erbalpha-mediated gene repression. Thus, Rev-erbalpha serves as a heme sensor that coordinates the cellular clock, glucose homeostasis, and energy metabolism.","author":[{"dropping-particle":"","family":"Yin","given":"Lei","non-dropping-particle":"","parse-names":false,"suffix":""},{"dropping-particle":"","family":"Wu","given":"Nan","non-dropping-particle":"","parse-names":false,"suffix":""},{"dropping-particle":"","family":"Curtin","given":"Joshua C.","non-dropping-particle":"","parse-names":false,"suffix":""},{"dropping-particle":"","family":"Qatanani","given":"Mohammed","non-dropping-particle":"","parse-names":false,"suffix":""},{"dropping-particle":"","family":"Szwergold","given":"Nava R.","non-dropping-particle":"","parse-names":false,"suffix":""},{"dropping-particle":"","family":"Reid","given":"Robert A.","non-dropping-particle":"","parse-names":false,"suffix":""},{"dropping-particle":"","family":"Waitt","given":"Gregory M.","non-dropping-particle":"","parse-names":false,"suffix":""},{"dropping-particle":"","family":"Parks","given":"Derek J.","non-dropping-particle":"","parse-names":false,"suffix":""},{"dropping-particle":"","family":"Pearce","given":"Kenneth H.","non-dropping-particle":"","parse-names":false,"suffix":""},{"dropping-particle":"","family":"Wisely","given":"G. Bruce","non-dropping-particle":"","parse-names":false,"suffix":""},{"dropping-particle":"","family":"Lazar","given":"Mitchell A.","non-dropping-particle":"","parse-names":false,"suffix":""}],"container-title":"Science","id":"ITEM-1","issue":"5857","issued":{"date-parts":[["2007"]]},"page":"1786-1789","title":"Rev-erbα, a heme sensor that coordinates metabolic and circadian pathways","type":"article-journal","volume":"318"},"uris":["http://www.mendeley.com/documents/?uuid=a478d22c-deda-478e-9ffc-b9ba5d24872c"]},{"id":"ITEM-2","itemData":{"DOI":"10.1038/nsmb1344","ISSN":"15459993","abstract":"The nuclear receptors REV-ERBα (encoded by NR1D1) and REV-ERBβ (NR1D2) have remained orphans owing to the lack of identified physiological ligands. Here we show that heme is a physiological ligand of both receptors. Heme associates with the ligand-binding domains of the REV-ERB receptors with a 1:1 stoichiometry and enhances the thermal stability of the proteins. Results from experiments of heme depletion in mammalian cells indicate that heme binding to REV-ERB causes the recruitment of the co-repressor NCoR, leading to repression of target genes including BMAL1 (official symbol ARNTL), an essential component of the circadian oscillator. Heme extends the known types of ligands used by the human nuclear receptor family beyond the endocrine hormones and dietary lipids described so far. Our results further indicate that heme regulation of REV-ERBs may link the control of metabolism and the mammalian clock. © 2007 Nature Publishing Group.","author":[{"dropping-particle":"","family":"Raghuram","given":"Srilatha","non-dropping-particle":"","parse-names":false,"suffix":""},{"dropping-particle":"","family":"Stayrook","given":"Keith R.","non-dropping-particle":"","parse-names":false,"suffix":""},{"dropping-particle":"","family":"Huang","given":"Pengxiang","non-dropping-particle":"","parse-names":false,"suffix":""},{"dropping-particle":"","family":"Rogers","given":"Pamela M.","non-dropping-particle":"","parse-names":false,"suffix":""},{"dropping-particle":"","family":"Nosie","given":"Amanda K.","non-dropping-particle":"","parse-names":false,"suffix":""},{"dropping-particle":"","family":"McClure","given":"Don B.","non-dropping-particle":"","parse-names":false,"suffix":""},{"dropping-particle":"","family":"Burris","given":"Lorri L.","non-dropping-particle":"","parse-names":false,"suffix":""},{"dropping-particle":"","family":"Khorasanizadeh","given":"Sepideh","non-dropping-particle":"","parse-names":false,"suffix":""},{"dropping-particle":"","family":"Burris","given":"Thomas P.","non-dropping-particle":"","parse-names":false,"suffix":""},{"dropping-particle":"","family":"Rastinejad","given":"Fraydoon","non-dropping-particle":"","parse-names":false,"suffix":""}],"container-title":"Nature Structural and Molecular Biology","id":"ITEM-2","issue":"12","issued":{"date-parts":[["2007"]]},"page":"1207-1213","title":"Identification of heme as the ligand for the orphan nuclear receptors REV-ERBα and REV-ERBβ","type":"article-journal","volume":"14"},"uris":["http://www.mendeley.com/documents/?uuid=e626c137-f94d-4eab-9d8d-7bc7582c9ae2","http://www.mendeley.com/documents/?uuid=cc6f12b4-5e15-41ca-b52c-4159736128b4"]},{"id":"ITEM-3","itemData":{"DOI":"10.1021/bi900697c","ISSN":"00062960","abstract":"Nuclear receptors E75, which regulates development in Drosophila melanogaster, and Rev-erbβ, which regulates circadian rhythm in humans, bind heme within their ligand binding domains (LBD). The heme-bound ligand binding domains of E75 and Rev-erbβ were studied using electronic absorption, MCD, resonance Raman, and EPR spectroscopies. Both proteins undergo redox-dependent ligand switching and CO- and NO-induced ligand displacement. In the Fe(III) oxidation state, the nuclear receptor hemes are low spin and 6-coordinate with cysteine(thiolate) as one of the two axial heme ligands. The sixth ligand is a neutral donor, presumably histidine.When the heme is reduced to the Fe(II) oxidation state, the cysteine(thiolate) is replaced by a different neutral donor ligand, whose identity is not known. CO binds to the Fe(II) heme in both E75(LBD) and Rev-erbβ(LBD) opposite a sixth neutral ligand, plausibly the same histidine that served as the sixth ligand in the Fe(III) state. NO binds to the heme of both proteins; however, the NO-heme is 5-coordinate in E75 and 6-coordinate in Rev-erbβ. These nuclear receptors exhibit coordination characteristics that are similar to other known redox and gas sensors, suggesting that E75 and Rev-erbβ may function in heme-, redox-, or gas-regulated control of cellular function. © 2009 American Chemical Society.","author":[{"dropping-particle":"","family":"Marvin","given":"Katherine A.","non-dropping-particle":"","parse-names":false,"suffix":""},{"dropping-particle":"","family":"Reinking","given":"Jeffrey L.","non-dropping-particle":"","parse-names":false,"suffix":""},{"dropping-particle":"","family":"Lee","given":"Andrea J.","non-dropping-particle":"","parse-names":false,"suffix":""},{"dropping-particle":"","family":"Pardee","given":"Keith","non-dropping-particle":"","parse-names":false,"suffix":""},{"dropping-particle":"","family":"Krause","given":"Henry M.","non-dropping-particle":"","parse-names":false,"suffix":""},{"dropping-particle":"","family":"Burstyn","given":"Judith N.","non-dropping-particle":"","parse-names":false,"suffix":""}],"container-title":"Biochemistry","id":"ITEM-3","issue":"29","issued":{"date-parts":[["2009"]]},"page":"7056-7071","title":"Nuclear receptors Homo sapiens rev-erbβ and Drosophila melanogaster E75 are thiolate-ligated heme proteins which undergo redox-mediated ligand switching and bind CO and NO","type":"article-journal","volume":"48"},"uris":["http://www.mendeley.com/documents/?uuid=de1bc070-edb2-436c-9511-31096a4bba65","http://www.mendeley.com/documents/?uuid=cafbd98f-3990-42b6-854c-1036577218ad","http://www.mendeley.com/documents/?uuid=37169396-e0ea-4439-88d1-9e890cb5e448"]}],"mendeley":{"formattedCitation":"[69–71]","plainTextFormattedCitation":"[69–71]","previouslyFormattedCitation":"[69–71]"},"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[69–71]</w:t>
            </w:r>
            <w:r>
              <w:rPr>
                <w:rFonts w:ascii="Arial" w:hAnsi="Arial" w:cs="Arial"/>
                <w:noProof/>
                <w:sz w:val="16"/>
                <w:szCs w:val="20"/>
                <w:lang w:val="en-US"/>
              </w:rPr>
              <w:fldChar w:fldCharType="end"/>
            </w:r>
          </w:p>
        </w:tc>
        <w:tc>
          <w:tcPr>
            <w:tcW w:w="1189" w:type="dxa"/>
            <w:shd w:val="clear" w:color="auto" w:fill="auto"/>
          </w:tcPr>
          <w:p w14:paraId="50DB6D98"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0D084B72"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4DB1E44B" w14:textId="77777777" w:rsidTr="00AC2715">
        <w:tc>
          <w:tcPr>
            <w:tcW w:w="885" w:type="dxa"/>
          </w:tcPr>
          <w:p w14:paraId="663A27C8" w14:textId="32D84592"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35</w:t>
            </w:r>
          </w:p>
        </w:tc>
        <w:tc>
          <w:tcPr>
            <w:tcW w:w="1466" w:type="dxa"/>
            <w:shd w:val="clear" w:color="auto" w:fill="auto"/>
          </w:tcPr>
          <w:p w14:paraId="30282C49" w14:textId="6A51FBEA"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Rev-</w:t>
            </w:r>
            <w:proofErr w:type="spellStart"/>
            <w:r w:rsidRPr="00FB6C7B">
              <w:rPr>
                <w:rFonts w:ascii="Arial" w:hAnsi="Arial" w:cs="Arial"/>
                <w:sz w:val="16"/>
                <w:szCs w:val="20"/>
                <w:lang w:val="en-US"/>
              </w:rPr>
              <w:t>erb</w:t>
            </w:r>
            <w:proofErr w:type="spellEnd"/>
            <w:r w:rsidRPr="00FB6C7B">
              <w:rPr>
                <w:rFonts w:ascii="Arial" w:hAnsi="Arial" w:cs="Arial"/>
                <w:sz w:val="16"/>
                <w:szCs w:val="20"/>
              </w:rPr>
              <w:t>β</w:t>
            </w:r>
          </w:p>
        </w:tc>
        <w:tc>
          <w:tcPr>
            <w:tcW w:w="1235" w:type="dxa"/>
            <w:shd w:val="clear" w:color="auto" w:fill="auto"/>
          </w:tcPr>
          <w:p w14:paraId="1037C4F0"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468AEB8D"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C</w:t>
            </w:r>
            <w:r w:rsidRPr="00FB6C7B">
              <w:rPr>
                <w:rFonts w:ascii="Arial" w:hAnsi="Arial" w:cs="Arial"/>
                <w:sz w:val="16"/>
                <w:szCs w:val="20"/>
                <w:vertAlign w:val="superscript"/>
                <w:lang w:val="en-US"/>
              </w:rPr>
              <w:t>384</w:t>
            </w:r>
          </w:p>
          <w:p w14:paraId="5A7B5B2F"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H</w:t>
            </w:r>
            <w:r w:rsidRPr="00FB6C7B">
              <w:rPr>
                <w:rFonts w:ascii="Arial" w:hAnsi="Arial" w:cs="Arial"/>
                <w:sz w:val="16"/>
                <w:szCs w:val="20"/>
                <w:vertAlign w:val="superscript"/>
                <w:lang w:val="en-US"/>
              </w:rPr>
              <w:t>568</w:t>
            </w:r>
          </w:p>
        </w:tc>
        <w:tc>
          <w:tcPr>
            <w:tcW w:w="1246" w:type="dxa"/>
            <w:shd w:val="clear" w:color="auto" w:fill="auto"/>
          </w:tcPr>
          <w:p w14:paraId="4966078B" w14:textId="7DB6537F" w:rsidR="00A70C60" w:rsidRPr="007945EE" w:rsidRDefault="00A70C60" w:rsidP="00721402">
            <w:pPr>
              <w:spacing w:after="0"/>
              <w:jc w:val="center"/>
              <w:rPr>
                <w:rFonts w:ascii="Arial" w:hAnsi="Arial" w:cs="Arial"/>
                <w:sz w:val="16"/>
                <w:szCs w:val="20"/>
                <w:lang w:val="en-GB"/>
              </w:rPr>
            </w:pPr>
            <w:r>
              <w:rPr>
                <w:rFonts w:ascii="Arial" w:hAnsi="Arial" w:cs="Arial"/>
                <w:noProof/>
                <w:sz w:val="16"/>
                <w:szCs w:val="20"/>
                <w:lang w:val="en-GB"/>
              </w:rPr>
              <w:fldChar w:fldCharType="begin" w:fldLock="1"/>
            </w:r>
            <w:r>
              <w:rPr>
                <w:rFonts w:ascii="Arial" w:hAnsi="Arial" w:cs="Arial"/>
                <w:noProof/>
                <w:sz w:val="16"/>
                <w:szCs w:val="20"/>
                <w:lang w:val="en-GB"/>
              </w:rPr>
              <w:instrText>ADDIN CSL_CITATION {"citationItems":[{"id":"ITEM-1","itemData":{"DOI":"10.1371/journal.pbio.1000043","ISSN":"15449173","abstract":"Heme is a ligand for the human nuclear receptors (NR) REV-ERBα and REV-ERBβ, which are transcriptional repressors that play important roles in circadian rhythm, lipid and glucose metabolism, and diseases such as diabetes, atherosclerosis, inflammation, and cancer. Here we show that transcription repression mediated by heme-bound REV-ERBs is reversed by the addition of nitric oxide (NO), and that the heme and NO effects are mediated by the C-terminal ligand-binding domain (LBD). A 1.9 Å crystal structure of the REV-ERBβLBD, in complex with the oxidized Fe(III) form of heme, shows that heme binds in a prototypical NR ligand-binding pocket, where the heme iron is coordinately bound by histidine 568 and cysteine 384. Under reducing conditions, spectroscopic studies of the heme-REV-ERBβ complex reveal that the Fe(II) form of the LBD transitions between penta-coordinated and hexa-coordinated structural states, neither of which possess the Cys384 bond observed in the oxidized state. In addition, the Fe(II) LBD is also able to bind either NO or CO, revealing a total of at least six structural states of the protein. The binding of known co-repressors is shown to be highly dependent upon these various liganded states. REV-ERBs are thus highly dynamic receptors that are responsive not only to heme, but also to redox and gas. Taken together, these findings suggest new mechanisms for the systemic coordination of molecular clocks and metabolism. They also raise the possibility for gas-based therapies for the many disorders associated with REV-ERB biological functions.","author":[{"dropping-particle":"","family":"Pardee","given":"Keith I.","non-dropping-particle":"","parse-names":false,"suffix":""},{"dropping-particle":"","family":"Xu","given":"Xiaohui","non-dropping-particle":"","parse-names":false,"suffix":""},{"dropping-particle":"","family":"Reinking","given":"Jeff","non-dropping-particle":"","parse-names":false,"suffix":""},{"dropping-particle":"","family":"Schuetz","given":"Anja","non-dropping-particle":"","parse-names":false,"suffix":""},{"dropping-particle":"","family":"Dong","given":"Aiping","non-dropping-particle":"","parse-names":false,"suffix":""},{"dropping-particle":"","family":"Liu","given":"Suya","non-dropping-particle":"","parse-names":false,"suffix":""},{"dropping-particle":"","family":"Zhang","given":"Rongguang","non-dropping-particle":"","parse-names":false,"suffix":""},{"dropping-particle":"","family":"Tiefenbach","given":"Jens","non-dropping-particle":"","parse-names":false,"suffix":""},{"dropping-particle":"","family":"Lajoie","given":"Gilles","non-dropping-particle":"","parse-names":false,"suffix":""},{"dropping-particle":"","family":"Plotnikov","given":"Alexander N.","non-dropping-particle":"","parse-names":false,"suffix":""},{"dropping-particle":"","family":"Botchkarev","given":"Alexey","non-dropping-particle":"","parse-names":false,"suffix":""},{"dropping-particle":"","family":"Krause","given":"Henry M.","non-dropping-particle":"","parse-names":false,"suffix":""},{"dropping-particle":"","family":"Edwards","given":"Aled","non-dropping-particle":"","parse-names":false,"suffix":""}],"container-title":"PLoS Biology","id":"ITEM-1","issue":"2","issued":{"date-parts":[["2009"]]},"page":"0384-0398","title":"The structural basis of gas-responsive transcription by the human nuclear hormone receptor REV-ERBβ","type":"article-journal","volume":"7"},"uris":["http://www.mendeley.com/documents/?uuid=ee5c1dd8-5a7f-4df6-b0fb-30068285a75e"]},{"id":"ITEM-2","itemData":{"DOI":"10.1074/jbc.M110.193466","ISSN":"00219258","abstract":"Rev-erb ? is a heme-binding nuclear hormone receptor that represses a broad spectrum of target genes involved in regulating metabolism, the circadian cycle, and proinflammatory re- sponses. Here, we demonstrate that a thiol-disulfide redox switch controls the interaction between heme and the ligand-binding domain of Rev-erb ? . The reduced dithiol state of Rev-erb ? binds heme 5-fold more tightly than the oxidized disulfide state. By means of site-directed mutagenesis and by UV-visible and EPR spectroscopy, we also show that the ferric heme of reduced (dithiol) Rev-erb ? can undergo a redox-triggered switch from imidazole/thiol ligation (via His-568 and Cys-384, based on a prior crystal structure) to His/neutral residue ligation upon oxidation to the disulfide form. On the other hand, we find that change in the redox state of iron has no effect on heme binding to the ligand-binding domain of the protein. The low dissociation constant for the complex between Fe3?-orFe2?-heme and the reduced dithiol state of the pro- tein (Kd??20 nM) is in the range of the intracellular free heme concentration. We also determined that the Fe2?-heme bound to the ligand-binding domain of Rev-erb ? has high affinity for CO (Kd?60 nM), which replaces one of the internal ligands when bound. We suggest that this thiol-disulfide redox switch is one mechanism by which oxidative stress is linked to circadian and/or metabolic imbalance. Heme dissociation from Rev-erb ? has been shown to derepress the expression of target genes in response to changes in intracellular redox conditions. We propose that oxidative stress leads to oxidation of cysteine(s), thus releasing heme from Rev-erb ? and altering its transcriptional activity.","author":[{"dropping-particle":"","family":"Gupta","given":"Nirupama","non-dropping-particle":"","parse-names":false,"suffix":""},{"dropping-particle":"","family":"Ragsdale","given":"Stephen W.","non-dropping-particle":"","parse-names":false,"suffix":""}],"container-title":"Journal of Biological Chemistry","id":"ITEM-2","issue":"6","issued":{"date-parts":[["2011"]]},"page":"4392-4403","title":"Thiol-disulfide redox dependence of heme binding and heme ligand switching in nuclear hormone receptor rev-erbβ","type":"article-journal","volume":"286"},"uris":["http://www.mendeley.com/documents/?uuid=ffa37dfa-2ba1-48fc-ba69-86e4399b187a"]},{"id":"ITEM-3","itemData":{"DOI":"10.1074/jbc.M115.670281","ISSN":"1083351X","abstract":"Rev-erbα and Rev-erbβ are heme-binding nuclear receptors (NRs) that repress the transcription of genes involved in regulating metabolism, inflammation and the circadian clock. Previous gene expression and co-immunoprecipitation studies led to a model in which heme binding to Rev-erbα recruits nuclear receptor corepressor 1 (NCoR1) into an active repressor complex. However, in contradiction, biochemical and crystallographic studies have shown that heme decreases affinity of the ligand-binding domain (LBD) of Rev-erbs for NCoR1 peptides. One explanation for this discrepancy is that the LBD and NCoR1 peptides used for in vitro studies cannot replicate key features of the full-length proteins used in cellular studies. However, combined in vitro and cellular results described here demonstrate that heme does not directly promote interactions between full-length Rev-erbβ (FLRev-erbβ) and an NCoR1 construct encompassing all three NR interaction domains. NCoR1 tightly binds both apo- and heme- replete FLRev-erbβ:DNA complexes; furthermore, heme, at high concentrations, destabilizes the FLRev-erbβ-NCoR1 complex. The interaction between FLRev-erbβ and NCoR1 as well as Rev-erbβ repression at the Bmal1 promoter appear to be modulated by another cellular factor(s), at least one of which is related to the ubiquitin-proteasome pathway. Our studies suggest that heme is involved in regulating degradation of Rev-erbβ in a manner consistent with its role in circadian rhythm maintenance. Finally, the very slow rate constant (10(-6) s(-1)) for heme dissociation from Rev-erbβ, rules out a prior proposal that Rev-erbβ acts as an intracellular heme sensor.","author":[{"dropping-particle":"","family":"Carter","given":"Eric L.","non-dropping-particle":"","parse-names":false,"suffix":""},{"dropping-particle":"","family":"Gupta","given":"Nirupama","non-dropping-particle":"","parse-names":false,"suffix":""},{"dropping-particle":"","family":"Ragsdale","given":"Stephen W.","non-dropping-particle":"","parse-names":false,"suffix":""}],"container-title":"Journal of Biological Chemistry","id":"ITEM-3","issue":"5","issued":{"date-parts":[["2016"]]},"page":"2196-2222","title":"High affinity heme binding to a heme regulatory motif on the nuclear receptor rev-erbβ leads to its degradation and indirectly regulates its interaction with nuclear receptor corepressor","type":"article-journal","volume":"291"},"uris":["http://www.mendeley.com/documents/?uuid=8928ca07-b78b-4ac9-92fe-3deacbf7f00b"]},{"id":"ITEM-4","itemData":{"DOI":"10.1074/jbc.M117.783118","ISSN":"1083351X","abstract":"Rev-erbβ is a heme-responsive transcription factor that regulates genes involved in circadian rhythm maintenance and metabolism, effectively bridging these critical cellular processes. Heme binding to Rev-erbβ indirectly facilitates its interaction with nuclear receptor corepressor (NCoR1), resulting in repression of Rev-erbβ target genes. Fe 3+ -heme binds in a 6-coordinate complex with axial His and Cys ligands, the latter provided by a heme regulatory motif (HRM). Rev-erbβ was thought to be a heme sensor based on a weak K d for the Rev-erbβ●heme complex of 2 µM determined with isothermal titration calorimetry. However, our group demonstrated with UV-visible difference titrations that the K d value is in the low nanomolar range, and the Fe 3+ -heme off-rate is on the order of 10 -6 s -1 making Rev-erbβ ineffective as a sensor of Fe 3+ -heme. In this study, we dissected the kinetics of heme binding to Rev-erbβ and provide a K d for Fe 3+ -heme of ~0.1 nM. Loss of the HRM axial thiolate via redox processes, including oxidation to a disulfide with a neighboring cysteine or dissociation upon reduction of Fe 3+ -to Fe 2+ -heme, decreased binding affinity by &gt;20-fold. Furthermore, as measured in a co-immunoprecipitation assay, substitution of the His or Cys heme ligands in Rev-erbβ is accompanied by a significant loss of NCoR1 binding. These results demonstrate the importance of the Rev-erbβ HRM in regulating interactions with heme and NCoR1 and advance our","author":[{"dropping-particle":"","family":"Carter","given":"Eric L.","non-dropping-particle":"","parse-names":false,"suffix":""},{"dropping-particle":"","family":"Ramirez","given":"Yanil","non-dropping-particle":"","parse-names":false,"suffix":""},{"dropping-particle":"","family":"Ragsdale","given":"Stephen W.","non-dropping-particle":"","parse-names":false,"suffix":""}],"container-title":"Journal of Biological Chemistry","id":"ITEM-4","issue":"27","issued":{"date-parts":[["2017"]]},"page":"11280-11299","title":"The heme-regulatory motif of nuclear receptor Rev-erbβ is a key mediator of heme and redox signaling in circadian rhythm maintenance and metabolism","type":"article-journal","volume":"292"},"uris":["http://www.mendeley.com/documents/?uuid=d3d6f59a-e810-43bb-b82c-9aecf301bcb8"]},{"id":"ITEM-5","itemData":{"DOI":"10.1038/nsmb1344","ISSN":"15459993","abstract":"The nuclear receptors REV-ERBα (encoded by NR1D1) and REV-ERBβ (NR1D2) have remained orphans owing to the lack of identified physiological ligands. Here we show that heme is a physiological ligand of both receptors. Heme associates with the ligand-binding domains of the REV-ERB receptors with a 1:1 stoichiometry and enhances the thermal stability of the proteins. Results from experiments of heme depletion in mammalian cells indicate that heme binding to REV-ERB causes the recruitment of the co-repressor NCoR, leading to repression of target genes including BMAL1 (official symbol ARNTL), an essential component of the circadian oscillator. Heme extends the known types of ligands used by the human nuclear receptor family beyond the endocrine hormones and dietary lipids described so far. Our results further indicate that heme regulation of REV-ERBs may link the control of metabolism and the mammalian clock. © 2007 Nature Publishing Group.","author":[{"dropping-particle":"","family":"Raghuram","given":"Srilatha","non-dropping-particle":"","parse-names":false,"suffix":""},{"dropping-particle":"","family":"Stayrook","given":"Keith R.","non-dropping-particle":"","parse-names":false,"suffix":""},{"dropping-particle":"","family":"Huang","given":"Pengxiang","non-dropping-particle":"","parse-names":false,"suffix":""},{"dropping-particle":"","family":"Rogers","given":"Pamela M.","non-dropping-particle":"","parse-names":false,"suffix":""},{"dropping-particle":"","family":"Nosie","given":"Amanda K.","non-dropping-particle":"","parse-names":false,"suffix":""},{"dropping-particle":"","family":"McClure","given":"Don B.","non-dropping-particle":"","parse-names":false,"suffix":""},{"dropping-particle":"","family":"Burris","given":"Lorri L.","non-dropping-particle":"","parse-names":false,"suffix":""},{"dropping-particle":"","family":"Khorasanizadeh","given":"Sepideh","non-dropping-particle":"","parse-names":false,"suffix":""},{"dropping-particle":"","family":"Burris","given":"Thomas P.","non-dropping-particle":"","parse-names":false,"suffix":""},{"dropping-particle":"","family":"Rastinejad","given":"Fraydoon","non-dropping-particle":"","parse-names":false,"suffix":""}],"container-title":"Nature Structural and Molecular Biology","id":"ITEM-5","issue":"12","issued":{"date-parts":[["2007"]]},"page":"1207-1213","title":"Identification of heme as the ligand for the orphan nuclear receptors REV-ERBα and REV-ERBβ","type":"article-journal","volume":"14"},"uris":["http://www.mendeley.com/documents/?uuid=cc6f12b4-5e15-41ca-b52c-4159736128b4","http://www.mendeley.com/documents/?uuid=e626c137-f94d-4eab-9d8d-7bc7582c9ae2"]}],"mendeley":{"formattedCitation":"[70, 72–75]","plainTextFormattedCitation":"[70, 72–75]","previouslyFormattedCitation":"[70, 72–75]"},"properties":{"noteIndex":0},"schema":"https://github.com/citation-style-language/schema/raw/master/csl-citation.json"}</w:instrText>
            </w:r>
            <w:r>
              <w:rPr>
                <w:rFonts w:ascii="Arial" w:hAnsi="Arial" w:cs="Arial"/>
                <w:noProof/>
                <w:sz w:val="16"/>
                <w:szCs w:val="20"/>
                <w:lang w:val="en-GB"/>
              </w:rPr>
              <w:fldChar w:fldCharType="separate"/>
            </w:r>
            <w:r w:rsidRPr="00103ADC">
              <w:rPr>
                <w:rFonts w:ascii="Arial" w:hAnsi="Arial" w:cs="Arial"/>
                <w:noProof/>
                <w:sz w:val="16"/>
                <w:szCs w:val="20"/>
                <w:lang w:val="en-GB"/>
              </w:rPr>
              <w:t>[70, 72–75]</w:t>
            </w:r>
            <w:r>
              <w:rPr>
                <w:rFonts w:ascii="Arial" w:hAnsi="Arial" w:cs="Arial"/>
                <w:noProof/>
                <w:sz w:val="16"/>
                <w:szCs w:val="20"/>
                <w:lang w:val="en-GB"/>
              </w:rPr>
              <w:fldChar w:fldCharType="end"/>
            </w:r>
          </w:p>
        </w:tc>
        <w:tc>
          <w:tcPr>
            <w:tcW w:w="1189" w:type="dxa"/>
            <w:shd w:val="clear" w:color="auto" w:fill="auto"/>
          </w:tcPr>
          <w:p w14:paraId="6A3C47CB"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259B30F5"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FB6C7B" w14:paraId="78C4DB9F" w14:textId="77777777" w:rsidTr="00AC2715">
        <w:tc>
          <w:tcPr>
            <w:tcW w:w="885" w:type="dxa"/>
          </w:tcPr>
          <w:p w14:paraId="2397FCEB" w14:textId="2C0E179E"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36</w:t>
            </w:r>
          </w:p>
        </w:tc>
        <w:tc>
          <w:tcPr>
            <w:tcW w:w="1466" w:type="dxa"/>
            <w:shd w:val="clear" w:color="auto" w:fill="auto"/>
          </w:tcPr>
          <w:p w14:paraId="3C90016A" w14:textId="60151373" w:rsidR="00A70C60" w:rsidRPr="00FB6C7B" w:rsidRDefault="00A70C60" w:rsidP="00B874BD">
            <w:pPr>
              <w:spacing w:after="0"/>
              <w:rPr>
                <w:rFonts w:ascii="Arial" w:hAnsi="Arial" w:cs="Arial"/>
                <w:sz w:val="16"/>
                <w:szCs w:val="20"/>
                <w:lang w:val="en-US"/>
              </w:rPr>
            </w:pPr>
            <w:proofErr w:type="spellStart"/>
            <w:r w:rsidRPr="00FB6C7B">
              <w:rPr>
                <w:rFonts w:ascii="Arial" w:hAnsi="Arial" w:cs="Arial"/>
                <w:sz w:val="16"/>
                <w:szCs w:val="20"/>
                <w:lang w:val="en-US"/>
              </w:rPr>
              <w:t>Src</w:t>
            </w:r>
            <w:proofErr w:type="spellEnd"/>
          </w:p>
        </w:tc>
        <w:tc>
          <w:tcPr>
            <w:tcW w:w="1235" w:type="dxa"/>
            <w:shd w:val="clear" w:color="auto" w:fill="auto"/>
          </w:tcPr>
          <w:p w14:paraId="7B93161F"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54C4A290"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 (CP motif presumed)</w:t>
            </w:r>
          </w:p>
        </w:tc>
        <w:tc>
          <w:tcPr>
            <w:tcW w:w="1246" w:type="dxa"/>
            <w:shd w:val="clear" w:color="auto" w:fill="auto"/>
          </w:tcPr>
          <w:p w14:paraId="169D5F88" w14:textId="56F4582C" w:rsidR="00A70C60" w:rsidRPr="00CD03BB" w:rsidRDefault="00A70C60" w:rsidP="00721402">
            <w:pPr>
              <w:spacing w:after="0"/>
              <w:jc w:val="center"/>
              <w:rPr>
                <w:rFonts w:ascii="Arial" w:hAnsi="Arial" w:cs="Arial"/>
                <w:sz w:val="16"/>
                <w:szCs w:val="20"/>
                <w:lang w:val="en-US"/>
              </w:rPr>
            </w:pPr>
            <w:r>
              <w:rPr>
                <w:rFonts w:ascii="Arial" w:hAnsi="Arial" w:cs="Arial"/>
                <w:noProof/>
                <w:sz w:val="16"/>
                <w:szCs w:val="20"/>
              </w:rPr>
              <w:fldChar w:fldCharType="begin" w:fldLock="1"/>
            </w:r>
            <w:r>
              <w:rPr>
                <w:rFonts w:ascii="Arial" w:hAnsi="Arial" w:cs="Arial"/>
                <w:noProof/>
                <w:sz w:val="16"/>
                <w:szCs w:val="20"/>
                <w:lang w:val="en-US"/>
              </w:rPr>
              <w:instrText>ADDIN CSL_CITATION {"citationItems":[{"id":"ITEM-1","itemData":{"abstract":"Protein tyrosine kinases play key roles in many molecular and cellular processes in diverse living organisms. Their proper functioning is crucial for the normal growth, development, and health in humans, whereas their dysfunction can cause serious diseases, including various cancers. As such, intense studies have been performed to understand the molecular mechanisms by which the activities of protein tyrosine kinases are regulated in mammalian cells. Particularly, small molecules that can modulate the activity of tyrosine kinases are of great importance for discovering therapeutic drug candidates for numerous diseases. Notably, heme cannot only serve as a prosthetic group for hemoglobins and enzymes, but it also is a small signaling molecule that can control the activity of diverse signaling and regulatory proteins. Using a computational search, we found that a group of non-membrane spanning tyrosine kinases contains one or more CP motifs that can potentially bind to heme and mediate heme regulation. We then used experimental approaches to determine whether heme can affect the activity of any of these tyrosine kinases. We found that heme indeed affects the phosphorylation of key tyrosine residues in Jak2 and Src, and is therefore able to modulate Jak2 and Src activity. Further experiments showed that Jak2 and Src bind to heme and that the presence of heme alters the sensitivity of Jak2 and Src to trypsin digestion. These results suggest that heme actively interacts with Jak2 and Src and alters their conformation. © 2010 Elsevier Inc.","author":[{"dropping-particle":"","family":"Yao","given":"Xiao","non-dropping-particle":"","parse-names":false,"suffix":""},{"dropping-particle":"","family":"Balamurugan","given":"Parimaladevi","non-dropping-particle":"","parse-names":false,"suffix":""},{"dropping-particle":"","family":"Arvey","given":"Aaron","non-dropping-particle":"","parse-names":false,"suffix":""},{"dropping-particle":"","family":"Leslie","given":"Christina","non-dropping-particle":"","parse-names":false,"suffix":""},{"dropping-particle":"","family":"Zhang","given":"Li","non-dropping-particle":"","parse-names":false,"suffix":""}],"container-title":"Biochemical and Biophysical Research Communications","id":"ITEM-1","issued":{"date-parts":[["2010"]]},"title":"Heme controls the regulation of protein tyrosine kinases Jak2 and Src","type":"article-journal"},"uris":["http://www.mendeley.com/documents/?uuid=5cd624c1-f865-36ef-b3f5-a4553ec4e082"]}],"mendeley":{"formattedCitation":"[59]","plainTextFormattedCitation":"[59]","previouslyFormattedCitation":"[59]"},"properties":{"noteIndex":0},"schema":"https://github.com/citation-style-language/schema/raw/master/csl-citation.json"}</w:instrText>
            </w:r>
            <w:r>
              <w:rPr>
                <w:rFonts w:ascii="Arial" w:hAnsi="Arial" w:cs="Arial"/>
                <w:noProof/>
                <w:sz w:val="16"/>
                <w:szCs w:val="20"/>
              </w:rPr>
              <w:fldChar w:fldCharType="separate"/>
            </w:r>
            <w:r w:rsidRPr="00CD03BB">
              <w:rPr>
                <w:rFonts w:ascii="Arial" w:hAnsi="Arial" w:cs="Arial"/>
                <w:noProof/>
                <w:sz w:val="16"/>
                <w:szCs w:val="20"/>
                <w:lang w:val="en-US"/>
              </w:rPr>
              <w:t>[59]</w:t>
            </w:r>
            <w:r>
              <w:rPr>
                <w:rFonts w:ascii="Arial" w:hAnsi="Arial" w:cs="Arial"/>
                <w:noProof/>
                <w:sz w:val="16"/>
                <w:szCs w:val="20"/>
              </w:rPr>
              <w:fldChar w:fldCharType="end"/>
            </w:r>
          </w:p>
        </w:tc>
        <w:tc>
          <w:tcPr>
            <w:tcW w:w="1189" w:type="dxa"/>
            <w:shd w:val="clear" w:color="auto" w:fill="auto"/>
          </w:tcPr>
          <w:p w14:paraId="2E66A97E"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Five potential motifs predicted.</w:t>
            </w:r>
          </w:p>
        </w:tc>
        <w:tc>
          <w:tcPr>
            <w:tcW w:w="1022" w:type="dxa"/>
            <w:shd w:val="clear" w:color="auto" w:fill="auto"/>
          </w:tcPr>
          <w:p w14:paraId="33810C62"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Predicted CP motif C</w:t>
            </w:r>
            <w:r w:rsidRPr="00FB6C7B">
              <w:rPr>
                <w:rFonts w:ascii="Arial" w:hAnsi="Arial" w:cs="Arial"/>
                <w:sz w:val="16"/>
                <w:szCs w:val="20"/>
                <w:vertAlign w:val="superscript"/>
                <w:lang w:val="en-US"/>
              </w:rPr>
              <w:t>486</w:t>
            </w:r>
            <w:r w:rsidRPr="00FB6C7B">
              <w:rPr>
                <w:rFonts w:ascii="Arial" w:hAnsi="Arial" w:cs="Arial"/>
                <w:sz w:val="16"/>
                <w:szCs w:val="20"/>
                <w:lang w:val="en-US"/>
              </w:rPr>
              <w:t>P.</w:t>
            </w:r>
          </w:p>
        </w:tc>
      </w:tr>
      <w:tr w:rsidR="00A70C60" w:rsidRPr="00FB6C7B" w14:paraId="3C6404CD" w14:textId="77777777" w:rsidTr="00AC2715">
        <w:tc>
          <w:tcPr>
            <w:tcW w:w="885" w:type="dxa"/>
          </w:tcPr>
          <w:p w14:paraId="46A6327E" w14:textId="05D2A4FD" w:rsidR="00A70C60" w:rsidRPr="00FB6C7B" w:rsidRDefault="00A70C60" w:rsidP="00B874BD">
            <w:pPr>
              <w:spacing w:after="0"/>
              <w:rPr>
                <w:rFonts w:ascii="Arial" w:hAnsi="Arial" w:cs="Arial"/>
                <w:sz w:val="16"/>
                <w:szCs w:val="20"/>
              </w:rPr>
            </w:pPr>
            <w:r>
              <w:rPr>
                <w:rFonts w:ascii="Arial" w:hAnsi="Arial" w:cs="Arial"/>
                <w:sz w:val="16"/>
                <w:szCs w:val="20"/>
              </w:rPr>
              <w:t>37</w:t>
            </w:r>
          </w:p>
        </w:tc>
        <w:tc>
          <w:tcPr>
            <w:tcW w:w="1466" w:type="dxa"/>
            <w:shd w:val="clear" w:color="auto" w:fill="auto"/>
          </w:tcPr>
          <w:p w14:paraId="332A62AA" w14:textId="18CE8A8E" w:rsidR="00A70C60" w:rsidRPr="00FB6C7B" w:rsidRDefault="00A70C60" w:rsidP="00B874BD">
            <w:pPr>
              <w:spacing w:after="0"/>
              <w:rPr>
                <w:rFonts w:ascii="Arial" w:hAnsi="Arial" w:cs="Arial"/>
                <w:sz w:val="16"/>
                <w:szCs w:val="20"/>
              </w:rPr>
            </w:pPr>
            <w:r w:rsidRPr="00FB6C7B">
              <w:rPr>
                <w:rFonts w:ascii="Arial" w:hAnsi="Arial" w:cs="Arial"/>
                <w:sz w:val="16"/>
                <w:szCs w:val="20"/>
              </w:rPr>
              <w:t>Stanniocalcin-1</w:t>
            </w:r>
          </w:p>
        </w:tc>
        <w:tc>
          <w:tcPr>
            <w:tcW w:w="1235" w:type="dxa"/>
            <w:shd w:val="clear" w:color="auto" w:fill="auto"/>
          </w:tcPr>
          <w:p w14:paraId="7C17EFFE" w14:textId="77777777" w:rsidR="00A70C60" w:rsidRPr="00FB6C7B" w:rsidRDefault="00A70C60" w:rsidP="00B874BD">
            <w:pPr>
              <w:spacing w:after="0"/>
              <w:rPr>
                <w:rFonts w:ascii="Arial" w:hAnsi="Arial" w:cs="Arial"/>
              </w:rPr>
            </w:pPr>
            <w:r w:rsidRPr="00FB6C7B">
              <w:rPr>
                <w:rFonts w:ascii="Arial" w:hAnsi="Arial" w:cs="Arial"/>
                <w:i/>
                <w:sz w:val="16"/>
                <w:szCs w:val="20"/>
              </w:rPr>
              <w:t>H. sapiens</w:t>
            </w:r>
          </w:p>
        </w:tc>
        <w:tc>
          <w:tcPr>
            <w:tcW w:w="2125" w:type="dxa"/>
            <w:shd w:val="clear" w:color="auto" w:fill="auto"/>
          </w:tcPr>
          <w:p w14:paraId="3D5ED41E" w14:textId="77777777" w:rsidR="00A70C60" w:rsidRPr="00FB6C7B" w:rsidRDefault="00A70C60" w:rsidP="00B874BD">
            <w:pPr>
              <w:spacing w:after="0"/>
              <w:rPr>
                <w:rFonts w:ascii="Arial" w:hAnsi="Arial" w:cs="Arial"/>
                <w:sz w:val="16"/>
                <w:szCs w:val="20"/>
              </w:rPr>
            </w:pPr>
            <w:r w:rsidRPr="00FB6C7B">
              <w:rPr>
                <w:rFonts w:ascii="Arial" w:hAnsi="Arial" w:cs="Arial"/>
                <w:sz w:val="16"/>
                <w:szCs w:val="20"/>
              </w:rPr>
              <w:t>RC</w:t>
            </w:r>
            <w:r w:rsidRPr="00FB6C7B">
              <w:rPr>
                <w:rFonts w:ascii="Arial" w:hAnsi="Arial" w:cs="Arial"/>
                <w:sz w:val="16"/>
                <w:szCs w:val="20"/>
                <w:vertAlign w:val="superscript"/>
              </w:rPr>
              <w:t>114</w:t>
            </w:r>
            <w:r w:rsidRPr="00FB6C7B">
              <w:rPr>
                <w:rFonts w:ascii="Arial" w:hAnsi="Arial" w:cs="Arial"/>
                <w:sz w:val="16"/>
                <w:szCs w:val="20"/>
              </w:rPr>
              <w:t>STFQ</w:t>
            </w:r>
          </w:p>
        </w:tc>
        <w:tc>
          <w:tcPr>
            <w:tcW w:w="1246" w:type="dxa"/>
            <w:shd w:val="clear" w:color="auto" w:fill="auto"/>
          </w:tcPr>
          <w:p w14:paraId="79FC4BA7" w14:textId="63934EC6" w:rsidR="00A70C60" w:rsidRPr="00FB6C7B" w:rsidRDefault="00A70C60" w:rsidP="00721402">
            <w:pPr>
              <w:spacing w:after="0"/>
              <w:jc w:val="center"/>
              <w:rPr>
                <w:rFonts w:ascii="Arial" w:hAnsi="Arial" w:cs="Arial"/>
                <w:sz w:val="16"/>
                <w:szCs w:val="20"/>
              </w:rPr>
            </w:pPr>
            <w:r>
              <w:rPr>
                <w:rFonts w:ascii="Arial" w:hAnsi="Arial" w:cs="Arial"/>
                <w:noProof/>
                <w:sz w:val="16"/>
                <w:szCs w:val="20"/>
              </w:rPr>
              <w:fldChar w:fldCharType="begin" w:fldLock="1"/>
            </w:r>
            <w:r>
              <w:rPr>
                <w:rFonts w:ascii="Arial" w:hAnsi="Arial" w:cs="Arial"/>
                <w:noProof/>
                <w:sz w:val="16"/>
                <w:szCs w:val="20"/>
              </w:rPr>
              <w:instrText>ADDIN CSL_CITATION {"citationItems":[{"id":"ITEM-1","itemData":{"DOI":"10.1016/j.bbrc.2011.05.002","ISSN":"0006291X","abstract":"Hemin (iron protoporphyrin IX) is a necessary component of many proteins, functioning either as a cofactor or an intracellular messenger. Hemoproteins have diverse functions, such as transportation of gases, gas detection, chemical catalysis and electron transfer. Stanniocalcin 1 (STC1) is a protein involved in respiratory responses of the cell but whose mechanism of action is still undetermined. We examined the ability of STC1 to bind hemin in both its reduced and oxidized states and located Cys114 as the axial ligand of the central iron atom of hemin. The amino acid sequence differs from the established (Cys-Pro) heme regulatory motif (HRM) and therefore presents a novel heme binding motif (Cys-Ser). A STC1 peptide containing the heme binding sequence was able to inhibit both spontaneous and H2O2 induced decay of hemin. Binding of hemin does not affect the mitochondrial localization of STC1. © 2011 Elsevier Inc.","author":[{"dropping-particle":"","family":"Westberg","given":"Johan A.","non-dropping-particle":"","parse-names":false,"suffix":""},{"dropping-particle":"","family":"Jiang","given":"Ji","non-dropping-particle":"","parse-names":false,"suffix":""},{"dropping-particle":"","family":"Andersson","given":"Leif C.","non-dropping-particle":"","parse-names":false,"suffix":""}],"container-title":"Biochemical and Biophysical Research Communications","id":"ITEM-1","issue":"2","issued":{"date-parts":[["2011"]]},"page":"266-269","publisher":"Elsevier Inc.","title":"Stanniocalcin 1 binds hemin through a partially conserved heme regulatory motif","type":"article-journal","volume":"409"},"uris":["http://www.mendeley.com/documents/?uuid=f33460bb-2cec-4662-8a7c-a3384bfa97d4"]}],"mendeley":{"formattedCitation":"[76]","plainTextFormattedCitation":"[76]","previouslyFormattedCitation":"[76]"},"properties":{"noteIndex":0},"schema":"https://github.com/citation-style-language/schema/raw/master/csl-citation.json"}</w:instrText>
            </w:r>
            <w:r>
              <w:rPr>
                <w:rFonts w:ascii="Arial" w:hAnsi="Arial" w:cs="Arial"/>
                <w:noProof/>
                <w:sz w:val="16"/>
                <w:szCs w:val="20"/>
              </w:rPr>
              <w:fldChar w:fldCharType="separate"/>
            </w:r>
            <w:r w:rsidRPr="00103ADC">
              <w:rPr>
                <w:rFonts w:ascii="Arial" w:hAnsi="Arial" w:cs="Arial"/>
                <w:noProof/>
                <w:sz w:val="16"/>
                <w:szCs w:val="20"/>
              </w:rPr>
              <w:t>[76]</w:t>
            </w:r>
            <w:r>
              <w:rPr>
                <w:rFonts w:ascii="Arial" w:hAnsi="Arial" w:cs="Arial"/>
                <w:noProof/>
                <w:sz w:val="16"/>
                <w:szCs w:val="20"/>
              </w:rPr>
              <w:fldChar w:fldCharType="end"/>
            </w:r>
          </w:p>
        </w:tc>
        <w:tc>
          <w:tcPr>
            <w:tcW w:w="1189" w:type="dxa"/>
            <w:shd w:val="clear" w:color="auto" w:fill="auto"/>
          </w:tcPr>
          <w:p w14:paraId="5EEF2DD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18BD975A"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FB6C7B" w14:paraId="6363418D" w14:textId="77777777" w:rsidTr="00AC2715">
        <w:tc>
          <w:tcPr>
            <w:tcW w:w="885" w:type="dxa"/>
          </w:tcPr>
          <w:p w14:paraId="23507B2B" w14:textId="720F8B74"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38</w:t>
            </w:r>
          </w:p>
        </w:tc>
        <w:tc>
          <w:tcPr>
            <w:tcW w:w="1466" w:type="dxa"/>
            <w:shd w:val="clear" w:color="auto" w:fill="auto"/>
          </w:tcPr>
          <w:p w14:paraId="641913A6" w14:textId="70EBDB7F"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Stanniocalcin-2</w:t>
            </w:r>
          </w:p>
        </w:tc>
        <w:tc>
          <w:tcPr>
            <w:tcW w:w="1235" w:type="dxa"/>
            <w:shd w:val="clear" w:color="auto" w:fill="auto"/>
          </w:tcPr>
          <w:p w14:paraId="3113A5B7"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59C93239"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SRKC</w:t>
            </w:r>
            <w:r w:rsidRPr="00FB6C7B">
              <w:rPr>
                <w:rFonts w:ascii="Arial" w:hAnsi="Arial" w:cs="Arial"/>
                <w:sz w:val="16"/>
                <w:szCs w:val="20"/>
                <w:vertAlign w:val="superscript"/>
                <w:lang w:val="en-US"/>
              </w:rPr>
              <w:t>125</w:t>
            </w:r>
            <w:r w:rsidRPr="00FB6C7B">
              <w:rPr>
                <w:rFonts w:ascii="Arial" w:hAnsi="Arial" w:cs="Arial"/>
                <w:sz w:val="16"/>
                <w:szCs w:val="20"/>
                <w:lang w:val="en-US"/>
              </w:rPr>
              <w:t>PAIREM</w:t>
            </w:r>
          </w:p>
        </w:tc>
        <w:tc>
          <w:tcPr>
            <w:tcW w:w="1246" w:type="dxa"/>
            <w:shd w:val="clear" w:color="auto" w:fill="auto"/>
          </w:tcPr>
          <w:p w14:paraId="16989F42" w14:textId="53DD6A2C" w:rsidR="00A70C60" w:rsidRPr="00FB6C7B" w:rsidRDefault="00A70C60" w:rsidP="000B7EC5">
            <w:pPr>
              <w:spacing w:after="0"/>
              <w:jc w:val="center"/>
              <w:rPr>
                <w:rFonts w:ascii="Arial" w:hAnsi="Arial" w:cs="Arial"/>
                <w:sz w:val="16"/>
                <w:szCs w:val="20"/>
              </w:rPr>
            </w:pPr>
            <w:r>
              <w:rPr>
                <w:rFonts w:ascii="Arial" w:hAnsi="Arial" w:cs="Arial"/>
                <w:sz w:val="16"/>
                <w:szCs w:val="20"/>
              </w:rPr>
              <w:fldChar w:fldCharType="begin" w:fldLock="1"/>
            </w:r>
            <w:r>
              <w:rPr>
                <w:rFonts w:ascii="Arial" w:hAnsi="Arial" w:cs="Arial"/>
                <w:sz w:val="16"/>
                <w:szCs w:val="20"/>
              </w:rPr>
              <w:instrText>ADDIN CSL_CITATION {"citationItems":[{"id":"ITEM-1","itemData":{"DOI":"10.1016/j.bbrc.2012.03.151","ISSN":"0006291X","abstract":"Stanniocalcin 2 (STC2) is a homolog of stanniocalcin 1, a 56. kD glycoprotein hormone that originally was found to confer calcitonin-like activity in fish. Human STC2 is expressed in various tissues such as kidney, spleen, heart, and pancreas. STC2 has been demonstrated to be induced by different kinds of stress and display cytoprotective activity, but the molecular mechanism is poorly understood. Heme oxygenase 1 (HO1) degrades heme to biliverdin, carbon monoxide and free iron, and is a stress-responsive protein. Using yeast two-hybrid screening we identified HO1 as a binding partner of STC2. The interaction was validated by in vivo co-immunoprecipitation and immunofluorescence. The binding site for HO1 was located to amino acids 181-200 of STC2. We also found that STC2 binds hemin via a consensus heme regulatory motif. Moreover, STC2 expression was induced by heat shock in HEK293 cells. Taken together, our findings point to three novel functions of STC2, and suggest that STC2 interacts with HO1 to form a eukaryotic 'stressosome' involved in the degradation of heme. © 2012 Elsevier Inc.","author":[{"dropping-particle":"","family":"Jiang","given":"Ji","non-dropping-particle":"","parse-names":false,"suffix":""},{"dropping-particle":"","family":"Westberg","given":"Johan A.","non-dropping-particle":"","parse-names":false,"suffix":""},{"dropping-particle":"","family":"Andersson","given":"Leif C.","non-dropping-particle":"","parse-names":false,"suffix":""}],"container-title":"Biochemical and Biophysical Research Communications","id":"ITEM-1","issue":"2","issued":{"date-parts":[["2012"]]},"page":"274-279","publisher":"Elsevier Inc.","title":"Stanniocalcin 2, forms a complex with heme oxygenase 1, binds hemin and is a heat shock protein","type":"article-journal","volume":"421"},"uris":["http://www.mendeley.com/documents/?uuid=171cf3d8-ef91-4f16-a935-cb61a59938bf"]}],"mendeley":{"formattedCitation":"[77]","plainTextFormattedCitation":"[77]","previouslyFormattedCitation":"[77]"},"properties":{"noteIndex":0},"schema":"https://github.com/citation-style-language/schema/raw/master/csl-citation.json"}</w:instrText>
            </w:r>
            <w:r>
              <w:rPr>
                <w:rFonts w:ascii="Arial" w:hAnsi="Arial" w:cs="Arial"/>
                <w:sz w:val="16"/>
                <w:szCs w:val="20"/>
              </w:rPr>
              <w:fldChar w:fldCharType="separate"/>
            </w:r>
            <w:r w:rsidRPr="00103ADC">
              <w:rPr>
                <w:rFonts w:ascii="Arial" w:hAnsi="Arial" w:cs="Arial"/>
                <w:noProof/>
                <w:sz w:val="16"/>
                <w:szCs w:val="20"/>
              </w:rPr>
              <w:t>[77]</w:t>
            </w:r>
            <w:r>
              <w:rPr>
                <w:rFonts w:ascii="Arial" w:hAnsi="Arial" w:cs="Arial"/>
                <w:sz w:val="16"/>
                <w:szCs w:val="20"/>
              </w:rPr>
              <w:fldChar w:fldCharType="end"/>
            </w:r>
          </w:p>
        </w:tc>
        <w:tc>
          <w:tcPr>
            <w:tcW w:w="1189" w:type="dxa"/>
            <w:shd w:val="clear" w:color="auto" w:fill="auto"/>
          </w:tcPr>
          <w:p w14:paraId="782265B0"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5AA4126A"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AC2715" w14:paraId="540005FF" w14:textId="77777777" w:rsidTr="00AC2715">
        <w:tc>
          <w:tcPr>
            <w:tcW w:w="885" w:type="dxa"/>
          </w:tcPr>
          <w:p w14:paraId="3556F42A" w14:textId="30D9A8E1"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39</w:t>
            </w:r>
          </w:p>
        </w:tc>
        <w:tc>
          <w:tcPr>
            <w:tcW w:w="1466" w:type="dxa"/>
            <w:shd w:val="clear" w:color="auto" w:fill="auto"/>
          </w:tcPr>
          <w:p w14:paraId="71D69E47" w14:textId="6191E6FA"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Toll like Receptor 4 (TLR4)</w:t>
            </w:r>
          </w:p>
        </w:tc>
        <w:tc>
          <w:tcPr>
            <w:tcW w:w="1235" w:type="dxa"/>
            <w:shd w:val="clear" w:color="auto" w:fill="auto"/>
          </w:tcPr>
          <w:p w14:paraId="518304C0" w14:textId="77777777" w:rsidR="00A70C60" w:rsidRPr="00FB6C7B" w:rsidRDefault="00A70C60" w:rsidP="00B874BD">
            <w:pPr>
              <w:spacing w:after="0"/>
              <w:rPr>
                <w:rFonts w:ascii="Arial" w:hAnsi="Arial" w:cs="Arial"/>
                <w:lang w:val="en-US"/>
              </w:rPr>
            </w:pPr>
            <w:r w:rsidRPr="00FB6C7B">
              <w:rPr>
                <w:rFonts w:ascii="Arial" w:hAnsi="Arial" w:cs="Arial"/>
                <w:i/>
                <w:sz w:val="16"/>
                <w:szCs w:val="20"/>
                <w:lang w:val="en-US"/>
              </w:rPr>
              <w:t>H. sapiens</w:t>
            </w:r>
          </w:p>
        </w:tc>
        <w:tc>
          <w:tcPr>
            <w:tcW w:w="2125" w:type="dxa"/>
            <w:shd w:val="clear" w:color="auto" w:fill="auto"/>
          </w:tcPr>
          <w:p w14:paraId="2A5A1670"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not known</w:t>
            </w:r>
          </w:p>
        </w:tc>
        <w:tc>
          <w:tcPr>
            <w:tcW w:w="1246" w:type="dxa"/>
            <w:shd w:val="clear" w:color="auto" w:fill="auto"/>
          </w:tcPr>
          <w:p w14:paraId="5D1B949D" w14:textId="6B93554C" w:rsidR="00A70C60" w:rsidRPr="00FB6C7B" w:rsidRDefault="00A70C60" w:rsidP="000B7EC5">
            <w:pPr>
              <w:spacing w:after="0"/>
              <w:jc w:val="center"/>
              <w:rPr>
                <w:rFonts w:ascii="Arial" w:hAnsi="Arial" w:cs="Arial"/>
                <w:sz w:val="16"/>
                <w:szCs w:val="20"/>
                <w:lang w:val="en-US"/>
              </w:rPr>
            </w:pPr>
            <w:r>
              <w:rPr>
                <w:rFonts w:ascii="Arial" w:hAnsi="Arial" w:cs="Arial"/>
                <w:noProof/>
                <w:sz w:val="16"/>
                <w:szCs w:val="20"/>
                <w:lang w:val="en-US"/>
              </w:rPr>
              <w:fldChar w:fldCharType="begin" w:fldLock="1"/>
            </w:r>
            <w:r>
              <w:rPr>
                <w:rFonts w:ascii="Arial" w:hAnsi="Arial" w:cs="Arial"/>
                <w:noProof/>
                <w:sz w:val="16"/>
                <w:szCs w:val="20"/>
                <w:lang w:val="en-US"/>
              </w:rPr>
              <w:instrText>ADDIN CSL_CITATION {"citationItems":[{"id":"ITEM-1","itemData":{"DOI":"10.1074/jbc.M610737200","ISBN":"5521256083","ISSN":"00219258","abstract":"Heme is an ancient and ubiquitous molecule present in organisms of all kingdoms, composed of an atom of iron linked to four ligand groups of porphyrin. A high amount of free heme, a potential amplifier of the inflammatory response, is a characteristic feature of diseases with increased hemolysis or extensive cell damage. Here we demonstrate that heme, but not its analogs/precursors, induced tumor necrosis factor-alpha (TNF-alpha) secretion by macrophages dependently on MyD88, TLR4, and CD14. The activation of TLR4 by heme is exquisitely strict, requiring its coordinated iron and the vinyl groups of the porphyrin ring. Signaling of heme through TLR4 depended on an interaction distinct from the one established between TLR4 and lipopolysaccharide (LPS) since anti-TLR4/MD2 antibody or a lipid A antagonist inhibited LPS-induced TNF-alpha secretion but not heme activity. Conversely, protoporphyrin IX antagonized heme without affecting LPS-induced activation. Moreover, heme induced TNF-alpha and keratinocyte chemokine but was ineffective to induce interleukin-6, interleukin-12, and interferon-inducible protein-10 secretion or co-stimulatory molecule expression. These findings support the concept that the broad ligand specificity of TLR4 and the different activation profiles might in part reside in its ability to recognize different ligands in different binding sites. Finally, heme induced oxidative burst, neutrophil recruitment, and heme oxygenase-1 expression independently of TLR4. Thus, our results presented here reveal a previous unrecognized role of heme as an extracellular signaling molecule that affects the innate immune response through a receptor-mediated mechanism.","author":[{"dropping-particle":"","family":"Figueiredo","given":"Rodrigo T.","non-dropping-particle":"","parse-names":false,"suffix":""},{"dropping-particle":"","family":"Fernandez","given":"Patricia L.","non-dropping-particle":"","parse-names":false,"suffix":""},{"dropping-particle":"","family":"Mourao-Sa","given":"Diego S.","non-dropping-particle":"","parse-names":false,"suffix":""},{"dropping-particle":"","family":"Porto","given":"Bárbara N.","non-dropping-particle":"","parse-names":false,"suffix":""},{"dropping-particle":"","family":"Dutra","given":"Fabianno F.","non-dropping-particle":"","parse-names":false,"suffix":""},{"dropping-particle":"","family":"Alves","given":"Letícia S.","non-dropping-particle":"","parse-names":false,"suffix":""},{"dropping-particle":"","family":"Oliveira","given":"Marcus F.","non-dropping-particle":"","parse-names":false,"suffix":""},{"dropping-particle":"","family":"Oliveira","given":"Pedro L.","non-dropping-particle":"","parse-names":false,"suffix":""},{"dropping-particle":"V.","family":"Graça-Souza","given":"Aurélio","non-dropping-particle":"","parse-names":false,"suffix":""},{"dropping-particle":"","family":"Bozza","given":"Marcelo T.","non-dropping-particle":"","parse-names":false,"suffix":""}],"container-title":"Journal of Biological Chemistry","id":"ITEM-1","issue":"28","issued":{"date-parts":[["2007"]]},"page":"20221-20229","title":"Characterization of heme as activator of toll-like receptor 4","type":"article-journal","volume":"282"},"uris":["http://www.mendeley.com/documents/?uuid=7822437d-1e4a-4769-b941-b8bee7deae2d"]}],"mendeley":{"formattedCitation":"[78]","plainTextFormattedCitation":"[78]","previouslyFormattedCitation":"[78]"},"properties":{"noteIndex":0},"schema":"https://github.com/citation-style-language/schema/raw/master/csl-citation.json"}</w:instrText>
            </w:r>
            <w:r>
              <w:rPr>
                <w:rFonts w:ascii="Arial" w:hAnsi="Arial" w:cs="Arial"/>
                <w:noProof/>
                <w:sz w:val="16"/>
                <w:szCs w:val="20"/>
                <w:lang w:val="en-US"/>
              </w:rPr>
              <w:fldChar w:fldCharType="separate"/>
            </w:r>
            <w:r w:rsidRPr="00103ADC">
              <w:rPr>
                <w:rFonts w:ascii="Arial" w:hAnsi="Arial" w:cs="Arial"/>
                <w:noProof/>
                <w:sz w:val="16"/>
                <w:szCs w:val="20"/>
                <w:lang w:val="en-US"/>
              </w:rPr>
              <w:t>[78]</w:t>
            </w:r>
            <w:r>
              <w:rPr>
                <w:rFonts w:ascii="Arial" w:hAnsi="Arial" w:cs="Arial"/>
                <w:noProof/>
                <w:sz w:val="16"/>
                <w:szCs w:val="20"/>
                <w:lang w:val="en-US"/>
              </w:rPr>
              <w:fldChar w:fldCharType="end"/>
            </w:r>
          </w:p>
        </w:tc>
        <w:tc>
          <w:tcPr>
            <w:tcW w:w="1189" w:type="dxa"/>
            <w:shd w:val="clear" w:color="auto" w:fill="auto"/>
          </w:tcPr>
          <w:p w14:paraId="06212148"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13 potential sites predicted.</w:t>
            </w:r>
          </w:p>
        </w:tc>
        <w:tc>
          <w:tcPr>
            <w:tcW w:w="1022" w:type="dxa"/>
            <w:shd w:val="clear" w:color="auto" w:fill="auto"/>
          </w:tcPr>
          <w:p w14:paraId="40067D41"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r w:rsidR="00A70C60" w:rsidRPr="00FB6C7B" w14:paraId="019B5A6C" w14:textId="77777777" w:rsidTr="00AC2715">
        <w:tc>
          <w:tcPr>
            <w:tcW w:w="885" w:type="dxa"/>
          </w:tcPr>
          <w:p w14:paraId="6773DB2F" w14:textId="43D7AA1C" w:rsidR="00A70C60" w:rsidRPr="00FB6C7B" w:rsidRDefault="00A70C60" w:rsidP="00B874BD">
            <w:pPr>
              <w:spacing w:after="0"/>
              <w:rPr>
                <w:rFonts w:ascii="Arial" w:hAnsi="Arial" w:cs="Arial"/>
                <w:sz w:val="16"/>
                <w:szCs w:val="20"/>
                <w:lang w:val="en-US"/>
              </w:rPr>
            </w:pPr>
            <w:r>
              <w:rPr>
                <w:rFonts w:ascii="Arial" w:hAnsi="Arial" w:cs="Arial"/>
                <w:sz w:val="16"/>
                <w:szCs w:val="20"/>
                <w:lang w:val="en-US"/>
              </w:rPr>
              <w:t>40</w:t>
            </w:r>
          </w:p>
        </w:tc>
        <w:tc>
          <w:tcPr>
            <w:tcW w:w="1466" w:type="dxa"/>
            <w:shd w:val="clear" w:color="auto" w:fill="auto"/>
          </w:tcPr>
          <w:p w14:paraId="1FF2EA3F" w14:textId="63E1C5F3"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Tryptophanyl-tRNA-Synthetase</w:t>
            </w:r>
          </w:p>
        </w:tc>
        <w:tc>
          <w:tcPr>
            <w:tcW w:w="1235" w:type="dxa"/>
            <w:shd w:val="clear" w:color="auto" w:fill="auto"/>
          </w:tcPr>
          <w:p w14:paraId="451127DC" w14:textId="77777777" w:rsidR="00A70C60" w:rsidRPr="00FB6C7B" w:rsidRDefault="00A70C60" w:rsidP="00B874BD">
            <w:pPr>
              <w:spacing w:after="0"/>
              <w:rPr>
                <w:rFonts w:ascii="Arial" w:hAnsi="Arial" w:cs="Arial"/>
                <w:i/>
                <w:lang w:val="en-GB"/>
              </w:rPr>
            </w:pPr>
            <w:r w:rsidRPr="00FB6C7B">
              <w:rPr>
                <w:rFonts w:ascii="Arial" w:hAnsi="Arial" w:cs="Arial"/>
                <w:i/>
                <w:sz w:val="16"/>
                <w:szCs w:val="20"/>
                <w:lang w:val="en-GB"/>
              </w:rPr>
              <w:t>H. sapiens</w:t>
            </w:r>
          </w:p>
        </w:tc>
        <w:tc>
          <w:tcPr>
            <w:tcW w:w="2125" w:type="dxa"/>
            <w:shd w:val="clear" w:color="auto" w:fill="auto"/>
          </w:tcPr>
          <w:p w14:paraId="3E330CDF"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H</w:t>
            </w:r>
            <w:r w:rsidRPr="00FB6C7B">
              <w:rPr>
                <w:rFonts w:ascii="Arial" w:hAnsi="Arial" w:cs="Arial"/>
                <w:sz w:val="16"/>
                <w:szCs w:val="20"/>
                <w:vertAlign w:val="superscript"/>
                <w:lang w:val="en-US"/>
              </w:rPr>
              <w:t>130</w:t>
            </w:r>
          </w:p>
          <w:p w14:paraId="47819AB5"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US"/>
              </w:rPr>
              <w:t>(H</w:t>
            </w:r>
            <w:r w:rsidRPr="00FB6C7B">
              <w:rPr>
                <w:rFonts w:ascii="Arial" w:hAnsi="Arial" w:cs="Arial"/>
                <w:sz w:val="16"/>
                <w:szCs w:val="20"/>
                <w:vertAlign w:val="superscript"/>
                <w:lang w:val="en-US"/>
              </w:rPr>
              <w:t>129</w:t>
            </w:r>
            <w:r w:rsidRPr="00FB6C7B">
              <w:rPr>
                <w:rFonts w:ascii="Arial" w:hAnsi="Arial" w:cs="Arial"/>
                <w:sz w:val="16"/>
                <w:szCs w:val="20"/>
                <w:lang w:val="en-US"/>
              </w:rPr>
              <w:t>, H</w:t>
            </w:r>
            <w:r w:rsidRPr="00FB6C7B">
              <w:rPr>
                <w:rFonts w:ascii="Arial" w:hAnsi="Arial" w:cs="Arial"/>
                <w:sz w:val="16"/>
                <w:szCs w:val="20"/>
                <w:vertAlign w:val="superscript"/>
                <w:lang w:val="en-US"/>
              </w:rPr>
              <w:t>336</w:t>
            </w:r>
            <w:r w:rsidRPr="00FB6C7B">
              <w:rPr>
                <w:rFonts w:ascii="Arial" w:hAnsi="Arial" w:cs="Arial"/>
                <w:sz w:val="16"/>
                <w:szCs w:val="20"/>
                <w:lang w:val="en-US"/>
              </w:rPr>
              <w:t>, H</w:t>
            </w:r>
            <w:r w:rsidRPr="00FB6C7B">
              <w:rPr>
                <w:rFonts w:ascii="Arial" w:hAnsi="Arial" w:cs="Arial"/>
                <w:sz w:val="16"/>
                <w:szCs w:val="20"/>
                <w:vertAlign w:val="superscript"/>
                <w:lang w:val="en-US"/>
              </w:rPr>
              <w:t>445</w:t>
            </w:r>
            <w:r w:rsidRPr="00FB6C7B">
              <w:rPr>
                <w:rFonts w:ascii="Arial" w:hAnsi="Arial" w:cs="Arial"/>
                <w:sz w:val="16"/>
                <w:szCs w:val="20"/>
                <w:lang w:val="en-US"/>
              </w:rPr>
              <w:t xml:space="preserve"> presumed)</w:t>
            </w:r>
          </w:p>
        </w:tc>
        <w:tc>
          <w:tcPr>
            <w:tcW w:w="1246" w:type="dxa"/>
            <w:shd w:val="clear" w:color="auto" w:fill="auto"/>
          </w:tcPr>
          <w:p w14:paraId="5218E779" w14:textId="37573B18" w:rsidR="00A70C60" w:rsidRPr="00FB6C7B" w:rsidRDefault="00A70C60" w:rsidP="000B7EC5">
            <w:pPr>
              <w:spacing w:after="0"/>
              <w:jc w:val="center"/>
              <w:rPr>
                <w:rFonts w:ascii="Arial" w:hAnsi="Arial" w:cs="Arial"/>
                <w:sz w:val="16"/>
                <w:szCs w:val="20"/>
              </w:rPr>
            </w:pPr>
            <w:r>
              <w:rPr>
                <w:rFonts w:ascii="Arial" w:hAnsi="Arial" w:cs="Arial"/>
                <w:noProof/>
                <w:sz w:val="16"/>
                <w:szCs w:val="20"/>
              </w:rPr>
              <w:fldChar w:fldCharType="begin" w:fldLock="1"/>
            </w:r>
            <w:r>
              <w:rPr>
                <w:rFonts w:ascii="Arial" w:hAnsi="Arial" w:cs="Arial"/>
                <w:noProof/>
                <w:sz w:val="16"/>
                <w:szCs w:val="20"/>
                <w:lang w:val="en-US"/>
              </w:rPr>
              <w:instrText>ADDIN CSL_CITATION {"citationItems":[{"id":"ITEM-1","itemData":{"DOI":"10.1021/bi7012068","ISSN":"00062960","abstract":"Mammalian tryptophanyl-tRNA synthetases (TrpRSs) are Zn2+-binding proteins that catalyze the aminoacylation of tRNATrp. The cellular expression level of human TrpRS is highly upregulated by interferon-gamma (IFN-gamma). In this study, a heme biosynthesis inhibitor, succinylacetone (SA), was found to inhibit cellular TrpRS activity in IFN-gamma-activated cells without affecting TrpRS protein expression. In addition, supplementation of lysates from the SA-treated cells with hemin fully restored TrpRS activity to control levels. Biochemical analyses using purified TrpRS demonstrated that heme can interact strongly with Zn2+-depleted human full-length TrpRS with a stoichiometric heme:protein ratio of 1:1 to enhance the aminoacylation activity significantly. In contrast, the Zn2+-bound form of TrpRS did not bind heme. Further studies using site-directed mutagenesis clarified that the Zn2+-unbound human H130R mutant cannot bind heme. These results provide the first evidence of the involvement of heme in regulation of TrpRS aminoacylation activity. The regulation mechanism and its physiological roles are discussed.","author":[{"dropping-particle":"","family":"Wakasugi","given":"Keisuke","non-dropping-particle":"","parse-names":false,"suffix":""}],"container-title":"Biochemistry","id":"ITEM-1","issue":"40","issued":{"date-parts":[["2007"]]},"page":"11291-11298","title":"Human tryptophanyl-tRNA synthetase binds with heme to enhance its aminoacylation activity","type":"article-journal","volume":"46"},"uris":["http://www.mendeley.com/documents/?uuid=ac886358-3a9a-407b-a4c4-cad6a4b145a6"]}],"mendeley":{"formattedCitation":"[79]","plainTextFormattedCitation":"[79]","previouslyFormattedCitation":"[79]"},"properties":{"noteIndex":0},"schema":"https://github.com/citation-style-language/schema/raw/master/csl-citation.json"}</w:instrText>
            </w:r>
            <w:r>
              <w:rPr>
                <w:rFonts w:ascii="Arial" w:hAnsi="Arial" w:cs="Arial"/>
                <w:noProof/>
                <w:sz w:val="16"/>
                <w:szCs w:val="20"/>
              </w:rPr>
              <w:fldChar w:fldCharType="separate"/>
            </w:r>
            <w:r w:rsidRPr="00103ADC">
              <w:rPr>
                <w:rFonts w:ascii="Arial" w:hAnsi="Arial" w:cs="Arial"/>
                <w:noProof/>
                <w:sz w:val="16"/>
                <w:szCs w:val="20"/>
              </w:rPr>
              <w:t>[79]</w:t>
            </w:r>
            <w:r>
              <w:rPr>
                <w:rFonts w:ascii="Arial" w:hAnsi="Arial" w:cs="Arial"/>
                <w:noProof/>
                <w:sz w:val="16"/>
                <w:szCs w:val="20"/>
              </w:rPr>
              <w:fldChar w:fldCharType="end"/>
            </w:r>
          </w:p>
        </w:tc>
        <w:tc>
          <w:tcPr>
            <w:tcW w:w="1189" w:type="dxa"/>
            <w:shd w:val="clear" w:color="auto" w:fill="auto"/>
          </w:tcPr>
          <w:p w14:paraId="2074DF01" w14:textId="77777777" w:rsidR="00A70C60" w:rsidRPr="00FB6C7B" w:rsidRDefault="00A70C60" w:rsidP="00B874BD">
            <w:pPr>
              <w:spacing w:after="0"/>
              <w:rPr>
                <w:rFonts w:ascii="Arial" w:hAnsi="Arial" w:cs="Arial"/>
                <w:sz w:val="16"/>
                <w:szCs w:val="20"/>
                <w:lang w:val="en-US"/>
              </w:rPr>
            </w:pPr>
            <w:r w:rsidRPr="00FB6C7B">
              <w:rPr>
                <w:rFonts w:ascii="Arial" w:hAnsi="Arial" w:cs="Arial"/>
                <w:sz w:val="16"/>
                <w:szCs w:val="20"/>
                <w:lang w:val="en-GB"/>
              </w:rPr>
              <w:t>All published sites correctly predicted.</w:t>
            </w:r>
          </w:p>
        </w:tc>
        <w:tc>
          <w:tcPr>
            <w:tcW w:w="1022" w:type="dxa"/>
            <w:shd w:val="clear" w:color="auto" w:fill="auto"/>
          </w:tcPr>
          <w:p w14:paraId="3E9BFF3B" w14:textId="77777777" w:rsidR="00A70C60" w:rsidRPr="00FB6C7B" w:rsidRDefault="00A70C60" w:rsidP="00B874BD">
            <w:pPr>
              <w:spacing w:after="0" w:line="240" w:lineRule="auto"/>
              <w:rPr>
                <w:rFonts w:ascii="Arial" w:hAnsi="Arial" w:cs="Arial"/>
                <w:sz w:val="16"/>
                <w:szCs w:val="20"/>
                <w:lang w:val="en-US"/>
              </w:rPr>
            </w:pPr>
            <w:r w:rsidRPr="00FB6C7B">
              <w:rPr>
                <w:rFonts w:ascii="Arial" w:hAnsi="Arial" w:cs="Arial"/>
                <w:sz w:val="16"/>
                <w:szCs w:val="20"/>
                <w:lang w:val="en-US"/>
              </w:rPr>
              <w:t>-</w:t>
            </w:r>
          </w:p>
        </w:tc>
      </w:tr>
    </w:tbl>
    <w:p w14:paraId="3FE8887F" w14:textId="77777777" w:rsidR="00C44AA1" w:rsidRPr="005C5F3F" w:rsidRDefault="00A21614">
      <w:pPr>
        <w:rPr>
          <w:rFonts w:ascii="Arial" w:hAnsi="Arial" w:cs="Arial"/>
          <w:sz w:val="16"/>
          <w:szCs w:val="16"/>
          <w:lang w:val="en-US"/>
        </w:rPr>
      </w:pPr>
      <w:r w:rsidRPr="005C5F3F">
        <w:rPr>
          <w:rFonts w:ascii="Arial" w:hAnsi="Arial" w:cs="Arial"/>
          <w:sz w:val="16"/>
          <w:szCs w:val="16"/>
          <w:lang w:val="en-US"/>
        </w:rPr>
        <w:t>*</w:t>
      </w:r>
      <w:r w:rsidR="00995EA6" w:rsidRPr="005C5F3F">
        <w:rPr>
          <w:rFonts w:ascii="Arial" w:hAnsi="Arial" w:cs="Arial"/>
          <w:sz w:val="16"/>
          <w:szCs w:val="16"/>
          <w:lang w:val="en-US"/>
        </w:rPr>
        <w:t>Sometimes</w:t>
      </w:r>
      <w:r w:rsidR="00640454" w:rsidRPr="005C5F3F">
        <w:rPr>
          <w:rFonts w:ascii="Arial" w:hAnsi="Arial" w:cs="Arial"/>
          <w:sz w:val="16"/>
          <w:szCs w:val="16"/>
          <w:lang w:val="en-US"/>
        </w:rPr>
        <w:t>,</w:t>
      </w:r>
      <w:r w:rsidR="00995EA6" w:rsidRPr="005C5F3F">
        <w:rPr>
          <w:rFonts w:ascii="Arial" w:hAnsi="Arial" w:cs="Arial"/>
          <w:sz w:val="16"/>
          <w:szCs w:val="16"/>
          <w:lang w:val="en-US"/>
        </w:rPr>
        <w:t xml:space="preserve"> more potential binding sites than the reported ones were found.</w:t>
      </w:r>
    </w:p>
    <w:p w14:paraId="56C950DF" w14:textId="77777777" w:rsidR="00E72373" w:rsidRPr="00FB6C7B" w:rsidRDefault="00E72373">
      <w:pPr>
        <w:rPr>
          <w:rFonts w:ascii="Arial" w:hAnsi="Arial" w:cs="Arial"/>
          <w:sz w:val="20"/>
          <w:szCs w:val="20"/>
          <w:lang w:val="en-US"/>
        </w:rPr>
      </w:pPr>
    </w:p>
    <w:p w14:paraId="718431DB" w14:textId="44E04DD5" w:rsidR="00B2658F" w:rsidRPr="009423E7" w:rsidRDefault="00B2658F" w:rsidP="00B2658F">
      <w:pPr>
        <w:pStyle w:val="Caption"/>
        <w:keepNext/>
        <w:jc w:val="center"/>
        <w:rPr>
          <w:rFonts w:ascii="Arial" w:hAnsi="Arial" w:cs="Arial"/>
          <w:color w:val="auto"/>
          <w:lang w:val="en-GB"/>
        </w:rPr>
      </w:pPr>
      <w:r w:rsidRPr="009423E7">
        <w:rPr>
          <w:rFonts w:ascii="Arial" w:hAnsi="Arial" w:cs="Arial"/>
          <w:color w:val="auto"/>
          <w:lang w:val="en-GB"/>
        </w:rPr>
        <w:lastRenderedPageBreak/>
        <w:t xml:space="preserve">Additional Table </w:t>
      </w:r>
      <w:r>
        <w:rPr>
          <w:rFonts w:ascii="Arial" w:hAnsi="Arial" w:cs="Arial"/>
          <w:color w:val="auto"/>
          <w:lang w:val="en-GB"/>
        </w:rPr>
        <w:t>2</w:t>
      </w:r>
      <w:r w:rsidRPr="009423E7">
        <w:rPr>
          <w:rFonts w:ascii="Arial" w:hAnsi="Arial" w:cs="Arial"/>
          <w:color w:val="auto"/>
          <w:lang w:val="en-GB"/>
        </w:rPr>
        <w:t xml:space="preserve">. </w:t>
      </w:r>
      <w:r w:rsidRPr="009423E7">
        <w:rPr>
          <w:rFonts w:ascii="Arial" w:hAnsi="Arial" w:cs="Arial"/>
          <w:b w:val="0"/>
          <w:bCs w:val="0"/>
          <w:color w:val="auto"/>
          <w:lang w:val="en-GB"/>
        </w:rPr>
        <w:t xml:space="preserve">Peptides sequences and binding data used for the initial training of </w:t>
      </w:r>
      <w:proofErr w:type="spellStart"/>
      <w:r w:rsidRPr="009423E7">
        <w:rPr>
          <w:rFonts w:ascii="Arial" w:hAnsi="Arial" w:cs="Arial"/>
          <w:b w:val="0"/>
          <w:bCs w:val="0"/>
          <w:color w:val="auto"/>
          <w:lang w:val="en-GB"/>
        </w:rPr>
        <w:t>HeMoQuest</w:t>
      </w:r>
      <w:proofErr w:type="spellEnd"/>
    </w:p>
    <w:tbl>
      <w:tblPr>
        <w:tblW w:w="0" w:type="auto"/>
        <w:tblBorders>
          <w:insideV w:val="single" w:sz="4" w:space="0" w:color="auto"/>
        </w:tblBorders>
        <w:tblCellMar>
          <w:left w:w="0" w:type="dxa"/>
        </w:tblCellMar>
        <w:tblLook w:val="04A0" w:firstRow="1" w:lastRow="0" w:firstColumn="1" w:lastColumn="0" w:noHBand="0" w:noVBand="1"/>
      </w:tblPr>
      <w:tblGrid>
        <w:gridCol w:w="785"/>
        <w:gridCol w:w="4723"/>
        <w:gridCol w:w="1698"/>
        <w:gridCol w:w="1820"/>
      </w:tblGrid>
      <w:tr w:rsidR="009C41B9" w:rsidRPr="00FB6C7B" w14:paraId="513CA9CA" w14:textId="77777777" w:rsidTr="00C028F4">
        <w:trPr>
          <w:trHeight w:val="20"/>
        </w:trPr>
        <w:tc>
          <w:tcPr>
            <w:tcW w:w="811" w:type="dxa"/>
            <w:tcBorders>
              <w:bottom w:val="single" w:sz="4" w:space="0" w:color="auto"/>
            </w:tcBorders>
            <w:shd w:val="clear" w:color="auto" w:fill="auto"/>
            <w:noWrap/>
            <w:vAlign w:val="center"/>
          </w:tcPr>
          <w:p w14:paraId="7779928B" w14:textId="77777777" w:rsidR="00B2658F" w:rsidRPr="00FB6C7B" w:rsidRDefault="00B2658F" w:rsidP="00CD03BB">
            <w:pPr>
              <w:spacing w:after="0" w:line="240" w:lineRule="auto"/>
              <w:rPr>
                <w:rFonts w:ascii="Arial" w:hAnsi="Arial" w:cs="Arial"/>
                <w:b/>
                <w:sz w:val="18"/>
              </w:rPr>
            </w:pPr>
            <w:proofErr w:type="spellStart"/>
            <w:r w:rsidRPr="00FB6C7B">
              <w:rPr>
                <w:rFonts w:ascii="Arial" w:hAnsi="Arial" w:cs="Arial"/>
                <w:b/>
                <w:sz w:val="18"/>
              </w:rPr>
              <w:t>Number</w:t>
            </w:r>
            <w:proofErr w:type="spellEnd"/>
          </w:p>
        </w:tc>
        <w:tc>
          <w:tcPr>
            <w:tcW w:w="4643" w:type="dxa"/>
            <w:tcBorders>
              <w:bottom w:val="single" w:sz="4" w:space="0" w:color="auto"/>
            </w:tcBorders>
            <w:shd w:val="clear" w:color="auto" w:fill="auto"/>
            <w:noWrap/>
            <w:vAlign w:val="center"/>
          </w:tcPr>
          <w:p w14:paraId="0DF7E598" w14:textId="4554D5A6" w:rsidR="00B2658F" w:rsidRPr="00FB6C7B" w:rsidRDefault="00B2658F" w:rsidP="00CD03BB">
            <w:pPr>
              <w:spacing w:after="0" w:line="240" w:lineRule="auto"/>
              <w:rPr>
                <w:rFonts w:ascii="Arial" w:hAnsi="Arial" w:cs="Arial"/>
                <w:b/>
                <w:sz w:val="18"/>
              </w:rPr>
            </w:pPr>
            <w:proofErr w:type="spellStart"/>
            <w:r w:rsidRPr="00FB6C7B">
              <w:rPr>
                <w:rFonts w:ascii="Arial" w:hAnsi="Arial" w:cs="Arial"/>
                <w:b/>
                <w:sz w:val="18"/>
              </w:rPr>
              <w:t>Sequence</w:t>
            </w:r>
            <w:proofErr w:type="spellEnd"/>
            <w:r w:rsidR="009C41B9">
              <w:rPr>
                <w:rFonts w:ascii="Arial" w:hAnsi="Arial" w:cs="Arial"/>
                <w:b/>
                <w:sz w:val="18"/>
              </w:rPr>
              <w:t>*</w:t>
            </w:r>
          </w:p>
        </w:tc>
        <w:tc>
          <w:tcPr>
            <w:tcW w:w="1776" w:type="dxa"/>
            <w:tcBorders>
              <w:bottom w:val="single" w:sz="4" w:space="0" w:color="auto"/>
            </w:tcBorders>
            <w:shd w:val="clear" w:color="auto" w:fill="auto"/>
            <w:noWrap/>
            <w:vAlign w:val="center"/>
          </w:tcPr>
          <w:p w14:paraId="7A2FBEDF" w14:textId="77777777" w:rsidR="00B2658F" w:rsidRPr="00FB6C7B" w:rsidRDefault="00B2658F" w:rsidP="00CD03BB">
            <w:pPr>
              <w:spacing w:after="0" w:line="240" w:lineRule="auto"/>
              <w:jc w:val="right"/>
              <w:rPr>
                <w:rFonts w:ascii="Arial" w:hAnsi="Arial" w:cs="Arial"/>
                <w:b/>
                <w:sz w:val="18"/>
              </w:rPr>
            </w:pPr>
            <w:r w:rsidRPr="00FB6C7B">
              <w:rPr>
                <w:rFonts w:ascii="Arial" w:hAnsi="Arial" w:cs="Arial"/>
                <w:b/>
                <w:bCs/>
                <w:sz w:val="18"/>
              </w:rPr>
              <w:t>K</w:t>
            </w:r>
            <w:r w:rsidRPr="00FB6C7B">
              <w:rPr>
                <w:rFonts w:ascii="Arial" w:hAnsi="Arial" w:cs="Arial"/>
                <w:b/>
                <w:bCs/>
                <w:sz w:val="18"/>
                <w:vertAlign w:val="subscript"/>
              </w:rPr>
              <w:t>D</w:t>
            </w:r>
            <w:r w:rsidRPr="00FB6C7B">
              <w:rPr>
                <w:rFonts w:ascii="Arial" w:hAnsi="Arial" w:cs="Arial"/>
                <w:b/>
                <w:bCs/>
                <w:sz w:val="18"/>
              </w:rPr>
              <w:t xml:space="preserve"> [µM]</w:t>
            </w:r>
          </w:p>
        </w:tc>
        <w:tc>
          <w:tcPr>
            <w:tcW w:w="1904" w:type="dxa"/>
            <w:tcBorders>
              <w:bottom w:val="single" w:sz="4" w:space="0" w:color="auto"/>
            </w:tcBorders>
            <w:shd w:val="clear" w:color="auto" w:fill="auto"/>
            <w:noWrap/>
            <w:vAlign w:val="center"/>
          </w:tcPr>
          <w:p w14:paraId="14BA7C3B" w14:textId="77777777" w:rsidR="00B2658F" w:rsidRPr="00FB6C7B" w:rsidRDefault="00B2658F" w:rsidP="00CD03BB">
            <w:pPr>
              <w:spacing w:after="0" w:line="240" w:lineRule="auto"/>
              <w:jc w:val="center"/>
              <w:rPr>
                <w:rFonts w:ascii="Arial" w:hAnsi="Arial" w:cs="Arial"/>
                <w:b/>
                <w:sz w:val="18"/>
              </w:rPr>
            </w:pPr>
            <w:r w:rsidRPr="00FB6C7B">
              <w:rPr>
                <w:rFonts w:ascii="Arial" w:hAnsi="Arial" w:cs="Arial"/>
                <w:b/>
                <w:sz w:val="18"/>
              </w:rPr>
              <w:t>Reference</w:t>
            </w:r>
          </w:p>
        </w:tc>
      </w:tr>
      <w:tr w:rsidR="009C41B9" w:rsidRPr="00FB6C7B" w14:paraId="114EA323" w14:textId="77777777" w:rsidTr="00C028F4">
        <w:trPr>
          <w:trHeight w:val="20"/>
        </w:trPr>
        <w:tc>
          <w:tcPr>
            <w:tcW w:w="811" w:type="dxa"/>
            <w:tcBorders>
              <w:top w:val="single" w:sz="4" w:space="0" w:color="auto"/>
            </w:tcBorders>
            <w:shd w:val="clear" w:color="auto" w:fill="auto"/>
            <w:noWrap/>
            <w:vAlign w:val="center"/>
            <w:hideMark/>
          </w:tcPr>
          <w:p w14:paraId="1F4A99B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w:t>
            </w:r>
          </w:p>
        </w:tc>
        <w:tc>
          <w:tcPr>
            <w:tcW w:w="4643" w:type="dxa"/>
            <w:tcBorders>
              <w:top w:val="single" w:sz="4" w:space="0" w:color="auto"/>
            </w:tcBorders>
            <w:shd w:val="clear" w:color="auto" w:fill="auto"/>
            <w:noWrap/>
            <w:vAlign w:val="center"/>
            <w:hideMark/>
          </w:tcPr>
          <w:p w14:paraId="0BF84B4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RAFFYCKAC</w:t>
            </w:r>
          </w:p>
        </w:tc>
        <w:tc>
          <w:tcPr>
            <w:tcW w:w="1776" w:type="dxa"/>
            <w:tcBorders>
              <w:top w:val="single" w:sz="4" w:space="0" w:color="auto"/>
            </w:tcBorders>
            <w:shd w:val="clear" w:color="auto" w:fill="auto"/>
            <w:noWrap/>
            <w:vAlign w:val="center"/>
            <w:hideMark/>
          </w:tcPr>
          <w:p w14:paraId="4F6C293F"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0.28 ± 0.09</w:t>
            </w:r>
          </w:p>
        </w:tc>
        <w:tc>
          <w:tcPr>
            <w:tcW w:w="1904" w:type="dxa"/>
            <w:tcBorders>
              <w:top w:val="single" w:sz="4" w:space="0" w:color="auto"/>
            </w:tcBorders>
            <w:shd w:val="clear" w:color="auto" w:fill="auto"/>
            <w:noWrap/>
            <w:vAlign w:val="center"/>
            <w:hideMark/>
          </w:tcPr>
          <w:p w14:paraId="037742E9" w14:textId="1B0EBB32"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719FF8F3" w14:textId="77777777" w:rsidTr="00C028F4">
        <w:trPr>
          <w:trHeight w:val="20"/>
        </w:trPr>
        <w:tc>
          <w:tcPr>
            <w:tcW w:w="811" w:type="dxa"/>
            <w:shd w:val="clear" w:color="auto" w:fill="auto"/>
            <w:noWrap/>
            <w:vAlign w:val="center"/>
            <w:hideMark/>
          </w:tcPr>
          <w:p w14:paraId="10D53BE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w:t>
            </w:r>
          </w:p>
        </w:tc>
        <w:tc>
          <w:tcPr>
            <w:tcW w:w="4643" w:type="dxa"/>
            <w:shd w:val="clear" w:color="auto" w:fill="auto"/>
            <w:noWrap/>
            <w:vAlign w:val="center"/>
            <w:hideMark/>
          </w:tcPr>
          <w:p w14:paraId="5F68AE2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AFFYCKACH</w:t>
            </w:r>
          </w:p>
        </w:tc>
        <w:tc>
          <w:tcPr>
            <w:tcW w:w="1776" w:type="dxa"/>
            <w:shd w:val="clear" w:color="auto" w:fill="auto"/>
            <w:noWrap/>
            <w:vAlign w:val="center"/>
            <w:hideMark/>
          </w:tcPr>
          <w:p w14:paraId="4DED7A03"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0.39 ± 0.09</w:t>
            </w:r>
          </w:p>
        </w:tc>
        <w:tc>
          <w:tcPr>
            <w:tcW w:w="1904" w:type="dxa"/>
            <w:shd w:val="clear" w:color="auto" w:fill="auto"/>
            <w:noWrap/>
            <w:vAlign w:val="center"/>
            <w:hideMark/>
          </w:tcPr>
          <w:p w14:paraId="2A6EA440" w14:textId="253CF72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0E293875" w14:textId="77777777" w:rsidTr="00C028F4">
        <w:trPr>
          <w:trHeight w:val="20"/>
        </w:trPr>
        <w:tc>
          <w:tcPr>
            <w:tcW w:w="811" w:type="dxa"/>
            <w:shd w:val="clear" w:color="auto" w:fill="auto"/>
            <w:noWrap/>
            <w:vAlign w:val="center"/>
            <w:hideMark/>
          </w:tcPr>
          <w:p w14:paraId="211E69F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w:t>
            </w:r>
          </w:p>
        </w:tc>
        <w:tc>
          <w:tcPr>
            <w:tcW w:w="4643" w:type="dxa"/>
            <w:shd w:val="clear" w:color="auto" w:fill="auto"/>
            <w:noWrap/>
            <w:vAlign w:val="center"/>
            <w:hideMark/>
          </w:tcPr>
          <w:p w14:paraId="26D484A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AESFCTNQD</w:t>
            </w:r>
          </w:p>
        </w:tc>
        <w:tc>
          <w:tcPr>
            <w:tcW w:w="1776" w:type="dxa"/>
            <w:shd w:val="clear" w:color="auto" w:fill="auto"/>
            <w:noWrap/>
            <w:vAlign w:val="center"/>
            <w:hideMark/>
          </w:tcPr>
          <w:p w14:paraId="41F18C34" w14:textId="522E4EF8" w:rsidR="00B2658F" w:rsidRPr="00C028F4" w:rsidRDefault="00B2658F" w:rsidP="00AC2715">
            <w:pPr>
              <w:spacing w:after="0" w:line="240" w:lineRule="auto"/>
              <w:rPr>
                <w:rFonts w:ascii="Arial" w:hAnsi="Arial" w:cs="Arial"/>
                <w:sz w:val="18"/>
              </w:rPr>
            </w:pPr>
            <w:r w:rsidRPr="00FB6C7B">
              <w:rPr>
                <w:rFonts w:ascii="Arial" w:hAnsi="Arial" w:cs="Arial"/>
                <w:sz w:val="18"/>
              </w:rPr>
              <w:t>2.23 ± 1.86</w:t>
            </w:r>
            <w:r w:rsidR="009C41B9" w:rsidRPr="00AC2715">
              <w:rPr>
                <w:rFonts w:ascii="Arial" w:hAnsi="Arial" w:cs="Arial"/>
                <w:sz w:val="18"/>
                <w:vertAlign w:val="superscript"/>
              </w:rPr>
              <w:t>†</w:t>
            </w:r>
          </w:p>
        </w:tc>
        <w:tc>
          <w:tcPr>
            <w:tcW w:w="1904" w:type="dxa"/>
            <w:shd w:val="clear" w:color="auto" w:fill="auto"/>
            <w:noWrap/>
            <w:vAlign w:val="center"/>
            <w:hideMark/>
          </w:tcPr>
          <w:p w14:paraId="6A9C6DB2" w14:textId="2B24FC62"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[81]</w:t>
            </w:r>
            <w:r>
              <w:rPr>
                <w:rFonts w:ascii="Arial" w:hAnsi="Arial" w:cs="Arial"/>
                <w:noProof/>
                <w:sz w:val="18"/>
              </w:rPr>
              <w:fldChar w:fldCharType="end"/>
            </w:r>
          </w:p>
        </w:tc>
      </w:tr>
      <w:tr w:rsidR="009C41B9" w:rsidRPr="00FB6C7B" w14:paraId="0443E347" w14:textId="77777777" w:rsidTr="00C028F4">
        <w:trPr>
          <w:trHeight w:val="20"/>
        </w:trPr>
        <w:tc>
          <w:tcPr>
            <w:tcW w:w="811" w:type="dxa"/>
            <w:shd w:val="clear" w:color="auto" w:fill="auto"/>
            <w:noWrap/>
            <w:vAlign w:val="center"/>
            <w:hideMark/>
          </w:tcPr>
          <w:p w14:paraId="5E679E7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w:t>
            </w:r>
          </w:p>
        </w:tc>
        <w:tc>
          <w:tcPr>
            <w:tcW w:w="4643" w:type="dxa"/>
            <w:shd w:val="clear" w:color="auto" w:fill="auto"/>
            <w:noWrap/>
            <w:vAlign w:val="center"/>
            <w:hideMark/>
          </w:tcPr>
          <w:p w14:paraId="483743C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KWEDCVFDS</w:t>
            </w:r>
          </w:p>
        </w:tc>
        <w:tc>
          <w:tcPr>
            <w:tcW w:w="1776" w:type="dxa"/>
            <w:shd w:val="clear" w:color="auto" w:fill="auto"/>
            <w:noWrap/>
            <w:vAlign w:val="center"/>
            <w:hideMark/>
          </w:tcPr>
          <w:p w14:paraId="0B2EF4A5" w14:textId="3FD418C8" w:rsidR="00B2658F" w:rsidRPr="00FB6C7B" w:rsidRDefault="00B2658F" w:rsidP="00AC2715">
            <w:pPr>
              <w:spacing w:after="0" w:line="240" w:lineRule="auto"/>
              <w:rPr>
                <w:rFonts w:ascii="Arial" w:hAnsi="Arial" w:cs="Arial"/>
                <w:sz w:val="18"/>
              </w:rPr>
            </w:pPr>
            <w:r w:rsidRPr="00FB6C7B">
              <w:rPr>
                <w:rFonts w:ascii="Arial" w:hAnsi="Arial" w:cs="Arial"/>
                <w:sz w:val="18"/>
              </w:rPr>
              <w:t>1.</w:t>
            </w:r>
            <w:r w:rsidR="00C028F4">
              <w:rPr>
                <w:rFonts w:ascii="Arial" w:hAnsi="Arial" w:cs="Arial"/>
                <w:sz w:val="18"/>
              </w:rPr>
              <w:t>78</w:t>
            </w:r>
            <w:r w:rsidRPr="00FB6C7B">
              <w:rPr>
                <w:rFonts w:ascii="Arial" w:hAnsi="Arial" w:cs="Arial"/>
                <w:sz w:val="18"/>
              </w:rPr>
              <w:t xml:space="preserve"> ± 0.</w:t>
            </w:r>
            <w:r w:rsidR="00C028F4">
              <w:rPr>
                <w:rFonts w:ascii="Arial" w:hAnsi="Arial" w:cs="Arial"/>
                <w:sz w:val="18"/>
              </w:rPr>
              <w:t>78</w:t>
            </w:r>
          </w:p>
        </w:tc>
        <w:tc>
          <w:tcPr>
            <w:tcW w:w="1904" w:type="dxa"/>
            <w:shd w:val="clear" w:color="auto" w:fill="auto"/>
            <w:noWrap/>
            <w:vAlign w:val="center"/>
            <w:hideMark/>
          </w:tcPr>
          <w:p w14:paraId="236C13E4" w14:textId="082D2D89"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[81]</w:t>
            </w:r>
            <w:r>
              <w:rPr>
                <w:rFonts w:ascii="Arial" w:hAnsi="Arial" w:cs="Arial"/>
                <w:noProof/>
                <w:sz w:val="18"/>
              </w:rPr>
              <w:fldChar w:fldCharType="end"/>
            </w:r>
          </w:p>
        </w:tc>
      </w:tr>
      <w:tr w:rsidR="009C41B9" w:rsidRPr="00FB6C7B" w14:paraId="1DCB70CB" w14:textId="77777777" w:rsidTr="00C028F4">
        <w:trPr>
          <w:trHeight w:val="20"/>
        </w:trPr>
        <w:tc>
          <w:tcPr>
            <w:tcW w:w="811" w:type="dxa"/>
            <w:shd w:val="clear" w:color="auto" w:fill="auto"/>
            <w:noWrap/>
            <w:vAlign w:val="center"/>
            <w:hideMark/>
          </w:tcPr>
          <w:p w14:paraId="3B72DF47"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5</w:t>
            </w:r>
          </w:p>
        </w:tc>
        <w:tc>
          <w:tcPr>
            <w:tcW w:w="4643" w:type="dxa"/>
            <w:shd w:val="clear" w:color="auto" w:fill="auto"/>
            <w:noWrap/>
            <w:vAlign w:val="center"/>
            <w:hideMark/>
          </w:tcPr>
          <w:p w14:paraId="40EC816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LWQFCAFSS</w:t>
            </w:r>
          </w:p>
        </w:tc>
        <w:tc>
          <w:tcPr>
            <w:tcW w:w="1776" w:type="dxa"/>
            <w:shd w:val="clear" w:color="auto" w:fill="auto"/>
            <w:noWrap/>
            <w:vAlign w:val="center"/>
            <w:hideMark/>
          </w:tcPr>
          <w:p w14:paraId="4C2C573B" w14:textId="71D967A2" w:rsidR="00B2658F" w:rsidRPr="00FB6C7B" w:rsidRDefault="00B2658F" w:rsidP="00AC2715">
            <w:pPr>
              <w:spacing w:after="0" w:line="240" w:lineRule="auto"/>
              <w:rPr>
                <w:rFonts w:ascii="Arial" w:hAnsi="Arial" w:cs="Arial"/>
                <w:sz w:val="18"/>
              </w:rPr>
            </w:pPr>
            <w:r w:rsidRPr="00FB6C7B">
              <w:rPr>
                <w:rFonts w:ascii="Arial" w:hAnsi="Arial" w:cs="Arial"/>
                <w:sz w:val="18"/>
              </w:rPr>
              <w:t>0.</w:t>
            </w:r>
            <w:r w:rsidR="00C028F4">
              <w:rPr>
                <w:rFonts w:ascii="Arial" w:hAnsi="Arial" w:cs="Arial"/>
                <w:sz w:val="18"/>
              </w:rPr>
              <w:t>79</w:t>
            </w:r>
            <w:r w:rsidRPr="00FB6C7B">
              <w:rPr>
                <w:rFonts w:ascii="Arial" w:hAnsi="Arial" w:cs="Arial"/>
                <w:sz w:val="18"/>
              </w:rPr>
              <w:t xml:space="preserve"> ± 0.</w:t>
            </w:r>
            <w:r w:rsidR="00C028F4">
              <w:rPr>
                <w:rFonts w:ascii="Arial" w:hAnsi="Arial" w:cs="Arial"/>
                <w:sz w:val="18"/>
              </w:rPr>
              <w:t>22</w:t>
            </w:r>
          </w:p>
        </w:tc>
        <w:tc>
          <w:tcPr>
            <w:tcW w:w="1904" w:type="dxa"/>
            <w:shd w:val="clear" w:color="auto" w:fill="auto"/>
            <w:noWrap/>
            <w:vAlign w:val="center"/>
            <w:hideMark/>
          </w:tcPr>
          <w:p w14:paraId="5C1B48F9" w14:textId="577191AF"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[81]</w:t>
            </w:r>
            <w:r>
              <w:rPr>
                <w:rFonts w:ascii="Arial" w:hAnsi="Arial" w:cs="Arial"/>
                <w:noProof/>
                <w:sz w:val="18"/>
              </w:rPr>
              <w:fldChar w:fldCharType="end"/>
            </w:r>
          </w:p>
        </w:tc>
      </w:tr>
      <w:tr w:rsidR="009C41B9" w:rsidRPr="00FB6C7B" w14:paraId="1943544A" w14:textId="77777777" w:rsidTr="00C028F4">
        <w:trPr>
          <w:trHeight w:val="20"/>
        </w:trPr>
        <w:tc>
          <w:tcPr>
            <w:tcW w:w="811" w:type="dxa"/>
            <w:shd w:val="clear" w:color="auto" w:fill="auto"/>
            <w:noWrap/>
            <w:vAlign w:val="center"/>
            <w:hideMark/>
          </w:tcPr>
          <w:p w14:paraId="20B2EAA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6</w:t>
            </w:r>
          </w:p>
        </w:tc>
        <w:tc>
          <w:tcPr>
            <w:tcW w:w="4643" w:type="dxa"/>
            <w:shd w:val="clear" w:color="auto" w:fill="auto"/>
            <w:noWrap/>
            <w:vAlign w:val="center"/>
            <w:hideMark/>
          </w:tcPr>
          <w:p w14:paraId="0AE0A00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WRSNCSHQH</w:t>
            </w:r>
          </w:p>
        </w:tc>
        <w:tc>
          <w:tcPr>
            <w:tcW w:w="1776" w:type="dxa"/>
            <w:shd w:val="clear" w:color="auto" w:fill="auto"/>
            <w:noWrap/>
            <w:vAlign w:val="center"/>
            <w:hideMark/>
          </w:tcPr>
          <w:p w14:paraId="6668B99C" w14:textId="75242C5C" w:rsidR="00B2658F" w:rsidRPr="00FB6C7B" w:rsidRDefault="00B2658F" w:rsidP="00AC2715">
            <w:pPr>
              <w:spacing w:after="0" w:line="240" w:lineRule="auto"/>
              <w:rPr>
                <w:rFonts w:ascii="Arial" w:hAnsi="Arial" w:cs="Arial"/>
                <w:sz w:val="18"/>
              </w:rPr>
            </w:pPr>
            <w:r w:rsidRPr="00FB6C7B">
              <w:rPr>
                <w:rFonts w:ascii="Arial" w:hAnsi="Arial" w:cs="Arial"/>
                <w:sz w:val="18"/>
              </w:rPr>
              <w:t>12.03 ± 0.59</w:t>
            </w:r>
            <w:r w:rsidR="009C41B9" w:rsidRPr="00974F06">
              <w:rPr>
                <w:rFonts w:ascii="Arial" w:hAnsi="Arial" w:cs="Arial"/>
                <w:sz w:val="18"/>
                <w:vertAlign w:val="superscript"/>
              </w:rPr>
              <w:t>†</w:t>
            </w:r>
          </w:p>
        </w:tc>
        <w:tc>
          <w:tcPr>
            <w:tcW w:w="1904" w:type="dxa"/>
            <w:shd w:val="clear" w:color="auto" w:fill="auto"/>
            <w:noWrap/>
            <w:vAlign w:val="center"/>
            <w:hideMark/>
          </w:tcPr>
          <w:p w14:paraId="5AA579ED" w14:textId="7F626140"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[81]</w:t>
            </w:r>
            <w:r>
              <w:rPr>
                <w:rFonts w:ascii="Arial" w:hAnsi="Arial" w:cs="Arial"/>
                <w:noProof/>
                <w:sz w:val="18"/>
              </w:rPr>
              <w:fldChar w:fldCharType="end"/>
            </w:r>
          </w:p>
        </w:tc>
      </w:tr>
      <w:tr w:rsidR="009C41B9" w:rsidRPr="00FB6C7B" w14:paraId="17E8B183" w14:textId="77777777" w:rsidTr="00C028F4">
        <w:trPr>
          <w:trHeight w:val="20"/>
        </w:trPr>
        <w:tc>
          <w:tcPr>
            <w:tcW w:w="811" w:type="dxa"/>
            <w:shd w:val="clear" w:color="auto" w:fill="auto"/>
            <w:noWrap/>
            <w:vAlign w:val="center"/>
            <w:hideMark/>
          </w:tcPr>
          <w:p w14:paraId="4705508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7</w:t>
            </w:r>
          </w:p>
        </w:tc>
        <w:tc>
          <w:tcPr>
            <w:tcW w:w="4643" w:type="dxa"/>
            <w:shd w:val="clear" w:color="auto" w:fill="auto"/>
            <w:noWrap/>
            <w:vAlign w:val="center"/>
            <w:hideMark/>
          </w:tcPr>
          <w:p w14:paraId="31EF4D5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VEKMCIETA</w:t>
            </w:r>
          </w:p>
        </w:tc>
        <w:tc>
          <w:tcPr>
            <w:tcW w:w="1776" w:type="dxa"/>
            <w:shd w:val="clear" w:color="auto" w:fill="auto"/>
            <w:noWrap/>
            <w:vAlign w:val="center"/>
            <w:hideMark/>
          </w:tcPr>
          <w:p w14:paraId="4476FDF0" w14:textId="397407CA" w:rsidR="00B2658F" w:rsidRPr="00FB6C7B" w:rsidRDefault="00C028F4" w:rsidP="00AC2715">
            <w:pPr>
              <w:spacing w:after="0" w:line="240" w:lineRule="auto"/>
              <w:rPr>
                <w:rFonts w:ascii="Arial" w:hAnsi="Arial" w:cs="Arial"/>
                <w:sz w:val="18"/>
              </w:rPr>
            </w:pPr>
            <w:r>
              <w:rPr>
                <w:rFonts w:ascii="Arial" w:hAnsi="Arial" w:cs="Arial"/>
                <w:sz w:val="18"/>
              </w:rPr>
              <w:t>5.56</w:t>
            </w:r>
            <w:r w:rsidR="00B2658F" w:rsidRPr="00FB6C7B">
              <w:rPr>
                <w:rFonts w:ascii="Arial" w:hAnsi="Arial" w:cs="Arial"/>
                <w:sz w:val="18"/>
              </w:rPr>
              <w:t xml:space="preserve"> ± 1.</w:t>
            </w:r>
            <w:r>
              <w:rPr>
                <w:rFonts w:ascii="Arial" w:hAnsi="Arial" w:cs="Arial"/>
                <w:sz w:val="18"/>
              </w:rPr>
              <w:t>07</w:t>
            </w:r>
          </w:p>
        </w:tc>
        <w:tc>
          <w:tcPr>
            <w:tcW w:w="1904" w:type="dxa"/>
            <w:shd w:val="clear" w:color="auto" w:fill="auto"/>
            <w:noWrap/>
            <w:vAlign w:val="center"/>
            <w:hideMark/>
          </w:tcPr>
          <w:p w14:paraId="23F8B947" w14:textId="1E330325"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[81]</w:t>
            </w:r>
            <w:r>
              <w:rPr>
                <w:rFonts w:ascii="Arial" w:hAnsi="Arial" w:cs="Arial"/>
                <w:noProof/>
                <w:sz w:val="18"/>
              </w:rPr>
              <w:fldChar w:fldCharType="end"/>
            </w:r>
          </w:p>
        </w:tc>
      </w:tr>
      <w:tr w:rsidR="009C41B9" w:rsidRPr="00FB6C7B" w14:paraId="31166163" w14:textId="77777777" w:rsidTr="00C028F4">
        <w:trPr>
          <w:trHeight w:val="20"/>
        </w:trPr>
        <w:tc>
          <w:tcPr>
            <w:tcW w:w="811" w:type="dxa"/>
            <w:shd w:val="clear" w:color="auto" w:fill="auto"/>
            <w:noWrap/>
            <w:vAlign w:val="center"/>
            <w:hideMark/>
          </w:tcPr>
          <w:p w14:paraId="54EEA47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8</w:t>
            </w:r>
          </w:p>
        </w:tc>
        <w:tc>
          <w:tcPr>
            <w:tcW w:w="4643" w:type="dxa"/>
            <w:shd w:val="clear" w:color="auto" w:fill="auto"/>
            <w:noWrap/>
            <w:vAlign w:val="center"/>
            <w:hideMark/>
          </w:tcPr>
          <w:p w14:paraId="622833B5"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AQEPHLEBK</w:t>
            </w:r>
          </w:p>
        </w:tc>
        <w:tc>
          <w:tcPr>
            <w:tcW w:w="1776" w:type="dxa"/>
            <w:shd w:val="clear" w:color="auto" w:fill="auto"/>
            <w:noWrap/>
            <w:vAlign w:val="center"/>
            <w:hideMark/>
          </w:tcPr>
          <w:p w14:paraId="3B5495B9"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3700B46C" w14:textId="52B10308"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fbdbfe0f-1c14-4115-81ca-3c5e17162ee7","http://www.mendeley.com/documents/?uuid=1924f857-8f23-4f8f-b07a-24503d7db867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1ED21E31" w14:textId="77777777" w:rsidTr="00C028F4">
        <w:trPr>
          <w:trHeight w:val="20"/>
        </w:trPr>
        <w:tc>
          <w:tcPr>
            <w:tcW w:w="811" w:type="dxa"/>
            <w:shd w:val="clear" w:color="auto" w:fill="auto"/>
            <w:noWrap/>
            <w:vAlign w:val="center"/>
            <w:hideMark/>
          </w:tcPr>
          <w:p w14:paraId="42A2D7C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9</w:t>
            </w:r>
          </w:p>
        </w:tc>
        <w:tc>
          <w:tcPr>
            <w:tcW w:w="4643" w:type="dxa"/>
            <w:shd w:val="clear" w:color="auto" w:fill="auto"/>
            <w:noWrap/>
            <w:vAlign w:val="center"/>
            <w:hideMark/>
          </w:tcPr>
          <w:p w14:paraId="7C3BB0D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LINQHATSF</w:t>
            </w:r>
          </w:p>
        </w:tc>
        <w:tc>
          <w:tcPr>
            <w:tcW w:w="1776" w:type="dxa"/>
            <w:shd w:val="clear" w:color="auto" w:fill="auto"/>
            <w:noWrap/>
            <w:vAlign w:val="center"/>
            <w:hideMark/>
          </w:tcPr>
          <w:p w14:paraId="18FC5558" w14:textId="1AB95B65" w:rsidR="00B2658F" w:rsidRPr="00FB6C7B" w:rsidRDefault="00B2658F" w:rsidP="00AC2715">
            <w:pPr>
              <w:spacing w:after="0" w:line="240" w:lineRule="auto"/>
              <w:rPr>
                <w:rFonts w:ascii="Arial" w:hAnsi="Arial" w:cs="Arial"/>
                <w:sz w:val="18"/>
              </w:rPr>
            </w:pPr>
            <w:r w:rsidRPr="00FB6C7B">
              <w:rPr>
                <w:rFonts w:ascii="Arial" w:hAnsi="Arial" w:cs="Arial"/>
                <w:sz w:val="18"/>
              </w:rPr>
              <w:t>6.23 ± 1.35</w:t>
            </w:r>
            <w:r w:rsidR="00C028F4">
              <w:rPr>
                <w:rFonts w:ascii="Arial" w:hAnsi="Arial" w:cs="Arial"/>
                <w:sz w:val="18"/>
              </w:rPr>
              <w:t xml:space="preserve"> (</w:t>
            </w:r>
            <w:proofErr w:type="spellStart"/>
            <w:r w:rsidR="00C028F4">
              <w:rPr>
                <w:rFonts w:ascii="Arial" w:hAnsi="Arial" w:cs="Arial"/>
                <w:sz w:val="18"/>
              </w:rPr>
              <w:t>n.sat</w:t>
            </w:r>
            <w:proofErr w:type="spellEnd"/>
            <w:r w:rsidR="00C028F4">
              <w:rPr>
                <w:rFonts w:ascii="Arial" w:hAnsi="Arial" w:cs="Arial"/>
                <w:sz w:val="18"/>
              </w:rPr>
              <w:t>.)</w:t>
            </w:r>
          </w:p>
        </w:tc>
        <w:tc>
          <w:tcPr>
            <w:tcW w:w="1904" w:type="dxa"/>
            <w:shd w:val="clear" w:color="auto" w:fill="auto"/>
            <w:noWrap/>
            <w:vAlign w:val="center"/>
            <w:hideMark/>
          </w:tcPr>
          <w:p w14:paraId="2362C2A6" w14:textId="1456F91D"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D5CD3AC" w14:textId="77777777" w:rsidTr="00C028F4">
        <w:trPr>
          <w:trHeight w:val="20"/>
        </w:trPr>
        <w:tc>
          <w:tcPr>
            <w:tcW w:w="811" w:type="dxa"/>
            <w:shd w:val="clear" w:color="auto" w:fill="auto"/>
            <w:noWrap/>
            <w:vAlign w:val="center"/>
            <w:hideMark/>
          </w:tcPr>
          <w:p w14:paraId="7DDD0701"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10</w:t>
            </w:r>
          </w:p>
        </w:tc>
        <w:tc>
          <w:tcPr>
            <w:tcW w:w="4643" w:type="dxa"/>
            <w:shd w:val="clear" w:color="auto" w:fill="auto"/>
            <w:noWrap/>
            <w:vAlign w:val="center"/>
            <w:hideMark/>
          </w:tcPr>
          <w:p w14:paraId="23629CF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ETIFHTVQQ</w:t>
            </w:r>
          </w:p>
        </w:tc>
        <w:tc>
          <w:tcPr>
            <w:tcW w:w="1776" w:type="dxa"/>
            <w:shd w:val="clear" w:color="auto" w:fill="auto"/>
            <w:noWrap/>
            <w:vAlign w:val="center"/>
            <w:hideMark/>
          </w:tcPr>
          <w:p w14:paraId="192C5CEA"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55F544CA" w14:textId="7E9378E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138CEE37" w14:textId="77777777" w:rsidTr="00C028F4">
        <w:trPr>
          <w:trHeight w:val="20"/>
        </w:trPr>
        <w:tc>
          <w:tcPr>
            <w:tcW w:w="811" w:type="dxa"/>
            <w:shd w:val="clear" w:color="auto" w:fill="auto"/>
            <w:noWrap/>
            <w:vAlign w:val="center"/>
            <w:hideMark/>
          </w:tcPr>
          <w:p w14:paraId="2D31429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11</w:t>
            </w:r>
          </w:p>
        </w:tc>
        <w:tc>
          <w:tcPr>
            <w:tcW w:w="4643" w:type="dxa"/>
            <w:shd w:val="clear" w:color="auto" w:fill="auto"/>
            <w:noWrap/>
            <w:vAlign w:val="center"/>
            <w:hideMark/>
          </w:tcPr>
          <w:p w14:paraId="55D4F4F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YPGQHISNE</w:t>
            </w:r>
          </w:p>
        </w:tc>
        <w:tc>
          <w:tcPr>
            <w:tcW w:w="1776" w:type="dxa"/>
            <w:shd w:val="clear" w:color="auto" w:fill="auto"/>
            <w:noWrap/>
            <w:vAlign w:val="center"/>
            <w:hideMark/>
          </w:tcPr>
          <w:p w14:paraId="65C6C4EE"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157DBB73" w14:textId="05352AD0"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8411E41" w14:textId="77777777" w:rsidTr="00C028F4">
        <w:trPr>
          <w:trHeight w:val="20"/>
        </w:trPr>
        <w:tc>
          <w:tcPr>
            <w:tcW w:w="811" w:type="dxa"/>
            <w:shd w:val="clear" w:color="auto" w:fill="auto"/>
            <w:noWrap/>
            <w:vAlign w:val="center"/>
            <w:hideMark/>
          </w:tcPr>
          <w:p w14:paraId="209B79BE"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12</w:t>
            </w:r>
          </w:p>
        </w:tc>
        <w:tc>
          <w:tcPr>
            <w:tcW w:w="4643" w:type="dxa"/>
            <w:shd w:val="clear" w:color="auto" w:fill="auto"/>
            <w:noWrap/>
            <w:vAlign w:val="center"/>
            <w:hideMark/>
          </w:tcPr>
          <w:p w14:paraId="079A25A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BVQLHKHSG</w:t>
            </w:r>
          </w:p>
        </w:tc>
        <w:tc>
          <w:tcPr>
            <w:tcW w:w="1776" w:type="dxa"/>
            <w:shd w:val="clear" w:color="auto" w:fill="auto"/>
            <w:noWrap/>
            <w:vAlign w:val="center"/>
            <w:hideMark/>
          </w:tcPr>
          <w:p w14:paraId="3FA2160F" w14:textId="5BB59FDF" w:rsidR="00B2658F" w:rsidRPr="00FB6C7B" w:rsidRDefault="00B2658F" w:rsidP="00AC2715">
            <w:pPr>
              <w:spacing w:after="0" w:line="240" w:lineRule="auto"/>
              <w:rPr>
                <w:rFonts w:ascii="Arial" w:hAnsi="Arial" w:cs="Arial"/>
                <w:sz w:val="18"/>
              </w:rPr>
            </w:pPr>
            <w:r w:rsidRPr="00FB6C7B">
              <w:rPr>
                <w:rFonts w:ascii="Arial" w:hAnsi="Arial" w:cs="Arial"/>
                <w:sz w:val="18"/>
              </w:rPr>
              <w:t>2.</w:t>
            </w:r>
            <w:r w:rsidR="00C028F4">
              <w:rPr>
                <w:rFonts w:ascii="Arial" w:hAnsi="Arial" w:cs="Arial"/>
                <w:sz w:val="18"/>
              </w:rPr>
              <w:t>41</w:t>
            </w:r>
            <w:r w:rsidRPr="00FB6C7B">
              <w:rPr>
                <w:rFonts w:ascii="Arial" w:hAnsi="Arial" w:cs="Arial"/>
                <w:sz w:val="18"/>
              </w:rPr>
              <w:t xml:space="preserve"> ± 0.</w:t>
            </w:r>
            <w:r w:rsidR="00C028F4">
              <w:rPr>
                <w:rFonts w:ascii="Arial" w:hAnsi="Arial" w:cs="Arial"/>
                <w:sz w:val="18"/>
              </w:rPr>
              <w:t>73</w:t>
            </w:r>
          </w:p>
        </w:tc>
        <w:tc>
          <w:tcPr>
            <w:tcW w:w="1904" w:type="dxa"/>
            <w:shd w:val="clear" w:color="auto" w:fill="auto"/>
            <w:noWrap/>
            <w:vAlign w:val="center"/>
            <w:hideMark/>
          </w:tcPr>
          <w:p w14:paraId="48351A5C" w14:textId="372D501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23B334E2" w14:textId="77777777" w:rsidTr="00C028F4">
        <w:trPr>
          <w:trHeight w:val="20"/>
        </w:trPr>
        <w:tc>
          <w:tcPr>
            <w:tcW w:w="811" w:type="dxa"/>
            <w:shd w:val="clear" w:color="auto" w:fill="auto"/>
            <w:noWrap/>
            <w:vAlign w:val="center"/>
            <w:hideMark/>
          </w:tcPr>
          <w:p w14:paraId="35326D7E"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13</w:t>
            </w:r>
          </w:p>
        </w:tc>
        <w:tc>
          <w:tcPr>
            <w:tcW w:w="4643" w:type="dxa"/>
            <w:shd w:val="clear" w:color="auto" w:fill="auto"/>
            <w:noWrap/>
            <w:vAlign w:val="center"/>
            <w:hideMark/>
          </w:tcPr>
          <w:p w14:paraId="6A9F585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RQRDHQBYA</w:t>
            </w:r>
          </w:p>
        </w:tc>
        <w:tc>
          <w:tcPr>
            <w:tcW w:w="1776" w:type="dxa"/>
            <w:shd w:val="clear" w:color="auto" w:fill="auto"/>
            <w:noWrap/>
            <w:vAlign w:val="center"/>
            <w:hideMark/>
          </w:tcPr>
          <w:p w14:paraId="7E0D963D" w14:textId="16B9F233" w:rsidR="00B2658F" w:rsidRPr="00FB6C7B" w:rsidRDefault="00B2658F" w:rsidP="00AC2715">
            <w:pPr>
              <w:spacing w:after="0" w:line="240" w:lineRule="auto"/>
              <w:rPr>
                <w:rFonts w:ascii="Arial" w:hAnsi="Arial" w:cs="Arial"/>
                <w:sz w:val="18"/>
              </w:rPr>
            </w:pPr>
            <w:r w:rsidRPr="00FB6C7B">
              <w:rPr>
                <w:rFonts w:ascii="Arial" w:hAnsi="Arial" w:cs="Arial"/>
                <w:sz w:val="18"/>
              </w:rPr>
              <w:t>3.</w:t>
            </w:r>
            <w:r w:rsidR="00C028F4">
              <w:rPr>
                <w:rFonts w:ascii="Arial" w:hAnsi="Arial" w:cs="Arial"/>
                <w:sz w:val="18"/>
              </w:rPr>
              <w:t>38</w:t>
            </w:r>
            <w:r w:rsidRPr="00FB6C7B">
              <w:rPr>
                <w:rFonts w:ascii="Arial" w:hAnsi="Arial" w:cs="Arial"/>
                <w:sz w:val="18"/>
              </w:rPr>
              <w:t xml:space="preserve"> ± 0.</w:t>
            </w:r>
            <w:r w:rsidR="00C028F4">
              <w:rPr>
                <w:rFonts w:ascii="Arial" w:hAnsi="Arial" w:cs="Arial"/>
                <w:sz w:val="18"/>
              </w:rPr>
              <w:t>68</w:t>
            </w:r>
          </w:p>
        </w:tc>
        <w:tc>
          <w:tcPr>
            <w:tcW w:w="1904" w:type="dxa"/>
            <w:shd w:val="clear" w:color="auto" w:fill="auto"/>
            <w:noWrap/>
            <w:vAlign w:val="center"/>
            <w:hideMark/>
          </w:tcPr>
          <w:p w14:paraId="6A4993AD" w14:textId="2DAE8F1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63C397F5" w14:textId="77777777" w:rsidTr="00C028F4">
        <w:trPr>
          <w:trHeight w:val="20"/>
        </w:trPr>
        <w:tc>
          <w:tcPr>
            <w:tcW w:w="811" w:type="dxa"/>
            <w:shd w:val="clear" w:color="auto" w:fill="auto"/>
            <w:noWrap/>
            <w:vAlign w:val="center"/>
            <w:hideMark/>
          </w:tcPr>
          <w:p w14:paraId="2D007E3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14</w:t>
            </w:r>
          </w:p>
        </w:tc>
        <w:tc>
          <w:tcPr>
            <w:tcW w:w="4643" w:type="dxa"/>
            <w:shd w:val="clear" w:color="auto" w:fill="auto"/>
            <w:noWrap/>
            <w:vAlign w:val="center"/>
            <w:hideMark/>
          </w:tcPr>
          <w:p w14:paraId="06F6119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PRQAHVYRA</w:t>
            </w:r>
          </w:p>
        </w:tc>
        <w:tc>
          <w:tcPr>
            <w:tcW w:w="1776" w:type="dxa"/>
            <w:shd w:val="clear" w:color="auto" w:fill="auto"/>
            <w:noWrap/>
            <w:vAlign w:val="center"/>
            <w:hideMark/>
          </w:tcPr>
          <w:p w14:paraId="290CB381" w14:textId="7FB38FE1" w:rsidR="00B2658F" w:rsidRPr="00FB6C7B" w:rsidRDefault="00C028F4" w:rsidP="00AC2715">
            <w:pPr>
              <w:spacing w:after="0" w:line="240" w:lineRule="auto"/>
              <w:rPr>
                <w:rFonts w:ascii="Arial" w:hAnsi="Arial" w:cs="Arial"/>
                <w:sz w:val="18"/>
              </w:rPr>
            </w:pPr>
            <w:r>
              <w:rPr>
                <w:rFonts w:ascii="Arial" w:hAnsi="Arial" w:cs="Arial"/>
                <w:sz w:val="18"/>
              </w:rPr>
              <w:t>4</w:t>
            </w:r>
            <w:r w:rsidR="00B2658F" w:rsidRPr="00FB6C7B">
              <w:rPr>
                <w:rFonts w:ascii="Arial" w:hAnsi="Arial" w:cs="Arial"/>
                <w:sz w:val="18"/>
              </w:rPr>
              <w:t>.</w:t>
            </w:r>
            <w:r>
              <w:rPr>
                <w:rFonts w:ascii="Arial" w:hAnsi="Arial" w:cs="Arial"/>
                <w:sz w:val="18"/>
              </w:rPr>
              <w:t>78</w:t>
            </w:r>
            <w:r w:rsidR="00B2658F" w:rsidRPr="00FB6C7B">
              <w:rPr>
                <w:rFonts w:ascii="Arial" w:hAnsi="Arial" w:cs="Arial"/>
                <w:sz w:val="18"/>
              </w:rPr>
              <w:t xml:space="preserve"> ± 1.</w:t>
            </w:r>
            <w:r>
              <w:rPr>
                <w:rFonts w:ascii="Arial" w:hAnsi="Arial" w:cs="Arial"/>
                <w:sz w:val="18"/>
              </w:rPr>
              <w:t>27</w:t>
            </w:r>
          </w:p>
        </w:tc>
        <w:tc>
          <w:tcPr>
            <w:tcW w:w="1904" w:type="dxa"/>
            <w:shd w:val="clear" w:color="auto" w:fill="auto"/>
            <w:noWrap/>
            <w:vAlign w:val="center"/>
            <w:hideMark/>
          </w:tcPr>
          <w:p w14:paraId="674F2ECF" w14:textId="10D31E58"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940789D" w14:textId="77777777" w:rsidTr="00C028F4">
        <w:trPr>
          <w:trHeight w:val="20"/>
        </w:trPr>
        <w:tc>
          <w:tcPr>
            <w:tcW w:w="811" w:type="dxa"/>
            <w:shd w:val="clear" w:color="auto" w:fill="auto"/>
            <w:noWrap/>
            <w:vAlign w:val="center"/>
            <w:hideMark/>
          </w:tcPr>
          <w:p w14:paraId="61A98D4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15</w:t>
            </w:r>
          </w:p>
        </w:tc>
        <w:tc>
          <w:tcPr>
            <w:tcW w:w="4643" w:type="dxa"/>
            <w:shd w:val="clear" w:color="auto" w:fill="auto"/>
            <w:noWrap/>
            <w:vAlign w:val="center"/>
            <w:hideMark/>
          </w:tcPr>
          <w:p w14:paraId="409D157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IBFRYSSLK</w:t>
            </w:r>
          </w:p>
        </w:tc>
        <w:tc>
          <w:tcPr>
            <w:tcW w:w="1776" w:type="dxa"/>
            <w:shd w:val="clear" w:color="auto" w:fill="auto"/>
            <w:noWrap/>
            <w:vAlign w:val="center"/>
            <w:hideMark/>
          </w:tcPr>
          <w:p w14:paraId="654D2CB4" w14:textId="6F6BD6AC" w:rsidR="00B2658F" w:rsidRPr="00FB6C7B" w:rsidRDefault="00B2658F" w:rsidP="00AC2715">
            <w:pPr>
              <w:spacing w:after="0" w:line="240" w:lineRule="auto"/>
              <w:rPr>
                <w:rFonts w:ascii="Arial" w:hAnsi="Arial" w:cs="Arial"/>
                <w:sz w:val="18"/>
              </w:rPr>
            </w:pPr>
            <w:r w:rsidRPr="00FB6C7B">
              <w:rPr>
                <w:rFonts w:ascii="Arial" w:hAnsi="Arial" w:cs="Arial"/>
                <w:sz w:val="18"/>
              </w:rPr>
              <w:t>0.3</w:t>
            </w:r>
            <w:r w:rsidR="00C028F4">
              <w:rPr>
                <w:rFonts w:ascii="Arial" w:hAnsi="Arial" w:cs="Arial"/>
                <w:sz w:val="18"/>
              </w:rPr>
              <w:t>4</w:t>
            </w:r>
            <w:r w:rsidRPr="00FB6C7B">
              <w:rPr>
                <w:rFonts w:ascii="Arial" w:hAnsi="Arial" w:cs="Arial"/>
                <w:sz w:val="18"/>
              </w:rPr>
              <w:t xml:space="preserve"> ± 0.</w:t>
            </w:r>
            <w:r w:rsidR="00C028F4">
              <w:rPr>
                <w:rFonts w:ascii="Arial" w:hAnsi="Arial" w:cs="Arial"/>
                <w:sz w:val="18"/>
              </w:rPr>
              <w:t>26</w:t>
            </w:r>
          </w:p>
        </w:tc>
        <w:tc>
          <w:tcPr>
            <w:tcW w:w="1904" w:type="dxa"/>
            <w:shd w:val="clear" w:color="auto" w:fill="auto"/>
            <w:noWrap/>
            <w:vAlign w:val="center"/>
            <w:hideMark/>
          </w:tcPr>
          <w:p w14:paraId="5CB8D140" w14:textId="46D3E0EB"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795FC303" w14:textId="77777777" w:rsidTr="00C028F4">
        <w:trPr>
          <w:trHeight w:val="20"/>
        </w:trPr>
        <w:tc>
          <w:tcPr>
            <w:tcW w:w="811" w:type="dxa"/>
            <w:shd w:val="clear" w:color="auto" w:fill="auto"/>
            <w:noWrap/>
            <w:vAlign w:val="center"/>
            <w:hideMark/>
          </w:tcPr>
          <w:p w14:paraId="795FFC3E"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16</w:t>
            </w:r>
          </w:p>
        </w:tc>
        <w:tc>
          <w:tcPr>
            <w:tcW w:w="4643" w:type="dxa"/>
            <w:shd w:val="clear" w:color="auto" w:fill="auto"/>
            <w:noWrap/>
            <w:vAlign w:val="center"/>
            <w:hideMark/>
          </w:tcPr>
          <w:p w14:paraId="725CD53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EKBWYWAEA</w:t>
            </w:r>
          </w:p>
        </w:tc>
        <w:tc>
          <w:tcPr>
            <w:tcW w:w="1776" w:type="dxa"/>
            <w:shd w:val="clear" w:color="auto" w:fill="auto"/>
            <w:noWrap/>
            <w:vAlign w:val="center"/>
            <w:hideMark/>
          </w:tcPr>
          <w:p w14:paraId="6E6CF1E7"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6489110B" w14:textId="3D23165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0A261BD6" w14:textId="77777777" w:rsidTr="00C028F4">
        <w:trPr>
          <w:trHeight w:val="20"/>
        </w:trPr>
        <w:tc>
          <w:tcPr>
            <w:tcW w:w="811" w:type="dxa"/>
            <w:shd w:val="clear" w:color="auto" w:fill="auto"/>
            <w:noWrap/>
            <w:vAlign w:val="center"/>
            <w:hideMark/>
          </w:tcPr>
          <w:p w14:paraId="69C9392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17</w:t>
            </w:r>
          </w:p>
        </w:tc>
        <w:tc>
          <w:tcPr>
            <w:tcW w:w="4643" w:type="dxa"/>
            <w:shd w:val="clear" w:color="auto" w:fill="auto"/>
            <w:noWrap/>
            <w:vAlign w:val="center"/>
            <w:hideMark/>
          </w:tcPr>
          <w:p w14:paraId="67A1AEAE"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EBRPYETGD</w:t>
            </w:r>
          </w:p>
        </w:tc>
        <w:tc>
          <w:tcPr>
            <w:tcW w:w="1776" w:type="dxa"/>
            <w:shd w:val="clear" w:color="auto" w:fill="auto"/>
            <w:noWrap/>
            <w:vAlign w:val="center"/>
            <w:hideMark/>
          </w:tcPr>
          <w:p w14:paraId="40B7478A"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52405C69" w14:textId="3010A7D4"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6FA5D9CD" w14:textId="77777777" w:rsidTr="00C028F4">
        <w:trPr>
          <w:trHeight w:val="20"/>
        </w:trPr>
        <w:tc>
          <w:tcPr>
            <w:tcW w:w="811" w:type="dxa"/>
            <w:shd w:val="clear" w:color="auto" w:fill="auto"/>
            <w:noWrap/>
            <w:vAlign w:val="center"/>
            <w:hideMark/>
          </w:tcPr>
          <w:p w14:paraId="7306A59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18</w:t>
            </w:r>
          </w:p>
        </w:tc>
        <w:tc>
          <w:tcPr>
            <w:tcW w:w="4643" w:type="dxa"/>
            <w:shd w:val="clear" w:color="auto" w:fill="auto"/>
            <w:noWrap/>
            <w:vAlign w:val="center"/>
            <w:hideMark/>
          </w:tcPr>
          <w:p w14:paraId="610BDC0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LLPYYVQED</w:t>
            </w:r>
          </w:p>
        </w:tc>
        <w:tc>
          <w:tcPr>
            <w:tcW w:w="1776" w:type="dxa"/>
            <w:shd w:val="clear" w:color="auto" w:fill="auto"/>
            <w:noWrap/>
            <w:vAlign w:val="center"/>
            <w:hideMark/>
          </w:tcPr>
          <w:p w14:paraId="1F043BA1"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00704F7B" w14:textId="30928DB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51F6DB76" w14:textId="77777777" w:rsidTr="00C028F4">
        <w:trPr>
          <w:trHeight w:val="20"/>
        </w:trPr>
        <w:tc>
          <w:tcPr>
            <w:tcW w:w="811" w:type="dxa"/>
            <w:shd w:val="clear" w:color="auto" w:fill="auto"/>
            <w:noWrap/>
            <w:vAlign w:val="center"/>
            <w:hideMark/>
          </w:tcPr>
          <w:p w14:paraId="48A18F8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19</w:t>
            </w:r>
          </w:p>
        </w:tc>
        <w:tc>
          <w:tcPr>
            <w:tcW w:w="4643" w:type="dxa"/>
            <w:shd w:val="clear" w:color="auto" w:fill="auto"/>
            <w:noWrap/>
            <w:vAlign w:val="center"/>
            <w:hideMark/>
          </w:tcPr>
          <w:p w14:paraId="790CDFD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GFGTYSWHE</w:t>
            </w:r>
          </w:p>
        </w:tc>
        <w:tc>
          <w:tcPr>
            <w:tcW w:w="1776" w:type="dxa"/>
            <w:shd w:val="clear" w:color="auto" w:fill="auto"/>
            <w:noWrap/>
            <w:vAlign w:val="center"/>
            <w:hideMark/>
          </w:tcPr>
          <w:p w14:paraId="7DF3860E" w14:textId="7AE2D5EC" w:rsidR="00B2658F" w:rsidRPr="00FB6C7B" w:rsidRDefault="00B2658F" w:rsidP="00AC2715">
            <w:pPr>
              <w:spacing w:after="0" w:line="240" w:lineRule="auto"/>
              <w:rPr>
                <w:rFonts w:ascii="Arial" w:hAnsi="Arial" w:cs="Arial"/>
                <w:sz w:val="18"/>
              </w:rPr>
            </w:pPr>
            <w:r w:rsidRPr="00FB6C7B">
              <w:rPr>
                <w:rFonts w:ascii="Arial" w:hAnsi="Arial" w:cs="Arial"/>
                <w:sz w:val="18"/>
              </w:rPr>
              <w:t>6.</w:t>
            </w:r>
            <w:r w:rsidR="00863262">
              <w:rPr>
                <w:rFonts w:ascii="Arial" w:hAnsi="Arial" w:cs="Arial"/>
                <w:sz w:val="18"/>
              </w:rPr>
              <w:t>25</w:t>
            </w:r>
            <w:r w:rsidRPr="00FB6C7B">
              <w:rPr>
                <w:rFonts w:ascii="Arial" w:hAnsi="Arial" w:cs="Arial"/>
                <w:sz w:val="18"/>
              </w:rPr>
              <w:t xml:space="preserve"> ± 1.</w:t>
            </w:r>
            <w:r w:rsidR="00863262">
              <w:rPr>
                <w:rFonts w:ascii="Arial" w:hAnsi="Arial" w:cs="Arial"/>
                <w:sz w:val="18"/>
              </w:rPr>
              <w:t>44</w:t>
            </w:r>
          </w:p>
        </w:tc>
        <w:tc>
          <w:tcPr>
            <w:tcW w:w="1904" w:type="dxa"/>
            <w:shd w:val="clear" w:color="auto" w:fill="auto"/>
            <w:noWrap/>
            <w:vAlign w:val="center"/>
            <w:hideMark/>
          </w:tcPr>
          <w:p w14:paraId="026AB037" w14:textId="77C66B5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5394BFED" w14:textId="77777777" w:rsidTr="00C028F4">
        <w:trPr>
          <w:trHeight w:val="20"/>
        </w:trPr>
        <w:tc>
          <w:tcPr>
            <w:tcW w:w="811" w:type="dxa"/>
            <w:shd w:val="clear" w:color="auto" w:fill="auto"/>
            <w:noWrap/>
            <w:vAlign w:val="center"/>
            <w:hideMark/>
          </w:tcPr>
          <w:p w14:paraId="064E2187"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20</w:t>
            </w:r>
          </w:p>
        </w:tc>
        <w:tc>
          <w:tcPr>
            <w:tcW w:w="4643" w:type="dxa"/>
            <w:shd w:val="clear" w:color="auto" w:fill="auto"/>
            <w:noWrap/>
            <w:vAlign w:val="center"/>
            <w:hideMark/>
          </w:tcPr>
          <w:p w14:paraId="7E68F27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PPKTYQGEG</w:t>
            </w:r>
          </w:p>
        </w:tc>
        <w:tc>
          <w:tcPr>
            <w:tcW w:w="1776" w:type="dxa"/>
            <w:shd w:val="clear" w:color="auto" w:fill="auto"/>
            <w:noWrap/>
            <w:vAlign w:val="center"/>
            <w:hideMark/>
          </w:tcPr>
          <w:p w14:paraId="1B2B72F7"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6CE62134" w14:textId="45884D2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53120529" w14:textId="77777777" w:rsidTr="00C028F4">
        <w:trPr>
          <w:trHeight w:val="20"/>
        </w:trPr>
        <w:tc>
          <w:tcPr>
            <w:tcW w:w="811" w:type="dxa"/>
            <w:shd w:val="clear" w:color="auto" w:fill="auto"/>
            <w:noWrap/>
            <w:vAlign w:val="center"/>
            <w:hideMark/>
          </w:tcPr>
          <w:p w14:paraId="0C93C0A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21</w:t>
            </w:r>
          </w:p>
        </w:tc>
        <w:tc>
          <w:tcPr>
            <w:tcW w:w="4643" w:type="dxa"/>
            <w:shd w:val="clear" w:color="auto" w:fill="auto"/>
            <w:noWrap/>
            <w:vAlign w:val="center"/>
            <w:hideMark/>
          </w:tcPr>
          <w:p w14:paraId="1B520961"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DTPDYDYSR</w:t>
            </w:r>
          </w:p>
        </w:tc>
        <w:tc>
          <w:tcPr>
            <w:tcW w:w="1776" w:type="dxa"/>
            <w:shd w:val="clear" w:color="auto" w:fill="auto"/>
            <w:noWrap/>
            <w:vAlign w:val="center"/>
            <w:hideMark/>
          </w:tcPr>
          <w:p w14:paraId="353E91C0"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3C6A3F7A" w14:textId="46F51A9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59F941DA" w14:textId="77777777" w:rsidTr="00C028F4">
        <w:trPr>
          <w:trHeight w:val="20"/>
        </w:trPr>
        <w:tc>
          <w:tcPr>
            <w:tcW w:w="811" w:type="dxa"/>
            <w:shd w:val="clear" w:color="auto" w:fill="auto"/>
            <w:noWrap/>
            <w:vAlign w:val="center"/>
            <w:hideMark/>
          </w:tcPr>
          <w:p w14:paraId="755CC79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22</w:t>
            </w:r>
          </w:p>
        </w:tc>
        <w:tc>
          <w:tcPr>
            <w:tcW w:w="4643" w:type="dxa"/>
            <w:shd w:val="clear" w:color="auto" w:fill="auto"/>
            <w:noWrap/>
            <w:vAlign w:val="center"/>
            <w:hideMark/>
          </w:tcPr>
          <w:p w14:paraId="0360DF1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HADTYFGWR</w:t>
            </w:r>
          </w:p>
        </w:tc>
        <w:tc>
          <w:tcPr>
            <w:tcW w:w="1776" w:type="dxa"/>
            <w:shd w:val="clear" w:color="auto" w:fill="auto"/>
            <w:noWrap/>
            <w:vAlign w:val="center"/>
            <w:hideMark/>
          </w:tcPr>
          <w:p w14:paraId="365A5D7A" w14:textId="1F1162CF" w:rsidR="00B2658F" w:rsidRPr="00FB6C7B" w:rsidRDefault="00B2658F" w:rsidP="00AC2715">
            <w:pPr>
              <w:spacing w:after="0" w:line="240" w:lineRule="auto"/>
              <w:rPr>
                <w:rFonts w:ascii="Arial" w:hAnsi="Arial" w:cs="Arial"/>
                <w:sz w:val="18"/>
              </w:rPr>
            </w:pPr>
            <w:r w:rsidRPr="00FB6C7B">
              <w:rPr>
                <w:rFonts w:ascii="Arial" w:hAnsi="Arial" w:cs="Arial"/>
                <w:sz w:val="18"/>
              </w:rPr>
              <w:t>19.01 ± 1.76</w:t>
            </w:r>
            <w:r w:rsidR="00C028F4">
              <w:rPr>
                <w:rFonts w:ascii="Arial" w:hAnsi="Arial" w:cs="Arial"/>
                <w:sz w:val="18"/>
              </w:rPr>
              <w:t xml:space="preserve"> (</w:t>
            </w:r>
            <w:proofErr w:type="spellStart"/>
            <w:r w:rsidR="00C028F4">
              <w:rPr>
                <w:rFonts w:ascii="Arial" w:hAnsi="Arial" w:cs="Arial"/>
                <w:sz w:val="18"/>
              </w:rPr>
              <w:t>n.sat</w:t>
            </w:r>
            <w:proofErr w:type="spellEnd"/>
            <w:r w:rsidR="00C028F4">
              <w:rPr>
                <w:rFonts w:ascii="Arial" w:hAnsi="Arial" w:cs="Arial"/>
                <w:sz w:val="18"/>
              </w:rPr>
              <w:t>.)</w:t>
            </w:r>
          </w:p>
        </w:tc>
        <w:tc>
          <w:tcPr>
            <w:tcW w:w="1904" w:type="dxa"/>
            <w:shd w:val="clear" w:color="auto" w:fill="auto"/>
            <w:noWrap/>
            <w:vAlign w:val="center"/>
            <w:hideMark/>
          </w:tcPr>
          <w:p w14:paraId="43C0E40B" w14:textId="2AD248F5"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45500A7" w14:textId="77777777" w:rsidTr="00C028F4">
        <w:trPr>
          <w:trHeight w:val="20"/>
        </w:trPr>
        <w:tc>
          <w:tcPr>
            <w:tcW w:w="811" w:type="dxa"/>
            <w:shd w:val="clear" w:color="auto" w:fill="auto"/>
            <w:noWrap/>
            <w:vAlign w:val="center"/>
            <w:hideMark/>
          </w:tcPr>
          <w:p w14:paraId="4A60297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23</w:t>
            </w:r>
          </w:p>
        </w:tc>
        <w:tc>
          <w:tcPr>
            <w:tcW w:w="4643" w:type="dxa"/>
            <w:shd w:val="clear" w:color="auto" w:fill="auto"/>
            <w:noWrap/>
            <w:vAlign w:val="center"/>
            <w:hideMark/>
          </w:tcPr>
          <w:p w14:paraId="6623182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ITSIYNGAQ</w:t>
            </w:r>
          </w:p>
        </w:tc>
        <w:tc>
          <w:tcPr>
            <w:tcW w:w="1776" w:type="dxa"/>
            <w:shd w:val="clear" w:color="auto" w:fill="auto"/>
            <w:noWrap/>
            <w:vAlign w:val="center"/>
            <w:hideMark/>
          </w:tcPr>
          <w:p w14:paraId="6B61DE1D" w14:textId="02D1CFC4"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2492F1DA" w14:textId="6382A8A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7CDA10B" w14:textId="77777777" w:rsidTr="00C028F4">
        <w:trPr>
          <w:trHeight w:val="20"/>
        </w:trPr>
        <w:tc>
          <w:tcPr>
            <w:tcW w:w="811" w:type="dxa"/>
            <w:shd w:val="clear" w:color="auto" w:fill="auto"/>
            <w:noWrap/>
            <w:vAlign w:val="center"/>
            <w:hideMark/>
          </w:tcPr>
          <w:p w14:paraId="3C06D2F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24</w:t>
            </w:r>
          </w:p>
        </w:tc>
        <w:tc>
          <w:tcPr>
            <w:tcW w:w="4643" w:type="dxa"/>
            <w:shd w:val="clear" w:color="auto" w:fill="auto"/>
            <w:noWrap/>
            <w:vAlign w:val="center"/>
            <w:hideMark/>
          </w:tcPr>
          <w:p w14:paraId="6CD7644E"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LRAVYEKDA</w:t>
            </w:r>
          </w:p>
        </w:tc>
        <w:tc>
          <w:tcPr>
            <w:tcW w:w="1776" w:type="dxa"/>
            <w:shd w:val="clear" w:color="auto" w:fill="auto"/>
            <w:noWrap/>
            <w:vAlign w:val="center"/>
            <w:hideMark/>
          </w:tcPr>
          <w:p w14:paraId="1E2FEEBD" w14:textId="1BA308D5" w:rsidR="00B2658F" w:rsidRPr="00FB6C7B" w:rsidRDefault="00B2658F" w:rsidP="00AC2715">
            <w:pPr>
              <w:spacing w:after="0" w:line="240" w:lineRule="auto"/>
              <w:rPr>
                <w:rFonts w:ascii="Arial" w:hAnsi="Arial" w:cs="Arial"/>
                <w:sz w:val="18"/>
              </w:rPr>
            </w:pPr>
            <w:r w:rsidRPr="00FB6C7B">
              <w:rPr>
                <w:rFonts w:ascii="Arial" w:hAnsi="Arial" w:cs="Arial"/>
                <w:sz w:val="18"/>
              </w:rPr>
              <w:t>2.48 ± 0.48</w:t>
            </w:r>
            <w:r w:rsidR="00C028F4">
              <w:rPr>
                <w:rFonts w:ascii="Arial" w:hAnsi="Arial" w:cs="Arial"/>
                <w:sz w:val="18"/>
              </w:rPr>
              <w:t xml:space="preserve"> (</w:t>
            </w:r>
            <w:proofErr w:type="spellStart"/>
            <w:r w:rsidR="00C028F4">
              <w:rPr>
                <w:rFonts w:ascii="Arial" w:hAnsi="Arial" w:cs="Arial"/>
                <w:sz w:val="18"/>
              </w:rPr>
              <w:t>n.sat</w:t>
            </w:r>
            <w:proofErr w:type="spellEnd"/>
            <w:r w:rsidR="00C028F4">
              <w:rPr>
                <w:rFonts w:ascii="Arial" w:hAnsi="Arial" w:cs="Arial"/>
                <w:sz w:val="18"/>
              </w:rPr>
              <w:t>.)</w:t>
            </w:r>
          </w:p>
        </w:tc>
        <w:tc>
          <w:tcPr>
            <w:tcW w:w="1904" w:type="dxa"/>
            <w:shd w:val="clear" w:color="auto" w:fill="auto"/>
            <w:noWrap/>
            <w:vAlign w:val="center"/>
            <w:hideMark/>
          </w:tcPr>
          <w:p w14:paraId="2FE67971" w14:textId="2279E984"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3175921B" w14:textId="77777777" w:rsidTr="00C028F4">
        <w:trPr>
          <w:trHeight w:val="20"/>
        </w:trPr>
        <w:tc>
          <w:tcPr>
            <w:tcW w:w="811" w:type="dxa"/>
            <w:shd w:val="clear" w:color="auto" w:fill="auto"/>
            <w:noWrap/>
            <w:vAlign w:val="center"/>
            <w:hideMark/>
          </w:tcPr>
          <w:p w14:paraId="66A7F74A"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25</w:t>
            </w:r>
          </w:p>
        </w:tc>
        <w:tc>
          <w:tcPr>
            <w:tcW w:w="4643" w:type="dxa"/>
            <w:shd w:val="clear" w:color="auto" w:fill="auto"/>
            <w:noWrap/>
            <w:vAlign w:val="center"/>
            <w:hideMark/>
          </w:tcPr>
          <w:p w14:paraId="54C6B8F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FKQYHHELI</w:t>
            </w:r>
          </w:p>
        </w:tc>
        <w:tc>
          <w:tcPr>
            <w:tcW w:w="1776" w:type="dxa"/>
            <w:shd w:val="clear" w:color="auto" w:fill="auto"/>
            <w:noWrap/>
            <w:vAlign w:val="center"/>
            <w:hideMark/>
          </w:tcPr>
          <w:p w14:paraId="66B372FC" w14:textId="6E8A2907" w:rsidR="00B2658F" w:rsidRPr="00FB6C7B" w:rsidRDefault="00B2658F" w:rsidP="00AC2715">
            <w:pPr>
              <w:spacing w:after="0" w:line="240" w:lineRule="auto"/>
              <w:rPr>
                <w:rFonts w:ascii="Arial" w:hAnsi="Arial" w:cs="Arial"/>
                <w:sz w:val="18"/>
              </w:rPr>
            </w:pPr>
            <w:r w:rsidRPr="00FB6C7B">
              <w:rPr>
                <w:rFonts w:ascii="Arial" w:hAnsi="Arial" w:cs="Arial"/>
                <w:sz w:val="18"/>
              </w:rPr>
              <w:t>2.31 ± 0.69</w:t>
            </w:r>
            <w:r w:rsidR="009C41B9" w:rsidRPr="00974F06">
              <w:rPr>
                <w:rFonts w:ascii="Arial" w:hAnsi="Arial" w:cs="Arial"/>
                <w:sz w:val="18"/>
                <w:vertAlign w:val="superscript"/>
              </w:rPr>
              <w:t>†</w:t>
            </w:r>
          </w:p>
        </w:tc>
        <w:tc>
          <w:tcPr>
            <w:tcW w:w="1904" w:type="dxa"/>
            <w:shd w:val="clear" w:color="auto" w:fill="auto"/>
            <w:noWrap/>
            <w:vAlign w:val="center"/>
            <w:hideMark/>
          </w:tcPr>
          <w:p w14:paraId="0D4F2CC7" w14:textId="12FB8632"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52727DBA" w14:textId="77777777" w:rsidTr="00C028F4">
        <w:trPr>
          <w:trHeight w:val="20"/>
        </w:trPr>
        <w:tc>
          <w:tcPr>
            <w:tcW w:w="811" w:type="dxa"/>
            <w:shd w:val="clear" w:color="auto" w:fill="auto"/>
            <w:noWrap/>
            <w:vAlign w:val="center"/>
            <w:hideMark/>
          </w:tcPr>
          <w:p w14:paraId="0672D80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26</w:t>
            </w:r>
          </w:p>
        </w:tc>
        <w:tc>
          <w:tcPr>
            <w:tcW w:w="4643" w:type="dxa"/>
            <w:shd w:val="clear" w:color="auto" w:fill="auto"/>
            <w:noWrap/>
            <w:vAlign w:val="center"/>
            <w:hideMark/>
          </w:tcPr>
          <w:p w14:paraId="7ED70DB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EQREHANVI</w:t>
            </w:r>
          </w:p>
        </w:tc>
        <w:tc>
          <w:tcPr>
            <w:tcW w:w="1776" w:type="dxa"/>
            <w:shd w:val="clear" w:color="auto" w:fill="auto"/>
            <w:noWrap/>
            <w:vAlign w:val="center"/>
            <w:hideMark/>
          </w:tcPr>
          <w:p w14:paraId="1B35F8A7"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0090EA20" w14:textId="13D0158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607ABE62" w14:textId="77777777" w:rsidTr="00C028F4">
        <w:trPr>
          <w:trHeight w:val="20"/>
        </w:trPr>
        <w:tc>
          <w:tcPr>
            <w:tcW w:w="811" w:type="dxa"/>
            <w:shd w:val="clear" w:color="auto" w:fill="auto"/>
            <w:noWrap/>
            <w:vAlign w:val="center"/>
            <w:hideMark/>
          </w:tcPr>
          <w:p w14:paraId="0D4E39F1"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27</w:t>
            </w:r>
          </w:p>
        </w:tc>
        <w:tc>
          <w:tcPr>
            <w:tcW w:w="4643" w:type="dxa"/>
            <w:shd w:val="clear" w:color="auto" w:fill="auto"/>
            <w:noWrap/>
            <w:vAlign w:val="center"/>
            <w:hideMark/>
          </w:tcPr>
          <w:p w14:paraId="0D118AA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HDENYTPPE</w:t>
            </w:r>
          </w:p>
        </w:tc>
        <w:tc>
          <w:tcPr>
            <w:tcW w:w="1776" w:type="dxa"/>
            <w:shd w:val="clear" w:color="auto" w:fill="auto"/>
            <w:noWrap/>
            <w:vAlign w:val="center"/>
            <w:hideMark/>
          </w:tcPr>
          <w:p w14:paraId="7501C432"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5FD09897" w14:textId="3C08C447"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0F7AE134" w14:textId="77777777" w:rsidTr="00C028F4">
        <w:trPr>
          <w:trHeight w:val="20"/>
        </w:trPr>
        <w:tc>
          <w:tcPr>
            <w:tcW w:w="811" w:type="dxa"/>
            <w:shd w:val="clear" w:color="auto" w:fill="auto"/>
            <w:noWrap/>
            <w:vAlign w:val="center"/>
            <w:hideMark/>
          </w:tcPr>
          <w:p w14:paraId="5FE6942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28</w:t>
            </w:r>
          </w:p>
        </w:tc>
        <w:tc>
          <w:tcPr>
            <w:tcW w:w="4643" w:type="dxa"/>
            <w:shd w:val="clear" w:color="auto" w:fill="auto"/>
            <w:noWrap/>
            <w:vAlign w:val="center"/>
            <w:hideMark/>
          </w:tcPr>
          <w:p w14:paraId="2BCECB9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KPFKYDHHY</w:t>
            </w:r>
          </w:p>
        </w:tc>
        <w:tc>
          <w:tcPr>
            <w:tcW w:w="1776" w:type="dxa"/>
            <w:shd w:val="clear" w:color="auto" w:fill="auto"/>
            <w:noWrap/>
            <w:vAlign w:val="center"/>
            <w:hideMark/>
          </w:tcPr>
          <w:p w14:paraId="3764A8B6" w14:textId="06A5FDA0" w:rsidR="00B2658F" w:rsidRPr="00FB6C7B" w:rsidRDefault="00863262" w:rsidP="00AC2715">
            <w:pPr>
              <w:spacing w:after="0" w:line="240" w:lineRule="auto"/>
              <w:rPr>
                <w:rFonts w:ascii="Arial" w:hAnsi="Arial" w:cs="Arial"/>
                <w:sz w:val="18"/>
              </w:rPr>
            </w:pPr>
            <w:r>
              <w:rPr>
                <w:rFonts w:ascii="Arial" w:hAnsi="Arial" w:cs="Arial"/>
                <w:sz w:val="18"/>
              </w:rPr>
              <w:t>1.96</w:t>
            </w:r>
            <w:r w:rsidR="00B2658F" w:rsidRPr="00FB6C7B">
              <w:rPr>
                <w:rFonts w:ascii="Arial" w:hAnsi="Arial" w:cs="Arial"/>
                <w:sz w:val="18"/>
              </w:rPr>
              <w:t xml:space="preserve"> ± 0.</w:t>
            </w:r>
            <w:r>
              <w:rPr>
                <w:rFonts w:ascii="Arial" w:hAnsi="Arial" w:cs="Arial"/>
                <w:sz w:val="18"/>
              </w:rPr>
              <w:t>72</w:t>
            </w:r>
          </w:p>
        </w:tc>
        <w:tc>
          <w:tcPr>
            <w:tcW w:w="1904" w:type="dxa"/>
            <w:shd w:val="clear" w:color="auto" w:fill="auto"/>
            <w:noWrap/>
            <w:vAlign w:val="center"/>
            <w:hideMark/>
          </w:tcPr>
          <w:p w14:paraId="2BA90D95" w14:textId="7D9F96B5"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218FC8CE" w14:textId="77777777" w:rsidTr="00C028F4">
        <w:trPr>
          <w:trHeight w:val="20"/>
        </w:trPr>
        <w:tc>
          <w:tcPr>
            <w:tcW w:w="811" w:type="dxa"/>
            <w:shd w:val="clear" w:color="auto" w:fill="auto"/>
            <w:noWrap/>
            <w:vAlign w:val="center"/>
            <w:hideMark/>
          </w:tcPr>
          <w:p w14:paraId="781E33B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29</w:t>
            </w:r>
          </w:p>
        </w:tc>
        <w:tc>
          <w:tcPr>
            <w:tcW w:w="4643" w:type="dxa"/>
            <w:shd w:val="clear" w:color="auto" w:fill="auto"/>
            <w:noWrap/>
            <w:vAlign w:val="center"/>
            <w:hideMark/>
          </w:tcPr>
          <w:p w14:paraId="39B3240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TLDLHLEVS</w:t>
            </w:r>
          </w:p>
        </w:tc>
        <w:tc>
          <w:tcPr>
            <w:tcW w:w="1776" w:type="dxa"/>
            <w:shd w:val="clear" w:color="auto" w:fill="auto"/>
            <w:noWrap/>
            <w:vAlign w:val="center"/>
            <w:hideMark/>
          </w:tcPr>
          <w:p w14:paraId="28795ED5"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5337DFC1" w14:textId="3EB8D161"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[82]</w:t>
            </w:r>
            <w:r>
              <w:rPr>
                <w:rFonts w:ascii="Arial" w:hAnsi="Arial" w:cs="Arial"/>
                <w:noProof/>
                <w:sz w:val="18"/>
              </w:rPr>
              <w:fldChar w:fldCharType="end"/>
            </w:r>
          </w:p>
        </w:tc>
      </w:tr>
      <w:tr w:rsidR="009C41B9" w:rsidRPr="00FB6C7B" w14:paraId="0017A916" w14:textId="77777777" w:rsidTr="00C028F4">
        <w:trPr>
          <w:trHeight w:val="20"/>
        </w:trPr>
        <w:tc>
          <w:tcPr>
            <w:tcW w:w="811" w:type="dxa"/>
            <w:shd w:val="clear" w:color="auto" w:fill="auto"/>
            <w:noWrap/>
            <w:vAlign w:val="center"/>
            <w:hideMark/>
          </w:tcPr>
          <w:p w14:paraId="24174A9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30</w:t>
            </w:r>
          </w:p>
        </w:tc>
        <w:tc>
          <w:tcPr>
            <w:tcW w:w="4643" w:type="dxa"/>
            <w:shd w:val="clear" w:color="auto" w:fill="auto"/>
            <w:noWrap/>
            <w:vAlign w:val="center"/>
            <w:hideMark/>
          </w:tcPr>
          <w:p w14:paraId="2C94A4A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AAAAAAAAA</w:t>
            </w:r>
          </w:p>
        </w:tc>
        <w:tc>
          <w:tcPr>
            <w:tcW w:w="1776" w:type="dxa"/>
            <w:shd w:val="clear" w:color="auto" w:fill="auto"/>
            <w:noWrap/>
            <w:vAlign w:val="center"/>
            <w:hideMark/>
          </w:tcPr>
          <w:p w14:paraId="5D7E27F5"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4BCFDB2A" w14:textId="207593A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70E7C8DF" w14:textId="77777777" w:rsidTr="00C028F4">
        <w:trPr>
          <w:trHeight w:val="20"/>
        </w:trPr>
        <w:tc>
          <w:tcPr>
            <w:tcW w:w="811" w:type="dxa"/>
            <w:shd w:val="clear" w:color="auto" w:fill="auto"/>
            <w:noWrap/>
            <w:vAlign w:val="center"/>
            <w:hideMark/>
          </w:tcPr>
          <w:p w14:paraId="26BE67C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31</w:t>
            </w:r>
          </w:p>
        </w:tc>
        <w:tc>
          <w:tcPr>
            <w:tcW w:w="4643" w:type="dxa"/>
            <w:shd w:val="clear" w:color="auto" w:fill="auto"/>
            <w:noWrap/>
            <w:vAlign w:val="center"/>
            <w:hideMark/>
          </w:tcPr>
          <w:p w14:paraId="719F9B9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 xml:space="preserve">RHDSGYEVHH </w:t>
            </w:r>
          </w:p>
        </w:tc>
        <w:tc>
          <w:tcPr>
            <w:tcW w:w="1776" w:type="dxa"/>
            <w:shd w:val="clear" w:color="auto" w:fill="auto"/>
            <w:noWrap/>
            <w:vAlign w:val="center"/>
            <w:hideMark/>
          </w:tcPr>
          <w:p w14:paraId="132047EC"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80.70 ± 4.00</w:t>
            </w:r>
          </w:p>
        </w:tc>
        <w:tc>
          <w:tcPr>
            <w:tcW w:w="1904" w:type="dxa"/>
            <w:shd w:val="clear" w:color="auto" w:fill="auto"/>
            <w:noWrap/>
            <w:vAlign w:val="center"/>
            <w:hideMark/>
          </w:tcPr>
          <w:p w14:paraId="5873E367" w14:textId="423A18AF"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0D31C88E" w14:textId="77777777" w:rsidTr="00C028F4">
        <w:trPr>
          <w:trHeight w:val="20"/>
        </w:trPr>
        <w:tc>
          <w:tcPr>
            <w:tcW w:w="811" w:type="dxa"/>
            <w:shd w:val="clear" w:color="auto" w:fill="auto"/>
            <w:noWrap/>
            <w:vAlign w:val="center"/>
            <w:hideMark/>
          </w:tcPr>
          <w:p w14:paraId="071206C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32</w:t>
            </w:r>
          </w:p>
        </w:tc>
        <w:tc>
          <w:tcPr>
            <w:tcW w:w="4643" w:type="dxa"/>
            <w:shd w:val="clear" w:color="auto" w:fill="auto"/>
            <w:noWrap/>
            <w:vAlign w:val="center"/>
            <w:hideMark/>
          </w:tcPr>
          <w:p w14:paraId="599ACC3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DAEFRHDSGYEVHHQKLV</w:t>
            </w:r>
          </w:p>
        </w:tc>
        <w:tc>
          <w:tcPr>
            <w:tcW w:w="1776" w:type="dxa"/>
            <w:shd w:val="clear" w:color="auto" w:fill="auto"/>
            <w:noWrap/>
            <w:vAlign w:val="center"/>
            <w:hideMark/>
          </w:tcPr>
          <w:p w14:paraId="22987415"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0.59 ± 0.05</w:t>
            </w:r>
          </w:p>
        </w:tc>
        <w:tc>
          <w:tcPr>
            <w:tcW w:w="1904" w:type="dxa"/>
            <w:shd w:val="clear" w:color="auto" w:fill="auto"/>
            <w:noWrap/>
            <w:vAlign w:val="center"/>
            <w:hideMark/>
          </w:tcPr>
          <w:p w14:paraId="4DA9FBE8" w14:textId="7B928107"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30CDAD6A" w14:textId="77777777" w:rsidTr="00C028F4">
        <w:trPr>
          <w:trHeight w:val="20"/>
        </w:trPr>
        <w:tc>
          <w:tcPr>
            <w:tcW w:w="811" w:type="dxa"/>
            <w:shd w:val="clear" w:color="auto" w:fill="auto"/>
            <w:noWrap/>
            <w:vAlign w:val="center"/>
            <w:hideMark/>
          </w:tcPr>
          <w:p w14:paraId="49E797D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33</w:t>
            </w:r>
          </w:p>
        </w:tc>
        <w:tc>
          <w:tcPr>
            <w:tcW w:w="4643" w:type="dxa"/>
            <w:shd w:val="clear" w:color="auto" w:fill="auto"/>
            <w:noWrap/>
            <w:vAlign w:val="center"/>
            <w:hideMark/>
          </w:tcPr>
          <w:p w14:paraId="54B841E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NVNLTSNALLYHYWIAVSHKAPA</w:t>
            </w:r>
          </w:p>
        </w:tc>
        <w:tc>
          <w:tcPr>
            <w:tcW w:w="1776" w:type="dxa"/>
            <w:shd w:val="clear" w:color="auto" w:fill="auto"/>
            <w:noWrap/>
            <w:vAlign w:val="center"/>
            <w:hideMark/>
          </w:tcPr>
          <w:p w14:paraId="3BC458D6"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3.00 ± 1.19</w:t>
            </w:r>
          </w:p>
        </w:tc>
        <w:tc>
          <w:tcPr>
            <w:tcW w:w="1904" w:type="dxa"/>
            <w:shd w:val="clear" w:color="auto" w:fill="auto"/>
            <w:noWrap/>
            <w:vAlign w:val="center"/>
            <w:hideMark/>
          </w:tcPr>
          <w:p w14:paraId="7690EC7F" w14:textId="632BF4E9"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2E945B7E" w14:textId="77777777" w:rsidTr="00C028F4">
        <w:trPr>
          <w:trHeight w:val="20"/>
        </w:trPr>
        <w:tc>
          <w:tcPr>
            <w:tcW w:w="811" w:type="dxa"/>
            <w:shd w:val="clear" w:color="auto" w:fill="auto"/>
            <w:noWrap/>
            <w:vAlign w:val="center"/>
            <w:hideMark/>
          </w:tcPr>
          <w:p w14:paraId="5D8276E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34</w:t>
            </w:r>
          </w:p>
        </w:tc>
        <w:tc>
          <w:tcPr>
            <w:tcW w:w="4643" w:type="dxa"/>
            <w:shd w:val="clear" w:color="auto" w:fill="auto"/>
            <w:noWrap/>
            <w:vAlign w:val="center"/>
            <w:hideMark/>
          </w:tcPr>
          <w:p w14:paraId="71193D8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NVNLTSNHLLYHYWIAVSAKAPA</w:t>
            </w:r>
          </w:p>
        </w:tc>
        <w:tc>
          <w:tcPr>
            <w:tcW w:w="1776" w:type="dxa"/>
            <w:shd w:val="clear" w:color="auto" w:fill="auto"/>
            <w:noWrap/>
            <w:vAlign w:val="center"/>
            <w:hideMark/>
          </w:tcPr>
          <w:p w14:paraId="70599524"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1.89 ± 0.72</w:t>
            </w:r>
          </w:p>
        </w:tc>
        <w:tc>
          <w:tcPr>
            <w:tcW w:w="1904" w:type="dxa"/>
            <w:shd w:val="clear" w:color="auto" w:fill="auto"/>
            <w:noWrap/>
            <w:vAlign w:val="center"/>
            <w:hideMark/>
          </w:tcPr>
          <w:p w14:paraId="37BB7C17" w14:textId="705846F0"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0305D32E" w14:textId="77777777" w:rsidTr="00C028F4">
        <w:trPr>
          <w:trHeight w:val="20"/>
        </w:trPr>
        <w:tc>
          <w:tcPr>
            <w:tcW w:w="811" w:type="dxa"/>
            <w:shd w:val="clear" w:color="auto" w:fill="auto"/>
            <w:noWrap/>
            <w:vAlign w:val="center"/>
            <w:hideMark/>
          </w:tcPr>
          <w:p w14:paraId="0C86C22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35</w:t>
            </w:r>
          </w:p>
        </w:tc>
        <w:tc>
          <w:tcPr>
            <w:tcW w:w="4643" w:type="dxa"/>
            <w:shd w:val="clear" w:color="auto" w:fill="auto"/>
            <w:noWrap/>
            <w:vAlign w:val="center"/>
            <w:hideMark/>
          </w:tcPr>
          <w:p w14:paraId="28D2E95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NVNLTSNALLYHYWIAVSAKAPA</w:t>
            </w:r>
          </w:p>
        </w:tc>
        <w:tc>
          <w:tcPr>
            <w:tcW w:w="1776" w:type="dxa"/>
            <w:shd w:val="clear" w:color="auto" w:fill="auto"/>
            <w:noWrap/>
            <w:vAlign w:val="center"/>
            <w:hideMark/>
          </w:tcPr>
          <w:p w14:paraId="3E4DCD80"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0.88 ± 0.94</w:t>
            </w:r>
          </w:p>
        </w:tc>
        <w:tc>
          <w:tcPr>
            <w:tcW w:w="1904" w:type="dxa"/>
            <w:shd w:val="clear" w:color="auto" w:fill="auto"/>
            <w:noWrap/>
            <w:vAlign w:val="center"/>
            <w:hideMark/>
          </w:tcPr>
          <w:p w14:paraId="49D171C1" w14:textId="205BFCF4"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5E2CF5CA" w14:textId="77777777" w:rsidTr="00C028F4">
        <w:trPr>
          <w:trHeight w:val="20"/>
        </w:trPr>
        <w:tc>
          <w:tcPr>
            <w:tcW w:w="811" w:type="dxa"/>
            <w:shd w:val="clear" w:color="auto" w:fill="auto"/>
            <w:noWrap/>
            <w:vAlign w:val="center"/>
            <w:hideMark/>
          </w:tcPr>
          <w:p w14:paraId="11834BE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36</w:t>
            </w:r>
          </w:p>
        </w:tc>
        <w:tc>
          <w:tcPr>
            <w:tcW w:w="4643" w:type="dxa"/>
            <w:shd w:val="clear" w:color="auto" w:fill="auto"/>
            <w:noWrap/>
            <w:vAlign w:val="center"/>
            <w:hideMark/>
          </w:tcPr>
          <w:p w14:paraId="7504902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NVNLTSNHLLYAYWIAVSHKAP</w:t>
            </w:r>
          </w:p>
        </w:tc>
        <w:tc>
          <w:tcPr>
            <w:tcW w:w="1776" w:type="dxa"/>
            <w:shd w:val="clear" w:color="auto" w:fill="auto"/>
            <w:noWrap/>
            <w:vAlign w:val="center"/>
            <w:hideMark/>
          </w:tcPr>
          <w:p w14:paraId="4B1A01FA"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19.84 ± 4.11</w:t>
            </w:r>
          </w:p>
        </w:tc>
        <w:tc>
          <w:tcPr>
            <w:tcW w:w="1904" w:type="dxa"/>
            <w:shd w:val="clear" w:color="auto" w:fill="auto"/>
            <w:noWrap/>
            <w:vAlign w:val="center"/>
            <w:hideMark/>
          </w:tcPr>
          <w:p w14:paraId="3FCAB275" w14:textId="5068D970"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3DB457A3" w14:textId="77777777" w:rsidTr="00C028F4">
        <w:trPr>
          <w:trHeight w:val="20"/>
        </w:trPr>
        <w:tc>
          <w:tcPr>
            <w:tcW w:w="811" w:type="dxa"/>
            <w:shd w:val="clear" w:color="auto" w:fill="auto"/>
            <w:noWrap/>
            <w:vAlign w:val="center"/>
            <w:hideMark/>
          </w:tcPr>
          <w:p w14:paraId="7DDE249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37</w:t>
            </w:r>
          </w:p>
        </w:tc>
        <w:tc>
          <w:tcPr>
            <w:tcW w:w="4643" w:type="dxa"/>
            <w:shd w:val="clear" w:color="auto" w:fill="auto"/>
            <w:noWrap/>
            <w:vAlign w:val="center"/>
            <w:hideMark/>
          </w:tcPr>
          <w:p w14:paraId="4E2DB4E1"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DAEFRHDSGYEVHHQKLVFFAEDVGSNKGAIIGLMVGGVV</w:t>
            </w:r>
          </w:p>
        </w:tc>
        <w:tc>
          <w:tcPr>
            <w:tcW w:w="1776" w:type="dxa"/>
            <w:shd w:val="clear" w:color="auto" w:fill="auto"/>
            <w:noWrap/>
            <w:vAlign w:val="center"/>
            <w:hideMark/>
          </w:tcPr>
          <w:p w14:paraId="4A80EC49"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0.10 ± 0.07</w:t>
            </w:r>
          </w:p>
        </w:tc>
        <w:tc>
          <w:tcPr>
            <w:tcW w:w="1904" w:type="dxa"/>
            <w:shd w:val="clear" w:color="auto" w:fill="auto"/>
            <w:noWrap/>
            <w:vAlign w:val="center"/>
            <w:hideMark/>
          </w:tcPr>
          <w:p w14:paraId="4EF59079" w14:textId="161D7315"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64BAFBE5" w14:textId="77777777" w:rsidTr="00C028F4">
        <w:trPr>
          <w:trHeight w:val="20"/>
        </w:trPr>
        <w:tc>
          <w:tcPr>
            <w:tcW w:w="811" w:type="dxa"/>
            <w:shd w:val="clear" w:color="auto" w:fill="auto"/>
            <w:noWrap/>
            <w:vAlign w:val="center"/>
            <w:hideMark/>
          </w:tcPr>
          <w:p w14:paraId="4A92CE5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38</w:t>
            </w:r>
          </w:p>
        </w:tc>
        <w:tc>
          <w:tcPr>
            <w:tcW w:w="4643" w:type="dxa"/>
            <w:shd w:val="clear" w:color="auto" w:fill="auto"/>
            <w:noWrap/>
            <w:vAlign w:val="center"/>
            <w:hideMark/>
          </w:tcPr>
          <w:p w14:paraId="7D0306C4"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AEFRHDSGY</w:t>
            </w:r>
          </w:p>
        </w:tc>
        <w:tc>
          <w:tcPr>
            <w:tcW w:w="1776" w:type="dxa"/>
            <w:shd w:val="clear" w:color="auto" w:fill="auto"/>
            <w:noWrap/>
            <w:vAlign w:val="center"/>
            <w:hideMark/>
          </w:tcPr>
          <w:p w14:paraId="7827969E"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21CA30B3" w14:textId="5F83095D"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03302197" w14:textId="77777777" w:rsidTr="00C028F4">
        <w:trPr>
          <w:trHeight w:val="20"/>
        </w:trPr>
        <w:tc>
          <w:tcPr>
            <w:tcW w:w="811" w:type="dxa"/>
            <w:shd w:val="clear" w:color="auto" w:fill="auto"/>
            <w:noWrap/>
            <w:vAlign w:val="center"/>
            <w:hideMark/>
          </w:tcPr>
          <w:p w14:paraId="745E7B3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39</w:t>
            </w:r>
          </w:p>
        </w:tc>
        <w:tc>
          <w:tcPr>
            <w:tcW w:w="4643" w:type="dxa"/>
            <w:shd w:val="clear" w:color="auto" w:fill="auto"/>
            <w:noWrap/>
            <w:vAlign w:val="center"/>
            <w:hideMark/>
          </w:tcPr>
          <w:p w14:paraId="67AA1D4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HDSGYEVHH</w:t>
            </w:r>
          </w:p>
        </w:tc>
        <w:tc>
          <w:tcPr>
            <w:tcW w:w="1776" w:type="dxa"/>
            <w:shd w:val="clear" w:color="auto" w:fill="auto"/>
            <w:noWrap/>
            <w:vAlign w:val="center"/>
            <w:hideMark/>
          </w:tcPr>
          <w:p w14:paraId="043262CC"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1C04E775" w14:textId="7C64163B"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{"citationItems":[{"id":"ITEM-1","itemData":{"DOI":"10.1021/acs.jmedchem.6b01432","ISSN":"15204804","abstract":"© 2016 American Chemical Society. Labile heme has been suggested to have an impact in several severe diseases. In the context of Alzheimer’s disease (AD), however, decreased levels of free heme have been reported. Therefore, we were looking for an assay system that can be used for heme concentration determination. From a biochemical point of view the peroxidase activity of the Aβ-heme complex seemed quite attractive to pursue this goal. As a consequence, a peptide that is able to increase the readout even in the case of a low heme concentration is favorable. The examination of Aβ- and non-Aβ-derived peptides in complex with heme revealed that the peroxidase-like activity significantly depends on the peptide sequence and length. A 23mer His-based peptide derived from human fatty acyl-CoA reductase 1 in complex with heme exhibited a significantly higher peroxidase activity than Aβ(40)-heme. Structural modeling of both complexes demonstrated that heme binding via a histidine can be supported by hydrogen bond interactions of a basic residue near the propionate carboxyl function of protoporphyrin IX. Furthermore, the interplay of Aβ-heme and the lipoprotein LDL as a potential physiological effector of Aβ was examined.","author":[{"dropping-particle":"","family":"Wißbrock","given":"Amelie","non-dropping-particle":"","parse-names":false,"suffix":""},{"dropping-particle":"","family":"Kühl","given":"Toni","non-dropping-particle":"","parse-names":false,"suffix":""},{"dropping-particle":"","family":"Silbermann","given":"Katja","non-dropping-particle":"","parse-names":false,"suffix":""},{"dropping-particle":"","family":"Becker","given":"Albert J.","non-dropping-particle":"","parse-names":false,"suffix":""},{"dropping-particle":"","family":"Ohlenschläger","given":"Oliver","non-dropping-particle":"","parse-names":false,"suffix":""},{"dropping-particle":"","family":"Imhof","given":"Diana","non-dropping-particle":"","parse-names":false,"suffix":""}],"container-title":"Journal of Medicinal Chemistry","id":"ITEM-1","issue":"1","issued":{"date-parts":[["2017"]]},"page":"373-385","title":"Synthesis and evaluation of amyloid β derived and amyloid β independent enhancers of the peroxidase-like activity of heme","type":"article-journal","volume":"60"},"uris":["http://www.mendeley.com/documents/?uuid=66b58d9c-8954-4efe-af9b-1377e15d247f"]}],"mendeley":{"formattedCitation":"[9]","plainTextFormattedCitation":"[9]","previouslyFormattedCitation":"[9]"},"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[9]</w:t>
            </w:r>
            <w:r>
              <w:rPr>
                <w:rFonts w:ascii="Arial" w:hAnsi="Arial" w:cs="Arial"/>
                <w:noProof/>
                <w:sz w:val="18"/>
              </w:rPr>
              <w:fldChar w:fldCharType="end"/>
            </w:r>
          </w:p>
        </w:tc>
      </w:tr>
      <w:tr w:rsidR="009C41B9" w:rsidRPr="00FB6C7B" w14:paraId="48D88AB2" w14:textId="77777777" w:rsidTr="00C028F4">
        <w:trPr>
          <w:trHeight w:val="20"/>
        </w:trPr>
        <w:tc>
          <w:tcPr>
            <w:tcW w:w="811" w:type="dxa"/>
            <w:shd w:val="clear" w:color="auto" w:fill="auto"/>
            <w:noWrap/>
            <w:vAlign w:val="center"/>
            <w:hideMark/>
          </w:tcPr>
          <w:p w14:paraId="6885462A"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40</w:t>
            </w:r>
          </w:p>
        </w:tc>
        <w:tc>
          <w:tcPr>
            <w:tcW w:w="4643" w:type="dxa"/>
            <w:shd w:val="clear" w:color="auto" w:fill="auto"/>
            <w:noWrap/>
            <w:vAlign w:val="center"/>
            <w:hideMark/>
          </w:tcPr>
          <w:p w14:paraId="5BE1AED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RHLPCDICV</w:t>
            </w:r>
          </w:p>
        </w:tc>
        <w:tc>
          <w:tcPr>
            <w:tcW w:w="1776" w:type="dxa"/>
            <w:shd w:val="clear" w:color="auto" w:fill="auto"/>
            <w:noWrap/>
            <w:vAlign w:val="center"/>
            <w:hideMark/>
          </w:tcPr>
          <w:p w14:paraId="7BFC9EE7"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0.13 ± 0.09</w:t>
            </w:r>
          </w:p>
        </w:tc>
        <w:tc>
          <w:tcPr>
            <w:tcW w:w="1904" w:type="dxa"/>
            <w:shd w:val="clear" w:color="auto" w:fill="auto"/>
            <w:noWrap/>
            <w:vAlign w:val="center"/>
            <w:hideMark/>
          </w:tcPr>
          <w:p w14:paraId="25690459" w14:textId="7D286FB2"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ISSN":"0162-0134","author":[{"dropping-particle":"","family":"Schubert","given":"Erik","non-dropping-particle":"","parse-names":false,"suffix":""},{"dropping-particle":"","family":"Florin","given":"Nicole","non-dropping-particle":"","parse-names":false,"suffix":""},{"dropping-particle":"","family":"Duthie","given":"Fraser","non-dropping-particle":"","parse-names":false,"suffix":""},{"dropping-particle":"","family":"Brewitz","given":"H Henning","non-dropping-particle":"","parse-names":false,"suffix":""},{"dropping-particle":"","family":"Kühl","given":"Toni","non-dropping-particle":"","parse-names":false,"suffix":""},{"dropping-particle":"","family":"Imhof","given":"Diana","non-dropping-particle":"","parse-names":false,"suffix":""},{"dropping-particle":"","family":"Hagelueken","given":"Gregor","non-dropping-particle":"","parse-names":false,"suffix":""},{"dropping-particle":"","family":"Schiemann","given":"Olav","non-dropping-particle":"","parse-names":false,"suffix":""}],"container-title":"Journal of inorganic biochemistry","id":"ITEM-1","issued":{"date-parts":[["2015"]]},"page":"49-56","publisher":"Elsevier","title":"Spectroscopic studies on peptides and proteins with cysteine-containing heme regulatory motifs (HRM)","type":"article-journal","volume":"148"},"uris":["http://www.mendeley.com/documents/?uuid=e97a77e8-1549-4914-bf03-9d6d8e38d39e","http://www.mendeley.com/documents/?uuid=2b46d7b0-7889-4d75-b1f5-6e3bc50e0360"]}],"mendeley":{"formattedCitation":"[83]","plainTextFormattedCitation":"[83]","previouslyFormattedCitation":"[83]"},"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[83]</w:t>
            </w:r>
            <w:r>
              <w:rPr>
                <w:rFonts w:ascii="Arial" w:hAnsi="Arial" w:cs="Arial"/>
                <w:noProof/>
                <w:sz w:val="18"/>
              </w:rPr>
              <w:fldChar w:fldCharType="end"/>
            </w:r>
          </w:p>
        </w:tc>
      </w:tr>
      <w:tr w:rsidR="009C41B9" w:rsidRPr="00FB6C7B" w14:paraId="0093658E" w14:textId="77777777" w:rsidTr="00C028F4">
        <w:trPr>
          <w:trHeight w:val="20"/>
        </w:trPr>
        <w:tc>
          <w:tcPr>
            <w:tcW w:w="811" w:type="dxa"/>
            <w:shd w:val="clear" w:color="auto" w:fill="auto"/>
            <w:noWrap/>
            <w:vAlign w:val="center"/>
            <w:hideMark/>
          </w:tcPr>
          <w:p w14:paraId="364DA9A1"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41</w:t>
            </w:r>
          </w:p>
        </w:tc>
        <w:tc>
          <w:tcPr>
            <w:tcW w:w="4643" w:type="dxa"/>
            <w:shd w:val="clear" w:color="auto" w:fill="auto"/>
            <w:noWrap/>
            <w:vAlign w:val="center"/>
            <w:hideMark/>
          </w:tcPr>
          <w:p w14:paraId="5C714C9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FYWDCNHYW</w:t>
            </w:r>
          </w:p>
        </w:tc>
        <w:tc>
          <w:tcPr>
            <w:tcW w:w="1776" w:type="dxa"/>
            <w:shd w:val="clear" w:color="auto" w:fill="auto"/>
            <w:noWrap/>
            <w:vAlign w:val="center"/>
            <w:hideMark/>
          </w:tcPr>
          <w:p w14:paraId="01944B86"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0.67 ± 0.12</w:t>
            </w:r>
          </w:p>
        </w:tc>
        <w:tc>
          <w:tcPr>
            <w:tcW w:w="1904" w:type="dxa"/>
            <w:shd w:val="clear" w:color="auto" w:fill="auto"/>
            <w:noWrap/>
            <w:vAlign w:val="center"/>
            <w:hideMark/>
          </w:tcPr>
          <w:p w14:paraId="3122012A" w14:textId="6CAE2DBA"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57EBD027" w14:textId="77777777" w:rsidTr="00C028F4">
        <w:trPr>
          <w:trHeight w:val="20"/>
        </w:trPr>
        <w:tc>
          <w:tcPr>
            <w:tcW w:w="811" w:type="dxa"/>
            <w:shd w:val="clear" w:color="auto" w:fill="auto"/>
            <w:noWrap/>
            <w:vAlign w:val="center"/>
            <w:hideMark/>
          </w:tcPr>
          <w:p w14:paraId="31ABA78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42</w:t>
            </w:r>
          </w:p>
        </w:tc>
        <w:tc>
          <w:tcPr>
            <w:tcW w:w="4643" w:type="dxa"/>
            <w:shd w:val="clear" w:color="auto" w:fill="auto"/>
            <w:noWrap/>
            <w:vAlign w:val="center"/>
            <w:hideMark/>
          </w:tcPr>
          <w:p w14:paraId="2146CB50"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RADICVHLN</w:t>
            </w:r>
          </w:p>
        </w:tc>
        <w:tc>
          <w:tcPr>
            <w:tcW w:w="1776" w:type="dxa"/>
            <w:shd w:val="clear" w:color="auto" w:fill="auto"/>
            <w:noWrap/>
            <w:vAlign w:val="center"/>
            <w:hideMark/>
          </w:tcPr>
          <w:p w14:paraId="33F27A8E"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0.40 ± 0.17</w:t>
            </w:r>
          </w:p>
        </w:tc>
        <w:tc>
          <w:tcPr>
            <w:tcW w:w="1904" w:type="dxa"/>
            <w:shd w:val="clear" w:color="auto" w:fill="auto"/>
            <w:noWrap/>
            <w:vAlign w:val="center"/>
            <w:hideMark/>
          </w:tcPr>
          <w:p w14:paraId="78545FCA" w14:textId="0137F613"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663F356C" w14:textId="77777777" w:rsidTr="00C028F4">
        <w:trPr>
          <w:trHeight w:val="20"/>
        </w:trPr>
        <w:tc>
          <w:tcPr>
            <w:tcW w:w="811" w:type="dxa"/>
            <w:shd w:val="clear" w:color="auto" w:fill="auto"/>
            <w:noWrap/>
            <w:vAlign w:val="center"/>
            <w:hideMark/>
          </w:tcPr>
          <w:p w14:paraId="0C9D471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43</w:t>
            </w:r>
          </w:p>
        </w:tc>
        <w:tc>
          <w:tcPr>
            <w:tcW w:w="4643" w:type="dxa"/>
            <w:shd w:val="clear" w:color="auto" w:fill="auto"/>
            <w:vAlign w:val="center"/>
            <w:hideMark/>
          </w:tcPr>
          <w:p w14:paraId="08BD8F9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SGGLPAPSDFKCPIKEEIAITSG</w:t>
            </w:r>
          </w:p>
        </w:tc>
        <w:tc>
          <w:tcPr>
            <w:tcW w:w="1776" w:type="dxa"/>
            <w:shd w:val="clear" w:color="auto" w:fill="auto"/>
            <w:noWrap/>
            <w:vAlign w:val="center"/>
            <w:hideMark/>
          </w:tcPr>
          <w:p w14:paraId="6B3AFB02"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1.42 ± 0.24</w:t>
            </w:r>
          </w:p>
        </w:tc>
        <w:tc>
          <w:tcPr>
            <w:tcW w:w="1904" w:type="dxa"/>
            <w:shd w:val="clear" w:color="auto" w:fill="auto"/>
            <w:noWrap/>
            <w:vAlign w:val="center"/>
            <w:hideMark/>
          </w:tcPr>
          <w:p w14:paraId="50BC636D" w14:textId="72C737A7"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06110FFC" w14:textId="77777777" w:rsidTr="00C028F4">
        <w:trPr>
          <w:trHeight w:val="20"/>
        </w:trPr>
        <w:tc>
          <w:tcPr>
            <w:tcW w:w="811" w:type="dxa"/>
            <w:shd w:val="clear" w:color="auto" w:fill="auto"/>
            <w:noWrap/>
            <w:vAlign w:val="center"/>
            <w:hideMark/>
          </w:tcPr>
          <w:p w14:paraId="21F14E7F"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44</w:t>
            </w:r>
          </w:p>
        </w:tc>
        <w:tc>
          <w:tcPr>
            <w:tcW w:w="4643" w:type="dxa"/>
            <w:shd w:val="clear" w:color="auto" w:fill="auto"/>
            <w:noWrap/>
            <w:vAlign w:val="center"/>
            <w:hideMark/>
          </w:tcPr>
          <w:p w14:paraId="415D24F2"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AAAACAAAA</w:t>
            </w:r>
          </w:p>
        </w:tc>
        <w:tc>
          <w:tcPr>
            <w:tcW w:w="1776" w:type="dxa"/>
            <w:shd w:val="clear" w:color="auto" w:fill="auto"/>
            <w:noWrap/>
            <w:vAlign w:val="center"/>
            <w:hideMark/>
          </w:tcPr>
          <w:p w14:paraId="2D5F2458"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360201EF" w14:textId="50C07894"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40A3E827" w14:textId="77777777" w:rsidTr="00C028F4">
        <w:trPr>
          <w:trHeight w:val="20"/>
        </w:trPr>
        <w:tc>
          <w:tcPr>
            <w:tcW w:w="811" w:type="dxa"/>
            <w:shd w:val="clear" w:color="auto" w:fill="auto"/>
            <w:noWrap/>
            <w:vAlign w:val="center"/>
            <w:hideMark/>
          </w:tcPr>
          <w:p w14:paraId="579EE81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45</w:t>
            </w:r>
          </w:p>
        </w:tc>
        <w:tc>
          <w:tcPr>
            <w:tcW w:w="4643" w:type="dxa"/>
            <w:shd w:val="clear" w:color="auto" w:fill="auto"/>
            <w:noWrap/>
            <w:vAlign w:val="center"/>
            <w:hideMark/>
          </w:tcPr>
          <w:p w14:paraId="0639FD38"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QFSQCRIBN</w:t>
            </w:r>
          </w:p>
        </w:tc>
        <w:tc>
          <w:tcPr>
            <w:tcW w:w="1776" w:type="dxa"/>
            <w:shd w:val="clear" w:color="auto" w:fill="auto"/>
            <w:noWrap/>
            <w:vAlign w:val="center"/>
            <w:hideMark/>
          </w:tcPr>
          <w:p w14:paraId="79B3F86D"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2.78 ± 0.78</w:t>
            </w:r>
          </w:p>
        </w:tc>
        <w:tc>
          <w:tcPr>
            <w:tcW w:w="1904" w:type="dxa"/>
            <w:shd w:val="clear" w:color="auto" w:fill="auto"/>
            <w:noWrap/>
            <w:vAlign w:val="center"/>
            <w:hideMark/>
          </w:tcPr>
          <w:p w14:paraId="084E5873" w14:textId="0CE8FA02"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152C54F4" w14:textId="77777777" w:rsidTr="00C028F4">
        <w:trPr>
          <w:trHeight w:val="20"/>
        </w:trPr>
        <w:tc>
          <w:tcPr>
            <w:tcW w:w="811" w:type="dxa"/>
            <w:shd w:val="clear" w:color="auto" w:fill="auto"/>
            <w:noWrap/>
            <w:vAlign w:val="center"/>
            <w:hideMark/>
          </w:tcPr>
          <w:p w14:paraId="6B0DF8B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46</w:t>
            </w:r>
          </w:p>
        </w:tc>
        <w:tc>
          <w:tcPr>
            <w:tcW w:w="4643" w:type="dxa"/>
            <w:shd w:val="clear" w:color="auto" w:fill="auto"/>
            <w:noWrap/>
            <w:vAlign w:val="center"/>
            <w:hideMark/>
          </w:tcPr>
          <w:p w14:paraId="120C129A"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YVSRCIBBA</w:t>
            </w:r>
          </w:p>
        </w:tc>
        <w:tc>
          <w:tcPr>
            <w:tcW w:w="1776" w:type="dxa"/>
            <w:shd w:val="clear" w:color="auto" w:fill="auto"/>
            <w:noWrap/>
            <w:vAlign w:val="center"/>
            <w:hideMark/>
          </w:tcPr>
          <w:p w14:paraId="74324A60"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3.44 ±  0.64</w:t>
            </w:r>
          </w:p>
        </w:tc>
        <w:tc>
          <w:tcPr>
            <w:tcW w:w="1904" w:type="dxa"/>
            <w:shd w:val="clear" w:color="auto" w:fill="auto"/>
            <w:noWrap/>
            <w:vAlign w:val="center"/>
            <w:hideMark/>
          </w:tcPr>
          <w:p w14:paraId="485C3A10" w14:textId="208E357A"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5B6FB07E" w14:textId="77777777" w:rsidTr="00C028F4">
        <w:trPr>
          <w:trHeight w:val="20"/>
        </w:trPr>
        <w:tc>
          <w:tcPr>
            <w:tcW w:w="811" w:type="dxa"/>
            <w:shd w:val="clear" w:color="auto" w:fill="auto"/>
            <w:noWrap/>
            <w:vAlign w:val="center"/>
            <w:hideMark/>
          </w:tcPr>
          <w:p w14:paraId="60C3BFA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47</w:t>
            </w:r>
          </w:p>
        </w:tc>
        <w:tc>
          <w:tcPr>
            <w:tcW w:w="4643" w:type="dxa"/>
            <w:shd w:val="clear" w:color="auto" w:fill="auto"/>
            <w:noWrap/>
            <w:vAlign w:val="center"/>
            <w:hideMark/>
          </w:tcPr>
          <w:p w14:paraId="509C272F"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HHQYHARVA</w:t>
            </w:r>
          </w:p>
        </w:tc>
        <w:tc>
          <w:tcPr>
            <w:tcW w:w="1776" w:type="dxa"/>
            <w:shd w:val="clear" w:color="auto" w:fill="auto"/>
            <w:noWrap/>
            <w:vAlign w:val="center"/>
            <w:hideMark/>
          </w:tcPr>
          <w:p w14:paraId="119814C9"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0.87 ± 0.05</w:t>
            </w:r>
          </w:p>
        </w:tc>
        <w:tc>
          <w:tcPr>
            <w:tcW w:w="1904" w:type="dxa"/>
            <w:shd w:val="clear" w:color="auto" w:fill="auto"/>
            <w:noWrap/>
            <w:vAlign w:val="center"/>
            <w:hideMark/>
          </w:tcPr>
          <w:p w14:paraId="12622D47" w14:textId="15DDDF18"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364D99C1" w14:textId="77777777" w:rsidTr="00C028F4">
        <w:trPr>
          <w:trHeight w:val="20"/>
        </w:trPr>
        <w:tc>
          <w:tcPr>
            <w:tcW w:w="811" w:type="dxa"/>
            <w:shd w:val="clear" w:color="auto" w:fill="auto"/>
            <w:noWrap/>
            <w:vAlign w:val="center"/>
            <w:hideMark/>
          </w:tcPr>
          <w:p w14:paraId="66D2B85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48</w:t>
            </w:r>
          </w:p>
        </w:tc>
        <w:tc>
          <w:tcPr>
            <w:tcW w:w="4643" w:type="dxa"/>
            <w:shd w:val="clear" w:color="auto" w:fill="auto"/>
            <w:noWrap/>
            <w:vAlign w:val="center"/>
            <w:hideMark/>
          </w:tcPr>
          <w:p w14:paraId="3CF721B9"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AAAAHAAAA</w:t>
            </w:r>
          </w:p>
        </w:tc>
        <w:tc>
          <w:tcPr>
            <w:tcW w:w="1776" w:type="dxa"/>
            <w:shd w:val="clear" w:color="auto" w:fill="auto"/>
            <w:noWrap/>
            <w:vAlign w:val="center"/>
            <w:hideMark/>
          </w:tcPr>
          <w:p w14:paraId="6FD5858E"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6D718022" w14:textId="55220B19"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6AC37E56" w14:textId="77777777" w:rsidTr="00C028F4">
        <w:trPr>
          <w:trHeight w:val="20"/>
        </w:trPr>
        <w:tc>
          <w:tcPr>
            <w:tcW w:w="811" w:type="dxa"/>
            <w:shd w:val="clear" w:color="auto" w:fill="auto"/>
            <w:noWrap/>
            <w:vAlign w:val="center"/>
            <w:hideMark/>
          </w:tcPr>
          <w:p w14:paraId="5A104F4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49</w:t>
            </w:r>
          </w:p>
        </w:tc>
        <w:tc>
          <w:tcPr>
            <w:tcW w:w="4643" w:type="dxa"/>
            <w:shd w:val="clear" w:color="auto" w:fill="auto"/>
            <w:noWrap/>
            <w:vAlign w:val="center"/>
            <w:hideMark/>
          </w:tcPr>
          <w:p w14:paraId="3EBDA87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AAAAYAAAA</w:t>
            </w:r>
          </w:p>
        </w:tc>
        <w:tc>
          <w:tcPr>
            <w:tcW w:w="1776" w:type="dxa"/>
            <w:shd w:val="clear" w:color="auto" w:fill="auto"/>
            <w:noWrap/>
            <w:vAlign w:val="center"/>
            <w:hideMark/>
          </w:tcPr>
          <w:p w14:paraId="0CF59383"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100 ± 0.00</w:t>
            </w:r>
          </w:p>
        </w:tc>
        <w:tc>
          <w:tcPr>
            <w:tcW w:w="1904" w:type="dxa"/>
            <w:shd w:val="clear" w:color="auto" w:fill="auto"/>
            <w:noWrap/>
            <w:vAlign w:val="center"/>
            <w:hideMark/>
          </w:tcPr>
          <w:p w14:paraId="4428C2BC" w14:textId="201CDBBE"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77A703A6" w14:textId="77777777" w:rsidTr="00C028F4">
        <w:trPr>
          <w:trHeight w:val="20"/>
        </w:trPr>
        <w:tc>
          <w:tcPr>
            <w:tcW w:w="811" w:type="dxa"/>
            <w:shd w:val="clear" w:color="auto" w:fill="auto"/>
            <w:noWrap/>
            <w:vAlign w:val="center"/>
            <w:hideMark/>
          </w:tcPr>
          <w:p w14:paraId="68D2937D"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50</w:t>
            </w:r>
          </w:p>
        </w:tc>
        <w:tc>
          <w:tcPr>
            <w:tcW w:w="4643" w:type="dxa"/>
            <w:shd w:val="clear" w:color="auto" w:fill="auto"/>
            <w:noWrap/>
            <w:vAlign w:val="center"/>
            <w:hideMark/>
          </w:tcPr>
          <w:p w14:paraId="717111FA"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HPFPYIWKA</w:t>
            </w:r>
          </w:p>
        </w:tc>
        <w:tc>
          <w:tcPr>
            <w:tcW w:w="1776" w:type="dxa"/>
            <w:shd w:val="clear" w:color="auto" w:fill="auto"/>
            <w:noWrap/>
            <w:vAlign w:val="center"/>
            <w:hideMark/>
          </w:tcPr>
          <w:p w14:paraId="19CB8F6C"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0.33 ± 0.25</w:t>
            </w:r>
          </w:p>
        </w:tc>
        <w:tc>
          <w:tcPr>
            <w:tcW w:w="1904" w:type="dxa"/>
            <w:shd w:val="clear" w:color="auto" w:fill="auto"/>
            <w:noWrap/>
            <w:vAlign w:val="center"/>
            <w:hideMark/>
          </w:tcPr>
          <w:p w14:paraId="3149CF6B" w14:textId="0BD5A464"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29B80A40" w14:textId="77777777" w:rsidTr="00C028F4">
        <w:trPr>
          <w:trHeight w:val="20"/>
        </w:trPr>
        <w:tc>
          <w:tcPr>
            <w:tcW w:w="811" w:type="dxa"/>
            <w:shd w:val="clear" w:color="auto" w:fill="auto"/>
            <w:noWrap/>
            <w:vAlign w:val="center"/>
            <w:hideMark/>
          </w:tcPr>
          <w:p w14:paraId="5D43F7F5"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51</w:t>
            </w:r>
          </w:p>
        </w:tc>
        <w:tc>
          <w:tcPr>
            <w:tcW w:w="4643" w:type="dxa"/>
            <w:shd w:val="clear" w:color="auto" w:fill="auto"/>
            <w:noWrap/>
            <w:vAlign w:val="center"/>
            <w:hideMark/>
          </w:tcPr>
          <w:p w14:paraId="138C4733"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NVNLTSNHLLYHYWIAVSHKAPA</w:t>
            </w:r>
          </w:p>
        </w:tc>
        <w:tc>
          <w:tcPr>
            <w:tcW w:w="1776" w:type="dxa"/>
            <w:shd w:val="clear" w:color="auto" w:fill="auto"/>
            <w:noWrap/>
            <w:vAlign w:val="center"/>
            <w:hideMark/>
          </w:tcPr>
          <w:p w14:paraId="0794372A"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1.40 ± 0.13</w:t>
            </w:r>
          </w:p>
        </w:tc>
        <w:tc>
          <w:tcPr>
            <w:tcW w:w="1904" w:type="dxa"/>
            <w:shd w:val="clear" w:color="auto" w:fill="auto"/>
            <w:noWrap/>
            <w:vAlign w:val="center"/>
            <w:hideMark/>
          </w:tcPr>
          <w:p w14:paraId="5C14EC3F" w14:textId="7CCC596A"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FB6C7B" w14:paraId="38DD0FCE" w14:textId="77777777" w:rsidTr="00C028F4">
        <w:trPr>
          <w:trHeight w:val="20"/>
        </w:trPr>
        <w:tc>
          <w:tcPr>
            <w:tcW w:w="811" w:type="dxa"/>
            <w:shd w:val="clear" w:color="auto" w:fill="auto"/>
            <w:noWrap/>
            <w:vAlign w:val="center"/>
            <w:hideMark/>
          </w:tcPr>
          <w:p w14:paraId="146DF92B"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52</w:t>
            </w:r>
          </w:p>
        </w:tc>
        <w:tc>
          <w:tcPr>
            <w:tcW w:w="4643" w:type="dxa"/>
            <w:shd w:val="clear" w:color="auto" w:fill="auto"/>
            <w:noWrap/>
            <w:vAlign w:val="center"/>
            <w:hideMark/>
          </w:tcPr>
          <w:p w14:paraId="59FC97C6"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VRMDTLAHVLYYPQKPLVTTRSM</w:t>
            </w:r>
          </w:p>
        </w:tc>
        <w:tc>
          <w:tcPr>
            <w:tcW w:w="1776" w:type="dxa"/>
            <w:shd w:val="clear" w:color="auto" w:fill="auto"/>
            <w:noWrap/>
            <w:vAlign w:val="center"/>
            <w:hideMark/>
          </w:tcPr>
          <w:p w14:paraId="4A5766C3"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0.51 ± 0.27</w:t>
            </w:r>
          </w:p>
        </w:tc>
        <w:tc>
          <w:tcPr>
            <w:tcW w:w="1904" w:type="dxa"/>
            <w:shd w:val="clear" w:color="auto" w:fill="auto"/>
            <w:noWrap/>
            <w:vAlign w:val="center"/>
            <w:hideMark/>
          </w:tcPr>
          <w:p w14:paraId="160E2CE5" w14:textId="03F979E6" w:rsidR="00B2658F" w:rsidRPr="00FB6C7B" w:rsidRDefault="00B2658F" w:rsidP="00CD03BB">
            <w:pPr>
              <w:spacing w:after="0" w:line="240" w:lineRule="auto"/>
              <w:jc w:val="center"/>
              <w:rPr>
                <w:rFonts w:ascii="Arial" w:hAnsi="Arial" w:cs="Arial"/>
                <w:sz w:val="18"/>
              </w:rPr>
            </w:pPr>
            <w:r>
              <w:rPr>
                <w:rFonts w:ascii="Arial" w:hAnsi="Arial" w:cs="Arial"/>
                <w:noProof/>
                <w:sz w:val="18"/>
              </w:rPr>
              <w:fldChar w:fldCharType="begin" w:fldLock="1"/>
            </w:r>
            <w:r w:rsidR="005070CC">
              <w:rPr>
                <w:rFonts w:ascii="Arial" w:hAnsi="Arial" w:cs="Arial"/>
                <w:noProof/>
                <w:sz w:val="18"/>
              </w:rPr>
              <w:instrText>ADDIN CSL_CITATION {"citationItems":[{"id":"ITEM-1","itemData":{"DOI":"10.1002/cbic.201100556","author":[{"dropping-particle":"","family":"Nikolajski","given":"Melanie","non-dropping-particle":"","parse-names":false,"suffix":""},{"dropping-particle":"","family":"Kühl","given":"Toni","non-dropping-particle":"","parse-names":false,"suffix":""},{"dropping-particle":"","family":"Heinemann","given":"Stefan H.","non-dropping-particle":"","parse-names":false,"suffix":""},{"dropping-particle":"","family":"Schlott","given":"Bernhard","non-dropping-particle":"","parse-names":false,"suffix":""},{"dropping-particle":"","family":"Imhof","given":"Diana","non-dropping-particle":"","parse-names":false,"suffix":""},{"dropping-particle":"","family":"Sahoo","given":"Nirakar","non-dropping-particle":"","parse-names":false,"suffix":""}],"container-title":"ChemBioChem","id":"ITEM-1","issue":"18","issued":{"date-parts":[["2011"]]},"page":"2846-2855","title":"Determination of Hemin-Binding Characteristics of Proteins by a Combinatorial Peptide Library Approach","type":"article-journal","volume":"12"},"uris":["http://www.mendeley.com/documents/?uuid=f6a5cbcb-c2b6-4ae3-a7c0-62d73117dbef"]}],"mendeley":{"formattedCitation":"[80]","plainTextFormattedCitation":"[80]","previouslyFormattedCitation":"[80]"},"properties":{"noteIndex":0},"schema":"https://github.com/citation-style-language/schema/raw/master/csl-citation.json"}</w:instrText>
            </w:r>
            <w:r>
              <w:rPr>
                <w:rFonts w:ascii="Arial" w:hAnsi="Arial" w:cs="Arial"/>
                <w:noProof/>
                <w:sz w:val="18"/>
              </w:rPr>
              <w:fldChar w:fldCharType="separate"/>
            </w:r>
            <w:r w:rsidR="00103ADC" w:rsidRPr="00103ADC">
              <w:rPr>
                <w:rFonts w:ascii="Arial" w:hAnsi="Arial" w:cs="Arial"/>
                <w:noProof/>
                <w:sz w:val="18"/>
              </w:rPr>
              <w:t>[80]</w:t>
            </w:r>
            <w:r>
              <w:rPr>
                <w:rFonts w:ascii="Arial" w:hAnsi="Arial" w:cs="Arial"/>
                <w:noProof/>
                <w:sz w:val="18"/>
              </w:rPr>
              <w:fldChar w:fldCharType="end"/>
            </w:r>
          </w:p>
        </w:tc>
      </w:tr>
      <w:tr w:rsidR="009C41B9" w:rsidRPr="005703B8" w14:paraId="4E63B228" w14:textId="77777777" w:rsidTr="00C028F4">
        <w:trPr>
          <w:trHeight w:val="20"/>
        </w:trPr>
        <w:tc>
          <w:tcPr>
            <w:tcW w:w="811" w:type="dxa"/>
            <w:shd w:val="clear" w:color="auto" w:fill="auto"/>
            <w:noWrap/>
            <w:vAlign w:val="center"/>
            <w:hideMark/>
          </w:tcPr>
          <w:p w14:paraId="13B417A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53</w:t>
            </w:r>
          </w:p>
        </w:tc>
        <w:tc>
          <w:tcPr>
            <w:tcW w:w="4643" w:type="dxa"/>
            <w:shd w:val="clear" w:color="auto" w:fill="auto"/>
            <w:noWrap/>
            <w:vAlign w:val="center"/>
            <w:hideMark/>
          </w:tcPr>
          <w:p w14:paraId="7EFCE00C" w14:textId="77777777" w:rsidR="00B2658F" w:rsidRPr="00FB6C7B" w:rsidRDefault="00B2658F" w:rsidP="00CD03BB">
            <w:pPr>
              <w:spacing w:after="0" w:line="240" w:lineRule="auto"/>
              <w:rPr>
                <w:rFonts w:ascii="Arial" w:hAnsi="Arial" w:cs="Arial"/>
                <w:sz w:val="18"/>
              </w:rPr>
            </w:pPr>
            <w:r w:rsidRPr="00FB6C7B">
              <w:rPr>
                <w:rFonts w:ascii="Arial" w:hAnsi="Arial" w:cs="Arial"/>
                <w:sz w:val="18"/>
              </w:rPr>
              <w:t>APSRCTQWL</w:t>
            </w:r>
          </w:p>
        </w:tc>
        <w:tc>
          <w:tcPr>
            <w:tcW w:w="1776" w:type="dxa"/>
            <w:shd w:val="clear" w:color="auto" w:fill="auto"/>
            <w:noWrap/>
            <w:vAlign w:val="center"/>
            <w:hideMark/>
          </w:tcPr>
          <w:p w14:paraId="462C1FE6" w14:textId="77777777" w:rsidR="00B2658F" w:rsidRPr="00FB6C7B" w:rsidRDefault="00B2658F" w:rsidP="00AC2715">
            <w:pPr>
              <w:spacing w:after="0" w:line="240" w:lineRule="auto"/>
              <w:rPr>
                <w:rFonts w:ascii="Arial" w:hAnsi="Arial" w:cs="Arial"/>
                <w:sz w:val="18"/>
              </w:rPr>
            </w:pPr>
            <w:r w:rsidRPr="00FB6C7B">
              <w:rPr>
                <w:rFonts w:ascii="Arial" w:hAnsi="Arial" w:cs="Arial"/>
                <w:sz w:val="18"/>
              </w:rPr>
              <w:t>4.41 ± 0.80</w:t>
            </w:r>
          </w:p>
        </w:tc>
        <w:tc>
          <w:tcPr>
            <w:tcW w:w="1904" w:type="dxa"/>
            <w:shd w:val="clear" w:color="auto" w:fill="auto"/>
            <w:noWrap/>
            <w:vAlign w:val="center"/>
            <w:hideMark/>
          </w:tcPr>
          <w:p w14:paraId="25D097FE" w14:textId="7E66AD1F"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7E209D85" w14:textId="77777777" w:rsidTr="00C028F4">
        <w:trPr>
          <w:trHeight w:val="20"/>
        </w:trPr>
        <w:tc>
          <w:tcPr>
            <w:tcW w:w="811" w:type="dxa"/>
            <w:shd w:val="clear" w:color="auto" w:fill="auto"/>
            <w:noWrap/>
            <w:vAlign w:val="center"/>
            <w:hideMark/>
          </w:tcPr>
          <w:p w14:paraId="61B67BED"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54</w:t>
            </w:r>
          </w:p>
        </w:tc>
        <w:tc>
          <w:tcPr>
            <w:tcW w:w="4643" w:type="dxa"/>
            <w:shd w:val="clear" w:color="auto" w:fill="auto"/>
            <w:noWrap/>
            <w:vAlign w:val="center"/>
            <w:hideMark/>
          </w:tcPr>
          <w:p w14:paraId="30BD134F"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SSIPCLFYK</w:t>
            </w:r>
          </w:p>
        </w:tc>
        <w:tc>
          <w:tcPr>
            <w:tcW w:w="1776" w:type="dxa"/>
            <w:shd w:val="clear" w:color="auto" w:fill="auto"/>
            <w:noWrap/>
            <w:vAlign w:val="center"/>
            <w:hideMark/>
          </w:tcPr>
          <w:p w14:paraId="609A79DD" w14:textId="7777777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0.28 ± 0.19</w:t>
            </w:r>
          </w:p>
        </w:tc>
        <w:tc>
          <w:tcPr>
            <w:tcW w:w="1904" w:type="dxa"/>
            <w:shd w:val="clear" w:color="auto" w:fill="auto"/>
            <w:noWrap/>
            <w:vAlign w:val="center"/>
            <w:hideMark/>
          </w:tcPr>
          <w:p w14:paraId="21420E05" w14:textId="59CCC211"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3E22B42D" w14:textId="77777777" w:rsidTr="00C028F4">
        <w:trPr>
          <w:trHeight w:val="20"/>
        </w:trPr>
        <w:tc>
          <w:tcPr>
            <w:tcW w:w="811" w:type="dxa"/>
            <w:shd w:val="clear" w:color="auto" w:fill="auto"/>
            <w:noWrap/>
            <w:vAlign w:val="center"/>
            <w:hideMark/>
          </w:tcPr>
          <w:p w14:paraId="4447F100"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55</w:t>
            </w:r>
          </w:p>
        </w:tc>
        <w:tc>
          <w:tcPr>
            <w:tcW w:w="4643" w:type="dxa"/>
            <w:shd w:val="clear" w:color="auto" w:fill="auto"/>
            <w:noWrap/>
            <w:vAlign w:val="center"/>
            <w:hideMark/>
          </w:tcPr>
          <w:p w14:paraId="16F5663E"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SQSSCPAVP</w:t>
            </w:r>
          </w:p>
        </w:tc>
        <w:tc>
          <w:tcPr>
            <w:tcW w:w="1776" w:type="dxa"/>
            <w:shd w:val="clear" w:color="auto" w:fill="auto"/>
            <w:noWrap/>
            <w:vAlign w:val="center"/>
            <w:hideMark/>
          </w:tcPr>
          <w:p w14:paraId="5F6018CF"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6.43 ± 0.53</w:t>
            </w:r>
          </w:p>
        </w:tc>
        <w:tc>
          <w:tcPr>
            <w:tcW w:w="1904" w:type="dxa"/>
            <w:shd w:val="clear" w:color="auto" w:fill="auto"/>
            <w:noWrap/>
            <w:vAlign w:val="center"/>
            <w:hideMark/>
          </w:tcPr>
          <w:p w14:paraId="04A4B790" w14:textId="6861CA6C"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73FDAB41" w14:textId="77777777" w:rsidTr="00C028F4">
        <w:trPr>
          <w:trHeight w:val="20"/>
        </w:trPr>
        <w:tc>
          <w:tcPr>
            <w:tcW w:w="811" w:type="dxa"/>
            <w:shd w:val="clear" w:color="auto" w:fill="auto"/>
            <w:noWrap/>
            <w:vAlign w:val="center"/>
            <w:hideMark/>
          </w:tcPr>
          <w:p w14:paraId="54670A46"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56</w:t>
            </w:r>
          </w:p>
        </w:tc>
        <w:tc>
          <w:tcPr>
            <w:tcW w:w="4643" w:type="dxa"/>
            <w:shd w:val="clear" w:color="auto" w:fill="auto"/>
            <w:noWrap/>
            <w:vAlign w:val="center"/>
            <w:hideMark/>
          </w:tcPr>
          <w:p w14:paraId="1001F6CD"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DESACPVYM</w:t>
            </w:r>
          </w:p>
        </w:tc>
        <w:tc>
          <w:tcPr>
            <w:tcW w:w="1776" w:type="dxa"/>
            <w:shd w:val="clear" w:color="auto" w:fill="auto"/>
            <w:noWrap/>
            <w:vAlign w:val="center"/>
            <w:hideMark/>
          </w:tcPr>
          <w:p w14:paraId="3665C202"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13.26 ± 1.44</w:t>
            </w:r>
          </w:p>
        </w:tc>
        <w:tc>
          <w:tcPr>
            <w:tcW w:w="1904" w:type="dxa"/>
            <w:shd w:val="clear" w:color="auto" w:fill="auto"/>
            <w:noWrap/>
            <w:vAlign w:val="center"/>
            <w:hideMark/>
          </w:tcPr>
          <w:p w14:paraId="78D08EA8" w14:textId="54237FB5"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138B4911" w14:textId="77777777" w:rsidTr="00C028F4">
        <w:trPr>
          <w:trHeight w:val="20"/>
        </w:trPr>
        <w:tc>
          <w:tcPr>
            <w:tcW w:w="811" w:type="dxa"/>
            <w:shd w:val="clear" w:color="auto" w:fill="auto"/>
            <w:noWrap/>
            <w:vAlign w:val="center"/>
            <w:hideMark/>
          </w:tcPr>
          <w:p w14:paraId="659FCFED"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57</w:t>
            </w:r>
          </w:p>
        </w:tc>
        <w:tc>
          <w:tcPr>
            <w:tcW w:w="4643" w:type="dxa"/>
            <w:shd w:val="clear" w:color="auto" w:fill="auto"/>
            <w:noWrap/>
            <w:vAlign w:val="center"/>
            <w:hideMark/>
          </w:tcPr>
          <w:p w14:paraId="3EF8A5EB"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RPDGCPDEI</w:t>
            </w:r>
          </w:p>
        </w:tc>
        <w:tc>
          <w:tcPr>
            <w:tcW w:w="1776" w:type="dxa"/>
            <w:shd w:val="clear" w:color="auto" w:fill="auto"/>
            <w:noWrap/>
            <w:vAlign w:val="center"/>
            <w:hideMark/>
          </w:tcPr>
          <w:p w14:paraId="6401F4A5"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0.50 ± 0.23</w:t>
            </w:r>
          </w:p>
        </w:tc>
        <w:tc>
          <w:tcPr>
            <w:tcW w:w="1904" w:type="dxa"/>
            <w:shd w:val="clear" w:color="auto" w:fill="auto"/>
            <w:noWrap/>
            <w:vAlign w:val="center"/>
            <w:hideMark/>
          </w:tcPr>
          <w:p w14:paraId="3A135AB3" w14:textId="6C05E829"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5BB3C2C1" w14:textId="77777777" w:rsidTr="00C028F4">
        <w:trPr>
          <w:trHeight w:val="20"/>
        </w:trPr>
        <w:tc>
          <w:tcPr>
            <w:tcW w:w="811" w:type="dxa"/>
            <w:shd w:val="clear" w:color="auto" w:fill="auto"/>
            <w:noWrap/>
            <w:vAlign w:val="center"/>
            <w:hideMark/>
          </w:tcPr>
          <w:p w14:paraId="617EC1F4"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58</w:t>
            </w:r>
          </w:p>
        </w:tc>
        <w:tc>
          <w:tcPr>
            <w:tcW w:w="4643" w:type="dxa"/>
            <w:shd w:val="clear" w:color="auto" w:fill="auto"/>
            <w:noWrap/>
            <w:vAlign w:val="center"/>
            <w:hideMark/>
          </w:tcPr>
          <w:p w14:paraId="56E390FF"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EDKDCPIKE</w:t>
            </w:r>
          </w:p>
        </w:tc>
        <w:tc>
          <w:tcPr>
            <w:tcW w:w="1776" w:type="dxa"/>
            <w:shd w:val="clear" w:color="auto" w:fill="auto"/>
            <w:noWrap/>
            <w:vAlign w:val="center"/>
            <w:hideMark/>
          </w:tcPr>
          <w:p w14:paraId="733E5AEE"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48.40 ± 2.73</w:t>
            </w:r>
          </w:p>
        </w:tc>
        <w:tc>
          <w:tcPr>
            <w:tcW w:w="1904" w:type="dxa"/>
            <w:shd w:val="clear" w:color="auto" w:fill="auto"/>
            <w:noWrap/>
            <w:vAlign w:val="center"/>
            <w:hideMark/>
          </w:tcPr>
          <w:p w14:paraId="3A334390" w14:textId="164BF68D"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224BC12E" w14:textId="77777777" w:rsidTr="00C028F4">
        <w:trPr>
          <w:trHeight w:val="20"/>
        </w:trPr>
        <w:tc>
          <w:tcPr>
            <w:tcW w:w="811" w:type="dxa"/>
            <w:shd w:val="clear" w:color="auto" w:fill="auto"/>
            <w:noWrap/>
            <w:vAlign w:val="center"/>
            <w:hideMark/>
          </w:tcPr>
          <w:p w14:paraId="1A433EFB"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59</w:t>
            </w:r>
          </w:p>
        </w:tc>
        <w:tc>
          <w:tcPr>
            <w:tcW w:w="4643" w:type="dxa"/>
            <w:shd w:val="clear" w:color="auto" w:fill="auto"/>
            <w:noWrap/>
            <w:vAlign w:val="center"/>
            <w:hideMark/>
          </w:tcPr>
          <w:p w14:paraId="20D3E6FF"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ALTGCPWHD</w:t>
            </w:r>
          </w:p>
        </w:tc>
        <w:tc>
          <w:tcPr>
            <w:tcW w:w="1776" w:type="dxa"/>
            <w:shd w:val="clear" w:color="auto" w:fill="auto"/>
            <w:noWrap/>
            <w:vAlign w:val="center"/>
            <w:hideMark/>
          </w:tcPr>
          <w:p w14:paraId="7C5186DF"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5.32 ± 0.55</w:t>
            </w:r>
          </w:p>
        </w:tc>
        <w:tc>
          <w:tcPr>
            <w:tcW w:w="1904" w:type="dxa"/>
            <w:shd w:val="clear" w:color="auto" w:fill="auto"/>
            <w:noWrap/>
            <w:vAlign w:val="center"/>
            <w:hideMark/>
          </w:tcPr>
          <w:p w14:paraId="5EB008BA" w14:textId="6487CCF6"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6FA64F8A" w14:textId="77777777" w:rsidTr="00C028F4">
        <w:trPr>
          <w:trHeight w:val="20"/>
        </w:trPr>
        <w:tc>
          <w:tcPr>
            <w:tcW w:w="811" w:type="dxa"/>
            <w:shd w:val="clear" w:color="auto" w:fill="auto"/>
            <w:noWrap/>
            <w:vAlign w:val="center"/>
            <w:hideMark/>
          </w:tcPr>
          <w:p w14:paraId="4F3ED3FB"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60</w:t>
            </w:r>
          </w:p>
        </w:tc>
        <w:tc>
          <w:tcPr>
            <w:tcW w:w="4643" w:type="dxa"/>
            <w:shd w:val="clear" w:color="auto" w:fill="auto"/>
            <w:noWrap/>
            <w:vAlign w:val="center"/>
            <w:hideMark/>
          </w:tcPr>
          <w:p w14:paraId="38572EF5"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QFSSCPHYW</w:t>
            </w:r>
          </w:p>
        </w:tc>
        <w:tc>
          <w:tcPr>
            <w:tcW w:w="1776" w:type="dxa"/>
            <w:shd w:val="clear" w:color="auto" w:fill="auto"/>
            <w:noWrap/>
            <w:vAlign w:val="center"/>
            <w:hideMark/>
          </w:tcPr>
          <w:p w14:paraId="03B140A1"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1.94 ± 0.42</w:t>
            </w:r>
          </w:p>
        </w:tc>
        <w:tc>
          <w:tcPr>
            <w:tcW w:w="1904" w:type="dxa"/>
            <w:shd w:val="clear" w:color="auto" w:fill="auto"/>
            <w:noWrap/>
            <w:vAlign w:val="center"/>
            <w:hideMark/>
          </w:tcPr>
          <w:p w14:paraId="420908E0" w14:textId="0553AA8D"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0D8EE4CA" w14:textId="77777777" w:rsidTr="00C028F4">
        <w:trPr>
          <w:trHeight w:val="20"/>
        </w:trPr>
        <w:tc>
          <w:tcPr>
            <w:tcW w:w="811" w:type="dxa"/>
            <w:shd w:val="clear" w:color="auto" w:fill="auto"/>
            <w:noWrap/>
            <w:vAlign w:val="center"/>
            <w:hideMark/>
          </w:tcPr>
          <w:p w14:paraId="5A465CFD"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61</w:t>
            </w:r>
          </w:p>
        </w:tc>
        <w:tc>
          <w:tcPr>
            <w:tcW w:w="4643" w:type="dxa"/>
            <w:shd w:val="clear" w:color="auto" w:fill="auto"/>
            <w:noWrap/>
            <w:vAlign w:val="center"/>
            <w:hideMark/>
          </w:tcPr>
          <w:p w14:paraId="586A397D"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IGVVCPFVR</w:t>
            </w:r>
          </w:p>
        </w:tc>
        <w:tc>
          <w:tcPr>
            <w:tcW w:w="1776" w:type="dxa"/>
            <w:shd w:val="clear" w:color="auto" w:fill="auto"/>
            <w:noWrap/>
            <w:vAlign w:val="center"/>
            <w:hideMark/>
          </w:tcPr>
          <w:p w14:paraId="7E2C599B"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0.87 ± 0.41</w:t>
            </w:r>
          </w:p>
        </w:tc>
        <w:tc>
          <w:tcPr>
            <w:tcW w:w="1904" w:type="dxa"/>
            <w:shd w:val="clear" w:color="auto" w:fill="auto"/>
            <w:noWrap/>
            <w:vAlign w:val="center"/>
            <w:hideMark/>
          </w:tcPr>
          <w:p w14:paraId="0676906A" w14:textId="2065E10F" w:rsidR="00B2658F" w:rsidRPr="005703B8"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226FC0CD" w14:textId="77777777" w:rsidTr="00C028F4">
        <w:trPr>
          <w:trHeight w:val="20"/>
        </w:trPr>
        <w:tc>
          <w:tcPr>
            <w:tcW w:w="811" w:type="dxa"/>
            <w:shd w:val="clear" w:color="auto" w:fill="auto"/>
            <w:noWrap/>
            <w:vAlign w:val="center"/>
            <w:hideMark/>
          </w:tcPr>
          <w:p w14:paraId="3DEBC84A"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lastRenderedPageBreak/>
              <w:t>62</w:t>
            </w:r>
          </w:p>
        </w:tc>
        <w:tc>
          <w:tcPr>
            <w:tcW w:w="4643" w:type="dxa"/>
            <w:shd w:val="clear" w:color="auto" w:fill="auto"/>
            <w:noWrap/>
            <w:vAlign w:val="center"/>
            <w:hideMark/>
          </w:tcPr>
          <w:p w14:paraId="196F8D7C" w14:textId="77777777" w:rsidR="00B2658F" w:rsidRPr="005703B8" w:rsidRDefault="00B2658F" w:rsidP="00CD03BB">
            <w:pPr>
              <w:spacing w:after="0" w:line="240" w:lineRule="auto"/>
              <w:rPr>
                <w:rFonts w:ascii="Arial" w:hAnsi="Arial" w:cs="Arial"/>
                <w:sz w:val="18"/>
                <w:lang w:val="en-US"/>
              </w:rPr>
            </w:pPr>
            <w:r w:rsidRPr="005703B8">
              <w:rPr>
                <w:rFonts w:ascii="Arial" w:hAnsi="Arial" w:cs="Arial"/>
                <w:sz w:val="18"/>
                <w:lang w:val="en-US"/>
              </w:rPr>
              <w:t>ARLGCPVIP</w:t>
            </w:r>
          </w:p>
        </w:tc>
        <w:tc>
          <w:tcPr>
            <w:tcW w:w="1776" w:type="dxa"/>
            <w:shd w:val="clear" w:color="auto" w:fill="auto"/>
            <w:noWrap/>
            <w:vAlign w:val="center"/>
            <w:hideMark/>
          </w:tcPr>
          <w:p w14:paraId="67939647" w14:textId="77777777" w:rsidR="00B2658F" w:rsidRPr="005703B8" w:rsidRDefault="00B2658F" w:rsidP="00AC2715">
            <w:pPr>
              <w:spacing w:after="0" w:line="240" w:lineRule="auto"/>
              <w:rPr>
                <w:rFonts w:ascii="Arial" w:hAnsi="Arial" w:cs="Arial"/>
                <w:sz w:val="18"/>
                <w:lang w:val="en-US"/>
              </w:rPr>
            </w:pPr>
            <w:r w:rsidRPr="005703B8">
              <w:rPr>
                <w:rFonts w:ascii="Arial" w:hAnsi="Arial" w:cs="Arial"/>
                <w:sz w:val="18"/>
                <w:lang w:val="en-US"/>
              </w:rPr>
              <w:t>1.37 ± 0.33</w:t>
            </w:r>
          </w:p>
        </w:tc>
        <w:tc>
          <w:tcPr>
            <w:tcW w:w="1904" w:type="dxa"/>
            <w:shd w:val="clear" w:color="auto" w:fill="auto"/>
            <w:noWrap/>
            <w:vAlign w:val="center"/>
            <w:hideMark/>
          </w:tcPr>
          <w:p w14:paraId="23F8FF88" w14:textId="79F87EF7"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4EF8433F" w14:textId="77777777" w:rsidTr="00C028F4">
        <w:trPr>
          <w:trHeight w:val="20"/>
        </w:trPr>
        <w:tc>
          <w:tcPr>
            <w:tcW w:w="811" w:type="dxa"/>
            <w:shd w:val="clear" w:color="auto" w:fill="auto"/>
            <w:noWrap/>
            <w:vAlign w:val="center"/>
            <w:hideMark/>
          </w:tcPr>
          <w:p w14:paraId="34443B62"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63</w:t>
            </w:r>
          </w:p>
        </w:tc>
        <w:tc>
          <w:tcPr>
            <w:tcW w:w="4643" w:type="dxa"/>
            <w:shd w:val="clear" w:color="auto" w:fill="auto"/>
            <w:noWrap/>
            <w:vAlign w:val="center"/>
            <w:hideMark/>
          </w:tcPr>
          <w:p w14:paraId="38A7004F"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SEGGCPLIL</w:t>
            </w:r>
          </w:p>
        </w:tc>
        <w:tc>
          <w:tcPr>
            <w:tcW w:w="1776" w:type="dxa"/>
            <w:shd w:val="clear" w:color="auto" w:fill="auto"/>
            <w:noWrap/>
            <w:vAlign w:val="center"/>
            <w:hideMark/>
          </w:tcPr>
          <w:p w14:paraId="79C3AB24" w14:textId="7777777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3.75 ± 0.77</w:t>
            </w:r>
          </w:p>
        </w:tc>
        <w:tc>
          <w:tcPr>
            <w:tcW w:w="1904" w:type="dxa"/>
            <w:shd w:val="clear" w:color="auto" w:fill="auto"/>
            <w:noWrap/>
            <w:vAlign w:val="center"/>
            <w:hideMark/>
          </w:tcPr>
          <w:p w14:paraId="6289791D" w14:textId="47B54224"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id":"ITEM-2","itemData":{"DOI":"10.1038/s41598-019-53231-0","author":[{"dropping-particle":"","family":"Wißbrock","given":"Amelie","non-dropping-particle":"","parse-names":false,"suffix":""},{"dropping-particle":"","family":"Goradia","given":"Nishit B.","non-dropping-particle":"","parse-names":false,"suffix":""},{"dropping-particle":"","family":"Kumar","given":"Amit","non-dropping-particle":"","parse-names":false,"suffix":""},{"dropping-particle":"","family":"Paul George","given":"Ajay Abisheck","non-dropping-particle":"","parse-names":false,"suffix":""},{"dropping-particle":"","family":"Kühl","given":"Toni","non-dropping-particle":"","parse-names":false,"suffix":""},{"dropping-particle":"","family":"Bellstedt","given":"Peter","non-dropping-particle":"","parse-names":false,"suffix":""},{"dropping-particle":"","family":"Ramachandran","given":"Ramadurai","non-dropping-particle":"","parse-names":false,"suffix":""},{"dropping-particle":"","family":"Hoffman","given":"Patrick","non-dropping-particle":"","parse-names":false,"suffix":""},{"dropping-particle":"","family":"Galler","given":"Kerstin","non-dropping-particle":"","parse-names":false,"suffix":""},{"dropping-particle":"","family":"Neugebauer","given":"Ute","non-dropping-particle":"","parse-names":false,"suffix":""},{"dropping-particle":"","family":"Hampel","given":"Kerstin","non-dropping-particle":"","parse-names":false,"suffix":""},{"dropping-particle":"","family":"Zimmermann","given":"Bastian","non-dropping-particle":"","parse-names":false,"suffix":""},{"dropping-particle":"","family":"Adams","given":"Susanne","non-dropping-particle":"","parse-names":false,"suffix":""},{"dropping-particle":"","family":"Wiendl","given":"Maximilian","non-dropping-particle":"","parse-names":false,"suffix":""},{"dropping-particle":"","family":"Krönke","given":"Gerhard","non-dropping-particle":"","parse-names":false,"suffix":""},{"dropping-particle":"","family":"Hamza","given":"Iqbal","non-dropping-particle":"","parse-names":false,"suffix":""},{"dropping-particle":"","family":"Heinemann","given":"Stefan H.","non-dropping-particle":"","parse-names":false,"suffix":""},{"dropping-particle":"","family":"Frey","given":"Silke","non-dropping-particle":"","parse-names":false,"suffix":""},{"dropping-particle":"","family":"Hueber","given":"Axel","non-dropping-particle":"","parse-names":false,"suffix":""},{"dropping-particle":"","family":"Ohlenschläger","given":"Oliver","non-dropping-particle":"","parse-names":false,"suffix":""},{"dropping-particle":"","family":"Imhof","given":"Diana","non-dropping-particle":"","parse-names":false,"suffix":""}],"container-title":"Scientific Reports","id":"ITEM-2","issued":{"date-parts":[["2019"]]},"page":"16893","title":"Structural insights into heme binding to IL-36α proinflammatory cytokine","type":"article-journal","volume":"9"},"uris":["http://www.mendeley.com/documents/?uuid=3de84858-1686-4f31-84d9-4e86a909b938"]}],"mendeley":{"formattedCitation":"[35, 54]","plainTextFormattedCitation":"[35, 54]","previouslyFormattedCitation":"[35, 84]"},"properties":{"noteIndex":0},"schema":"https://github.com/citation-style-language/schema/raw/master/csl-citation.json"}</w:instrText>
            </w:r>
            <w:r>
              <w:rPr>
                <w:rFonts w:ascii="Arial" w:hAnsi="Arial" w:cs="Arial"/>
                <w:noProof/>
                <w:sz w:val="18"/>
                <w:lang w:val="en-US"/>
              </w:rPr>
              <w:fldChar w:fldCharType="separate"/>
            </w:r>
            <w:r w:rsidR="005070CC" w:rsidRPr="005070CC">
              <w:rPr>
                <w:rFonts w:ascii="Arial" w:hAnsi="Arial" w:cs="Arial"/>
                <w:noProof/>
                <w:sz w:val="18"/>
                <w:lang w:val="en-US"/>
              </w:rPr>
              <w:t>[35, 54]</w:t>
            </w:r>
            <w:r>
              <w:rPr>
                <w:rFonts w:ascii="Arial" w:hAnsi="Arial" w:cs="Arial"/>
                <w:noProof/>
                <w:sz w:val="18"/>
                <w:lang w:val="en-US"/>
              </w:rPr>
              <w:fldChar w:fldCharType="end"/>
            </w:r>
          </w:p>
        </w:tc>
      </w:tr>
      <w:tr w:rsidR="009C41B9" w:rsidRPr="005703B8" w14:paraId="0DDC2227" w14:textId="77777777" w:rsidTr="00C028F4">
        <w:trPr>
          <w:trHeight w:val="20"/>
        </w:trPr>
        <w:tc>
          <w:tcPr>
            <w:tcW w:w="811" w:type="dxa"/>
            <w:shd w:val="clear" w:color="auto" w:fill="auto"/>
            <w:noWrap/>
            <w:vAlign w:val="center"/>
            <w:hideMark/>
          </w:tcPr>
          <w:p w14:paraId="2538AF71"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64</w:t>
            </w:r>
          </w:p>
        </w:tc>
        <w:tc>
          <w:tcPr>
            <w:tcW w:w="4643" w:type="dxa"/>
            <w:shd w:val="clear" w:color="auto" w:fill="auto"/>
            <w:noWrap/>
            <w:vAlign w:val="center"/>
            <w:hideMark/>
          </w:tcPr>
          <w:p w14:paraId="0AAF3694"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TPILCPFHL</w:t>
            </w:r>
          </w:p>
        </w:tc>
        <w:tc>
          <w:tcPr>
            <w:tcW w:w="1776" w:type="dxa"/>
            <w:shd w:val="clear" w:color="auto" w:fill="auto"/>
            <w:noWrap/>
            <w:vAlign w:val="center"/>
            <w:hideMark/>
          </w:tcPr>
          <w:p w14:paraId="7ECD8BE7" w14:textId="7777777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0.60 ± 0.41</w:t>
            </w:r>
          </w:p>
        </w:tc>
        <w:tc>
          <w:tcPr>
            <w:tcW w:w="1904" w:type="dxa"/>
            <w:shd w:val="clear" w:color="auto" w:fill="auto"/>
            <w:noWrap/>
            <w:vAlign w:val="center"/>
            <w:hideMark/>
          </w:tcPr>
          <w:p w14:paraId="2E7D0957" w14:textId="6F633738"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0DCF2A68" w14:textId="77777777" w:rsidTr="00C028F4">
        <w:trPr>
          <w:trHeight w:val="20"/>
        </w:trPr>
        <w:tc>
          <w:tcPr>
            <w:tcW w:w="811" w:type="dxa"/>
            <w:shd w:val="clear" w:color="auto" w:fill="auto"/>
            <w:noWrap/>
            <w:vAlign w:val="center"/>
            <w:hideMark/>
          </w:tcPr>
          <w:p w14:paraId="5116F9F3"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65</w:t>
            </w:r>
          </w:p>
        </w:tc>
        <w:tc>
          <w:tcPr>
            <w:tcW w:w="4643" w:type="dxa"/>
            <w:shd w:val="clear" w:color="auto" w:fill="auto"/>
            <w:noWrap/>
            <w:vAlign w:val="center"/>
            <w:hideMark/>
          </w:tcPr>
          <w:p w14:paraId="797FB990"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AAAACPAAA</w:t>
            </w:r>
          </w:p>
        </w:tc>
        <w:tc>
          <w:tcPr>
            <w:tcW w:w="1776" w:type="dxa"/>
            <w:shd w:val="clear" w:color="auto" w:fill="auto"/>
            <w:noWrap/>
            <w:vAlign w:val="center"/>
            <w:hideMark/>
          </w:tcPr>
          <w:p w14:paraId="33FEC4CC" w14:textId="7777777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4.73 ± 1.83</w:t>
            </w:r>
          </w:p>
        </w:tc>
        <w:tc>
          <w:tcPr>
            <w:tcW w:w="1904" w:type="dxa"/>
            <w:shd w:val="clear" w:color="auto" w:fill="auto"/>
            <w:noWrap/>
            <w:vAlign w:val="center"/>
            <w:hideMark/>
          </w:tcPr>
          <w:p w14:paraId="4FD086C6" w14:textId="16C06DBC"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2B2AE314" w14:textId="77777777" w:rsidTr="00C028F4">
        <w:trPr>
          <w:trHeight w:val="20"/>
        </w:trPr>
        <w:tc>
          <w:tcPr>
            <w:tcW w:w="811" w:type="dxa"/>
            <w:shd w:val="clear" w:color="auto" w:fill="auto"/>
            <w:noWrap/>
            <w:vAlign w:val="center"/>
            <w:hideMark/>
          </w:tcPr>
          <w:p w14:paraId="5F9A8E67"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66</w:t>
            </w:r>
          </w:p>
        </w:tc>
        <w:tc>
          <w:tcPr>
            <w:tcW w:w="4643" w:type="dxa"/>
            <w:shd w:val="clear" w:color="auto" w:fill="auto"/>
            <w:noWrap/>
            <w:vAlign w:val="center"/>
            <w:hideMark/>
          </w:tcPr>
          <w:p w14:paraId="4755EF37"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SSIPCLHYK</w:t>
            </w:r>
          </w:p>
        </w:tc>
        <w:tc>
          <w:tcPr>
            <w:tcW w:w="1776" w:type="dxa"/>
            <w:shd w:val="clear" w:color="auto" w:fill="auto"/>
            <w:noWrap/>
            <w:vAlign w:val="center"/>
            <w:hideMark/>
          </w:tcPr>
          <w:p w14:paraId="46C6FD1A" w14:textId="7777777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0.81 ± 0.51</w:t>
            </w:r>
          </w:p>
        </w:tc>
        <w:tc>
          <w:tcPr>
            <w:tcW w:w="1904" w:type="dxa"/>
            <w:shd w:val="clear" w:color="auto" w:fill="auto"/>
            <w:noWrap/>
            <w:vAlign w:val="center"/>
            <w:hideMark/>
          </w:tcPr>
          <w:p w14:paraId="5AE8AC67" w14:textId="5FA09D6B"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20A90FDF" w14:textId="77777777" w:rsidTr="00C028F4">
        <w:trPr>
          <w:trHeight w:val="20"/>
        </w:trPr>
        <w:tc>
          <w:tcPr>
            <w:tcW w:w="811" w:type="dxa"/>
            <w:shd w:val="clear" w:color="auto" w:fill="auto"/>
            <w:noWrap/>
            <w:vAlign w:val="center"/>
            <w:hideMark/>
          </w:tcPr>
          <w:p w14:paraId="2756532E"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67</w:t>
            </w:r>
          </w:p>
        </w:tc>
        <w:tc>
          <w:tcPr>
            <w:tcW w:w="4643" w:type="dxa"/>
            <w:shd w:val="clear" w:color="auto" w:fill="auto"/>
            <w:noWrap/>
            <w:vAlign w:val="center"/>
            <w:hideMark/>
          </w:tcPr>
          <w:p w14:paraId="35C1C82E"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DESACPYVM</w:t>
            </w:r>
          </w:p>
        </w:tc>
        <w:tc>
          <w:tcPr>
            <w:tcW w:w="1776" w:type="dxa"/>
            <w:shd w:val="clear" w:color="auto" w:fill="auto"/>
            <w:noWrap/>
            <w:vAlign w:val="center"/>
            <w:hideMark/>
          </w:tcPr>
          <w:p w14:paraId="66295697" w14:textId="7315C306"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3.</w:t>
            </w:r>
            <w:r w:rsidR="009C41B9">
              <w:rPr>
                <w:rFonts w:ascii="Arial" w:hAnsi="Arial" w:cs="Arial"/>
                <w:sz w:val="18"/>
                <w:lang w:val="en-US"/>
              </w:rPr>
              <w:t>27</w:t>
            </w:r>
            <w:r w:rsidRPr="00FB6C7B">
              <w:rPr>
                <w:rFonts w:ascii="Arial" w:hAnsi="Arial" w:cs="Arial"/>
                <w:sz w:val="18"/>
                <w:lang w:val="en-US"/>
              </w:rPr>
              <w:t xml:space="preserve"> ± 1.</w:t>
            </w:r>
            <w:r w:rsidR="009C41B9">
              <w:rPr>
                <w:rFonts w:ascii="Arial" w:hAnsi="Arial" w:cs="Arial"/>
                <w:sz w:val="18"/>
                <w:lang w:val="en-US"/>
              </w:rPr>
              <w:t>44</w:t>
            </w:r>
          </w:p>
        </w:tc>
        <w:tc>
          <w:tcPr>
            <w:tcW w:w="1904" w:type="dxa"/>
            <w:shd w:val="clear" w:color="auto" w:fill="auto"/>
            <w:noWrap/>
            <w:vAlign w:val="center"/>
            <w:hideMark/>
          </w:tcPr>
          <w:p w14:paraId="5AEBBC71" w14:textId="3A30E24F"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{"citationItems":[{"id":"ITEM-1","itemData":{"DOI":"10.1021/cb400317x","ISBN":"15548929","ISSN":"15548929","PMID":"23730736","abstract":"Regulatory heme binds to specific motifs in proteins and controls a variety of biochemical processes. Several of these proteins were recently shown to form complexes with ferric and/or ferrous heme via a cysteine residue as axial ligand. The objective of this study was to examine the heme-binding properties of a series of cysteine-containing peptides with focus on CP motif sequences. The peptides displayed different binding behavior upon Fe(III) heme application with characteristic wavelength shifts of the Soret band to 370 nm or 420-430 nm and in some cases to both wavelengths. Whereas for most of the peptides containing a cysteine only a shift to 420-430 nm was observed, CP-containing peptides exhibited a preference for a shift to 370 nm. Detailed structural investigation using Raman and NMR spectroscopy on selected representatives revealed different binding modes with respect to iron ion coordination, which reflected the results of the UV-vis studies. A predicted short sequence stretch derived from dipeptidyl peptidase 8 was additionally examined with respect to CP motif binding to heme on the peptide as well as on the protein level. The heme association was confirmed with the first solution structure of a CP-peptide-heme complex and, moreover, an inhibitory effect of Fe(III) heme on the enzyme's activity. The relevance of both the use of model compounds to elucidate the molecular mechanism underlying regulatory heme binding and its potential for the investigation of regulatory heme control is discussed.","author":[{"dropping-particle":"","family":"Kühl","given":"Toni","non-dropping-particle":"","parse-names":false,"suffix":""},{"dropping-particle":"","family":"Wißbrock","given":"Amelie","non-dropping-particle":"","parse-names":false,"suffix":""},{"dropping-particle":"","family":"Goradia","given":"Nishit","non-dropping-particle":"","parse-names":false,"suffix":""},{"dropping-particle":"","family":"Sahoo","given":"Nirakar","non-dropping-particle":"","parse-names":false,"suffix":""},{"dropping-particle":"","family":"Galler","given":"Kerstin","non-dropping-particle":"","parse-names":false,"suffix":""},{"dropping-particle":"","family":"Neugebauer","given":"Ute","non-dropping-particle":"","parse-names":false,"suffix":""},{"dropping-particle":"","family":"Popp","given":"Jürgen","non-dropping-particle":"","parse-names":false,"suffix":""},{"dropping-particle":"","family":"Heinemann","given":"Stefan H.","non-dropping-particle":"","parse-names":false,"suffix":""},{"dropping-particle":"","family":"Ohlenschläger","given":"Oliver","non-dropping-particle":"","parse-names":false,"suffix":""},{"dropping-particle":"","family":"Imhof","given":"Diana","non-dropping-particle":"","parse-names":false,"suffix":""}],"container-title":"ACS Chemical Biology","id":"ITEM-1","issue":"8","issued":{"date-parts":[["2013"]]},"page":"1785-1793","title":"Analysis of Fe(III) heme binding to cysteine-containing heme-regulatory motifs in proteins","type":"article-journal","volume":"8"},"uris":["http://www.mendeley.com/documents/?uuid=59f6d679-93b2-4a07-94c9-8e5c11b89a16"]}],"mendeley":{"formattedCitation":"[35]","plainTextFormattedCitation":"[35]","previouslyFormattedCitation":"[35]"},"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[35]</w:t>
            </w:r>
            <w:r>
              <w:rPr>
                <w:rFonts w:ascii="Arial" w:hAnsi="Arial" w:cs="Arial"/>
                <w:noProof/>
                <w:sz w:val="18"/>
                <w:lang w:val="en-US"/>
              </w:rPr>
              <w:fldChar w:fldCharType="end"/>
            </w:r>
          </w:p>
        </w:tc>
      </w:tr>
      <w:tr w:rsidR="009C41B9" w:rsidRPr="005703B8" w14:paraId="69731938" w14:textId="77777777" w:rsidTr="00C028F4">
        <w:trPr>
          <w:trHeight w:val="20"/>
        </w:trPr>
        <w:tc>
          <w:tcPr>
            <w:tcW w:w="811" w:type="dxa"/>
            <w:shd w:val="clear" w:color="auto" w:fill="auto"/>
            <w:noWrap/>
            <w:vAlign w:val="center"/>
            <w:hideMark/>
          </w:tcPr>
          <w:p w14:paraId="10D2A92B"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68</w:t>
            </w:r>
          </w:p>
        </w:tc>
        <w:tc>
          <w:tcPr>
            <w:tcW w:w="4643" w:type="dxa"/>
            <w:shd w:val="clear" w:color="auto" w:fill="auto"/>
            <w:noWrap/>
            <w:vAlign w:val="center"/>
            <w:hideMark/>
          </w:tcPr>
          <w:p w14:paraId="7CB09136"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AIRRCSTFQ</w:t>
            </w:r>
          </w:p>
        </w:tc>
        <w:tc>
          <w:tcPr>
            <w:tcW w:w="1776" w:type="dxa"/>
            <w:shd w:val="clear" w:color="auto" w:fill="auto"/>
            <w:noWrap/>
            <w:vAlign w:val="center"/>
            <w:hideMark/>
          </w:tcPr>
          <w:p w14:paraId="1CBFC678" w14:textId="68E06FC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w:t>
            </w:r>
            <w:r w:rsidR="009C41B9">
              <w:rPr>
                <w:rFonts w:ascii="Arial" w:hAnsi="Arial" w:cs="Arial"/>
                <w:sz w:val="18"/>
                <w:lang w:val="en-US"/>
              </w:rPr>
              <w:t>5</w:t>
            </w:r>
            <w:r w:rsidRPr="00FB6C7B">
              <w:rPr>
                <w:rFonts w:ascii="Arial" w:hAnsi="Arial" w:cs="Arial"/>
                <w:sz w:val="18"/>
                <w:lang w:val="en-US"/>
              </w:rPr>
              <w:t>0 ± 0.</w:t>
            </w:r>
            <w:r w:rsidR="009C41B9">
              <w:rPr>
                <w:rFonts w:ascii="Arial" w:hAnsi="Arial" w:cs="Arial"/>
                <w:sz w:val="18"/>
                <w:lang w:val="en-US"/>
              </w:rPr>
              <w:t>20</w:t>
            </w:r>
          </w:p>
        </w:tc>
        <w:tc>
          <w:tcPr>
            <w:tcW w:w="1904" w:type="dxa"/>
            <w:shd w:val="clear" w:color="auto" w:fill="auto"/>
            <w:noWrap/>
            <w:vAlign w:val="center"/>
            <w:hideMark/>
          </w:tcPr>
          <w:p w14:paraId="042DBB32" w14:textId="09966C23"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[81]</w:t>
            </w:r>
            <w:r>
              <w:rPr>
                <w:rFonts w:ascii="Arial" w:hAnsi="Arial" w:cs="Arial"/>
                <w:noProof/>
                <w:sz w:val="18"/>
                <w:lang w:val="en-US"/>
              </w:rPr>
              <w:fldChar w:fldCharType="end"/>
            </w:r>
          </w:p>
        </w:tc>
      </w:tr>
      <w:tr w:rsidR="009C41B9" w:rsidRPr="005703B8" w14:paraId="396290E1" w14:textId="77777777" w:rsidTr="00C028F4">
        <w:trPr>
          <w:trHeight w:val="20"/>
        </w:trPr>
        <w:tc>
          <w:tcPr>
            <w:tcW w:w="811" w:type="dxa"/>
            <w:shd w:val="clear" w:color="auto" w:fill="auto"/>
            <w:noWrap/>
            <w:vAlign w:val="center"/>
            <w:hideMark/>
          </w:tcPr>
          <w:p w14:paraId="7F9B720D"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69</w:t>
            </w:r>
          </w:p>
        </w:tc>
        <w:tc>
          <w:tcPr>
            <w:tcW w:w="4643" w:type="dxa"/>
            <w:shd w:val="clear" w:color="auto" w:fill="auto"/>
            <w:noWrap/>
            <w:vAlign w:val="center"/>
            <w:hideMark/>
          </w:tcPr>
          <w:p w14:paraId="09734E78"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HELVCAAST</w:t>
            </w:r>
          </w:p>
        </w:tc>
        <w:tc>
          <w:tcPr>
            <w:tcW w:w="1776" w:type="dxa"/>
            <w:shd w:val="clear" w:color="auto" w:fill="auto"/>
            <w:noWrap/>
            <w:vAlign w:val="center"/>
            <w:hideMark/>
          </w:tcPr>
          <w:p w14:paraId="2795FAE2" w14:textId="2E2FBFE4"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w:t>
            </w:r>
            <w:r w:rsidR="009C41B9">
              <w:rPr>
                <w:rFonts w:ascii="Arial" w:hAnsi="Arial" w:cs="Arial"/>
                <w:sz w:val="18"/>
                <w:lang w:val="en-US"/>
              </w:rPr>
              <w:t>40</w:t>
            </w:r>
            <w:r w:rsidRPr="00FB6C7B">
              <w:rPr>
                <w:rFonts w:ascii="Arial" w:hAnsi="Arial" w:cs="Arial"/>
                <w:sz w:val="18"/>
                <w:lang w:val="en-US"/>
              </w:rPr>
              <w:t xml:space="preserve"> ± 0.</w:t>
            </w:r>
            <w:r w:rsidR="009C41B9">
              <w:rPr>
                <w:rFonts w:ascii="Arial" w:hAnsi="Arial" w:cs="Arial"/>
                <w:sz w:val="18"/>
                <w:lang w:val="en-US"/>
              </w:rPr>
              <w:t>19</w:t>
            </w:r>
          </w:p>
        </w:tc>
        <w:tc>
          <w:tcPr>
            <w:tcW w:w="1904" w:type="dxa"/>
            <w:shd w:val="clear" w:color="auto" w:fill="auto"/>
            <w:noWrap/>
            <w:vAlign w:val="center"/>
            <w:hideMark/>
          </w:tcPr>
          <w:p w14:paraId="3FC666CD" w14:textId="5CF17DAB"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[81]</w:t>
            </w:r>
            <w:r>
              <w:rPr>
                <w:rFonts w:ascii="Arial" w:hAnsi="Arial" w:cs="Arial"/>
                <w:noProof/>
                <w:sz w:val="18"/>
                <w:lang w:val="en-US"/>
              </w:rPr>
              <w:fldChar w:fldCharType="end"/>
            </w:r>
          </w:p>
        </w:tc>
      </w:tr>
      <w:tr w:rsidR="009C41B9" w:rsidRPr="005703B8" w14:paraId="6F7B4856" w14:textId="77777777" w:rsidTr="00C028F4">
        <w:trPr>
          <w:trHeight w:val="20"/>
        </w:trPr>
        <w:tc>
          <w:tcPr>
            <w:tcW w:w="811" w:type="dxa"/>
            <w:shd w:val="clear" w:color="auto" w:fill="auto"/>
            <w:noWrap/>
            <w:vAlign w:val="center"/>
            <w:hideMark/>
          </w:tcPr>
          <w:p w14:paraId="155CC961"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70</w:t>
            </w:r>
          </w:p>
        </w:tc>
        <w:tc>
          <w:tcPr>
            <w:tcW w:w="4643" w:type="dxa"/>
            <w:shd w:val="clear" w:color="auto" w:fill="auto"/>
            <w:noWrap/>
            <w:vAlign w:val="center"/>
            <w:hideMark/>
          </w:tcPr>
          <w:p w14:paraId="23A64636"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QKGVCQNTG</w:t>
            </w:r>
          </w:p>
        </w:tc>
        <w:tc>
          <w:tcPr>
            <w:tcW w:w="1776" w:type="dxa"/>
            <w:shd w:val="clear" w:color="auto" w:fill="auto"/>
            <w:noWrap/>
            <w:vAlign w:val="center"/>
            <w:hideMark/>
          </w:tcPr>
          <w:p w14:paraId="3CE05365" w14:textId="77701E07"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2.</w:t>
            </w:r>
            <w:r w:rsidR="009C41B9">
              <w:rPr>
                <w:rFonts w:ascii="Arial" w:hAnsi="Arial" w:cs="Arial"/>
                <w:sz w:val="18"/>
                <w:lang w:val="en-US"/>
              </w:rPr>
              <w:t>25</w:t>
            </w:r>
            <w:r w:rsidRPr="00FB6C7B">
              <w:rPr>
                <w:rFonts w:ascii="Arial" w:hAnsi="Arial" w:cs="Arial"/>
                <w:sz w:val="18"/>
                <w:lang w:val="en-US"/>
              </w:rPr>
              <w:t xml:space="preserve"> ± 0.</w:t>
            </w:r>
            <w:r w:rsidR="009C41B9">
              <w:rPr>
                <w:rFonts w:ascii="Arial" w:hAnsi="Arial" w:cs="Arial"/>
                <w:sz w:val="18"/>
                <w:lang w:val="en-US"/>
              </w:rPr>
              <w:t>70</w:t>
            </w:r>
          </w:p>
        </w:tc>
        <w:tc>
          <w:tcPr>
            <w:tcW w:w="1904" w:type="dxa"/>
            <w:shd w:val="clear" w:color="auto" w:fill="auto"/>
            <w:noWrap/>
            <w:vAlign w:val="center"/>
            <w:hideMark/>
          </w:tcPr>
          <w:p w14:paraId="04EC1200" w14:textId="04D98C24"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{"citationItems":[{"id":"ITEM-1","itemData":{"abstract":"© 2015 WILEY-VCH Verlag GmbH  &amp;  Co. KGaA, Weinheim. The importance of heme as a transient regulatory molecule has become a major focus in biochemical research. However, detailed information about the molecular basis of transient heme-protein interactions is still missing. We report an in-depth structural analysis of Fe III heme-peptide complexes by a combination of UV/Vis, resonance Raman, and 2D-NMR spectroscopic methods. The experiments reveal insights both into the coordination to the central iron ion and into the spatial arrangement of the amino acid sequences interacting with protoporphyrinIX. Cysteine-based peptides display different heme-binding behavior as a result of the existence of ordered, partially ordered, and disordered conformations in the heme-unbound state. Thus, the heme-binding mode is clearly the consequence of the nature and flexibility of the residues surrounding the iron ion coordinating cysteine. Our analysis reveals scenarios for transient binding of heme to heme-regulatory motifs in proteins and demonstrates that a thorough structural analysis is required to unravel how heme alters the structure and function of a particular protein.","author":[{"dropping-particle":"","family":"Brewitz","given":"Hans Henning","non-dropping-particle":"","parse-names":false,"suffix":""},{"dropping-particle":"","family":"Kühl","given":"Toni","non-dropping-particle":"","parse-names":false,"suffix":""},{"dropping-particle":"","family":"Goradia","given":"Nishit","non-dropping-particle":"","parse-names":false,"suffix":""},{"dropping-particle":"","family":"Galler","given":"Kerstin","non-dropping-particle":"","parse-names":false,"suffix":""},{"dropping-particle":"","family":"Popp","given":"Jürgen","non-dropping-particle":"","parse-names":false,"suffix":""},{"dropping-particle":"","family":"Neugebauer","given":"Ute","non-dropping-particle":"","parse-names":false,"suffix":""},{"dropping-particle":"","family":"Ohlenschläger","given":"Oliver","non-dropping-particle":"","parse-names":false,"suffix":""},{"dropping-particle":"","family":"Imhof","given":"Diana","non-dropping-particle":"","parse-names":false,"suffix":""}],"container-title":"ChemBioChem","id":"ITEM-1","issued":{"date-parts":[["2015"]]},"title":"Role of the Chemical Environment beyond the Coordination Site: Structural Insight into FeIII Protoporphyrin Binding to Cysteine-Based Heme-Regulatory Protein Motifs","type":"article-journal"},"uris":["http://www.mendeley.com/documents/?uuid=f6b6ae78-2d2d-3efb-95fb-3e849d23c879"]}],"mendeley":{"formattedCitation":"[81]","plainTextFormattedCitation":"[81]","previouslyFormattedCitation":"[81]"},"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[81]</w:t>
            </w:r>
            <w:r>
              <w:rPr>
                <w:rFonts w:ascii="Arial" w:hAnsi="Arial" w:cs="Arial"/>
                <w:noProof/>
                <w:sz w:val="18"/>
                <w:lang w:val="en-US"/>
              </w:rPr>
              <w:fldChar w:fldCharType="end"/>
            </w:r>
          </w:p>
        </w:tc>
      </w:tr>
      <w:tr w:rsidR="009C41B9" w:rsidRPr="005703B8" w14:paraId="5BBDAC96" w14:textId="77777777" w:rsidTr="00C028F4">
        <w:trPr>
          <w:trHeight w:val="20"/>
        </w:trPr>
        <w:tc>
          <w:tcPr>
            <w:tcW w:w="811" w:type="dxa"/>
            <w:shd w:val="clear" w:color="auto" w:fill="auto"/>
            <w:noWrap/>
            <w:vAlign w:val="center"/>
            <w:hideMark/>
          </w:tcPr>
          <w:p w14:paraId="6793103D"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71</w:t>
            </w:r>
          </w:p>
        </w:tc>
        <w:tc>
          <w:tcPr>
            <w:tcW w:w="4643" w:type="dxa"/>
            <w:shd w:val="clear" w:color="auto" w:fill="auto"/>
            <w:noWrap/>
            <w:vAlign w:val="center"/>
            <w:hideMark/>
          </w:tcPr>
          <w:p w14:paraId="0FE2DDE3"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AAHYHTYER</w:t>
            </w:r>
          </w:p>
        </w:tc>
        <w:tc>
          <w:tcPr>
            <w:tcW w:w="1776" w:type="dxa"/>
            <w:shd w:val="clear" w:color="auto" w:fill="auto"/>
            <w:noWrap/>
            <w:vAlign w:val="center"/>
            <w:hideMark/>
          </w:tcPr>
          <w:p w14:paraId="0D670C42" w14:textId="1AC0D23C" w:rsidR="00B2658F" w:rsidRPr="00FB6C7B" w:rsidRDefault="009C41B9" w:rsidP="00AC2715">
            <w:pPr>
              <w:spacing w:after="0" w:line="240" w:lineRule="auto"/>
              <w:rPr>
                <w:rFonts w:ascii="Arial" w:hAnsi="Arial" w:cs="Arial"/>
                <w:sz w:val="18"/>
                <w:lang w:val="en-US"/>
              </w:rPr>
            </w:pPr>
            <w:r>
              <w:rPr>
                <w:rFonts w:ascii="Arial" w:hAnsi="Arial" w:cs="Arial"/>
                <w:sz w:val="18"/>
                <w:lang w:val="en-US"/>
              </w:rPr>
              <w:t>0</w:t>
            </w:r>
            <w:r w:rsidR="00B2658F" w:rsidRPr="00FB6C7B">
              <w:rPr>
                <w:rFonts w:ascii="Arial" w:hAnsi="Arial" w:cs="Arial"/>
                <w:sz w:val="18"/>
                <w:lang w:val="en-US"/>
              </w:rPr>
              <w:t>.</w:t>
            </w:r>
            <w:r>
              <w:rPr>
                <w:rFonts w:ascii="Arial" w:hAnsi="Arial" w:cs="Arial"/>
                <w:sz w:val="18"/>
                <w:lang w:val="en-US"/>
              </w:rPr>
              <w:t>83</w:t>
            </w:r>
            <w:r w:rsidR="00B2658F" w:rsidRPr="00FB6C7B">
              <w:rPr>
                <w:rFonts w:ascii="Arial" w:hAnsi="Arial" w:cs="Arial"/>
                <w:sz w:val="18"/>
                <w:lang w:val="en-US"/>
              </w:rPr>
              <w:t xml:space="preserve"> ± 0.</w:t>
            </w:r>
            <w:r>
              <w:rPr>
                <w:rFonts w:ascii="Arial" w:hAnsi="Arial" w:cs="Arial"/>
                <w:sz w:val="18"/>
                <w:lang w:val="en-US"/>
              </w:rPr>
              <w:t>33</w:t>
            </w:r>
          </w:p>
        </w:tc>
        <w:tc>
          <w:tcPr>
            <w:tcW w:w="1904" w:type="dxa"/>
            <w:shd w:val="clear" w:color="auto" w:fill="auto"/>
            <w:noWrap/>
            <w:vAlign w:val="center"/>
            <w:hideMark/>
          </w:tcPr>
          <w:p w14:paraId="454DFBB2" w14:textId="48C16A8F"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[82]</w:t>
            </w:r>
            <w:r>
              <w:rPr>
                <w:rFonts w:ascii="Arial" w:hAnsi="Arial" w:cs="Arial"/>
                <w:noProof/>
                <w:sz w:val="18"/>
                <w:lang w:val="en-US"/>
              </w:rPr>
              <w:fldChar w:fldCharType="end"/>
            </w:r>
          </w:p>
        </w:tc>
      </w:tr>
      <w:tr w:rsidR="009C41B9" w:rsidRPr="00E35980" w14:paraId="146C9F91" w14:textId="77777777" w:rsidTr="00C028F4">
        <w:trPr>
          <w:trHeight w:val="20"/>
        </w:trPr>
        <w:tc>
          <w:tcPr>
            <w:tcW w:w="811" w:type="dxa"/>
            <w:shd w:val="clear" w:color="auto" w:fill="auto"/>
            <w:noWrap/>
            <w:vAlign w:val="center"/>
            <w:hideMark/>
          </w:tcPr>
          <w:p w14:paraId="1692D6EE"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72</w:t>
            </w:r>
          </w:p>
        </w:tc>
        <w:tc>
          <w:tcPr>
            <w:tcW w:w="4643" w:type="dxa"/>
            <w:shd w:val="clear" w:color="auto" w:fill="auto"/>
            <w:noWrap/>
            <w:vAlign w:val="center"/>
            <w:hideMark/>
          </w:tcPr>
          <w:p w14:paraId="1A4C132C" w14:textId="77777777" w:rsidR="00B2658F" w:rsidRPr="00FB6C7B" w:rsidRDefault="00B2658F" w:rsidP="00CD03BB">
            <w:pPr>
              <w:spacing w:after="0" w:line="240" w:lineRule="auto"/>
              <w:rPr>
                <w:rFonts w:ascii="Arial" w:hAnsi="Arial" w:cs="Arial"/>
                <w:sz w:val="18"/>
                <w:lang w:val="en-US"/>
              </w:rPr>
            </w:pPr>
            <w:r w:rsidRPr="00FB6C7B">
              <w:rPr>
                <w:rFonts w:ascii="Arial" w:hAnsi="Arial" w:cs="Arial"/>
                <w:sz w:val="18"/>
                <w:lang w:val="en-US"/>
              </w:rPr>
              <w:t>FKAAHKHVR</w:t>
            </w:r>
          </w:p>
        </w:tc>
        <w:tc>
          <w:tcPr>
            <w:tcW w:w="1776" w:type="dxa"/>
            <w:shd w:val="clear" w:color="auto" w:fill="auto"/>
            <w:noWrap/>
            <w:vAlign w:val="center"/>
            <w:hideMark/>
          </w:tcPr>
          <w:p w14:paraId="738846FD" w14:textId="380057D2" w:rsidR="00B2658F" w:rsidRPr="00FB6C7B" w:rsidRDefault="00B2658F" w:rsidP="00AC2715">
            <w:pPr>
              <w:spacing w:after="0" w:line="240" w:lineRule="auto"/>
              <w:rPr>
                <w:rFonts w:ascii="Arial" w:hAnsi="Arial" w:cs="Arial"/>
                <w:sz w:val="18"/>
                <w:lang w:val="en-US"/>
              </w:rPr>
            </w:pPr>
            <w:r w:rsidRPr="00FB6C7B">
              <w:rPr>
                <w:rFonts w:ascii="Arial" w:hAnsi="Arial" w:cs="Arial"/>
                <w:sz w:val="18"/>
                <w:lang w:val="en-US"/>
              </w:rPr>
              <w:t>0.</w:t>
            </w:r>
            <w:r w:rsidR="009C41B9">
              <w:rPr>
                <w:rFonts w:ascii="Arial" w:hAnsi="Arial" w:cs="Arial"/>
                <w:sz w:val="18"/>
                <w:lang w:val="en-US"/>
              </w:rPr>
              <w:t>99</w:t>
            </w:r>
            <w:r w:rsidRPr="00FB6C7B">
              <w:rPr>
                <w:rFonts w:ascii="Arial" w:hAnsi="Arial" w:cs="Arial"/>
                <w:sz w:val="18"/>
                <w:lang w:val="en-US"/>
              </w:rPr>
              <w:t xml:space="preserve"> ± 0.2</w:t>
            </w:r>
            <w:r w:rsidR="009C41B9">
              <w:rPr>
                <w:rFonts w:ascii="Arial" w:hAnsi="Arial" w:cs="Arial"/>
                <w:sz w:val="18"/>
                <w:lang w:val="en-US"/>
              </w:rPr>
              <w:t>1</w:t>
            </w:r>
          </w:p>
        </w:tc>
        <w:tc>
          <w:tcPr>
            <w:tcW w:w="1904" w:type="dxa"/>
            <w:shd w:val="clear" w:color="auto" w:fill="auto"/>
            <w:noWrap/>
            <w:vAlign w:val="center"/>
            <w:hideMark/>
          </w:tcPr>
          <w:p w14:paraId="4E18471A" w14:textId="7783CE42" w:rsidR="00B2658F" w:rsidRPr="00FB6C7B" w:rsidRDefault="00B2658F" w:rsidP="00CD03BB">
            <w:pPr>
              <w:spacing w:after="0" w:line="240" w:lineRule="auto"/>
              <w:jc w:val="center"/>
              <w:rPr>
                <w:rFonts w:ascii="Arial" w:hAnsi="Arial" w:cs="Arial"/>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{"citationItems":[{"id":"ITEM-1","itemData":{"DOI":"10.1016/j.bbagen.2016.03.027","ISSN":"0304-4165","author":[{"dropping-particle":"","family":"Brewitz","given":"Hans Henning","non-dropping-particle":"","parse-names":false,"suffix":""},{"dropping-particle":"","family":"Goradia","given":"Nishit","non-dropping-particle":"","parse-names":false,"suffix":""},{"dropping-particle":"","family":"Schubert","given":"Erik","non-dropping-particle":"","parse-names":false,"suffix":""},{"dropping-particle":"","family":"Galler","given":"Kerstin","non-dropping-particle":"","parse-names":false,"suffix":""},{"dropping-particle":"","family":"Kühl","given":"Toni","non-dropping-particle":"","parse-names":false,"suffix":""},{"dropping-particle":"","family":"Syllwasschy","given":"Benjamin Franz","non-dropping-particle":"","parse-names":false,"suffix":""},{"dropping-particle":"","family":"Popp","given":"Jürgen","non-dropping-particle":"","parse-names":false,"suffix":""},{"dropping-particle":"","family":"Neugebauer","given":"Ute","non-dropping-particle":"","parse-names":false,"suffix":""},{"dropping-particle":"","family":"Hagelueken","given":"Gregor","non-dropping-particle":"","parse-names":false,"suffix":""},{"dropping-particle":"","family":"Schiemann","given":"Olav","non-dropping-particle":"","parse-names":false,"suffix":""},{"dropping-particle":"","family":"Ohlenschläger","given":"Oliver","non-dropping-particle":"","parse-names":false,"suffix":""},{"dropping-particle":"","family":"Imhof","given":"Diana","non-dropping-particle":"","parse-names":false,"suffix":""}],"container-title":"Biochimica et Biophysica Acta (BBA)-General Subjects","id":"ITEM-1","issue":"6","issued":{"date-parts":[["2016"]]},"page":"1343-1353","publisher":"Elsevier","title":"Heme interacts with histidine-and tyrosine-based protein motifs and inhibits enzymatic activity of chloramphenicol acetyltransferase from Escherichia coli","type":"article-journal","volume":"1860"},"uris":["http://www.mendeley.com/documents/?uuid=1924f857-8f23-4f8f-b07a-24503d7db867","http://www.mendeley.com/documents/?uuid=fbdbfe0f-1c14-4115-81ca-3c5e17162ee7"]}],"mendeley":{"formattedCitation":"[82]","plainTextFormattedCitation":"[82]","previouslyFormattedCitation":"[82]"},"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[82]</w:t>
            </w:r>
            <w:r>
              <w:rPr>
                <w:rFonts w:ascii="Arial" w:hAnsi="Arial" w:cs="Arial"/>
                <w:noProof/>
                <w:sz w:val="18"/>
                <w:lang w:val="en-US"/>
              </w:rPr>
              <w:fldChar w:fldCharType="end"/>
            </w:r>
          </w:p>
        </w:tc>
      </w:tr>
      <w:tr w:rsidR="009C41B9" w:rsidRPr="00AC2715" w14:paraId="0BBA0B87" w14:textId="77777777" w:rsidTr="00C028F4">
        <w:trPr>
          <w:trHeight w:val="20"/>
        </w:trPr>
        <w:tc>
          <w:tcPr>
            <w:tcW w:w="811" w:type="dxa"/>
            <w:shd w:val="clear" w:color="auto" w:fill="auto"/>
            <w:noWrap/>
            <w:vAlign w:val="center"/>
          </w:tcPr>
          <w:p w14:paraId="69BA053D" w14:textId="0035F4A0" w:rsidR="00B2658F" w:rsidRDefault="00B2658F">
            <w:pPr>
              <w:spacing w:after="0" w:line="240" w:lineRule="auto"/>
              <w:rPr>
                <w:rFonts w:ascii="Arial" w:hAnsi="Arial" w:cs="Arial"/>
                <w:sz w:val="18"/>
                <w:lang w:val="en-US"/>
              </w:rPr>
            </w:pPr>
            <w:r>
              <w:rPr>
                <w:rFonts w:ascii="Arial" w:hAnsi="Arial" w:cs="Arial"/>
                <w:sz w:val="18"/>
                <w:lang w:val="en-US"/>
              </w:rPr>
              <w:t>7</w:t>
            </w:r>
            <w:r w:rsidR="005070CC">
              <w:rPr>
                <w:rFonts w:ascii="Arial" w:hAnsi="Arial" w:cs="Arial"/>
                <w:sz w:val="18"/>
                <w:lang w:val="en-US"/>
              </w:rPr>
              <w:t>3</w:t>
            </w:r>
          </w:p>
        </w:tc>
        <w:tc>
          <w:tcPr>
            <w:tcW w:w="4643" w:type="dxa"/>
            <w:shd w:val="clear" w:color="auto" w:fill="auto"/>
            <w:noWrap/>
            <w:vAlign w:val="center"/>
          </w:tcPr>
          <w:p w14:paraId="2067E28F" w14:textId="77777777" w:rsidR="00B2658F" w:rsidRPr="00E35980" w:rsidRDefault="00B2658F" w:rsidP="00CD03BB">
            <w:pPr>
              <w:spacing w:after="0" w:line="240" w:lineRule="auto"/>
              <w:rPr>
                <w:rFonts w:ascii="Arial" w:hAnsi="Arial" w:cs="Arial"/>
                <w:sz w:val="18"/>
                <w:lang w:val="en-US"/>
              </w:rPr>
            </w:pPr>
            <w:r w:rsidRPr="00E35980">
              <w:rPr>
                <w:rFonts w:ascii="Arial" w:hAnsi="Arial" w:cs="Arial"/>
                <w:sz w:val="18"/>
                <w:lang w:val="en-US"/>
              </w:rPr>
              <w:t>FLFYHSQSG</w:t>
            </w:r>
          </w:p>
        </w:tc>
        <w:tc>
          <w:tcPr>
            <w:tcW w:w="1776" w:type="dxa"/>
            <w:shd w:val="clear" w:color="auto" w:fill="auto"/>
            <w:noWrap/>
            <w:vAlign w:val="center"/>
          </w:tcPr>
          <w:p w14:paraId="4C6B42EB" w14:textId="645F35B5" w:rsidR="00B2658F" w:rsidRDefault="005070CC" w:rsidP="00AC2715">
            <w:pPr>
              <w:spacing w:after="0" w:line="240" w:lineRule="auto"/>
              <w:rPr>
                <w:rFonts w:ascii="Arial" w:hAnsi="Arial" w:cs="Arial"/>
                <w:sz w:val="18"/>
                <w:lang w:val="en-US"/>
              </w:rPr>
            </w:pPr>
            <w:r w:rsidRPr="005070CC">
              <w:rPr>
                <w:rFonts w:ascii="Arial" w:hAnsi="Arial" w:cs="Arial"/>
                <w:sz w:val="18"/>
                <w:lang w:val="en-US"/>
              </w:rPr>
              <w:t>4.</w:t>
            </w:r>
            <w:r w:rsidR="009C41B9">
              <w:rPr>
                <w:rFonts w:ascii="Arial" w:hAnsi="Arial" w:cs="Arial"/>
                <w:sz w:val="18"/>
                <w:lang w:val="en-US"/>
              </w:rPr>
              <w:t xml:space="preserve">48 </w:t>
            </w:r>
            <w:r w:rsidRPr="005070CC">
              <w:rPr>
                <w:rFonts w:ascii="Arial" w:hAnsi="Arial" w:cs="Arial"/>
                <w:sz w:val="18"/>
                <w:lang w:val="en-US"/>
              </w:rPr>
              <w:t>±</w:t>
            </w:r>
            <w:r w:rsidR="009C41B9">
              <w:rPr>
                <w:rFonts w:ascii="Arial" w:hAnsi="Arial" w:cs="Arial"/>
                <w:sz w:val="18"/>
                <w:lang w:val="en-US"/>
              </w:rPr>
              <w:t xml:space="preserve"> 2</w:t>
            </w:r>
            <w:r w:rsidRPr="005070CC">
              <w:rPr>
                <w:rFonts w:ascii="Arial" w:hAnsi="Arial" w:cs="Arial"/>
                <w:sz w:val="18"/>
                <w:lang w:val="en-US"/>
              </w:rPr>
              <w:t>.</w:t>
            </w:r>
            <w:r w:rsidR="009C41B9">
              <w:rPr>
                <w:rFonts w:ascii="Arial" w:hAnsi="Arial" w:cs="Arial"/>
                <w:sz w:val="18"/>
                <w:lang w:val="en-US"/>
              </w:rPr>
              <w:t>20</w:t>
            </w:r>
          </w:p>
        </w:tc>
        <w:tc>
          <w:tcPr>
            <w:tcW w:w="1904" w:type="dxa"/>
            <w:shd w:val="clear" w:color="auto" w:fill="auto"/>
            <w:noWrap/>
            <w:vAlign w:val="center"/>
          </w:tcPr>
          <w:p w14:paraId="49F30956" w14:textId="65F2A7C6" w:rsidR="00B2658F" w:rsidRDefault="00B2658F" w:rsidP="00CD03BB">
            <w:pPr>
              <w:spacing w:after="0" w:line="240" w:lineRule="auto"/>
              <w:jc w:val="center"/>
              <w:rPr>
                <w:rFonts w:ascii="Arial" w:hAnsi="Arial" w:cs="Arial"/>
                <w:noProof/>
                <w:sz w:val="18"/>
                <w:lang w:val="en-US"/>
              </w:rPr>
            </w:pPr>
            <w:r>
              <w:rPr>
                <w:rFonts w:ascii="Arial" w:hAnsi="Arial" w:cs="Arial"/>
                <w:noProof/>
                <w:sz w:val="18"/>
                <w:lang w:val="en-US"/>
              </w:rPr>
              <w:fldChar w:fldCharType="begin" w:fldLock="1"/>
            </w:r>
            <w:r w:rsidR="005070CC">
              <w:rPr>
                <w:rFonts w:ascii="Arial" w:hAnsi="Arial" w:cs="Arial"/>
                <w:noProof/>
                <w:sz w:val="18"/>
                <w:lang w:val="en-US"/>
              </w:rPr>
              <w:instrText>ADDIN CSL_CITATION {"citationItems":[{"id":"ITEM-1","itemData":{"DOI":"10.1038/s41598-019-53231-0","author":[{"dropping-particle":"","family":"Wißbrock","given":"Amelie","non-dropping-particle":"","parse-names":false,"suffix":""},{"dropping-particle":"","family":"Goradia","given":"Nishit B.","non-dropping-particle":"","parse-names":false,"suffix":""},{"dropping-particle":"","family":"Kumar","given":"Amit","non-dropping-particle":"","parse-names":false,"suffix":""},{"dropping-particle":"","family":"Paul George","given":"Ajay Abisheck","non-dropping-particle":"","parse-names":false,"suffix":""},{"dropping-particle":"","family":"Kühl","given":"Toni","non-dropping-particle":"","parse-names":false,"suffix":""},{"dropping-particle":"","family":"Bellstedt","given":"Peter","non-dropping-particle":"","parse-names":false,"suffix":""},{"dropping-particle":"","family":"Ramachandran","given":"Ramadurai","non-dropping-particle":"","parse-names":false,"suffix":""},{"dropping-particle":"","family":"Hoffman","given":"Patrick","non-dropping-particle":"","parse-names":false,"suffix":""},{"dropping-particle":"","family":"Galler","given":"Kerstin","non-dropping-particle":"","parse-names":false,"suffix":""},{"dropping-particle":"","family":"Neugebauer","given":"Ute","non-dropping-particle":"","parse-names":false,"suffix":""},{"dropping-particle":"","family":"Hampel","given":"Kerstin","non-dropping-particle":"","parse-names":false,"suffix":""},{"dropping-particle":"","family":"Zimmermann","given":"Bastian","non-dropping-particle":"","parse-names":false,"suffix":""},{"dropping-particle":"","family":"Adams","given":"Susanne","non-dropping-particle":"","parse-names":false,"suffix":""},{"dropping-particle":"","family":"Wiendl","given":"Maximilian","non-dropping-particle":"","parse-names":false,"suffix":""},{"dropping-particle":"","family":"Krönke","given":"Gerhard","non-dropping-particle":"","parse-names":false,"suffix":""},{"dropping-particle":"","family":"Hamza","given":"Iqbal","non-dropping-particle":"","parse-names":false,"suffix":""},{"dropping-particle":"","family":"Heinemann","given":"Stefan H.","non-dropping-particle":"","parse-names":false,"suffix":""},{"dropping-particle":"","family":"Frey","given":"Silke","non-dropping-particle":"","parse-names":false,"suffix":""},{"dropping-particle":"","family":"Hueber","given":"Axel","non-dropping-particle":"","parse-names":false,"suffix":""},{"dropping-particle":"","family":"Ohlenschläger","given":"Oliver","non-dropping-particle":"","parse-names":false,"suffix":""},{"dropping-particle":"","family":"Imhof","given":"Diana","non-dropping-particle":"","parse-names":false,"suffix":""}],"container-title":"Scientific Reports","id":"ITEM-1","issued":{"date-parts":[["2019"]]},"page":"16893","title":"Structural insights into heme binding to IL-36α proinflammatory cytokine","type":"article-journal","volume":"9"},"uris":["http://www.mendeley.com/documents/?uuid=3de84858-1686-4f31-84d9-4e86a909b938","http://www.mendeley.com/documents/?uuid=d19f3a6b-1c98-4db7-bbc6-d60f25726851"]}],"mendeley":{"formattedCitation":"[54]","plainTextFormattedCitation":"[54]","previouslyFormattedCitation":"[54]"},"properties":{"noteIndex":0},"schema":"https://github.com/citation-style-language/schema/raw/master/csl-citation.json"}</w:instrText>
            </w:r>
            <w:r>
              <w:rPr>
                <w:rFonts w:ascii="Arial" w:hAnsi="Arial" w:cs="Arial"/>
                <w:noProof/>
                <w:sz w:val="18"/>
                <w:lang w:val="en-US"/>
              </w:rPr>
              <w:fldChar w:fldCharType="separate"/>
            </w:r>
            <w:r w:rsidR="00103ADC" w:rsidRPr="00103ADC">
              <w:rPr>
                <w:rFonts w:ascii="Arial" w:hAnsi="Arial" w:cs="Arial"/>
                <w:noProof/>
                <w:sz w:val="18"/>
                <w:lang w:val="en-US"/>
              </w:rPr>
              <w:t>[54]</w:t>
            </w:r>
            <w:r>
              <w:rPr>
                <w:rFonts w:ascii="Arial" w:hAnsi="Arial" w:cs="Arial"/>
                <w:noProof/>
                <w:sz w:val="18"/>
                <w:lang w:val="en-US"/>
              </w:rPr>
              <w:fldChar w:fldCharType="end"/>
            </w:r>
          </w:p>
        </w:tc>
      </w:tr>
      <w:tr w:rsidR="00B2658F" w:rsidRPr="00AC2715" w14:paraId="1BBCCE97" w14:textId="77777777" w:rsidTr="00AC2715">
        <w:trPr>
          <w:trHeight w:val="20"/>
        </w:trPr>
        <w:tc>
          <w:tcPr>
            <w:tcW w:w="9134" w:type="dxa"/>
            <w:gridSpan w:val="4"/>
            <w:shd w:val="clear" w:color="auto" w:fill="auto"/>
            <w:noWrap/>
            <w:vAlign w:val="center"/>
          </w:tcPr>
          <w:p w14:paraId="7B58E101" w14:textId="2C81AE91" w:rsidR="00B2658F" w:rsidRPr="009C41B9" w:rsidRDefault="00B2658F" w:rsidP="00CD03BB">
            <w:pPr>
              <w:spacing w:after="0" w:line="240" w:lineRule="auto"/>
              <w:rPr>
                <w:rFonts w:ascii="Arial" w:hAnsi="Arial" w:cs="Arial"/>
                <w:sz w:val="18"/>
                <w:lang w:val="en-US"/>
              </w:rPr>
            </w:pPr>
            <w:r w:rsidRPr="00FB6C7B">
              <w:rPr>
                <w:rFonts w:ascii="Arial" w:hAnsi="Arial" w:cs="Arial"/>
                <w:sz w:val="18"/>
                <w:lang w:val="en-US"/>
              </w:rPr>
              <w:t xml:space="preserve">*B, </w:t>
            </w:r>
            <w:proofErr w:type="spellStart"/>
            <w:r>
              <w:rPr>
                <w:rFonts w:ascii="Arial" w:hAnsi="Arial" w:cs="Arial"/>
                <w:sz w:val="18"/>
                <w:lang w:val="en-US"/>
              </w:rPr>
              <w:t>n</w:t>
            </w:r>
            <w:r w:rsidRPr="00FB6C7B">
              <w:rPr>
                <w:rFonts w:ascii="Arial" w:hAnsi="Arial" w:cs="Arial"/>
                <w:sz w:val="18"/>
                <w:lang w:val="en-US"/>
              </w:rPr>
              <w:t>orleucine</w:t>
            </w:r>
            <w:proofErr w:type="spellEnd"/>
            <w:r w:rsidRPr="00FB6C7B">
              <w:rPr>
                <w:rFonts w:ascii="Arial" w:hAnsi="Arial" w:cs="Arial"/>
                <w:sz w:val="18"/>
                <w:lang w:val="en-US"/>
              </w:rPr>
              <w:t xml:space="preserve"> as substituent for methionine</w:t>
            </w:r>
            <w:r w:rsidR="009C41B9">
              <w:rPr>
                <w:rFonts w:ascii="Arial" w:hAnsi="Arial" w:cs="Arial"/>
                <w:sz w:val="18"/>
                <w:lang w:val="en-US"/>
              </w:rPr>
              <w:t xml:space="preserve">; </w:t>
            </w:r>
            <w:r w:rsidR="009C41B9" w:rsidRPr="00AC2715">
              <w:rPr>
                <w:rFonts w:ascii="Arial" w:hAnsi="Arial" w:cs="Arial"/>
                <w:sz w:val="18"/>
                <w:vertAlign w:val="superscript"/>
                <w:lang w:val="en-US"/>
              </w:rPr>
              <w:t>†</w:t>
            </w:r>
            <w:r w:rsidR="009C41B9">
              <w:rPr>
                <w:rFonts w:ascii="Arial" w:hAnsi="Arial" w:cs="Arial"/>
                <w:sz w:val="18"/>
                <w:lang w:val="en-US"/>
              </w:rPr>
              <w:t>these K</w:t>
            </w:r>
            <w:r w:rsidR="009C41B9">
              <w:rPr>
                <w:rFonts w:ascii="Arial" w:hAnsi="Arial" w:cs="Arial"/>
                <w:sz w:val="18"/>
                <w:vertAlign w:val="subscript"/>
                <w:lang w:val="en-US"/>
              </w:rPr>
              <w:t>D</w:t>
            </w:r>
            <w:r w:rsidR="009C41B9">
              <w:rPr>
                <w:rFonts w:ascii="Arial" w:hAnsi="Arial" w:cs="Arial"/>
                <w:sz w:val="18"/>
                <w:lang w:val="en-US"/>
              </w:rPr>
              <w:t xml:space="preserve"> values have been reevaluated</w:t>
            </w:r>
          </w:p>
        </w:tc>
      </w:tr>
    </w:tbl>
    <w:p w14:paraId="352036E6" w14:textId="77777777" w:rsidR="009413DD" w:rsidRDefault="009413DD">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iCs/>
          <w:lang w:val="en-US"/>
        </w:rPr>
      </w:pPr>
      <w:r w:rsidRPr="005C5F3F">
        <w:rPr>
          <w:rFonts w:ascii="Arial" w:hAnsi="Arial" w:cs="Arial"/>
          <w:b/>
          <w:bCs/>
          <w:lang w:val="en-US"/>
        </w:rPr>
        <w:br w:type="page"/>
      </w:r>
    </w:p>
    <w:p w14:paraId="04304D10" w14:textId="58EDC80B" w:rsidR="00640454" w:rsidRPr="005C5F3F" w:rsidRDefault="00640454" w:rsidP="00640454">
      <w:pPr>
        <w:pStyle w:val="History-Dates"/>
        <w:rPr>
          <w:rFonts w:ascii="Arial" w:hAnsi="Arial" w:cs="Arial"/>
          <w:b/>
          <w:bCs/>
          <w:sz w:val="22"/>
          <w:szCs w:val="22"/>
        </w:rPr>
      </w:pPr>
      <w:r w:rsidRPr="005C5F3F">
        <w:rPr>
          <w:rFonts w:ascii="Arial" w:hAnsi="Arial" w:cs="Arial"/>
          <w:b/>
          <w:bCs/>
          <w:sz w:val="22"/>
          <w:szCs w:val="22"/>
        </w:rPr>
        <w:lastRenderedPageBreak/>
        <w:t>References</w:t>
      </w:r>
    </w:p>
    <w:p w14:paraId="291FB374" w14:textId="77777777" w:rsidR="000B7EC5" w:rsidRPr="005C5F3F" w:rsidRDefault="000B7EC5" w:rsidP="00640454">
      <w:pPr>
        <w:pStyle w:val="History-Dates"/>
        <w:rPr>
          <w:rFonts w:ascii="Arial" w:hAnsi="Arial" w:cs="Arial"/>
          <w:b/>
          <w:bCs/>
          <w:sz w:val="26"/>
          <w:szCs w:val="28"/>
        </w:rPr>
      </w:pPr>
    </w:p>
    <w:p w14:paraId="391C4E1D" w14:textId="15196A1A" w:rsidR="005070CC" w:rsidRPr="00AC2715" w:rsidRDefault="00FB6C7B" w:rsidP="005070CC">
      <w:pPr>
        <w:widowControl w:val="0"/>
        <w:autoSpaceDE w:val="0"/>
        <w:autoSpaceDN w:val="0"/>
        <w:adjustRightInd w:val="0"/>
        <w:spacing w:line="240" w:lineRule="auto"/>
        <w:rPr>
          <w:rFonts w:ascii="Arial" w:hAnsi="Arial" w:cs="Arial"/>
          <w:noProof/>
          <w:sz w:val="18"/>
          <w:szCs w:val="24"/>
          <w:lang w:val="en-GB"/>
        </w:rPr>
      </w:pPr>
      <w:r w:rsidRPr="000B7EC5">
        <w:rPr>
          <w:rFonts w:ascii="Arial" w:hAnsi="Arial" w:cs="Arial"/>
          <w:sz w:val="18"/>
          <w:szCs w:val="18"/>
          <w:lang w:val="fr-FR"/>
        </w:rPr>
        <w:fldChar w:fldCharType="begin" w:fldLock="1"/>
      </w:r>
      <w:r w:rsidRPr="005C5F3F">
        <w:rPr>
          <w:rFonts w:ascii="Arial" w:hAnsi="Arial" w:cs="Arial"/>
          <w:sz w:val="18"/>
          <w:szCs w:val="18"/>
          <w:lang w:val="en-US"/>
        </w:rPr>
        <w:instrText xml:space="preserve">ADDIN Mendeley Bibliography CSL_BIBLIOGRAPHY </w:instrText>
      </w:r>
      <w:r w:rsidRPr="000B7EC5">
        <w:rPr>
          <w:rFonts w:ascii="Arial" w:hAnsi="Arial" w:cs="Arial"/>
          <w:sz w:val="18"/>
          <w:szCs w:val="18"/>
          <w:lang w:val="fr-FR"/>
        </w:rPr>
        <w:fldChar w:fldCharType="separate"/>
      </w:r>
      <w:r w:rsidR="005070CC" w:rsidRPr="00AC2715">
        <w:rPr>
          <w:rFonts w:ascii="Arial" w:hAnsi="Arial" w:cs="Arial"/>
          <w:noProof/>
          <w:sz w:val="18"/>
          <w:szCs w:val="24"/>
          <w:lang w:val="en-GB"/>
        </w:rPr>
        <w:t>1. Lathrop JT, Timko MP. Regulation by heme of mitochondrial protein transport through a conserved amino acid motif. Adv Sci. 1993;259:522–6.</w:t>
      </w:r>
    </w:p>
    <w:p w14:paraId="0DED774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 Munakata H, Sun JY, Yoshida K, Nakatani T, Honda E, Hayakawa S, et al. Role of the heme regulatory motif in the heme-mediated inhibition of mitochondrial import of 5-aminolevulinate synthase. J Biochem. 2004;136:233–8.</w:t>
      </w:r>
    </w:p>
    <w:p w14:paraId="6A063A08"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 Kubota Y, Nomura K, Katoh Y, Yamashita R, Kaneko K, Furuyama K. Novel mechanisms for heme-dependent degradation of ALAS1 protein as a component of negative feedback regulation of heme biosynthesis. J Biol Chem. 2016;291:20516–29.</w:t>
      </w:r>
    </w:p>
    <w:p w14:paraId="0BED312E"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 Goodfellow BJ, Dias JS, Ferreira GC, Henklein P, Wray V, Macedo AL. The solution structure and heme binding of the presequence of murine 5-aminolevulinate synthase. FEBS Lett. 2001;505:325–31.</w:t>
      </w:r>
    </w:p>
    <w:p w14:paraId="2584773F"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5. Atamna H, Frey WH. A role for heme in Alzheimer’s disease: Heme binds amyloid </w:t>
      </w:r>
      <w:r w:rsidRPr="005070CC">
        <w:rPr>
          <w:rFonts w:ascii="Arial" w:hAnsi="Arial" w:cs="Arial"/>
          <w:noProof/>
          <w:sz w:val="18"/>
          <w:szCs w:val="24"/>
        </w:rPr>
        <w:t>β</w:t>
      </w:r>
      <w:r w:rsidRPr="00AC2715">
        <w:rPr>
          <w:rFonts w:ascii="Arial" w:hAnsi="Arial" w:cs="Arial"/>
          <w:noProof/>
          <w:sz w:val="18"/>
          <w:szCs w:val="24"/>
          <w:lang w:val="en-GB"/>
        </w:rPr>
        <w:t xml:space="preserve"> and has altered metabolism. Proc Natl Acad Sci U S A. 2004;101:11153–8.</w:t>
      </w:r>
    </w:p>
    <w:p w14:paraId="65DF74F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 Atamna H, Frey WH, Ko N. Human and rodent amyloid-</w:t>
      </w:r>
      <w:r w:rsidRPr="005070CC">
        <w:rPr>
          <w:rFonts w:ascii="Arial" w:hAnsi="Arial" w:cs="Arial"/>
          <w:noProof/>
          <w:sz w:val="18"/>
          <w:szCs w:val="24"/>
        </w:rPr>
        <w:t>β</w:t>
      </w:r>
      <w:r w:rsidRPr="00AC2715">
        <w:rPr>
          <w:rFonts w:ascii="Arial" w:hAnsi="Arial" w:cs="Arial"/>
          <w:noProof/>
          <w:sz w:val="18"/>
          <w:szCs w:val="24"/>
          <w:lang w:val="en-GB"/>
        </w:rPr>
        <w:t xml:space="preserve"> peptides differentially bind heme: Relevance to the human susceptibility to Alzheimer’s disease. Arch Biochem Biophys. 2009;487:59–65.</w:t>
      </w:r>
    </w:p>
    <w:p w14:paraId="48961F3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7. Pramanik D, Dey SG. Active site environment of heme-bound amyloid </w:t>
      </w:r>
      <w:r w:rsidRPr="005070CC">
        <w:rPr>
          <w:rFonts w:ascii="Arial" w:hAnsi="Arial" w:cs="Arial"/>
          <w:noProof/>
          <w:sz w:val="18"/>
          <w:szCs w:val="24"/>
        </w:rPr>
        <w:t>β</w:t>
      </w:r>
      <w:r w:rsidRPr="00AC2715">
        <w:rPr>
          <w:rFonts w:ascii="Arial" w:hAnsi="Arial" w:cs="Arial"/>
          <w:noProof/>
          <w:sz w:val="18"/>
          <w:szCs w:val="24"/>
          <w:lang w:val="en-GB"/>
        </w:rPr>
        <w:t xml:space="preserve"> peptide associated with Alzheimers Disease. J Am Chem Soc. 2011;133:81–7.</w:t>
      </w:r>
    </w:p>
    <w:p w14:paraId="42383668"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8. Zhou Y, Wang J, Liu L, Wang R, Lai X, Xu M. Interaction between amyloid-</w:t>
      </w:r>
      <w:r w:rsidRPr="005070CC">
        <w:rPr>
          <w:rFonts w:ascii="Arial" w:hAnsi="Arial" w:cs="Arial"/>
          <w:noProof/>
          <w:sz w:val="18"/>
          <w:szCs w:val="24"/>
        </w:rPr>
        <w:t>β</w:t>
      </w:r>
      <w:r w:rsidRPr="00AC2715">
        <w:rPr>
          <w:rFonts w:ascii="Arial" w:hAnsi="Arial" w:cs="Arial"/>
          <w:noProof/>
          <w:sz w:val="18"/>
          <w:szCs w:val="24"/>
          <w:lang w:val="en-GB"/>
        </w:rPr>
        <w:t xml:space="preserve"> peptide and heme probed by electrochemistry and atomic force microscopy. ACS Chem Neurosci. 2013;4:535–9.</w:t>
      </w:r>
    </w:p>
    <w:p w14:paraId="018BFAD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9. Wißbrock A, Kühl T, Silbermann K, Becker AJ, Ohlenschläger O, Imhof D. Synthesis and evaluation of amyloid </w:t>
      </w:r>
      <w:r w:rsidRPr="005070CC">
        <w:rPr>
          <w:rFonts w:ascii="Arial" w:hAnsi="Arial" w:cs="Arial"/>
          <w:noProof/>
          <w:sz w:val="18"/>
          <w:szCs w:val="24"/>
        </w:rPr>
        <w:t>β</w:t>
      </w:r>
      <w:r w:rsidRPr="00AC2715">
        <w:rPr>
          <w:rFonts w:ascii="Arial" w:hAnsi="Arial" w:cs="Arial"/>
          <w:noProof/>
          <w:sz w:val="18"/>
          <w:szCs w:val="24"/>
          <w:lang w:val="en-GB"/>
        </w:rPr>
        <w:t xml:space="preserve"> derived and amyloid </w:t>
      </w:r>
      <w:r w:rsidRPr="005070CC">
        <w:rPr>
          <w:rFonts w:ascii="Arial" w:hAnsi="Arial" w:cs="Arial"/>
          <w:noProof/>
          <w:sz w:val="18"/>
          <w:szCs w:val="24"/>
        </w:rPr>
        <w:t>β</w:t>
      </w:r>
      <w:r w:rsidRPr="00AC2715">
        <w:rPr>
          <w:rFonts w:ascii="Arial" w:hAnsi="Arial" w:cs="Arial"/>
          <w:noProof/>
          <w:sz w:val="18"/>
          <w:szCs w:val="24"/>
          <w:lang w:val="en-GB"/>
        </w:rPr>
        <w:t xml:space="preserve"> independent enhancers of the peroxidase-like activity of heme. J Med Chem. 2017;60:373–85.</w:t>
      </w:r>
    </w:p>
    <w:p w14:paraId="7221DEE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10. Hu R-G, Wang H, Xia Z, Varshavsky A. The N-end rule pathway is a sensor of heme. Proc Natl Acad Sci U S A. 2008;105:76–81.</w:t>
      </w:r>
    </w:p>
    <w:p w14:paraId="1870CF2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11. Yang F, Xia X, Lei HY, Wang ED. Hemin binds to human cytoplasmic arginyl-tRNA synthetase and inhibits its catalytic activity. J Biol Chem. 2010;285:39437–46.</w:t>
      </w:r>
    </w:p>
    <w:p w14:paraId="3AC8205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12. Ogawa K, Sun J, Taketani S, Nakajima O, Nishitani C, Sassa S, et al. Heme mediates derepression of Maf recognition element through direct binding to transcription repressor Bach1. EMBO J. 2001;20:2835–43.</w:t>
      </w:r>
    </w:p>
    <w:p w14:paraId="2A8DE8F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13. Hira S, Tomita T, Matsui T, Igarashi K, Ikeda-Saito M. Bach1, a heme-dependent transcription factor, reveals presence of multiple heme binding sites with distinct coordination structure. IUBMB Life. 2007;59:542–51.</w:t>
      </w:r>
    </w:p>
    <w:p w14:paraId="212F6ED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14. Zenke-Kawasaki Y, Dohi Y, Katoh Y, Ikura T, Ikura M, Asahara T, et al. Heme induces ubiquitination and degradation of the transcription factor Bach1. Mol Cell Biol. 2007;27:6962–71.</w:t>
      </w:r>
    </w:p>
    <w:p w14:paraId="33BC653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15. Segawa K, Watanabe-Matsui M, Matsui T, Igarashi K, Murayama K. Functional heme binding to the intrinsically disordered C-terminal region of bach1, a transcriptional repressor. Tohoku J Exp Med. 2018;247:153–9.</w:t>
      </w:r>
    </w:p>
    <w:p w14:paraId="5D845F93"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16. Watanabe-Matsui M, Muto A, Matsui T, Itoh-Nakadai A, Nakajima O, Murayama K, et al. Heme regulates B-cell differentiation, antibody class switch, and heme oxygenase-1 expression in B cells as a ligand of Bach2. Blood. 2011;117:5438–48.</w:t>
      </w:r>
    </w:p>
    <w:p w14:paraId="3A536DC2"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17. Watanabe-Matsui M, Matsumoto T, Matsui T, Ikeda-Saito M, Muto A, Murayama K, et al. Heme binds to an intrinsically disordered region of Bach2 and alters its conformation. Arch Biochem Biophys. 2015;565:25–31.</w:t>
      </w:r>
    </w:p>
    <w:p w14:paraId="2DA67FC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18. Suenaga T, Watanabe-Matsui M, Uejima T, Shima H, Matsui T, Ikeda-Saito M, et al. Charge-state-distribution analysis of Bach2 intrinsically disordered heme binding region. J Biochem. 2016;160:291–8.</w:t>
      </w:r>
    </w:p>
    <w:p w14:paraId="67808FA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19. Tang XD, Xu R, Reynolds MF, Garcia ML, Heinemann SH, Hoshi T. Haem can bind to and inhibit mammalian calcium-dependent Slo1 BK channels. Nature. 2003;425:531–5.</w:t>
      </w:r>
    </w:p>
    <w:p w14:paraId="4A146A90"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20. Williams SEJ, Wootton P, Mason HS, Bould J, Iles DE, Riccardi D, et al. Hemoxygenase-2 is an oxygen sensor for a calcium-sensitive potassium channel. Science (80- ). 2004;306:2093–7.</w:t>
      </w:r>
    </w:p>
    <w:p w14:paraId="0C48EF2E"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lastRenderedPageBreak/>
        <w:t>21. Horrigan FT, Heinemann SH, Hoshi T. Heme regulates allosteric activation of the Slo1 BK channel. J Gen Physiol. 2005;126:7–21.</w:t>
      </w:r>
    </w:p>
    <w:p w14:paraId="650C7B85"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22. Jaggar JH, Li A, Parfenova H, Liu J, Umstot ES, Dopico AM, et al. Heme is a carbon monoxide receptor for large-conductance Ca 2+-activated K+ channels. Circ Res. 2005;97:805–12.</w:t>
      </w:r>
    </w:p>
    <w:p w14:paraId="2AEB85E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23. Yi L, Morgan JT, Ragsdale SW. Identification of a thiol/disulfide redox switch in the human BK channel that controls its affinity for heme and CO. J Biol Chem. 2010;285:20117–27.</w:t>
      </w:r>
    </w:p>
    <w:p w14:paraId="287D51B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24. Dimitrov JD, Roumenina LT, Doltchinkova VR, Vassilev TL. Iron ions and haeme modulate the binding properties of complement subcomponent C1q and of immunoglobulins. Scand J Immunol. 2007;65:230–9.</w:t>
      </w:r>
    </w:p>
    <w:p w14:paraId="6AB51FBD"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25. Roumenina LT, Radanova M, Atanasov BP, Popov KT, Kaveri S V., Lacroix-Desmazes S, et al. Heme interacts with C1q and inhibits the classical complement pathway. J Biol Chem. 2011;286:16459–69.</w:t>
      </w:r>
    </w:p>
    <w:p w14:paraId="418F875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26. Frimat M, Tabarin F, Dimitrov JD, Poitou C, Halbwachs-Mecarelli L, Fremeaux-Bacchi V, et al. Complement activation by heme as a secondary hit for atypical hemolytic uremic syndrome. Blood. 2013;122:282–92.</w:t>
      </w:r>
    </w:p>
    <w:p w14:paraId="3A476A0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27. Lukat-Rodgers GS, Correia C, Botuyan MV, Mer G, Rodgers KR. Heme-based Sensing by the Mammalian Circadian Protein, CLOCK. Inorg Chem. 2010;49:6349–65.</w:t>
      </w:r>
    </w:p>
    <w:p w14:paraId="60BC219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28. Meier M, Janosik M, Kery V, Kraus JP, Burkhard P. Structure of human cystathionine </w:t>
      </w:r>
      <w:r w:rsidRPr="005070CC">
        <w:rPr>
          <w:rFonts w:ascii="Arial" w:hAnsi="Arial" w:cs="Arial"/>
          <w:noProof/>
          <w:sz w:val="18"/>
          <w:szCs w:val="24"/>
        </w:rPr>
        <w:t>β</w:t>
      </w:r>
      <w:r w:rsidRPr="00AC2715">
        <w:rPr>
          <w:rFonts w:ascii="Arial" w:hAnsi="Arial" w:cs="Arial"/>
          <w:noProof/>
          <w:sz w:val="18"/>
          <w:szCs w:val="24"/>
          <w:lang w:val="en-GB"/>
        </w:rPr>
        <w:t>-synthase: A unique pyridoxal 5′-phosphate-dependent heme protein. EMBO J. 2001;20:3910–6.</w:t>
      </w:r>
    </w:p>
    <w:p w14:paraId="2C620995"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29. Taoka S, Lepore BW, Kabil Ö, Ojha S, Ringe D, Banerjee R. Human cystathionine </w:t>
      </w:r>
      <w:r w:rsidRPr="005070CC">
        <w:rPr>
          <w:rFonts w:ascii="Arial" w:hAnsi="Arial" w:cs="Arial"/>
          <w:noProof/>
          <w:sz w:val="18"/>
          <w:szCs w:val="24"/>
        </w:rPr>
        <w:t>β</w:t>
      </w:r>
      <w:r w:rsidRPr="00AC2715">
        <w:rPr>
          <w:rFonts w:ascii="Arial" w:hAnsi="Arial" w:cs="Arial"/>
          <w:noProof/>
          <w:sz w:val="18"/>
          <w:szCs w:val="24"/>
          <w:lang w:val="en-GB"/>
        </w:rPr>
        <w:t>-synthase is a heme sensor protein. Evidence that the redox sensor is heme and not the vicinal cysteines in the CXXC motif seen in the crystal structure of the truncated enzyme. Biochemistry. 2002;41:10454–61.</w:t>
      </w:r>
    </w:p>
    <w:p w14:paraId="48165D8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30. Weeks CL, Singh S, Madzelan P, Banerjee R, Spiro TG. Heme regulation of human cystathionine </w:t>
      </w:r>
      <w:r w:rsidRPr="005070CC">
        <w:rPr>
          <w:rFonts w:ascii="Arial" w:hAnsi="Arial" w:cs="Arial"/>
          <w:noProof/>
          <w:sz w:val="18"/>
          <w:szCs w:val="24"/>
        </w:rPr>
        <w:t>β</w:t>
      </w:r>
      <w:r w:rsidRPr="00AC2715">
        <w:rPr>
          <w:rFonts w:ascii="Arial" w:hAnsi="Arial" w:cs="Arial"/>
          <w:noProof/>
          <w:sz w:val="18"/>
          <w:szCs w:val="24"/>
          <w:lang w:val="en-GB"/>
        </w:rPr>
        <w:t>-synthase activity: Insights from fluorescence and Raman spectroscopy. J Am Chem Soc. 2009;131:12809–16.</w:t>
      </w:r>
    </w:p>
    <w:p w14:paraId="1D0F4AC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31. Kumar A, Wißbrock A, Goradia N, Bellstedt P, Ramachandran R, Imhof D, et al. Heme interaction of the intrinsically disordered N-terminal peptide segment of human cystathionine-</w:t>
      </w:r>
      <w:r w:rsidRPr="005070CC">
        <w:rPr>
          <w:rFonts w:ascii="Arial" w:hAnsi="Arial" w:cs="Arial"/>
          <w:noProof/>
          <w:sz w:val="18"/>
          <w:szCs w:val="24"/>
        </w:rPr>
        <w:t>β</w:t>
      </w:r>
      <w:r w:rsidRPr="00AC2715">
        <w:rPr>
          <w:rFonts w:ascii="Arial" w:hAnsi="Arial" w:cs="Arial"/>
          <w:noProof/>
          <w:sz w:val="18"/>
          <w:szCs w:val="24"/>
          <w:lang w:val="en-GB"/>
        </w:rPr>
        <w:t>-synthase. Sci Rep. 2018;8:1–9.</w:t>
      </w:r>
    </w:p>
    <w:p w14:paraId="6EB39CD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32. Faller M, Matsunaga M, Yin S, Loo JA, Guo F. Heme is involved in microRNA processing. Nat Struct Mol Biol. 2007;14:23–9.</w:t>
      </w:r>
    </w:p>
    <w:p w14:paraId="7B95A073"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33. Barr I, Smith AT, Senturia R, Chen Y, Scheidemantle BD, Burstyn JN, et al. DiGeorge Critical Region 8 (DGCR8) is a double-cysteine-ligated heme protein. J Biol Chem. 2011;286:16716–25.</w:t>
      </w:r>
    </w:p>
    <w:p w14:paraId="363957C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34. Weitz SH, Gong M, Barr I, Weiss S, Guo F. Processing of microRNA primary transcripts requires heme in mammalian cells. Proc Natl Acad Sci. 2014;111:1861–6.</w:t>
      </w:r>
    </w:p>
    <w:p w14:paraId="50E9852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35. Kühl T, Wißbrock A, Goradia N, Sahoo N, Galler K, Neugebauer U, et al. Analysis of Fe(III) heme binding to cysteine-containing heme-regulatory motifs in proteins. ACS Chem Biol. 2013;8:1785–93.</w:t>
      </w:r>
    </w:p>
    <w:p w14:paraId="29A6C9F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it-IT"/>
        </w:rPr>
      </w:pPr>
      <w:r w:rsidRPr="00AC2715">
        <w:rPr>
          <w:rFonts w:ascii="Arial" w:hAnsi="Arial" w:cs="Arial"/>
          <w:noProof/>
          <w:sz w:val="18"/>
          <w:szCs w:val="24"/>
          <w:lang w:val="en-GB"/>
        </w:rPr>
        <w:t xml:space="preserve">36. Mense SM, Zhang L. Heme: a versatile signaling molecule controlling the activities of diverse regulators ranging from transcription factors to MAP kinases. </w:t>
      </w:r>
      <w:r w:rsidRPr="00AC2715">
        <w:rPr>
          <w:rFonts w:ascii="Arial" w:hAnsi="Arial" w:cs="Arial"/>
          <w:noProof/>
          <w:sz w:val="18"/>
          <w:szCs w:val="24"/>
          <w:lang w:val="it-IT"/>
        </w:rPr>
        <w:t>Cell Res. 2006;16:681–92.</w:t>
      </w:r>
    </w:p>
    <w:p w14:paraId="7E9DFE0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it-IT"/>
        </w:rPr>
        <w:t xml:space="preserve">37. Miksanova M, Igarashi J, Minami M, Sagami I, Yamauchi S, Kurokawa H, et al. </w:t>
      </w:r>
      <w:r w:rsidRPr="00AC2715">
        <w:rPr>
          <w:rFonts w:ascii="Arial" w:hAnsi="Arial" w:cs="Arial"/>
          <w:noProof/>
          <w:sz w:val="18"/>
          <w:szCs w:val="24"/>
          <w:lang w:val="en-GB"/>
        </w:rPr>
        <w:t>Characterization of heme-regulated eIF2</w:t>
      </w:r>
      <w:r w:rsidRPr="005070CC">
        <w:rPr>
          <w:rFonts w:ascii="Arial" w:hAnsi="Arial" w:cs="Arial"/>
          <w:noProof/>
          <w:sz w:val="18"/>
          <w:szCs w:val="24"/>
        </w:rPr>
        <w:t>α</w:t>
      </w:r>
      <w:r w:rsidRPr="00AC2715">
        <w:rPr>
          <w:rFonts w:ascii="Arial" w:hAnsi="Arial" w:cs="Arial"/>
          <w:noProof/>
          <w:sz w:val="18"/>
          <w:szCs w:val="24"/>
          <w:lang w:val="en-GB"/>
        </w:rPr>
        <w:t xml:space="preserve"> kinase: Roles of the N-terminal domain in the oligomeric state, heme binding, catalysis, and inhibition. Biochemistry. 2006;45:9894–905.</w:t>
      </w:r>
    </w:p>
    <w:p w14:paraId="0E279728"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38. Igarashi K, Murase M, Iizuka A, Pichierri F, Martinkova M, Shimizu T, et al. Elucidation of the heme binding site of heme-regulated eukaryotic initiation factor 2</w:t>
      </w:r>
      <w:r w:rsidRPr="005070CC">
        <w:rPr>
          <w:rFonts w:ascii="Arial" w:hAnsi="Arial" w:cs="Arial"/>
          <w:noProof/>
          <w:sz w:val="18"/>
          <w:szCs w:val="24"/>
        </w:rPr>
        <w:t>α</w:t>
      </w:r>
      <w:r w:rsidRPr="00AC2715">
        <w:rPr>
          <w:rFonts w:ascii="Arial" w:hAnsi="Arial" w:cs="Arial"/>
          <w:noProof/>
          <w:sz w:val="18"/>
          <w:szCs w:val="24"/>
          <w:lang w:val="en-GB"/>
        </w:rPr>
        <w:t xml:space="preserve"> kinase and the role of the regulatory motif in heme sensing by spectroscopic and catalytic studies of mutant proteins. J Biol Chem. 2008;283:18782–91.</w:t>
      </w:r>
    </w:p>
    <w:p w14:paraId="1FDEA4FD"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39. Green D, Furby FH, Berndt MC. The interaction of the VIII/von Willebrand factor complex with hematin. Thromb Haemost. 1986;56:277–82.</w:t>
      </w:r>
    </w:p>
    <w:p w14:paraId="3B6C2E0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40. Repessé Y, Dimitrov JD, Peyron I, Moshai EF, Kiger L, Dasgupta S, et al. Heme binds to factor VIII and inhibits its interaction with activated factor IX. J Thromb Haemost. 2012;10:1062–71.</w:t>
      </w:r>
    </w:p>
    <w:p w14:paraId="402E1A75"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41. Orino K. Functional binding analysis of human fibrinogen as an iron- and heme-binding protein. BioMetals. 2013;26:789–94.</w:t>
      </w:r>
    </w:p>
    <w:p w14:paraId="43B9CD8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42. Ke Z, Huang Q. Haem-assisted dityrosine-cross-linking of fibrinogen under non-thermal plasma exposure: One important mechanism of facilitated blood coagulation. Sci Rep. 2016;6 May:1–8. doi:10.1038/srep26982.</w:t>
      </w:r>
    </w:p>
    <w:p w14:paraId="4A0E716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lastRenderedPageBreak/>
        <w:t>43. Grdisa M, White MK. Expression of glyceraldehyde-3-phosphate dehydrogenase during differentiation of HD3 cells. Eur J Cell Biol. 1996;71:177–82.</w:t>
      </w:r>
    </w:p>
    <w:p w14:paraId="272199E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44. Campanale N, Nickel C, Daubenberger CA, Wehlan DA, Gorman JJ, Klonis N, et al. Identification and characterization of heme-interacting proteins in the malaria parasite, Plasmodium falciparum. J Biol Chem. 2003;278:27354–61.</w:t>
      </w:r>
    </w:p>
    <w:p w14:paraId="4F1A9EDE"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45. Famin O, Ginsburg H.  The treatment of Plasmodium falciparum -infected erythrocytes with chloroquine leads to accumulation of ferriprotoporphyrin IX bound to particular parasite proteins and to the inhibition of the parasite’s 6-phosphogluconate dehydrogenase . Parasite. 2003;10:39–50.</w:t>
      </w:r>
    </w:p>
    <w:p w14:paraId="4B4D83F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46. Chakravarti R, Aulak KS, Fox PL, Stuehr DJ. GAPDH regulates cellular heme insertion into inducible nitric oxide synthase. Proc Natl Acad Sci. 2010;107:18004–9.</w:t>
      </w:r>
    </w:p>
    <w:p w14:paraId="77CC61F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47. Hannibal L, Collins D, Brassard J, Chakravarti R, Vempati R, Dorlet P, et al. Heme binding properties of glyceraldehyde-3-phosphate dehydrogenase. Biochemistry. 2012;51:8514–29.</w:t>
      </w:r>
    </w:p>
    <w:p w14:paraId="76D7F6C8"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48. McCoubrey WK, Huang TJ, Maines MD. Heme oxygenase-2 is a hemoprotein and binds heme through heme regulatory motifs that are not involved in heme catalysis. J Biol Chem. 1997;272:12568–74.</w:t>
      </w:r>
    </w:p>
    <w:p w14:paraId="562348C5"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49. Yi L, Ragsdale SW. Evidence that the heme regulatory motifs in heme oxygenase-2 serve as a thiol/disulfide redox switch regulating heme binding. J Biol Chem. 2007;282:21056–67.</w:t>
      </w:r>
    </w:p>
    <w:p w14:paraId="22AB9FF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50. Yi L, Jenkins PM, Leichert LI, Jakob U, Martens JR, Ragsdale SW. Heme regulatory motifs in heme oxygenase-2 form a thiol/disulfide redox switch that responds to the cellular redox state. J Biol Chem. 2009;284:20556–61.</w:t>
      </w:r>
    </w:p>
    <w:p w14:paraId="2D25480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51. Fleischhacker AS, Sharma A, Choi M, Spencer AM, Bagai I, Hoffman BM, et al. The C-terminal heme regulatory motifs of heme oxygenase-2 are redox-regulated heme binding sites. Biochemistry. 2015;54:2709–18.</w:t>
      </w:r>
    </w:p>
    <w:p w14:paraId="0A4951A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52. Yang J, Kim KD, Lucas A, Drahos KE, Santos CS, Mury SP, et al. A novel heme-regulatory motif mediates heme-dependent degradation of the circadian factor Period 2. Mol Cell Biol. 2008;28:4697–711.</w:t>
      </w:r>
    </w:p>
    <w:p w14:paraId="39CEE32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53. Dimitrov JD, Roumenina LT, Doltchinkova VR, Mihaylova NM, Lacroix-Desmazes S, Kaveri S V., et al. Antibodies use heme as a cofactor to extend their pathogen elimination activity and to acquire new effector functions. J Biol Chem. 2007;282:26696–706.</w:t>
      </w:r>
    </w:p>
    <w:p w14:paraId="50ECA3A2"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54. Wißbrock A, Goradia NB, Kumar A, Paul George AA, Kühl T, Bellstedt P, et al. Structural insights into heme binding to IL-36</w:t>
      </w:r>
      <w:r w:rsidRPr="005070CC">
        <w:rPr>
          <w:rFonts w:ascii="Arial" w:hAnsi="Arial" w:cs="Arial"/>
          <w:noProof/>
          <w:sz w:val="18"/>
          <w:szCs w:val="24"/>
        </w:rPr>
        <w:t>α</w:t>
      </w:r>
      <w:r w:rsidRPr="00AC2715">
        <w:rPr>
          <w:rFonts w:ascii="Arial" w:hAnsi="Arial" w:cs="Arial"/>
          <w:noProof/>
          <w:sz w:val="18"/>
          <w:szCs w:val="24"/>
          <w:lang w:val="en-GB"/>
        </w:rPr>
        <w:t xml:space="preserve"> proinflammatory cytokine. Sci Rep. 2019;9:16893.</w:t>
      </w:r>
    </w:p>
    <w:p w14:paraId="214E699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55. Ogura M, Endo R, Ishikawa H, Takeda Y, Uchida T, Iwai K, et al. Redox-dependent axial ligand replacement and its functional significance in heme-bound iron regulatory proteins. J Inorg Biochem. 2018;182:238–48. doi:10.1016/j.jinorgbio.2018.01.007.</w:t>
      </w:r>
    </w:p>
    <w:p w14:paraId="5835F410"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56. Nishitani Y, Okutani H, Takeda Y, Uchida T, Iwai K, Ishimori K. Specific heme binding to heme regulatory motifs in iron regulatory proteins and its functional significance. J Inorg Biochem. 2019;198 June:110726. doi:10.1016/j.jinorgbio.2019.110726.</w:t>
      </w:r>
    </w:p>
    <w:p w14:paraId="28E0EFB7"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57. Yamanaka K, Ishikawa H, Megumi Y, Tokunaga F, Kanie M, Rouault TA, et al. Identification of the ubiquitin-protein ligase that recognizes oxidized IRP2. Nat Cell Biol. 2003;5:336–40.</w:t>
      </w:r>
    </w:p>
    <w:p w14:paraId="58591A8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58. Ishikawa H, Kato M, Hori H, Ishimori K, Kirisako T, Tokunaga F, et al. Involvement of heme regulatory motif in heme-mediated ubiquitination and degradation of IRP2. Mol Cell. 2005;19:171–81.</w:t>
      </w:r>
    </w:p>
    <w:p w14:paraId="6D5B2E64"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59. Yao X, Balamurugan P, Arvey A, Leslie C, Zhang L. Heme controls the regulation of protein tyrosine kinases Jak2 and Src. Biochem Biophys Res Commun. 2010.</w:t>
      </w:r>
    </w:p>
    <w:p w14:paraId="5E0F968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60. Burton MJ, Kapetanaki SM, Chernova T, Jamieson AG, Dorlet P, Santolini J, et al. A heme-binding domain controls regulation of ATP-dependent potassium channels. Proc Natl Acad Sci. 2016;113:3785–90.</w:t>
      </w:r>
    </w:p>
    <w:p w14:paraId="170DCD8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61. Kimura I, Nakayama Y, Yamauchi H, Konishi M, Miyake A, Mori M, et al. Neurotrophic activity of neudesin, a novel extracellular heme-binding protein, is dependent on the binding of heme to its cytochrome b 5-like heme/steroid-binding domain. J Biol Chem. 2008;283:4323–31.</w:t>
      </w:r>
    </w:p>
    <w:p w14:paraId="07924E6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62. Kimura I, Nakayama Y, Konishi M, Kobayashi T, Mori M, Ito M, et al. Neuferricin, a novel extracellular heme-binding protein, promotes neurogenesis. J Neurochem. 2010;112:1156–67.</w:t>
      </w:r>
    </w:p>
    <w:p w14:paraId="12D7365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 xml:space="preserve">63. Chernova T, Steinert JR, Guerin CJ, Nicotera P, Forsythe ID, Smith AG. Neurite Degeneration Induced by </w:t>
      </w:r>
      <w:r w:rsidRPr="00AC2715">
        <w:rPr>
          <w:rFonts w:ascii="Arial" w:hAnsi="Arial" w:cs="Arial"/>
          <w:noProof/>
          <w:sz w:val="18"/>
          <w:szCs w:val="24"/>
          <w:lang w:val="en-GB"/>
        </w:rPr>
        <w:lastRenderedPageBreak/>
        <w:t>Heme Deficiency Mediated via Inhibition of NMDA Receptor-Dependent Extracellular Signal-Regulated Kinase 1/2 Activation. J Neurosci. 2007;27:8475–85.</w:t>
      </w:r>
    </w:p>
    <w:p w14:paraId="654B73ED"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64. Kannan M, Steinert JR, Forsythe ID, Smith AG, Chernova T. Mevastatin accelerates loss of synaptic proteins and neurite degeneration in aging cortical neurons in a heme-independent manner. Neurobiol Aging. 2010;31:1543–53. doi:10.1016/j.neurobiolaging.2008.09.004.</w:t>
      </w:r>
    </w:p>
    <w:p w14:paraId="1AAB354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65. Shen J, Sheng X, Chang ZN, Wu Q, Wang S, Xuan Z, et al. Iron metabolism regulates p53 signaling through direct Heme-p53 interaction and modulation of p53 localization, stability, and function. Cell Rep. 2014;7:180–93. doi:10.1016/j.celrep.2014.02.042.</w:t>
      </w:r>
    </w:p>
    <w:p w14:paraId="352780A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66. Shen J, Sheng X, Chang ZN, Wu Q, Xie D, Wang F, et al. The heme–p53 interaction: Linking iron metabolism to p53 signaling and tumorigenesis. Mol Cell Oncol. 2016;3:5–7.</w:t>
      </w:r>
    </w:p>
    <w:p w14:paraId="477FE97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fr-FR"/>
        </w:rPr>
      </w:pPr>
      <w:r w:rsidRPr="00AC2715">
        <w:rPr>
          <w:rFonts w:ascii="Arial" w:hAnsi="Arial" w:cs="Arial"/>
          <w:noProof/>
          <w:sz w:val="18"/>
          <w:szCs w:val="24"/>
          <w:lang w:val="en-GB"/>
        </w:rPr>
        <w:t xml:space="preserve">67. Min L, Strushkevich N V., Harnastai IN, Iwamoto H, Gilep AA, Takemori H, et al. Molecular identification of adrenal inner zone antigen as a heme-binding protein. </w:t>
      </w:r>
      <w:r w:rsidRPr="00AC2715">
        <w:rPr>
          <w:rFonts w:ascii="Arial" w:hAnsi="Arial" w:cs="Arial"/>
          <w:noProof/>
          <w:sz w:val="18"/>
          <w:szCs w:val="24"/>
          <w:lang w:val="fr-FR"/>
        </w:rPr>
        <w:t>FEBS J. 2005;272:5832–43.</w:t>
      </w:r>
    </w:p>
    <w:p w14:paraId="112CC07E"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US"/>
        </w:rPr>
      </w:pPr>
      <w:r w:rsidRPr="00AC2715">
        <w:rPr>
          <w:rFonts w:ascii="Arial" w:hAnsi="Arial" w:cs="Arial"/>
          <w:noProof/>
          <w:sz w:val="18"/>
          <w:szCs w:val="24"/>
          <w:lang w:val="fr-FR"/>
        </w:rPr>
        <w:t xml:space="preserve">68. Kabe Y, Nakane T, Koike I, Yamamoto T, Sugiura Y, Harada E, et al. </w:t>
      </w:r>
      <w:r w:rsidRPr="00AC2715">
        <w:rPr>
          <w:rFonts w:ascii="Arial" w:hAnsi="Arial" w:cs="Arial"/>
          <w:noProof/>
          <w:sz w:val="18"/>
          <w:szCs w:val="24"/>
          <w:lang w:val="en-US"/>
        </w:rPr>
        <w:t>Haem-dependent dimerization of PGRMC1/Sigma-2 receptor facilitates cancer proliferation and chemoresistance. Nat Commun. 2016;7 May 2015:1–13. doi:10.1038/ncomms11030.</w:t>
      </w:r>
    </w:p>
    <w:p w14:paraId="7CE16D13"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US"/>
        </w:rPr>
        <w:t>69. Yin L, Wu N, Curtin JC, Qatanani M, Szwergold NR, Reid RA, et al. Rev-erb</w:t>
      </w:r>
      <w:r w:rsidRPr="005070CC">
        <w:rPr>
          <w:rFonts w:ascii="Arial" w:hAnsi="Arial" w:cs="Arial"/>
          <w:noProof/>
          <w:sz w:val="18"/>
          <w:szCs w:val="24"/>
        </w:rPr>
        <w:t>α</w:t>
      </w:r>
      <w:r w:rsidRPr="00AC2715">
        <w:rPr>
          <w:rFonts w:ascii="Arial" w:hAnsi="Arial" w:cs="Arial"/>
          <w:noProof/>
          <w:sz w:val="18"/>
          <w:szCs w:val="24"/>
          <w:lang w:val="en-GB"/>
        </w:rPr>
        <w:t>, a heme sensor that coordinates metabolic and circadian pathways. Science (80- ). 2007;318:1786–9.</w:t>
      </w:r>
    </w:p>
    <w:p w14:paraId="6F2260C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70. Raghuram S, Stayrook KR, Huang P, Rogers PM, Nosie AK, McClure DB, et al. Identification of heme as the ligand for the orphan nuclear receptors REV-ERB</w:t>
      </w:r>
      <w:r w:rsidRPr="005070CC">
        <w:rPr>
          <w:rFonts w:ascii="Arial" w:hAnsi="Arial" w:cs="Arial"/>
          <w:noProof/>
          <w:sz w:val="18"/>
          <w:szCs w:val="24"/>
        </w:rPr>
        <w:t>α</w:t>
      </w:r>
      <w:r w:rsidRPr="00AC2715">
        <w:rPr>
          <w:rFonts w:ascii="Arial" w:hAnsi="Arial" w:cs="Arial"/>
          <w:noProof/>
          <w:sz w:val="18"/>
          <w:szCs w:val="24"/>
          <w:lang w:val="en-GB"/>
        </w:rPr>
        <w:t xml:space="preserve"> and REV-ERB</w:t>
      </w:r>
      <w:r w:rsidRPr="005070CC">
        <w:rPr>
          <w:rFonts w:ascii="Arial" w:hAnsi="Arial" w:cs="Arial"/>
          <w:noProof/>
          <w:sz w:val="18"/>
          <w:szCs w:val="24"/>
        </w:rPr>
        <w:t>β</w:t>
      </w:r>
      <w:r w:rsidRPr="00AC2715">
        <w:rPr>
          <w:rFonts w:ascii="Arial" w:hAnsi="Arial" w:cs="Arial"/>
          <w:noProof/>
          <w:sz w:val="18"/>
          <w:szCs w:val="24"/>
          <w:lang w:val="en-GB"/>
        </w:rPr>
        <w:t>. Nat Struct Mol Biol. 2007;14:1207–13.</w:t>
      </w:r>
    </w:p>
    <w:p w14:paraId="14E8455C"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71. Marvin KA, Reinking JL, Lee AJ, Pardee K, Krause HM, Burstyn JN. Nuclear receptors Homo sapiens rev-erb</w:t>
      </w:r>
      <w:r w:rsidRPr="005070CC">
        <w:rPr>
          <w:rFonts w:ascii="Arial" w:hAnsi="Arial" w:cs="Arial"/>
          <w:noProof/>
          <w:sz w:val="18"/>
          <w:szCs w:val="24"/>
        </w:rPr>
        <w:t>β</w:t>
      </w:r>
      <w:r w:rsidRPr="00AC2715">
        <w:rPr>
          <w:rFonts w:ascii="Arial" w:hAnsi="Arial" w:cs="Arial"/>
          <w:noProof/>
          <w:sz w:val="18"/>
          <w:szCs w:val="24"/>
          <w:lang w:val="en-GB"/>
        </w:rPr>
        <w:t xml:space="preserve"> and Drosophila melanogaster E75 are thiolate-ligated heme proteins which undergo redox-mediated ligand switching and bind CO and NO. Biochemistry. 2009;48:7056–71.</w:t>
      </w:r>
    </w:p>
    <w:p w14:paraId="2DB98668"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72. Pardee KI, Xu X, Reinking J, Schuetz A, Dong A, Liu S, et al. The structural basis of gas-responsive transcription by the human nuclear hormone receptor REV-ERB</w:t>
      </w:r>
      <w:r w:rsidRPr="005070CC">
        <w:rPr>
          <w:rFonts w:ascii="Arial" w:hAnsi="Arial" w:cs="Arial"/>
          <w:noProof/>
          <w:sz w:val="18"/>
          <w:szCs w:val="24"/>
        </w:rPr>
        <w:t>β</w:t>
      </w:r>
      <w:r w:rsidRPr="00AC2715">
        <w:rPr>
          <w:rFonts w:ascii="Arial" w:hAnsi="Arial" w:cs="Arial"/>
          <w:noProof/>
          <w:sz w:val="18"/>
          <w:szCs w:val="24"/>
          <w:lang w:val="en-GB"/>
        </w:rPr>
        <w:t>. PLoS Biol. 2009;7:0384–98.</w:t>
      </w:r>
    </w:p>
    <w:p w14:paraId="41660F29"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73. Gupta N, Ragsdale SW. Thiol-disulfide redox dependence of heme binding and heme ligand switching in nuclear hormone receptor rev-erb</w:t>
      </w:r>
      <w:r w:rsidRPr="005070CC">
        <w:rPr>
          <w:rFonts w:ascii="Arial" w:hAnsi="Arial" w:cs="Arial"/>
          <w:noProof/>
          <w:sz w:val="18"/>
          <w:szCs w:val="24"/>
        </w:rPr>
        <w:t>β</w:t>
      </w:r>
      <w:r w:rsidRPr="00AC2715">
        <w:rPr>
          <w:rFonts w:ascii="Arial" w:hAnsi="Arial" w:cs="Arial"/>
          <w:noProof/>
          <w:sz w:val="18"/>
          <w:szCs w:val="24"/>
          <w:lang w:val="en-GB"/>
        </w:rPr>
        <w:t>. J Biol Chem. 2011;286:4392–403.</w:t>
      </w:r>
    </w:p>
    <w:p w14:paraId="0360676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74. Carter EL, Gupta N, Ragsdale SW. High affinity heme binding to a heme regulatory motif on the nuclear receptor rev-erb</w:t>
      </w:r>
      <w:r w:rsidRPr="005070CC">
        <w:rPr>
          <w:rFonts w:ascii="Arial" w:hAnsi="Arial" w:cs="Arial"/>
          <w:noProof/>
          <w:sz w:val="18"/>
          <w:szCs w:val="24"/>
        </w:rPr>
        <w:t>β</w:t>
      </w:r>
      <w:r w:rsidRPr="00AC2715">
        <w:rPr>
          <w:rFonts w:ascii="Arial" w:hAnsi="Arial" w:cs="Arial"/>
          <w:noProof/>
          <w:sz w:val="18"/>
          <w:szCs w:val="24"/>
          <w:lang w:val="en-GB"/>
        </w:rPr>
        <w:t xml:space="preserve"> leads to its degradation and indirectly regulates its interaction with nuclear receptor corepressor. J Biol Chem. 2016;291:2196–222.</w:t>
      </w:r>
    </w:p>
    <w:p w14:paraId="246B5CD1"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75. Carter EL, Ramirez Y, Ragsdale SW. The heme-regulatory motif of nuclear receptor Rev-erb</w:t>
      </w:r>
      <w:r w:rsidRPr="005070CC">
        <w:rPr>
          <w:rFonts w:ascii="Arial" w:hAnsi="Arial" w:cs="Arial"/>
          <w:noProof/>
          <w:sz w:val="18"/>
          <w:szCs w:val="24"/>
        </w:rPr>
        <w:t>β</w:t>
      </w:r>
      <w:r w:rsidRPr="00AC2715">
        <w:rPr>
          <w:rFonts w:ascii="Arial" w:hAnsi="Arial" w:cs="Arial"/>
          <w:noProof/>
          <w:sz w:val="18"/>
          <w:szCs w:val="24"/>
          <w:lang w:val="en-GB"/>
        </w:rPr>
        <w:t xml:space="preserve"> is a key mediator of heme and redox signaling in circadian rhythm maintenance and metabolism. J Biol Chem. 2017;292:11280–99.</w:t>
      </w:r>
    </w:p>
    <w:p w14:paraId="45D49092"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76. Westberg JA, Jiang J, Andersson LC. Stanniocalcin 1 binds hemin through a partially conserved heme regulatory motif. Biochem Biophys Res Commun. 2011;409:266–9. doi:10.1016/j.bbrc.2011.05.002.</w:t>
      </w:r>
    </w:p>
    <w:p w14:paraId="06BB184B"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77. Jiang J, Westberg JA, Andersson LC. Stanniocalcin 2, forms a complex with heme oxygenase 1, binds hemin and is a heat shock protein. Biochem Biophys Res Commun. 2012;421:274–9. doi:10.1016/j.bbrc.2012.03.151.</w:t>
      </w:r>
    </w:p>
    <w:p w14:paraId="529FB443"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78. Figueiredo RT, Fernandez PL, Mourao-Sa DS, Porto BN, Dutra FF, Alves LS, et al. Characterization of heme as activator of toll-like receptor 4. J Biol Chem. 2007;282:20221–9.</w:t>
      </w:r>
    </w:p>
    <w:p w14:paraId="53D33EF6"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79. Wakasugi K. Human tryptophanyl-tRNA synthetase binds with heme to enhance its aminoacylation activity. Biochemistry. 2007;46:11291–8.</w:t>
      </w:r>
    </w:p>
    <w:p w14:paraId="6A234E4A"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80. Nikolajski M, Kühl T, Heinemann SH, Schlott B, Imhof D, Sahoo N. Determination of Hemin-Binding Characteristics of Proteins by a Combinatorial Peptide Library Approach. ChemBioChem. 2011;12:2846–55.</w:t>
      </w:r>
    </w:p>
    <w:p w14:paraId="677F4E70"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81. Brewitz HH, Kühl T, Goradia N, Galler K, Popp J, Neugebauer U, et al. Role of the Chemical Environment beyond the Coordination Site: Structural Insight into FeIII Protoporphyrin Binding to Cysteine-Based Heme-Regulatory Protein Motifs. ChemBioChem. 2015.</w:t>
      </w:r>
    </w:p>
    <w:p w14:paraId="19F10B90" w14:textId="77777777" w:rsidR="005070CC" w:rsidRPr="00AC2715" w:rsidRDefault="005070CC" w:rsidP="005070CC">
      <w:pPr>
        <w:widowControl w:val="0"/>
        <w:autoSpaceDE w:val="0"/>
        <w:autoSpaceDN w:val="0"/>
        <w:adjustRightInd w:val="0"/>
        <w:spacing w:line="240" w:lineRule="auto"/>
        <w:rPr>
          <w:rFonts w:ascii="Arial" w:hAnsi="Arial" w:cs="Arial"/>
          <w:noProof/>
          <w:sz w:val="18"/>
          <w:szCs w:val="24"/>
          <w:lang w:val="en-GB"/>
        </w:rPr>
      </w:pPr>
      <w:r w:rsidRPr="00AC2715">
        <w:rPr>
          <w:rFonts w:ascii="Arial" w:hAnsi="Arial" w:cs="Arial"/>
          <w:noProof/>
          <w:sz w:val="18"/>
          <w:szCs w:val="24"/>
          <w:lang w:val="en-GB"/>
        </w:rPr>
        <w:t>82. Brewitz HH, Goradia N, Schubert E, Galler K, Kühl T, Syllwasschy BF, et al. Heme interacts with histidine-and tyrosine-based protein motifs and inhibits enzymatic activity of chloramphenicol acetyltransferase from Escherichia coli. Biochim Biophys Acta (BBA)-General Subj. 2016;1860:1343–53.</w:t>
      </w:r>
    </w:p>
    <w:p w14:paraId="4F5543DE" w14:textId="77777777" w:rsidR="005070CC" w:rsidRPr="005070CC" w:rsidRDefault="005070CC" w:rsidP="005070CC">
      <w:pPr>
        <w:widowControl w:val="0"/>
        <w:autoSpaceDE w:val="0"/>
        <w:autoSpaceDN w:val="0"/>
        <w:adjustRightInd w:val="0"/>
        <w:spacing w:line="240" w:lineRule="auto"/>
        <w:rPr>
          <w:rFonts w:ascii="Arial" w:hAnsi="Arial" w:cs="Arial"/>
          <w:noProof/>
          <w:sz w:val="18"/>
        </w:rPr>
      </w:pPr>
      <w:r w:rsidRPr="00AC2715">
        <w:rPr>
          <w:rFonts w:ascii="Arial" w:hAnsi="Arial" w:cs="Arial"/>
          <w:noProof/>
          <w:sz w:val="18"/>
          <w:szCs w:val="24"/>
          <w:lang w:val="en-GB"/>
        </w:rPr>
        <w:lastRenderedPageBreak/>
        <w:t xml:space="preserve">83. Schubert E, Florin N, Duthie F, Brewitz HH, Kühl T, Imhof D, et al. Spectroscopic studies on peptides and proteins with cysteine-containing heme regulatory motifs (HRM). </w:t>
      </w:r>
      <w:r w:rsidRPr="005070CC">
        <w:rPr>
          <w:rFonts w:ascii="Arial" w:hAnsi="Arial" w:cs="Arial"/>
          <w:noProof/>
          <w:sz w:val="18"/>
          <w:szCs w:val="24"/>
        </w:rPr>
        <w:t>J Inorg Biochem. 2015;148:49–56.</w:t>
      </w:r>
    </w:p>
    <w:p w14:paraId="4C090E51" w14:textId="28138125" w:rsidR="00640454" w:rsidRPr="000B7EC5" w:rsidRDefault="00FB6C7B" w:rsidP="00997D18">
      <w:pPr>
        <w:widowControl w:val="0"/>
        <w:autoSpaceDE w:val="0"/>
        <w:autoSpaceDN w:val="0"/>
        <w:adjustRightInd w:val="0"/>
        <w:spacing w:line="240" w:lineRule="auto"/>
        <w:ind w:left="480" w:hanging="480"/>
        <w:rPr>
          <w:rFonts w:ascii="Arial" w:hAnsi="Arial" w:cs="Arial"/>
          <w:sz w:val="18"/>
          <w:szCs w:val="18"/>
          <w:lang w:val="fr-FR"/>
        </w:rPr>
      </w:pPr>
      <w:r w:rsidRPr="000B7EC5">
        <w:rPr>
          <w:rFonts w:ascii="Arial" w:hAnsi="Arial" w:cs="Arial"/>
          <w:sz w:val="18"/>
          <w:szCs w:val="18"/>
          <w:lang w:val="fr-FR"/>
        </w:rPr>
        <w:fldChar w:fldCharType="end"/>
      </w:r>
    </w:p>
    <w:sectPr w:rsidR="00640454" w:rsidRPr="000B7E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6D7DD" w14:textId="77777777" w:rsidR="00B81AA3" w:rsidRDefault="00B81AA3">
      <w:pPr>
        <w:spacing w:after="0" w:line="240" w:lineRule="auto"/>
      </w:pPr>
      <w:r>
        <w:separator/>
      </w:r>
    </w:p>
  </w:endnote>
  <w:endnote w:type="continuationSeparator" w:id="0">
    <w:p w14:paraId="381DBB4D" w14:textId="77777777" w:rsidR="00B81AA3" w:rsidRDefault="00B8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Light">
    <w:altName w:val="Malgun Gothic"/>
    <w:charset w:val="00"/>
    <w:family w:val="swiss"/>
    <w:pitch w:val="variable"/>
    <w:sig w:usb0="00000003" w:usb1="4000204A"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ECBA5" w14:textId="77777777" w:rsidR="00B81AA3" w:rsidRDefault="00B81AA3">
      <w:pPr>
        <w:spacing w:after="0" w:line="240" w:lineRule="auto"/>
      </w:pPr>
      <w:r>
        <w:separator/>
      </w:r>
    </w:p>
  </w:footnote>
  <w:footnote w:type="continuationSeparator" w:id="0">
    <w:p w14:paraId="15057F95" w14:textId="77777777" w:rsidR="00B81AA3" w:rsidRDefault="00B81A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E42A7"/>
    <w:multiLevelType w:val="hybridMultilevel"/>
    <w:tmpl w:val="8EDE5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DA0059"/>
    <w:multiLevelType w:val="hybridMultilevel"/>
    <w:tmpl w:val="ED628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TQ2NTEwNjaxMDdS0lEKTi0uzszPAymwqAUA+EOlPywAAAA="/>
  </w:docVars>
  <w:rsids>
    <w:rsidRoot w:val="00C44AA1"/>
    <w:rsid w:val="0002060E"/>
    <w:rsid w:val="00026B83"/>
    <w:rsid w:val="000340B6"/>
    <w:rsid w:val="00052015"/>
    <w:rsid w:val="00054765"/>
    <w:rsid w:val="00084AFA"/>
    <w:rsid w:val="00090D24"/>
    <w:rsid w:val="000918D5"/>
    <w:rsid w:val="000A378E"/>
    <w:rsid w:val="000B7EC5"/>
    <w:rsid w:val="0010133A"/>
    <w:rsid w:val="00103ADC"/>
    <w:rsid w:val="00140523"/>
    <w:rsid w:val="00142B11"/>
    <w:rsid w:val="00163B47"/>
    <w:rsid w:val="00176F88"/>
    <w:rsid w:val="001876FB"/>
    <w:rsid w:val="0019446F"/>
    <w:rsid w:val="001B483C"/>
    <w:rsid w:val="001E5511"/>
    <w:rsid w:val="001E7F05"/>
    <w:rsid w:val="001F59CC"/>
    <w:rsid w:val="00201E41"/>
    <w:rsid w:val="00215FC6"/>
    <w:rsid w:val="00220550"/>
    <w:rsid w:val="00250A25"/>
    <w:rsid w:val="00256F7B"/>
    <w:rsid w:val="0026719B"/>
    <w:rsid w:val="00274DA7"/>
    <w:rsid w:val="00294D8B"/>
    <w:rsid w:val="002C5670"/>
    <w:rsid w:val="002C7150"/>
    <w:rsid w:val="002C787B"/>
    <w:rsid w:val="002F0EB1"/>
    <w:rsid w:val="00310F01"/>
    <w:rsid w:val="003232F5"/>
    <w:rsid w:val="0034108B"/>
    <w:rsid w:val="003427D5"/>
    <w:rsid w:val="00342C82"/>
    <w:rsid w:val="00362A27"/>
    <w:rsid w:val="00396231"/>
    <w:rsid w:val="003A7ED2"/>
    <w:rsid w:val="003C40F8"/>
    <w:rsid w:val="004051AA"/>
    <w:rsid w:val="004327D5"/>
    <w:rsid w:val="004576A7"/>
    <w:rsid w:val="00474D52"/>
    <w:rsid w:val="00486C45"/>
    <w:rsid w:val="00493E09"/>
    <w:rsid w:val="004A520C"/>
    <w:rsid w:val="004C13DB"/>
    <w:rsid w:val="004D08D2"/>
    <w:rsid w:val="004F3AC3"/>
    <w:rsid w:val="005070CC"/>
    <w:rsid w:val="00547B00"/>
    <w:rsid w:val="00554D1D"/>
    <w:rsid w:val="00564F70"/>
    <w:rsid w:val="005703B8"/>
    <w:rsid w:val="005B5E60"/>
    <w:rsid w:val="005B77EA"/>
    <w:rsid w:val="005C5F3F"/>
    <w:rsid w:val="005D0782"/>
    <w:rsid w:val="005D22BD"/>
    <w:rsid w:val="00617571"/>
    <w:rsid w:val="00621A96"/>
    <w:rsid w:val="0062389C"/>
    <w:rsid w:val="00640454"/>
    <w:rsid w:val="00644BB3"/>
    <w:rsid w:val="00646D09"/>
    <w:rsid w:val="006F1E3F"/>
    <w:rsid w:val="006F4F86"/>
    <w:rsid w:val="006F7A9A"/>
    <w:rsid w:val="007164E6"/>
    <w:rsid w:val="00721402"/>
    <w:rsid w:val="00750EC5"/>
    <w:rsid w:val="00784C60"/>
    <w:rsid w:val="00790626"/>
    <w:rsid w:val="007945EE"/>
    <w:rsid w:val="007B1B24"/>
    <w:rsid w:val="007C5BD5"/>
    <w:rsid w:val="007D1372"/>
    <w:rsid w:val="007F23D8"/>
    <w:rsid w:val="00812010"/>
    <w:rsid w:val="00823794"/>
    <w:rsid w:val="00837174"/>
    <w:rsid w:val="008515D2"/>
    <w:rsid w:val="008577C8"/>
    <w:rsid w:val="00863262"/>
    <w:rsid w:val="00875BC3"/>
    <w:rsid w:val="00875D0E"/>
    <w:rsid w:val="008850AB"/>
    <w:rsid w:val="008B776E"/>
    <w:rsid w:val="008C5862"/>
    <w:rsid w:val="008D2CE3"/>
    <w:rsid w:val="008E072D"/>
    <w:rsid w:val="00933C2F"/>
    <w:rsid w:val="00936378"/>
    <w:rsid w:val="009413DD"/>
    <w:rsid w:val="009423E7"/>
    <w:rsid w:val="009449D8"/>
    <w:rsid w:val="00963174"/>
    <w:rsid w:val="009738A6"/>
    <w:rsid w:val="00995EA6"/>
    <w:rsid w:val="00997D18"/>
    <w:rsid w:val="009A080E"/>
    <w:rsid w:val="009C285F"/>
    <w:rsid w:val="009C41B9"/>
    <w:rsid w:val="009E466E"/>
    <w:rsid w:val="009E7344"/>
    <w:rsid w:val="009F6005"/>
    <w:rsid w:val="00A06FA6"/>
    <w:rsid w:val="00A21614"/>
    <w:rsid w:val="00A21DBC"/>
    <w:rsid w:val="00A51F54"/>
    <w:rsid w:val="00A70C60"/>
    <w:rsid w:val="00A7668C"/>
    <w:rsid w:val="00A859E1"/>
    <w:rsid w:val="00AB3785"/>
    <w:rsid w:val="00AC2715"/>
    <w:rsid w:val="00B070A9"/>
    <w:rsid w:val="00B2223F"/>
    <w:rsid w:val="00B22BE4"/>
    <w:rsid w:val="00B2658F"/>
    <w:rsid w:val="00B325CC"/>
    <w:rsid w:val="00B4492D"/>
    <w:rsid w:val="00B53E64"/>
    <w:rsid w:val="00B63A55"/>
    <w:rsid w:val="00B743EC"/>
    <w:rsid w:val="00B81AA3"/>
    <w:rsid w:val="00B874BD"/>
    <w:rsid w:val="00BA0224"/>
    <w:rsid w:val="00BA1201"/>
    <w:rsid w:val="00BA1CEA"/>
    <w:rsid w:val="00BA644A"/>
    <w:rsid w:val="00BC3B7E"/>
    <w:rsid w:val="00BF68C2"/>
    <w:rsid w:val="00BF7664"/>
    <w:rsid w:val="00C028F4"/>
    <w:rsid w:val="00C33BDC"/>
    <w:rsid w:val="00C33F8F"/>
    <w:rsid w:val="00C44AA1"/>
    <w:rsid w:val="00C52128"/>
    <w:rsid w:val="00C913BB"/>
    <w:rsid w:val="00CD03BB"/>
    <w:rsid w:val="00CE17A1"/>
    <w:rsid w:val="00D03EB8"/>
    <w:rsid w:val="00D070EF"/>
    <w:rsid w:val="00D12A6F"/>
    <w:rsid w:val="00D23B25"/>
    <w:rsid w:val="00D407B7"/>
    <w:rsid w:val="00D921CD"/>
    <w:rsid w:val="00DA34BE"/>
    <w:rsid w:val="00DA3EB1"/>
    <w:rsid w:val="00DB70AF"/>
    <w:rsid w:val="00DC0752"/>
    <w:rsid w:val="00DD462E"/>
    <w:rsid w:val="00DF56C9"/>
    <w:rsid w:val="00E15F28"/>
    <w:rsid w:val="00E27B35"/>
    <w:rsid w:val="00E3070F"/>
    <w:rsid w:val="00E33B39"/>
    <w:rsid w:val="00E35251"/>
    <w:rsid w:val="00E35980"/>
    <w:rsid w:val="00E41B94"/>
    <w:rsid w:val="00E509AF"/>
    <w:rsid w:val="00E6066D"/>
    <w:rsid w:val="00E72373"/>
    <w:rsid w:val="00E80B48"/>
    <w:rsid w:val="00EA28CD"/>
    <w:rsid w:val="00ED6CEC"/>
    <w:rsid w:val="00EE0E4E"/>
    <w:rsid w:val="00EE6BA5"/>
    <w:rsid w:val="00F339BE"/>
    <w:rsid w:val="00F34244"/>
    <w:rsid w:val="00F76854"/>
    <w:rsid w:val="00F9609E"/>
    <w:rsid w:val="00FB3544"/>
    <w:rsid w:val="00FB3B36"/>
    <w:rsid w:val="00FB6C7B"/>
    <w:rsid w:val="00FF60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77696"/>
  <w15:docId w15:val="{62C6DDED-4412-4545-83A4-567F61BF0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sz w:val="22"/>
      <w:szCs w:val="22"/>
      <w:lang w:eastAsia="en-US"/>
    </w:rPr>
  </w:style>
  <w:style w:type="paragraph" w:styleId="Heading1">
    <w:name w:val="heading 1"/>
    <w:basedOn w:val="Normal"/>
    <w:next w:val="Normal"/>
    <w:link w:val="Heading1Char1"/>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1"/>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1"/>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1"/>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uiPriority w:val="99"/>
    <w:rPr>
      <w:sz w:val="18"/>
    </w:rPr>
  </w:style>
  <w:style w:type="character" w:customStyle="1" w:styleId="Heading1Char1">
    <w:name w:val="Heading 1 Char1"/>
    <w:link w:val="Heading1"/>
    <w:uiPriority w:val="9"/>
    <w:rPr>
      <w:rFonts w:ascii="Arial" w:eastAsia="Arial" w:hAnsi="Arial" w:cs="Arial"/>
      <w:sz w:val="40"/>
      <w:szCs w:val="40"/>
    </w:rPr>
  </w:style>
  <w:style w:type="character" w:customStyle="1" w:styleId="Heading2Char1">
    <w:name w:val="Heading 2 Char1"/>
    <w:link w:val="Heading2"/>
    <w:uiPriority w:val="9"/>
    <w:rPr>
      <w:rFonts w:ascii="Arial" w:eastAsia="Arial" w:hAnsi="Arial" w:cs="Arial"/>
      <w:sz w:val="34"/>
    </w:rPr>
  </w:style>
  <w:style w:type="character" w:customStyle="1" w:styleId="Heading3Char1">
    <w:name w:val="Heading 3 Char1"/>
    <w:link w:val="Heading3"/>
    <w:uiPriority w:val="9"/>
    <w:rPr>
      <w:rFonts w:ascii="Arial" w:eastAsia="Arial" w:hAnsi="Arial" w:cs="Arial"/>
      <w:sz w:val="30"/>
      <w:szCs w:val="30"/>
    </w:rPr>
  </w:style>
  <w:style w:type="character" w:customStyle="1" w:styleId="Heading4Char1">
    <w:name w:val="Heading 4 Char1"/>
    <w:link w:val="Heading4"/>
    <w:uiPriority w:val="9"/>
    <w:rPr>
      <w:rFonts w:ascii="Arial" w:eastAsia="Arial" w:hAnsi="Arial" w:cs="Arial"/>
      <w:b/>
      <w:bCs/>
      <w:sz w:val="26"/>
      <w:szCs w:val="26"/>
    </w:rPr>
  </w:style>
  <w:style w:type="character" w:customStyle="1" w:styleId="Heading5Char1">
    <w:name w:val="Heading 5 Char1"/>
    <w:link w:val="Heading5"/>
    <w:uiPriority w:val="9"/>
    <w:rPr>
      <w:rFonts w:ascii="Arial" w:eastAsia="Arial" w:hAnsi="Arial" w:cs="Arial"/>
      <w:b/>
      <w:bCs/>
      <w:sz w:val="24"/>
      <w:szCs w:val="24"/>
    </w:rPr>
  </w:style>
  <w:style w:type="character" w:customStyle="1" w:styleId="Heading6Char1">
    <w:name w:val="Heading 6 Char1"/>
    <w:link w:val="Heading6"/>
    <w:uiPriority w:val="9"/>
    <w:rPr>
      <w:rFonts w:ascii="Arial" w:eastAsia="Arial" w:hAnsi="Arial" w:cs="Arial"/>
      <w:b/>
      <w:bCs/>
      <w:sz w:val="22"/>
      <w:szCs w:val="22"/>
    </w:rPr>
  </w:style>
  <w:style w:type="character" w:customStyle="1" w:styleId="Heading7Char1">
    <w:name w:val="Heading 7 Char1"/>
    <w:link w:val="Heading7"/>
    <w:uiPriority w:val="9"/>
    <w:rPr>
      <w:rFonts w:ascii="Arial" w:eastAsia="Arial" w:hAnsi="Arial" w:cs="Arial"/>
      <w:b/>
      <w:bCs/>
      <w:i/>
      <w:iCs/>
      <w:sz w:val="22"/>
      <w:szCs w:val="22"/>
    </w:rPr>
  </w:style>
  <w:style w:type="character" w:customStyle="1" w:styleId="Heading8Char1">
    <w:name w:val="Heading 8 Char1"/>
    <w:link w:val="Heading8"/>
    <w:uiPriority w:val="9"/>
    <w:rPr>
      <w:rFonts w:ascii="Arial" w:eastAsia="Arial" w:hAnsi="Arial" w:cs="Arial"/>
      <w:i/>
      <w:iCs/>
      <w:sz w:val="22"/>
      <w:szCs w:val="22"/>
    </w:rPr>
  </w:style>
  <w:style w:type="character" w:customStyle="1" w:styleId="Heading9Char1">
    <w:name w:val="Heading 9 Char1"/>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pPr>
      <w:pBdr>
        <w:top w:val="none" w:sz="4" w:space="0" w:color="000000"/>
        <w:left w:val="none" w:sz="4" w:space="0" w:color="000000"/>
        <w:bottom w:val="none" w:sz="4" w:space="0" w:color="000000"/>
        <w:right w:val="none" w:sz="4" w:space="0" w:color="000000"/>
        <w:between w:val="none" w:sz="4" w:space="0" w:color="000000"/>
      </w:pBdr>
    </w:pPr>
    <w:rPr>
      <w:sz w:val="22"/>
      <w:szCs w:val="22"/>
      <w:lang w:eastAsia="en-US"/>
    </w:rPr>
  </w:style>
  <w:style w:type="paragraph" w:styleId="Title">
    <w:name w:val="Title"/>
    <w:basedOn w:val="Normal"/>
    <w:next w:val="Normal"/>
    <w:link w:val="TitleChar1"/>
    <w:qFormat/>
    <w:pPr>
      <w:spacing w:before="300"/>
      <w:contextualSpacing/>
    </w:pPr>
    <w:rPr>
      <w:sz w:val="48"/>
      <w:szCs w:val="48"/>
    </w:rPr>
  </w:style>
  <w:style w:type="character" w:customStyle="1" w:styleId="TitleChar1">
    <w:name w:val="Title Char1"/>
    <w:link w:val="Title"/>
    <w:rPr>
      <w:sz w:val="48"/>
      <w:szCs w:val="48"/>
    </w:rPr>
  </w:style>
  <w:style w:type="paragraph" w:styleId="Subtitle">
    <w:name w:val="Subtitle"/>
    <w:basedOn w:val="Normal"/>
    <w:next w:val="Normal"/>
    <w:link w:val="SubtitleChar1"/>
    <w:uiPriority w:val="11"/>
    <w:qFormat/>
    <w:pPr>
      <w:spacing w:before="200"/>
    </w:pPr>
    <w:rPr>
      <w:sz w:val="24"/>
      <w:szCs w:val="24"/>
    </w:rPr>
  </w:style>
  <w:style w:type="character" w:customStyle="1" w:styleId="SubtitleChar1">
    <w:name w:val="Subtitle Char1"/>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paragraph" w:styleId="Header">
    <w:name w:val="header"/>
    <w:basedOn w:val="Normal"/>
    <w:link w:val="HeaderChar1"/>
    <w:uiPriority w:val="99"/>
    <w:unhideWhenUsed/>
    <w:pPr>
      <w:tabs>
        <w:tab w:val="center" w:pos="7143"/>
        <w:tab w:val="right" w:pos="14287"/>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7143"/>
        <w:tab w:val="right" w:pos="14287"/>
      </w:tabs>
      <w:spacing w:after="0" w:line="240" w:lineRule="auto"/>
    </w:pPr>
  </w:style>
  <w:style w:type="character" w:customStyle="1" w:styleId="FooterChar1">
    <w:name w:val="Footer Char1"/>
    <w:basedOn w:val="DefaultParagraphFont"/>
    <w:link w:val="Footer"/>
    <w:uiPriority w:val="99"/>
  </w:style>
  <w:style w:type="table" w:customStyle="1" w:styleId="Lined">
    <w:name w:val="Lined"/>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u w:val="single"/>
    </w:rPr>
  </w:style>
  <w:style w:type="paragraph" w:styleId="FootnoteText">
    <w:name w:val="footnote text"/>
    <w:basedOn w:val="Normal"/>
    <w:link w:val="FootnoteTextChar1"/>
    <w:uiPriority w:val="99"/>
    <w:semiHidden/>
    <w:unhideWhenUsed/>
    <w:pPr>
      <w:spacing w:after="40" w:line="240" w:lineRule="auto"/>
    </w:pPr>
    <w:rPr>
      <w:sz w:val="18"/>
    </w:rPr>
  </w:style>
  <w:style w:type="character" w:customStyle="1" w:styleId="FootnoteTextChar1">
    <w:name w:val="Footnote Text Char1"/>
    <w:link w:val="FootnoteText"/>
    <w:uiPriority w:val="99"/>
    <w:rPr>
      <w:sz w:val="18"/>
    </w:rPr>
  </w:style>
  <w:style w:type="character" w:styleId="FootnoteReference">
    <w:name w:val="footnote reference"/>
    <w:uiPriority w:val="99"/>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sz w:val="22"/>
      <w:szCs w:val="22"/>
      <w:lang w:eastAsia="en-US"/>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Caption">
    <w:name w:val="caption"/>
    <w:basedOn w:val="Normal"/>
    <w:next w:val="Normal"/>
    <w:uiPriority w:val="35"/>
    <w:unhideWhenUsed/>
    <w:qFormat/>
    <w:pPr>
      <w:spacing w:line="240" w:lineRule="auto"/>
    </w:pPr>
    <w:rPr>
      <w:b/>
      <w:bCs/>
      <w:color w:val="4F81BD"/>
      <w:sz w:val="18"/>
      <w:szCs w:val="18"/>
    </w:rPr>
  </w:style>
  <w:style w:type="paragraph" w:customStyle="1" w:styleId="Author-Group">
    <w:name w:val="Author-Group"/>
    <w:basedOn w:val="Normal"/>
    <w:link w:val="Author-GroupChar"/>
    <w:qFormat/>
    <w:rsid w:val="008C5862"/>
    <w:pPr>
      <w:spacing w:before="100" w:after="0" w:line="300" w:lineRule="exact"/>
      <w:jc w:val="both"/>
    </w:pPr>
    <w:rPr>
      <w:rFonts w:ascii="Helvetica-Light" w:eastAsia="Times New Roman" w:hAnsi="Helvetica-Light" w:cs="Times New Roman"/>
      <w:iCs/>
      <w:sz w:val="24"/>
      <w:szCs w:val="24"/>
      <w:lang w:val="en-US"/>
    </w:rPr>
  </w:style>
  <w:style w:type="paragraph" w:customStyle="1" w:styleId="Author-Affiliation">
    <w:name w:val="Author-Affiliation"/>
    <w:basedOn w:val="Normal"/>
    <w:link w:val="Author-AffiliationChar"/>
    <w:qFormat/>
    <w:rsid w:val="008C5862"/>
    <w:pPr>
      <w:spacing w:before="100" w:after="52" w:line="240" w:lineRule="exact"/>
      <w:jc w:val="both"/>
    </w:pPr>
    <w:rPr>
      <w:rFonts w:ascii="Helvetica-Light" w:eastAsia="Times New Roman" w:hAnsi="Helvetica-Light" w:cs="Times New Roman"/>
      <w:iCs/>
      <w:sz w:val="18"/>
      <w:szCs w:val="18"/>
      <w:lang w:val="en-US"/>
    </w:rPr>
  </w:style>
  <w:style w:type="character" w:customStyle="1" w:styleId="Author-GroupChar">
    <w:name w:val="Author-Group Char"/>
    <w:link w:val="Author-Group"/>
    <w:rsid w:val="008C5862"/>
    <w:rPr>
      <w:rFonts w:ascii="Helvetica-Light" w:eastAsia="Times New Roman" w:hAnsi="Helvetica-Light" w:cs="Times New Roman"/>
      <w:iCs/>
      <w:sz w:val="24"/>
      <w:szCs w:val="24"/>
      <w:lang w:val="en-US"/>
    </w:rPr>
  </w:style>
  <w:style w:type="character" w:customStyle="1" w:styleId="Author-AffiliationChar">
    <w:name w:val="Author-Affiliation Char"/>
    <w:link w:val="Author-Affiliation"/>
    <w:rsid w:val="008C5862"/>
    <w:rPr>
      <w:rFonts w:ascii="Helvetica-Light" w:eastAsia="Times New Roman" w:hAnsi="Helvetica-Light" w:cs="Times New Roman"/>
      <w:iCs/>
      <w:sz w:val="18"/>
      <w:szCs w:val="18"/>
      <w:lang w:val="en-US"/>
    </w:rPr>
  </w:style>
  <w:style w:type="paragraph" w:customStyle="1" w:styleId="corrs-au">
    <w:name w:val="corrs-au"/>
    <w:basedOn w:val="Normal"/>
    <w:link w:val="corrs-auChar"/>
    <w:qFormat/>
    <w:rsid w:val="008C5862"/>
    <w:pPr>
      <w:spacing w:before="70" w:after="0" w:line="300" w:lineRule="exact"/>
      <w:jc w:val="both"/>
    </w:pPr>
    <w:rPr>
      <w:rFonts w:ascii="Helvetica-Light" w:eastAsia="Times New Roman" w:hAnsi="Helvetica-Light" w:cs="Times New Roman"/>
      <w:iCs/>
      <w:sz w:val="17"/>
      <w:szCs w:val="17"/>
      <w:lang w:val="en-US"/>
    </w:rPr>
  </w:style>
  <w:style w:type="paragraph" w:customStyle="1" w:styleId="History-Dates">
    <w:name w:val="History-Dates"/>
    <w:basedOn w:val="Normal"/>
    <w:link w:val="History-DatesChar"/>
    <w:qFormat/>
    <w:rsid w:val="008C5862"/>
    <w:pPr>
      <w:spacing w:before="40" w:after="52" w:line="240" w:lineRule="exact"/>
      <w:jc w:val="both"/>
    </w:pPr>
    <w:rPr>
      <w:rFonts w:ascii="Helvetica-Light" w:eastAsia="Times New Roman" w:hAnsi="Helvetica-Light" w:cs="Times New Roman"/>
      <w:iCs/>
      <w:sz w:val="16"/>
      <w:szCs w:val="16"/>
      <w:lang w:val="en-US"/>
    </w:rPr>
  </w:style>
  <w:style w:type="character" w:customStyle="1" w:styleId="corrs-auChar">
    <w:name w:val="corrs-au Char"/>
    <w:link w:val="corrs-au"/>
    <w:rsid w:val="008C5862"/>
    <w:rPr>
      <w:rFonts w:ascii="Helvetica-Light" w:eastAsia="Times New Roman" w:hAnsi="Helvetica-Light" w:cs="Times New Roman"/>
      <w:iCs/>
      <w:sz w:val="17"/>
      <w:szCs w:val="17"/>
      <w:lang w:val="en-US"/>
    </w:rPr>
  </w:style>
  <w:style w:type="character" w:customStyle="1" w:styleId="History-DatesChar">
    <w:name w:val="History-Dates Char"/>
    <w:link w:val="History-Dates"/>
    <w:rsid w:val="008C5862"/>
    <w:rPr>
      <w:rFonts w:ascii="Helvetica-Light" w:eastAsia="Times New Roman" w:hAnsi="Helvetica-Light" w:cs="Times New Roman"/>
      <w:iCs/>
      <w:sz w:val="16"/>
      <w:szCs w:val="16"/>
      <w:lang w:val="en-US"/>
    </w:rPr>
  </w:style>
  <w:style w:type="character" w:customStyle="1" w:styleId="st">
    <w:name w:val="st"/>
    <w:basedOn w:val="DefaultParagraphFont"/>
    <w:rsid w:val="00052015"/>
  </w:style>
  <w:style w:type="paragraph" w:styleId="Revision">
    <w:name w:val="Revision"/>
    <w:hidden/>
    <w:uiPriority w:val="99"/>
    <w:semiHidden/>
    <w:rsid w:val="009E466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541458">
      <w:bodyDiv w:val="1"/>
      <w:marLeft w:val="0"/>
      <w:marRight w:val="0"/>
      <w:marTop w:val="0"/>
      <w:marBottom w:val="0"/>
      <w:divBdr>
        <w:top w:val="none" w:sz="0" w:space="0" w:color="auto"/>
        <w:left w:val="none" w:sz="0" w:space="0" w:color="auto"/>
        <w:bottom w:val="none" w:sz="0" w:space="0" w:color="auto"/>
        <w:right w:val="none" w:sz="0" w:space="0" w:color="auto"/>
      </w:divBdr>
    </w:div>
    <w:div w:id="113718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1DB8A-E6B5-4E5E-9E6A-D9421C9EE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66496</Words>
  <Characters>379029</Characters>
  <Application>Microsoft Office Word</Application>
  <DocSecurity>0</DocSecurity>
  <Lines>3158</Lines>
  <Paragraphs>889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 Abisheck Paul George</dc:creator>
  <cp:lastModifiedBy>Ajay Abisheck Paul George</cp:lastModifiedBy>
  <cp:revision>2</cp:revision>
  <dcterms:created xsi:type="dcterms:W3CDTF">2020-02-13T11:58:00Z</dcterms:created>
  <dcterms:modified xsi:type="dcterms:W3CDTF">2020-02-13T11:58:00Z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http://www.zotero.org/styles/antioxidants-and-redox-signaling</vt:lpwstr>
  </property>
  <property fmtid="{D5CDD505-2E9C-101B-9397-08002B2CF9AE}" pid="5" name="Mendeley Recent Style Name 1_1">
    <vt:lpwstr>Antioxidants &amp; Redox Signaling</vt:lpwstr>
  </property>
  <property fmtid="{D5CDD505-2E9C-101B-9397-08002B2CF9AE}" pid="6" name="Mendeley Recent Style Id 2_1">
    <vt:lpwstr>http://www.zotero.org/styles/bmc-bioinformatics</vt:lpwstr>
  </property>
  <property fmtid="{D5CDD505-2E9C-101B-9397-08002B2CF9AE}" pid="7" name="Mendeley Recent Style Name 2_1">
    <vt:lpwstr>BMC Bioinformatics</vt:lpwstr>
  </property>
  <property fmtid="{D5CDD505-2E9C-101B-9397-08002B2CF9AE}" pid="8" name="Mendeley Recent Style Id 3_1">
    <vt:lpwstr>http://www.zotero.org/styles/blood</vt:lpwstr>
  </property>
  <property fmtid="{D5CDD505-2E9C-101B-9397-08002B2CF9AE}" pid="9" name="Mendeley Recent Style Name 3_1">
    <vt:lpwstr>Blood</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http://www.zotero.org/styles/journal-of-thrombosis-and-haemostasis</vt:lpwstr>
  </property>
  <property fmtid="{D5CDD505-2E9C-101B-9397-08002B2CF9AE}" pid="17" name="Mendeley Recent Style Name 7_1">
    <vt:lpwstr>Journal of Thrombosis and Haemostasis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005fdc8f-b585-303a-b37f-5d8cbe871864</vt:lpwstr>
  </property>
  <property fmtid="{D5CDD505-2E9C-101B-9397-08002B2CF9AE}" pid="24" name="Mendeley Citation Style_1">
    <vt:lpwstr>http://www.zotero.org/styles/bmc-bioinformatics</vt:lpwstr>
  </property>
</Properties>
</file>