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87E3E4A" w14:textId="21B91A53" w:rsidR="00286184" w:rsidRDefault="00EB718B">
      <w:bookmarkStart w:id="0" w:name="_GoBack"/>
      <w:bookmarkEnd w:id="0"/>
      <w:r>
        <w:rPr>
          <w:noProof/>
        </w:rPr>
        <mc:AlternateContent>
          <mc:Choice Requires="wps">
            <w:drawing>
              <wp:anchor distT="45720" distB="45720" distL="114300" distR="114300" simplePos="0" relativeHeight="251659264" behindDoc="1" locked="0" layoutInCell="1" allowOverlap="1" wp14:anchorId="5533A6B6" wp14:editId="10AEA180">
                <wp:simplePos x="0" y="0"/>
                <wp:positionH relativeFrom="margin">
                  <wp:align>right</wp:align>
                </wp:positionH>
                <wp:positionV relativeFrom="paragraph">
                  <wp:posOffset>182880</wp:posOffset>
                </wp:positionV>
                <wp:extent cx="5920740" cy="6537960"/>
                <wp:effectExtent l="0" t="0" r="3810" b="0"/>
                <wp:wrapTight wrapText="bothSides">
                  <wp:wrapPolygon edited="0">
                    <wp:start x="0" y="0"/>
                    <wp:lineTo x="0" y="21524"/>
                    <wp:lineTo x="21544" y="21524"/>
                    <wp:lineTo x="21544" y="0"/>
                    <wp:lineTo x="0" y="0"/>
                  </wp:wrapPolygon>
                </wp:wrapTight>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20740" cy="6537960"/>
                        </a:xfrm>
                        <a:prstGeom prst="rect">
                          <a:avLst/>
                        </a:prstGeom>
                        <a:solidFill>
                          <a:srgbClr val="FFFFFF"/>
                        </a:solidFill>
                        <a:ln w="9525">
                          <a:noFill/>
                          <a:miter lim="800000"/>
                          <a:headEnd/>
                          <a:tailEnd/>
                        </a:ln>
                      </wps:spPr>
                      <wps:txbx>
                        <w:txbxContent>
                          <w:p w14:paraId="09F096C7" w14:textId="63A0A868" w:rsidR="00EB718B" w:rsidRDefault="00EB718B" w:rsidP="00EB718B">
                            <w:pPr>
                              <w:jc w:val="center"/>
                            </w:pPr>
                            <w:r>
                              <w:rPr>
                                <w:noProof/>
                              </w:rPr>
                              <w:drawing>
                                <wp:inline distT="0" distB="0" distL="0" distR="0" wp14:anchorId="25698FE6" wp14:editId="38BC199D">
                                  <wp:extent cx="5120640" cy="4361782"/>
                                  <wp:effectExtent l="0" t="0" r="3810" b="0"/>
                                  <wp:docPr id="2" name="Picture 1">
                                    <a:extLst xmlns:a="http://schemas.openxmlformats.org/drawingml/2006/main">
                                      <a:ext uri="{FF2B5EF4-FFF2-40B4-BE49-F238E27FC236}">
                                        <a16:creationId xmlns:a16="http://schemas.microsoft.com/office/drawing/2014/main" id="{87149478-6326-40A6-970C-F25088C6789F}"/>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1">
                                            <a:extLst>
                                              <a:ext uri="{FF2B5EF4-FFF2-40B4-BE49-F238E27FC236}">
                                                <a16:creationId xmlns:a16="http://schemas.microsoft.com/office/drawing/2014/main" id="{87149478-6326-40A6-970C-F25088C6789F}"/>
                                              </a:ext>
                                            </a:extLst>
                                          </pic:cNvPr>
                                          <pic:cNvPicPr>
                                            <a:picLocks noChangeAspect="1"/>
                                          </pic:cNvPicPr>
                                        </pic:nvPicPr>
                                        <pic:blipFill>
                                          <a:blip r:embed="rId4"/>
                                          <a:stretch>
                                            <a:fillRect/>
                                          </a:stretch>
                                        </pic:blipFill>
                                        <pic:spPr>
                                          <a:xfrm>
                                            <a:off x="0" y="0"/>
                                            <a:ext cx="5120640" cy="4361782"/>
                                          </a:xfrm>
                                          <a:prstGeom prst="rect">
                                            <a:avLst/>
                                          </a:prstGeom>
                                        </pic:spPr>
                                      </pic:pic>
                                    </a:graphicData>
                                  </a:graphic>
                                </wp:inline>
                              </w:drawing>
                            </w:r>
                          </w:p>
                          <w:p w14:paraId="16679D4B" w14:textId="77777777" w:rsidR="00EB718B" w:rsidRDefault="00EB718B" w:rsidP="00EB718B">
                            <w:pPr>
                              <w:pStyle w:val="NormalWeb"/>
                              <w:spacing w:before="0" w:beforeAutospacing="0" w:after="0" w:afterAutospacing="0"/>
                            </w:pPr>
                            <w:r>
                              <w:rPr>
                                <w:rFonts w:ascii="Calibri" w:eastAsia="+mn-ea" w:hAnsi="Calibri" w:cs="+mn-cs"/>
                                <w:color w:val="000000"/>
                                <w:kern w:val="24"/>
                                <w:sz w:val="28"/>
                                <w:szCs w:val="28"/>
                              </w:rPr>
                              <w:t xml:space="preserve">Figure S1. GO hierarchical structure produced using GOMCL for cluster C2 described in Figure 1. Edges represent the parent/child relationships of the GO terms. The black edges connect parent and child terms that are directly linked, while the grey edges indicate connections with intermediate GO terms between the parent and child terms. Node size represents the number of genes in the test set which are annotated to that GO term; and shade of each node represents p-value assigned by the enrichment test. Lighter to darker shades indicate larger to smaller p-values, respectively. The main hierarchical branches are marked by red circles. </w:t>
                            </w:r>
                          </w:p>
                          <w:p w14:paraId="7C62E789" w14:textId="78EF6212" w:rsidR="00EB718B" w:rsidRDefault="00EB718B"/>
                          <w:p w14:paraId="12925609" w14:textId="12FB56BD" w:rsidR="00EB718B" w:rsidRDefault="00EB718B"/>
                          <w:p w14:paraId="4F3B3E5E" w14:textId="77777777" w:rsidR="00EB718B" w:rsidRDefault="00EB718B"/>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5533A6B6" id="_x0000_t202" coordsize="21600,21600" o:spt="202" path="m,l,21600r21600,l21600,xe">
                <v:stroke joinstyle="miter"/>
                <v:path gradientshapeok="t" o:connecttype="rect"/>
              </v:shapetype>
              <v:shape id="Text Box 2" o:spid="_x0000_s1026" type="#_x0000_t202" style="position:absolute;margin-left:415pt;margin-top:14.4pt;width:466.2pt;height:514.8pt;z-index:-251657216;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" stroked="f">
                <v:textbox>
                  <w:txbxContent>
                    <w:p w14:paraId="09F096C7" w14:textId="63A0A868" w:rsidR="00EB718B" w:rsidRDefault="00EB718B" w:rsidP="00EB718B">
                      <w:pPr>
                        <w:jc w:val="center"/>
                      </w:pPr>
                      <w:r>
                        <w:rPr>
                          <w:noProof/>
                        </w:rPr>
                        <w:drawing>
                          <wp:inline distT="0" distB="0" distL="0" distR="0" wp14:anchorId="25698FE6" wp14:editId="38BC199D">
                            <wp:extent cx="5120640" cy="4361782"/>
                            <wp:effectExtent l="0" t="0" r="3810" b="0"/>
                            <wp:docPr id="2" name="Picture 1">
                              <a:extLst xmlns:a="http://schemas.openxmlformats.org/drawingml/2006/main">
                                <a:ext uri="{FF2B5EF4-FFF2-40B4-BE49-F238E27FC236}">
                                  <a16:creationId xmlns:a16="http://schemas.microsoft.com/office/drawing/2014/main" id="{87149478-6326-40A6-970C-F25088C6789F}"/>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1">
                                      <a:extLst>
                                        <a:ext uri="{FF2B5EF4-FFF2-40B4-BE49-F238E27FC236}">
                                          <a16:creationId xmlns:a16="http://schemas.microsoft.com/office/drawing/2014/main" id="{87149478-6326-40A6-970C-F25088C6789F}"/>
                                        </a:ext>
                                      </a:extLst>
                                    </pic:cNvPr>
                                    <pic:cNvPicPr>
                                      <a:picLocks noChangeAspect="1"/>
                                    </pic:cNvPicPr>
                                  </pic:nvPicPr>
                                  <pic:blipFill>
                                    <a:blip r:embed="rId4"/>
                                    <a:stretch>
                                      <a:fillRect/>
                                    </a:stretch>
                                  </pic:blipFill>
                                  <pic:spPr>
                                    <a:xfrm>
                                      <a:off x="0" y="0"/>
                                      <a:ext cx="5120640" cy="4361782"/>
                                    </a:xfrm>
                                    <a:prstGeom prst="rect">
                                      <a:avLst/>
                                    </a:prstGeom>
                                  </pic:spPr>
                                </pic:pic>
                              </a:graphicData>
                            </a:graphic>
                          </wp:inline>
                        </w:drawing>
                      </w:r>
                    </w:p>
                    <w:p w14:paraId="16679D4B" w14:textId="77777777" w:rsidR="00EB718B" w:rsidRDefault="00EB718B" w:rsidP="00EB718B">
                      <w:pPr>
                        <w:pStyle w:val="NormalWeb"/>
                        <w:spacing w:before="0" w:beforeAutospacing="0" w:after="0" w:afterAutospacing="0"/>
                      </w:pPr>
                      <w:r>
                        <w:rPr>
                          <w:rFonts w:ascii="Calibri" w:eastAsia="+mn-ea" w:hAnsi="Calibri" w:cs="+mn-cs"/>
                          <w:color w:val="000000"/>
                          <w:kern w:val="24"/>
                          <w:sz w:val="28"/>
                          <w:szCs w:val="28"/>
                        </w:rPr>
                        <w:t xml:space="preserve">Figure S1. GO hierarchical structure produced using GOMCL for cluster C2 described in Figure 1. Edges represent the parent/child relationships of the GO terms. The black edges connect parent and child terms that are directly linked, while the grey edges indicate connections with intermediate GO terms between the parent and child terms. Node size represents the number of genes in the test set which are annotated to that GO term; and shade of each node represents p-value assigned by the enrichment test. Lighter to darker shades indicate larger to smaller p-values, respectively. The main hierarchical branches are marked by red circles. </w:t>
                      </w:r>
                    </w:p>
                    <w:p w14:paraId="7C62E789" w14:textId="78EF6212" w:rsidR="00EB718B" w:rsidRDefault="00EB718B"/>
                    <w:p w14:paraId="12925609" w14:textId="12FB56BD" w:rsidR="00EB718B" w:rsidRDefault="00EB718B"/>
                    <w:p w14:paraId="4F3B3E5E" w14:textId="77777777" w:rsidR="00EB718B" w:rsidRDefault="00EB718B"/>
                  </w:txbxContent>
                </v:textbox>
                <w10:wrap type="tight" anchorx="margin"/>
              </v:shape>
            </w:pict>
          </mc:Fallback>
        </mc:AlternateContent>
      </w:r>
    </w:p>
    <w:sectPr w:rsidR="00286184">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4000ACFF" w:usb2="00000001"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AFF" w:usb1="C0007843" w:usb2="00000009" w:usb3="00000000" w:csb0="000001FF" w:csb1="00000000"/>
  </w:font>
  <w:font w:name="+mn-ea">
    <w:panose1 w:val="00000000000000000000"/>
    <w:charset w:val="00"/>
    <w:family w:val="roman"/>
    <w:notTrueType/>
    <w:pitch w:val="default"/>
  </w:font>
  <w:font w:name="+mn-cs">
    <w:panose1 w:val="00000000000000000000"/>
    <w:charset w:val="00"/>
    <w:family w:val="roman"/>
    <w:notTrueType/>
    <w:pitch w:val="default"/>
  </w:font>
  <w:font w:name="DengXian Light">
    <w:altName w:val="等线 Light"/>
    <w:panose1 w:val="02010600030101010101"/>
    <w:charset w:val="86"/>
    <w:family w:val="auto"/>
    <w:pitch w:val="variable"/>
    <w:sig w:usb0="A00002BF" w:usb1="38CF7CFA" w:usb2="00000016" w:usb3="00000000" w:csb0="0004000F" w:csb1="00000000"/>
  </w:font>
  <w:font w:name="Calibri Light">
    <w:panose1 w:val="020F0302020204030204"/>
    <w:charset w:val="00"/>
    <w:family w:val="swiss"/>
    <w:pitch w:val="variable"/>
    <w:sig w:usb0="A0002AEF" w:usb1="4000207B" w:usb2="00000000"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86184"/>
    <w:rsid w:val="00286184"/>
    <w:rsid w:val="00EB718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FA2345B"/>
  <w15:chartTrackingRefBased/>
  <w15:docId w15:val="{406928BF-8D77-448D-A464-BCA3AED3C9C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US" w:eastAsia="zh-CN" w:bidi="ar-SA"/>
      </w:rPr>
    </w:rPrDefault>
    <w:pPrDefault>
      <w:pPr>
        <w:spacing w:after="160" w:line="259"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EB718B"/>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7703532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0</Words>
  <Characters>1</Characters>
  <Application>Microsoft Office Word</Application>
  <DocSecurity>0</DocSecurity>
  <Lines>1</Lines>
  <Paragraphs>1</Paragraphs>
  <ScaleCrop>false</ScaleCrop>
  <Company/>
  <LinksUpToDate>false</LinksUpToDate>
  <CharactersWithSpaces>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Guannan Wang</dc:creator>
  <cp:keywords/>
  <dc:description/>
  <cp:lastModifiedBy>Guannan Wang</cp:lastModifiedBy>
  <cp:revision>2</cp:revision>
  <dcterms:created xsi:type="dcterms:W3CDTF">2019-10-13T00:08:00Z</dcterms:created>
  <dcterms:modified xsi:type="dcterms:W3CDTF">2019-10-13T00:09:00Z</dcterms:modified>
</cp:coreProperties>
</file>